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9D9887">
      <w:pPr>
        <w:widowControl/>
        <w:spacing w:line="360" w:lineRule="auto"/>
        <w:rPr>
          <w:rFonts w:hint="eastAsia" w:ascii="仿宋" w:hAnsi="仿宋" w:eastAsia="仿宋" w:cs="仿宋"/>
          <w:b/>
          <w:bCs/>
          <w:color w:val="auto"/>
          <w:kern w:val="0"/>
          <w:sz w:val="32"/>
          <w:szCs w:val="32"/>
          <w:highlight w:val="none"/>
        </w:rPr>
      </w:pPr>
      <w:r>
        <w:rPr>
          <w:rFonts w:hint="eastAsia" w:ascii="仿宋" w:hAnsi="仿宋" w:eastAsia="仿宋" w:cs="仿宋"/>
          <w:b/>
          <w:color w:val="auto"/>
          <w:sz w:val="48"/>
          <w:szCs w:val="48"/>
          <w:highlight w:val="none"/>
        </w:rPr>
        <w:drawing>
          <wp:inline distT="0" distB="0" distL="114300" distR="114300">
            <wp:extent cx="1285875" cy="1195705"/>
            <wp:effectExtent l="0" t="0" r="9525" b="10795"/>
            <wp:docPr id="1" name="图片 4" descr="说明: 公司标志"/>
            <wp:cNvGraphicFramePr/>
            <a:graphic xmlns:a="http://schemas.openxmlformats.org/drawingml/2006/main">
              <a:graphicData uri="http://schemas.openxmlformats.org/drawingml/2006/picture">
                <pic:pic xmlns:pic="http://schemas.openxmlformats.org/drawingml/2006/picture">
                  <pic:nvPicPr>
                    <pic:cNvPr id="1" name="图片 4" descr="说明: 公司标志"/>
                    <pic:cNvPicPr/>
                  </pic:nvPicPr>
                  <pic:blipFill>
                    <a:blip r:embed="rId6"/>
                    <a:stretch>
                      <a:fillRect/>
                    </a:stretch>
                  </pic:blipFill>
                  <pic:spPr>
                    <a:xfrm>
                      <a:off x="0" y="0"/>
                      <a:ext cx="1285875" cy="1195705"/>
                    </a:xfrm>
                    <a:prstGeom prst="rect">
                      <a:avLst/>
                    </a:prstGeom>
                    <a:noFill/>
                    <a:ln>
                      <a:noFill/>
                    </a:ln>
                  </pic:spPr>
                </pic:pic>
              </a:graphicData>
            </a:graphic>
          </wp:inline>
        </w:drawing>
      </w:r>
    </w:p>
    <w:p w14:paraId="31515C51">
      <w:pPr>
        <w:pStyle w:val="65"/>
        <w:spacing w:line="360" w:lineRule="auto"/>
        <w:rPr>
          <w:rFonts w:hint="eastAsia" w:ascii="仿宋" w:hAnsi="仿宋" w:eastAsia="仿宋" w:cs="仿宋"/>
          <w:color w:val="auto"/>
          <w:highlight w:val="none"/>
        </w:rPr>
      </w:pPr>
    </w:p>
    <w:p w14:paraId="06C517AB">
      <w:pPr>
        <w:pStyle w:val="65"/>
        <w:spacing w:line="360" w:lineRule="auto"/>
        <w:rPr>
          <w:rFonts w:hint="eastAsia" w:ascii="仿宋" w:hAnsi="仿宋" w:eastAsia="仿宋" w:cs="仿宋"/>
          <w:color w:val="auto"/>
          <w:highlight w:val="none"/>
        </w:rPr>
      </w:pPr>
    </w:p>
    <w:p w14:paraId="45382638">
      <w:pPr>
        <w:widowControl/>
        <w:spacing w:line="360" w:lineRule="auto"/>
        <w:jc w:val="left"/>
        <w:rPr>
          <w:rFonts w:hint="eastAsia" w:ascii="仿宋" w:hAnsi="仿宋" w:eastAsia="仿宋" w:cs="仿宋"/>
          <w:b/>
          <w:bCs/>
          <w:color w:val="auto"/>
          <w:kern w:val="0"/>
          <w:sz w:val="32"/>
          <w:szCs w:val="32"/>
          <w:highlight w:val="none"/>
        </w:rPr>
      </w:pPr>
    </w:p>
    <w:p w14:paraId="4C29B4BE">
      <w:pPr>
        <w:widowControl/>
        <w:spacing w:line="360" w:lineRule="auto"/>
        <w:jc w:val="center"/>
        <w:rPr>
          <w:rFonts w:hint="eastAsia" w:ascii="仿宋" w:hAnsi="仿宋" w:eastAsia="仿宋" w:cs="仿宋"/>
          <w:b/>
          <w:bCs/>
          <w:color w:val="auto"/>
          <w:kern w:val="0"/>
          <w:sz w:val="32"/>
          <w:szCs w:val="32"/>
          <w:highlight w:val="none"/>
        </w:rPr>
      </w:pPr>
    </w:p>
    <w:p w14:paraId="1BA73E05">
      <w:pPr>
        <w:widowControl/>
        <w:spacing w:line="360" w:lineRule="auto"/>
        <w:jc w:val="center"/>
        <w:rPr>
          <w:rFonts w:hint="eastAsia" w:ascii="仿宋" w:hAnsi="仿宋" w:eastAsia="仿宋" w:cs="仿宋"/>
          <w:b/>
          <w:bCs/>
          <w:color w:val="auto"/>
          <w:kern w:val="0"/>
          <w:sz w:val="44"/>
          <w:szCs w:val="44"/>
          <w:highlight w:val="none"/>
        </w:rPr>
      </w:pPr>
    </w:p>
    <w:p w14:paraId="0E411BCF">
      <w:pPr>
        <w:widowControl/>
        <w:adjustRightInd w:val="0"/>
        <w:snapToGrid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kern w:val="0"/>
          <w:sz w:val="44"/>
          <w:szCs w:val="44"/>
          <w:highlight w:val="none"/>
        </w:rPr>
        <w:t>公开招标文件</w:t>
      </w:r>
    </w:p>
    <w:p w14:paraId="30033F91">
      <w:pPr>
        <w:spacing w:line="360" w:lineRule="auto"/>
        <w:rPr>
          <w:rFonts w:hint="eastAsia" w:ascii="仿宋" w:hAnsi="仿宋" w:eastAsia="仿宋" w:cs="仿宋"/>
          <w:color w:val="auto"/>
          <w:highlight w:val="none"/>
        </w:rPr>
      </w:pPr>
    </w:p>
    <w:p w14:paraId="75819D4D">
      <w:pPr>
        <w:pStyle w:val="65"/>
        <w:spacing w:line="360" w:lineRule="auto"/>
        <w:rPr>
          <w:rFonts w:hint="eastAsia" w:ascii="仿宋" w:hAnsi="仿宋" w:eastAsia="仿宋" w:cs="仿宋"/>
          <w:color w:val="auto"/>
          <w:highlight w:val="none"/>
        </w:rPr>
      </w:pPr>
    </w:p>
    <w:p w14:paraId="7347C99A">
      <w:pPr>
        <w:pStyle w:val="65"/>
        <w:spacing w:line="360" w:lineRule="auto"/>
        <w:rPr>
          <w:rFonts w:hint="eastAsia" w:ascii="仿宋" w:hAnsi="仿宋" w:eastAsia="仿宋" w:cs="仿宋"/>
          <w:color w:val="auto"/>
          <w:highlight w:val="none"/>
        </w:rPr>
      </w:pPr>
    </w:p>
    <w:p w14:paraId="5E912553">
      <w:pPr>
        <w:spacing w:line="360" w:lineRule="auto"/>
        <w:rPr>
          <w:rFonts w:hint="eastAsia" w:ascii="仿宋" w:hAnsi="仿宋" w:eastAsia="仿宋" w:cs="仿宋"/>
          <w:color w:val="auto"/>
          <w:highlight w:val="none"/>
        </w:rPr>
      </w:pPr>
    </w:p>
    <w:p w14:paraId="58C1431E">
      <w:pPr>
        <w:pStyle w:val="65"/>
        <w:spacing w:line="360" w:lineRule="auto"/>
        <w:rPr>
          <w:rFonts w:hint="eastAsia" w:ascii="仿宋" w:hAnsi="仿宋" w:eastAsia="仿宋" w:cs="仿宋"/>
          <w:color w:val="auto"/>
          <w:highlight w:val="none"/>
        </w:rPr>
      </w:pPr>
    </w:p>
    <w:tbl>
      <w:tblPr>
        <w:tblStyle w:val="31"/>
        <w:tblW w:w="8522" w:type="dxa"/>
        <w:tblInd w:w="0" w:type="dxa"/>
        <w:tblLayout w:type="fixed"/>
        <w:tblCellMar>
          <w:top w:w="0" w:type="dxa"/>
          <w:left w:w="108" w:type="dxa"/>
          <w:bottom w:w="0" w:type="dxa"/>
          <w:right w:w="108" w:type="dxa"/>
        </w:tblCellMar>
      </w:tblPr>
      <w:tblGrid>
        <w:gridCol w:w="2088"/>
        <w:gridCol w:w="356"/>
        <w:gridCol w:w="6078"/>
      </w:tblGrid>
      <w:tr w14:paraId="5D2E5423">
        <w:tblPrEx>
          <w:tblCellMar>
            <w:top w:w="0" w:type="dxa"/>
            <w:left w:w="108" w:type="dxa"/>
            <w:bottom w:w="0" w:type="dxa"/>
            <w:right w:w="108" w:type="dxa"/>
          </w:tblCellMar>
        </w:tblPrEx>
        <w:tc>
          <w:tcPr>
            <w:tcW w:w="2088" w:type="dxa"/>
            <w:tcBorders>
              <w:tl2br w:val="nil"/>
              <w:tr2bl w:val="nil"/>
            </w:tcBorders>
            <w:noWrap w:val="0"/>
            <w:vAlign w:val="top"/>
          </w:tcPr>
          <w:p w14:paraId="422AD799">
            <w:pPr>
              <w:spacing w:line="240" w:lineRule="auto"/>
              <w:jc w:val="distribute"/>
              <w:rPr>
                <w:rFonts w:hint="eastAsia" w:ascii="仿宋" w:hAnsi="仿宋" w:eastAsia="仿宋" w:cs="仿宋"/>
                <w:color w:val="auto"/>
                <w:highlight w:val="none"/>
              </w:rPr>
            </w:pPr>
            <w:r>
              <w:rPr>
                <w:rFonts w:hint="eastAsia" w:ascii="仿宋" w:hAnsi="仿宋" w:eastAsia="仿宋" w:cs="仿宋"/>
                <w:color w:val="auto"/>
                <w:kern w:val="0"/>
                <w:sz w:val="28"/>
                <w:szCs w:val="28"/>
                <w:highlight w:val="none"/>
              </w:rPr>
              <w:t>项目名称</w:t>
            </w:r>
          </w:p>
        </w:tc>
        <w:tc>
          <w:tcPr>
            <w:tcW w:w="356" w:type="dxa"/>
            <w:tcBorders>
              <w:tl2br w:val="nil"/>
              <w:tr2bl w:val="nil"/>
            </w:tcBorders>
            <w:noWrap w:val="0"/>
            <w:vAlign w:val="top"/>
          </w:tcPr>
          <w:p w14:paraId="7C2B1C5F">
            <w:pPr>
              <w:spacing w:line="240" w:lineRule="auto"/>
              <w:jc w:val="distribute"/>
              <w:rPr>
                <w:rFonts w:hint="eastAsia" w:ascii="仿宋" w:hAnsi="仿宋" w:eastAsia="仿宋" w:cs="仿宋"/>
                <w:color w:val="auto"/>
                <w:highlight w:val="none"/>
              </w:rPr>
            </w:pPr>
            <w:r>
              <w:rPr>
                <w:rFonts w:hint="eastAsia" w:ascii="仿宋" w:hAnsi="仿宋" w:eastAsia="仿宋" w:cs="仿宋"/>
                <w:color w:val="auto"/>
                <w:kern w:val="0"/>
                <w:sz w:val="28"/>
                <w:szCs w:val="28"/>
                <w:highlight w:val="none"/>
              </w:rPr>
              <w:t>:</w:t>
            </w:r>
          </w:p>
        </w:tc>
        <w:tc>
          <w:tcPr>
            <w:tcW w:w="6078" w:type="dxa"/>
            <w:tcBorders>
              <w:tl2br w:val="nil"/>
              <w:tr2bl w:val="nil"/>
            </w:tcBorders>
            <w:noWrap w:val="0"/>
            <w:vAlign w:val="top"/>
          </w:tcPr>
          <w:p w14:paraId="45A8663B">
            <w:pPr>
              <w:spacing w:line="240" w:lineRule="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新疆大学智慧教学空间系统升级扩容项目</w:t>
            </w:r>
          </w:p>
        </w:tc>
      </w:tr>
      <w:tr w14:paraId="272A1B0D">
        <w:tblPrEx>
          <w:tblCellMar>
            <w:top w:w="0" w:type="dxa"/>
            <w:left w:w="108" w:type="dxa"/>
            <w:bottom w:w="0" w:type="dxa"/>
            <w:right w:w="108" w:type="dxa"/>
          </w:tblCellMar>
        </w:tblPrEx>
        <w:tc>
          <w:tcPr>
            <w:tcW w:w="2088" w:type="dxa"/>
            <w:tcBorders>
              <w:tl2br w:val="nil"/>
              <w:tr2bl w:val="nil"/>
            </w:tcBorders>
            <w:noWrap w:val="0"/>
            <w:vAlign w:val="top"/>
          </w:tcPr>
          <w:p w14:paraId="0EC7167E">
            <w:pPr>
              <w:spacing w:line="240" w:lineRule="auto"/>
              <w:jc w:val="distribute"/>
              <w:rPr>
                <w:rFonts w:hint="eastAsia" w:ascii="仿宋" w:hAnsi="仿宋" w:eastAsia="仿宋" w:cs="仿宋"/>
                <w:color w:val="auto"/>
                <w:highlight w:val="none"/>
              </w:rPr>
            </w:pPr>
            <w:r>
              <w:rPr>
                <w:rFonts w:hint="eastAsia" w:ascii="仿宋" w:hAnsi="仿宋" w:eastAsia="仿宋" w:cs="仿宋"/>
                <w:color w:val="auto"/>
                <w:kern w:val="0"/>
                <w:sz w:val="28"/>
                <w:szCs w:val="28"/>
                <w:highlight w:val="none"/>
              </w:rPr>
              <w:t>招标编号</w:t>
            </w:r>
          </w:p>
        </w:tc>
        <w:tc>
          <w:tcPr>
            <w:tcW w:w="356" w:type="dxa"/>
            <w:tcBorders>
              <w:tl2br w:val="nil"/>
              <w:tr2bl w:val="nil"/>
            </w:tcBorders>
            <w:noWrap w:val="0"/>
            <w:vAlign w:val="top"/>
          </w:tcPr>
          <w:p w14:paraId="059EEAD8">
            <w:pPr>
              <w:spacing w:line="240" w:lineRule="auto"/>
              <w:jc w:val="distribute"/>
              <w:rPr>
                <w:rFonts w:hint="eastAsia" w:ascii="仿宋" w:hAnsi="仿宋" w:eastAsia="仿宋" w:cs="仿宋"/>
                <w:color w:val="auto"/>
                <w:highlight w:val="none"/>
              </w:rPr>
            </w:pPr>
            <w:r>
              <w:rPr>
                <w:rFonts w:hint="eastAsia" w:ascii="仿宋" w:hAnsi="仿宋" w:eastAsia="仿宋" w:cs="仿宋"/>
                <w:color w:val="auto"/>
                <w:kern w:val="0"/>
                <w:sz w:val="28"/>
                <w:szCs w:val="28"/>
                <w:highlight w:val="none"/>
              </w:rPr>
              <w:t>:</w:t>
            </w:r>
          </w:p>
        </w:tc>
        <w:tc>
          <w:tcPr>
            <w:tcW w:w="6078" w:type="dxa"/>
            <w:tcBorders>
              <w:tl2br w:val="nil"/>
              <w:tr2bl w:val="nil"/>
            </w:tcBorders>
            <w:noWrap w:val="0"/>
            <w:vAlign w:val="top"/>
          </w:tcPr>
          <w:p w14:paraId="22DF2B50">
            <w:pPr>
              <w:spacing w:line="240" w:lineRule="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XJXSJ-2026(ZC)-261</w:t>
            </w:r>
          </w:p>
        </w:tc>
      </w:tr>
      <w:tr w14:paraId="785BCBE0">
        <w:tblPrEx>
          <w:tblCellMar>
            <w:top w:w="0" w:type="dxa"/>
            <w:left w:w="108" w:type="dxa"/>
            <w:bottom w:w="0" w:type="dxa"/>
            <w:right w:w="108" w:type="dxa"/>
          </w:tblCellMar>
        </w:tblPrEx>
        <w:tc>
          <w:tcPr>
            <w:tcW w:w="2088" w:type="dxa"/>
            <w:tcBorders>
              <w:tl2br w:val="nil"/>
              <w:tr2bl w:val="nil"/>
            </w:tcBorders>
            <w:noWrap w:val="0"/>
            <w:vAlign w:val="top"/>
          </w:tcPr>
          <w:p w14:paraId="510F8588">
            <w:pPr>
              <w:spacing w:line="240" w:lineRule="auto"/>
              <w:jc w:val="distribute"/>
              <w:rPr>
                <w:rFonts w:hint="eastAsia" w:ascii="仿宋" w:hAnsi="仿宋" w:eastAsia="仿宋" w:cs="仿宋"/>
                <w:color w:val="auto"/>
                <w:highlight w:val="none"/>
              </w:rPr>
            </w:pPr>
            <w:r>
              <w:rPr>
                <w:rFonts w:hint="eastAsia" w:ascii="仿宋" w:hAnsi="仿宋" w:eastAsia="仿宋" w:cs="仿宋"/>
                <w:color w:val="auto"/>
                <w:kern w:val="0"/>
                <w:sz w:val="28"/>
                <w:szCs w:val="28"/>
                <w:highlight w:val="none"/>
              </w:rPr>
              <w:t>采购人</w:t>
            </w:r>
          </w:p>
        </w:tc>
        <w:tc>
          <w:tcPr>
            <w:tcW w:w="356" w:type="dxa"/>
            <w:tcBorders>
              <w:tl2br w:val="nil"/>
              <w:tr2bl w:val="nil"/>
            </w:tcBorders>
            <w:noWrap w:val="0"/>
            <w:vAlign w:val="top"/>
          </w:tcPr>
          <w:p w14:paraId="4BF8DDCE">
            <w:pPr>
              <w:spacing w:line="240" w:lineRule="auto"/>
              <w:jc w:val="distribute"/>
              <w:rPr>
                <w:rFonts w:hint="eastAsia" w:ascii="仿宋" w:hAnsi="仿宋" w:eastAsia="仿宋" w:cs="仿宋"/>
                <w:color w:val="auto"/>
                <w:highlight w:val="none"/>
              </w:rPr>
            </w:pPr>
            <w:r>
              <w:rPr>
                <w:rFonts w:hint="eastAsia" w:ascii="仿宋" w:hAnsi="仿宋" w:eastAsia="仿宋" w:cs="仿宋"/>
                <w:color w:val="auto"/>
                <w:kern w:val="0"/>
                <w:sz w:val="28"/>
                <w:szCs w:val="28"/>
                <w:highlight w:val="none"/>
              </w:rPr>
              <w:t>:</w:t>
            </w:r>
          </w:p>
        </w:tc>
        <w:tc>
          <w:tcPr>
            <w:tcW w:w="6078" w:type="dxa"/>
            <w:tcBorders>
              <w:tl2br w:val="nil"/>
              <w:tr2bl w:val="nil"/>
            </w:tcBorders>
            <w:noWrap w:val="0"/>
            <w:vAlign w:val="top"/>
          </w:tcPr>
          <w:p w14:paraId="0A4D6FBA">
            <w:pPr>
              <w:spacing w:line="24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新疆大学</w:t>
            </w:r>
          </w:p>
        </w:tc>
      </w:tr>
      <w:tr w14:paraId="24AA9EAB">
        <w:tblPrEx>
          <w:tblCellMar>
            <w:top w:w="0" w:type="dxa"/>
            <w:left w:w="108" w:type="dxa"/>
            <w:bottom w:w="0" w:type="dxa"/>
            <w:right w:w="108" w:type="dxa"/>
          </w:tblCellMar>
        </w:tblPrEx>
        <w:tc>
          <w:tcPr>
            <w:tcW w:w="2088" w:type="dxa"/>
            <w:tcBorders>
              <w:tl2br w:val="nil"/>
              <w:tr2bl w:val="nil"/>
            </w:tcBorders>
            <w:noWrap w:val="0"/>
            <w:vAlign w:val="top"/>
          </w:tcPr>
          <w:p w14:paraId="2351793F">
            <w:pPr>
              <w:spacing w:line="240" w:lineRule="auto"/>
              <w:jc w:val="distribute"/>
              <w:rPr>
                <w:rFonts w:hint="eastAsia" w:ascii="仿宋" w:hAnsi="仿宋" w:eastAsia="仿宋" w:cs="仿宋"/>
                <w:color w:val="auto"/>
                <w:highlight w:val="none"/>
              </w:rPr>
            </w:pPr>
            <w:r>
              <w:rPr>
                <w:rFonts w:hint="eastAsia" w:ascii="仿宋" w:hAnsi="仿宋" w:eastAsia="仿宋" w:cs="仿宋"/>
                <w:color w:val="auto"/>
                <w:kern w:val="0"/>
                <w:sz w:val="28"/>
                <w:szCs w:val="28"/>
                <w:highlight w:val="none"/>
              </w:rPr>
              <w:t>采购代理机构</w:t>
            </w:r>
          </w:p>
        </w:tc>
        <w:tc>
          <w:tcPr>
            <w:tcW w:w="356" w:type="dxa"/>
            <w:tcBorders>
              <w:tl2br w:val="nil"/>
              <w:tr2bl w:val="nil"/>
            </w:tcBorders>
            <w:noWrap w:val="0"/>
            <w:vAlign w:val="top"/>
          </w:tcPr>
          <w:p w14:paraId="01BA8C8A">
            <w:pPr>
              <w:spacing w:line="240" w:lineRule="auto"/>
              <w:jc w:val="distribute"/>
              <w:rPr>
                <w:rFonts w:hint="eastAsia" w:ascii="仿宋" w:hAnsi="仿宋" w:eastAsia="仿宋" w:cs="仿宋"/>
                <w:color w:val="auto"/>
                <w:highlight w:val="none"/>
              </w:rPr>
            </w:pPr>
            <w:r>
              <w:rPr>
                <w:rFonts w:hint="eastAsia" w:ascii="仿宋" w:hAnsi="仿宋" w:eastAsia="仿宋" w:cs="仿宋"/>
                <w:color w:val="auto"/>
                <w:kern w:val="0"/>
                <w:sz w:val="28"/>
                <w:szCs w:val="28"/>
                <w:highlight w:val="none"/>
              </w:rPr>
              <w:t>:</w:t>
            </w:r>
          </w:p>
        </w:tc>
        <w:tc>
          <w:tcPr>
            <w:tcW w:w="6078" w:type="dxa"/>
            <w:tcBorders>
              <w:tl2br w:val="nil"/>
              <w:tr2bl w:val="nil"/>
            </w:tcBorders>
            <w:noWrap w:val="0"/>
            <w:vAlign w:val="top"/>
          </w:tcPr>
          <w:p w14:paraId="7958FDD5">
            <w:pPr>
              <w:spacing w:line="24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新疆新世纪招标有限公司</w:t>
            </w:r>
          </w:p>
        </w:tc>
      </w:tr>
      <w:tr w14:paraId="54BEC7D1">
        <w:tblPrEx>
          <w:tblCellMar>
            <w:top w:w="0" w:type="dxa"/>
            <w:left w:w="108" w:type="dxa"/>
            <w:bottom w:w="0" w:type="dxa"/>
            <w:right w:w="108" w:type="dxa"/>
          </w:tblCellMar>
        </w:tblPrEx>
        <w:tc>
          <w:tcPr>
            <w:tcW w:w="2088" w:type="dxa"/>
            <w:tcBorders>
              <w:tl2br w:val="nil"/>
              <w:tr2bl w:val="nil"/>
            </w:tcBorders>
            <w:noWrap w:val="0"/>
            <w:vAlign w:val="top"/>
          </w:tcPr>
          <w:p w14:paraId="577453F8">
            <w:pPr>
              <w:spacing w:line="240" w:lineRule="auto"/>
              <w:jc w:val="distribute"/>
              <w:rPr>
                <w:rFonts w:hint="eastAsia" w:ascii="仿宋" w:hAnsi="仿宋" w:eastAsia="仿宋" w:cs="仿宋"/>
                <w:color w:val="auto"/>
                <w:highlight w:val="none"/>
              </w:rPr>
            </w:pPr>
            <w:r>
              <w:rPr>
                <w:rFonts w:hint="eastAsia" w:ascii="仿宋" w:hAnsi="仿宋" w:eastAsia="仿宋" w:cs="仿宋"/>
                <w:color w:val="auto"/>
                <w:kern w:val="0"/>
                <w:sz w:val="28"/>
                <w:szCs w:val="28"/>
                <w:highlight w:val="none"/>
              </w:rPr>
              <w:t>时间</w:t>
            </w:r>
          </w:p>
        </w:tc>
        <w:tc>
          <w:tcPr>
            <w:tcW w:w="356" w:type="dxa"/>
            <w:tcBorders>
              <w:tl2br w:val="nil"/>
              <w:tr2bl w:val="nil"/>
            </w:tcBorders>
            <w:noWrap w:val="0"/>
            <w:vAlign w:val="top"/>
          </w:tcPr>
          <w:p w14:paraId="25813FF3">
            <w:pPr>
              <w:spacing w:line="240" w:lineRule="auto"/>
              <w:jc w:val="distribute"/>
              <w:rPr>
                <w:rFonts w:hint="eastAsia" w:ascii="仿宋" w:hAnsi="仿宋" w:eastAsia="仿宋" w:cs="仿宋"/>
                <w:color w:val="auto"/>
                <w:highlight w:val="none"/>
              </w:rPr>
            </w:pPr>
            <w:r>
              <w:rPr>
                <w:rFonts w:hint="eastAsia" w:ascii="仿宋" w:hAnsi="仿宋" w:eastAsia="仿宋" w:cs="仿宋"/>
                <w:color w:val="auto"/>
                <w:kern w:val="0"/>
                <w:sz w:val="28"/>
                <w:szCs w:val="28"/>
                <w:highlight w:val="none"/>
              </w:rPr>
              <w:t>:</w:t>
            </w:r>
          </w:p>
        </w:tc>
        <w:tc>
          <w:tcPr>
            <w:tcW w:w="6078" w:type="dxa"/>
            <w:tcBorders>
              <w:tl2br w:val="nil"/>
              <w:tr2bl w:val="nil"/>
            </w:tcBorders>
            <w:noWrap w:val="0"/>
            <w:vAlign w:val="top"/>
          </w:tcPr>
          <w:p w14:paraId="451C725C">
            <w:pPr>
              <w:spacing w:line="24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二零二</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5A50347D">
      <w:pPr>
        <w:spacing w:line="360" w:lineRule="auto"/>
        <w:rPr>
          <w:rFonts w:hint="eastAsia" w:ascii="仿宋" w:hAnsi="仿宋" w:eastAsia="仿宋" w:cs="仿宋"/>
          <w:color w:val="auto"/>
          <w:highlight w:val="none"/>
        </w:rPr>
      </w:pPr>
    </w:p>
    <w:p w14:paraId="58BDE1D7">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5A83BC89">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目  录</w:t>
      </w:r>
    </w:p>
    <w:p w14:paraId="02138F19">
      <w:pPr>
        <w:spacing w:line="360" w:lineRule="auto"/>
        <w:jc w:val="center"/>
        <w:rPr>
          <w:rFonts w:hint="eastAsia" w:ascii="仿宋" w:hAnsi="仿宋" w:eastAsia="仿宋" w:cs="仿宋"/>
          <w:color w:val="auto"/>
          <w:highlight w:val="none"/>
        </w:rPr>
      </w:pPr>
    </w:p>
    <w:p w14:paraId="0FE23E3B">
      <w:pPr>
        <w:pStyle w:val="23"/>
        <w:tabs>
          <w:tab w:val="right" w:leader="dot" w:pos="8306"/>
        </w:tabs>
        <w:rPr>
          <w:rFonts w:hint="eastAsia" w:ascii="仿宋" w:hAnsi="仿宋" w:eastAsia="仿宋" w:cs="仿宋"/>
          <w:sz w:val="28"/>
          <w:szCs w:val="36"/>
          <w:highlight w:val="none"/>
        </w:rPr>
      </w:pPr>
      <w:r>
        <w:rPr>
          <w:rFonts w:hint="eastAsia" w:ascii="仿宋" w:hAnsi="仿宋" w:eastAsia="仿宋" w:cs="仿宋"/>
          <w:color w:val="auto"/>
          <w:sz w:val="48"/>
          <w:szCs w:val="48"/>
          <w:highlight w:val="none"/>
        </w:rPr>
        <w:fldChar w:fldCharType="begin"/>
      </w:r>
      <w:r>
        <w:rPr>
          <w:rFonts w:hint="eastAsia" w:ascii="仿宋" w:hAnsi="仿宋" w:eastAsia="仿宋" w:cs="仿宋"/>
          <w:color w:val="auto"/>
          <w:sz w:val="48"/>
          <w:szCs w:val="48"/>
          <w:highlight w:val="none"/>
        </w:rPr>
        <w:instrText xml:space="preserve">TOC \o "1-1" \h \u </w:instrText>
      </w:r>
      <w:r>
        <w:rPr>
          <w:rFonts w:hint="eastAsia" w:ascii="仿宋" w:hAnsi="仿宋" w:eastAsia="仿宋" w:cs="仿宋"/>
          <w:color w:val="auto"/>
          <w:sz w:val="48"/>
          <w:szCs w:val="48"/>
          <w:highlight w:val="none"/>
        </w:rPr>
        <w:fldChar w:fldCharType="separate"/>
      </w:r>
      <w:r>
        <w:rPr>
          <w:rFonts w:hint="eastAsia" w:ascii="仿宋" w:hAnsi="仿宋" w:eastAsia="仿宋" w:cs="仿宋"/>
          <w:color w:val="auto"/>
          <w:sz w:val="28"/>
          <w:szCs w:val="48"/>
          <w:highlight w:val="none"/>
        </w:rPr>
        <w:fldChar w:fldCharType="begin"/>
      </w:r>
      <w:r>
        <w:rPr>
          <w:rFonts w:hint="eastAsia" w:ascii="仿宋" w:hAnsi="仿宋" w:eastAsia="仿宋" w:cs="仿宋"/>
          <w:sz w:val="28"/>
          <w:szCs w:val="48"/>
          <w:highlight w:val="none"/>
        </w:rPr>
        <w:instrText xml:space="preserve"> HYPERLINK \l _Toc15957 </w:instrText>
      </w:r>
      <w:r>
        <w:rPr>
          <w:rFonts w:hint="eastAsia" w:ascii="仿宋" w:hAnsi="仿宋" w:eastAsia="仿宋" w:cs="仿宋"/>
          <w:sz w:val="28"/>
          <w:szCs w:val="48"/>
          <w:highlight w:val="none"/>
        </w:rPr>
        <w:fldChar w:fldCharType="separate"/>
      </w:r>
      <w:r>
        <w:rPr>
          <w:rFonts w:hint="eastAsia" w:ascii="仿宋" w:hAnsi="仿宋" w:eastAsia="仿宋" w:cs="仿宋"/>
          <w:bCs/>
          <w:sz w:val="28"/>
          <w:szCs w:val="44"/>
          <w:highlight w:val="none"/>
        </w:rPr>
        <w:t>第一章  招标公告</w:t>
      </w:r>
      <w:r>
        <w:rPr>
          <w:rFonts w:hint="eastAsia" w:ascii="仿宋" w:hAnsi="仿宋" w:eastAsia="仿宋" w:cs="仿宋"/>
          <w:sz w:val="28"/>
          <w:szCs w:val="36"/>
          <w:highlight w:val="none"/>
        </w:rPr>
        <w:tab/>
      </w:r>
      <w:r>
        <w:rPr>
          <w:rFonts w:hint="eastAsia" w:ascii="仿宋" w:hAnsi="仿宋" w:eastAsia="仿宋" w:cs="仿宋"/>
          <w:sz w:val="28"/>
          <w:szCs w:val="36"/>
          <w:highlight w:val="none"/>
        </w:rPr>
        <w:fldChar w:fldCharType="begin"/>
      </w:r>
      <w:r>
        <w:rPr>
          <w:rFonts w:hint="eastAsia" w:ascii="仿宋" w:hAnsi="仿宋" w:eastAsia="仿宋" w:cs="仿宋"/>
          <w:sz w:val="28"/>
          <w:szCs w:val="36"/>
          <w:highlight w:val="none"/>
        </w:rPr>
        <w:instrText xml:space="preserve"> PAGEREF _Toc15957 \h </w:instrText>
      </w:r>
      <w:r>
        <w:rPr>
          <w:rFonts w:hint="eastAsia" w:ascii="仿宋" w:hAnsi="仿宋" w:eastAsia="仿宋" w:cs="仿宋"/>
          <w:sz w:val="28"/>
          <w:szCs w:val="36"/>
          <w:highlight w:val="none"/>
        </w:rPr>
        <w:fldChar w:fldCharType="separate"/>
      </w:r>
      <w:r>
        <w:rPr>
          <w:rFonts w:hint="eastAsia" w:ascii="仿宋" w:hAnsi="仿宋" w:eastAsia="仿宋" w:cs="仿宋"/>
          <w:sz w:val="28"/>
          <w:szCs w:val="36"/>
          <w:highlight w:val="none"/>
        </w:rPr>
        <w:t>1</w:t>
      </w:r>
      <w:r>
        <w:rPr>
          <w:rFonts w:hint="eastAsia" w:ascii="仿宋" w:hAnsi="仿宋" w:eastAsia="仿宋" w:cs="仿宋"/>
          <w:sz w:val="28"/>
          <w:szCs w:val="36"/>
          <w:highlight w:val="none"/>
        </w:rPr>
        <w:fldChar w:fldCharType="end"/>
      </w:r>
      <w:r>
        <w:rPr>
          <w:rFonts w:hint="eastAsia" w:ascii="仿宋" w:hAnsi="仿宋" w:eastAsia="仿宋" w:cs="仿宋"/>
          <w:color w:val="auto"/>
          <w:sz w:val="28"/>
          <w:szCs w:val="48"/>
          <w:highlight w:val="none"/>
        </w:rPr>
        <w:fldChar w:fldCharType="end"/>
      </w:r>
    </w:p>
    <w:p w14:paraId="0A395033">
      <w:pPr>
        <w:pStyle w:val="23"/>
        <w:tabs>
          <w:tab w:val="right" w:leader="dot" w:pos="8306"/>
        </w:tabs>
        <w:rPr>
          <w:rFonts w:hint="eastAsia" w:ascii="仿宋" w:hAnsi="仿宋" w:eastAsia="仿宋" w:cs="仿宋"/>
          <w:sz w:val="28"/>
          <w:szCs w:val="36"/>
          <w:highlight w:val="none"/>
        </w:rPr>
      </w:pPr>
      <w:r>
        <w:rPr>
          <w:rFonts w:hint="eastAsia" w:ascii="仿宋" w:hAnsi="仿宋" w:eastAsia="仿宋" w:cs="仿宋"/>
          <w:color w:val="auto"/>
          <w:sz w:val="28"/>
          <w:szCs w:val="48"/>
          <w:highlight w:val="none"/>
        </w:rPr>
        <w:fldChar w:fldCharType="begin"/>
      </w:r>
      <w:r>
        <w:rPr>
          <w:rFonts w:hint="eastAsia" w:ascii="仿宋" w:hAnsi="仿宋" w:eastAsia="仿宋" w:cs="仿宋"/>
          <w:sz w:val="28"/>
          <w:szCs w:val="48"/>
          <w:highlight w:val="none"/>
        </w:rPr>
        <w:instrText xml:space="preserve"> HYPERLINK \l _Toc30388 </w:instrText>
      </w:r>
      <w:r>
        <w:rPr>
          <w:rFonts w:hint="eastAsia" w:ascii="仿宋" w:hAnsi="仿宋" w:eastAsia="仿宋" w:cs="仿宋"/>
          <w:sz w:val="28"/>
          <w:szCs w:val="48"/>
          <w:highlight w:val="none"/>
        </w:rPr>
        <w:fldChar w:fldCharType="separate"/>
      </w:r>
      <w:r>
        <w:rPr>
          <w:rFonts w:hint="eastAsia" w:ascii="仿宋" w:hAnsi="仿宋" w:eastAsia="仿宋" w:cs="仿宋"/>
          <w:bCs/>
          <w:sz w:val="28"/>
          <w:szCs w:val="44"/>
          <w:highlight w:val="none"/>
        </w:rPr>
        <w:t>第二章  投标须知前附表</w:t>
      </w:r>
      <w:r>
        <w:rPr>
          <w:rFonts w:hint="eastAsia" w:ascii="仿宋" w:hAnsi="仿宋" w:eastAsia="仿宋" w:cs="仿宋"/>
          <w:sz w:val="28"/>
          <w:szCs w:val="36"/>
          <w:highlight w:val="none"/>
        </w:rPr>
        <w:tab/>
      </w:r>
      <w:r>
        <w:rPr>
          <w:rFonts w:hint="eastAsia" w:ascii="仿宋" w:hAnsi="仿宋" w:eastAsia="仿宋" w:cs="仿宋"/>
          <w:sz w:val="28"/>
          <w:szCs w:val="36"/>
          <w:highlight w:val="none"/>
        </w:rPr>
        <w:fldChar w:fldCharType="begin"/>
      </w:r>
      <w:r>
        <w:rPr>
          <w:rFonts w:hint="eastAsia" w:ascii="仿宋" w:hAnsi="仿宋" w:eastAsia="仿宋" w:cs="仿宋"/>
          <w:sz w:val="28"/>
          <w:szCs w:val="36"/>
          <w:highlight w:val="none"/>
        </w:rPr>
        <w:instrText xml:space="preserve"> PAGEREF _Toc30388 \h </w:instrText>
      </w:r>
      <w:r>
        <w:rPr>
          <w:rFonts w:hint="eastAsia" w:ascii="仿宋" w:hAnsi="仿宋" w:eastAsia="仿宋" w:cs="仿宋"/>
          <w:sz w:val="28"/>
          <w:szCs w:val="36"/>
          <w:highlight w:val="none"/>
        </w:rPr>
        <w:fldChar w:fldCharType="separate"/>
      </w:r>
      <w:r>
        <w:rPr>
          <w:rFonts w:hint="eastAsia" w:ascii="仿宋" w:hAnsi="仿宋" w:eastAsia="仿宋" w:cs="仿宋"/>
          <w:sz w:val="28"/>
          <w:szCs w:val="36"/>
          <w:highlight w:val="none"/>
        </w:rPr>
        <w:t>4</w:t>
      </w:r>
      <w:r>
        <w:rPr>
          <w:rFonts w:hint="eastAsia" w:ascii="仿宋" w:hAnsi="仿宋" w:eastAsia="仿宋" w:cs="仿宋"/>
          <w:sz w:val="28"/>
          <w:szCs w:val="36"/>
          <w:highlight w:val="none"/>
        </w:rPr>
        <w:fldChar w:fldCharType="end"/>
      </w:r>
      <w:r>
        <w:rPr>
          <w:rFonts w:hint="eastAsia" w:ascii="仿宋" w:hAnsi="仿宋" w:eastAsia="仿宋" w:cs="仿宋"/>
          <w:color w:val="auto"/>
          <w:sz w:val="28"/>
          <w:szCs w:val="48"/>
          <w:highlight w:val="none"/>
        </w:rPr>
        <w:fldChar w:fldCharType="end"/>
      </w:r>
    </w:p>
    <w:p w14:paraId="2F7181AE">
      <w:pPr>
        <w:pStyle w:val="23"/>
        <w:tabs>
          <w:tab w:val="right" w:leader="dot" w:pos="8306"/>
        </w:tabs>
        <w:rPr>
          <w:rFonts w:hint="eastAsia" w:ascii="仿宋" w:hAnsi="仿宋" w:eastAsia="仿宋" w:cs="仿宋"/>
          <w:sz w:val="28"/>
          <w:szCs w:val="36"/>
          <w:highlight w:val="none"/>
        </w:rPr>
      </w:pPr>
      <w:r>
        <w:rPr>
          <w:rFonts w:hint="eastAsia" w:ascii="仿宋" w:hAnsi="仿宋" w:eastAsia="仿宋" w:cs="仿宋"/>
          <w:color w:val="auto"/>
          <w:sz w:val="28"/>
          <w:szCs w:val="48"/>
          <w:highlight w:val="none"/>
        </w:rPr>
        <w:fldChar w:fldCharType="begin"/>
      </w:r>
      <w:r>
        <w:rPr>
          <w:rFonts w:hint="eastAsia" w:ascii="仿宋" w:hAnsi="仿宋" w:eastAsia="仿宋" w:cs="仿宋"/>
          <w:sz w:val="28"/>
          <w:szCs w:val="48"/>
          <w:highlight w:val="none"/>
        </w:rPr>
        <w:instrText xml:space="preserve"> HYPERLINK \l _Toc7985 </w:instrText>
      </w:r>
      <w:r>
        <w:rPr>
          <w:rFonts w:hint="eastAsia" w:ascii="仿宋" w:hAnsi="仿宋" w:eastAsia="仿宋" w:cs="仿宋"/>
          <w:sz w:val="28"/>
          <w:szCs w:val="48"/>
          <w:highlight w:val="none"/>
        </w:rPr>
        <w:fldChar w:fldCharType="separate"/>
      </w:r>
      <w:r>
        <w:rPr>
          <w:rFonts w:hint="eastAsia" w:ascii="仿宋" w:hAnsi="仿宋" w:eastAsia="仿宋" w:cs="仿宋"/>
          <w:bCs/>
          <w:sz w:val="28"/>
          <w:szCs w:val="44"/>
          <w:highlight w:val="none"/>
        </w:rPr>
        <w:t>第三章  投标人须知</w:t>
      </w:r>
      <w:r>
        <w:rPr>
          <w:rFonts w:hint="eastAsia" w:ascii="仿宋" w:hAnsi="仿宋" w:eastAsia="仿宋" w:cs="仿宋"/>
          <w:sz w:val="28"/>
          <w:szCs w:val="36"/>
          <w:highlight w:val="none"/>
        </w:rPr>
        <w:tab/>
      </w:r>
      <w:r>
        <w:rPr>
          <w:rFonts w:hint="eastAsia" w:ascii="仿宋" w:hAnsi="仿宋" w:eastAsia="仿宋" w:cs="仿宋"/>
          <w:sz w:val="28"/>
          <w:szCs w:val="36"/>
          <w:highlight w:val="none"/>
        </w:rPr>
        <w:fldChar w:fldCharType="begin"/>
      </w:r>
      <w:r>
        <w:rPr>
          <w:rFonts w:hint="eastAsia" w:ascii="仿宋" w:hAnsi="仿宋" w:eastAsia="仿宋" w:cs="仿宋"/>
          <w:sz w:val="28"/>
          <w:szCs w:val="36"/>
          <w:highlight w:val="none"/>
        </w:rPr>
        <w:instrText xml:space="preserve"> PAGEREF _Toc7985 \h </w:instrText>
      </w:r>
      <w:r>
        <w:rPr>
          <w:rFonts w:hint="eastAsia" w:ascii="仿宋" w:hAnsi="仿宋" w:eastAsia="仿宋" w:cs="仿宋"/>
          <w:sz w:val="28"/>
          <w:szCs w:val="36"/>
          <w:highlight w:val="none"/>
        </w:rPr>
        <w:fldChar w:fldCharType="separate"/>
      </w:r>
      <w:r>
        <w:rPr>
          <w:rFonts w:hint="eastAsia" w:ascii="仿宋" w:hAnsi="仿宋" w:eastAsia="仿宋" w:cs="仿宋"/>
          <w:sz w:val="28"/>
          <w:szCs w:val="36"/>
          <w:highlight w:val="none"/>
        </w:rPr>
        <w:t>10</w:t>
      </w:r>
      <w:r>
        <w:rPr>
          <w:rFonts w:hint="eastAsia" w:ascii="仿宋" w:hAnsi="仿宋" w:eastAsia="仿宋" w:cs="仿宋"/>
          <w:sz w:val="28"/>
          <w:szCs w:val="36"/>
          <w:highlight w:val="none"/>
        </w:rPr>
        <w:fldChar w:fldCharType="end"/>
      </w:r>
      <w:r>
        <w:rPr>
          <w:rFonts w:hint="eastAsia" w:ascii="仿宋" w:hAnsi="仿宋" w:eastAsia="仿宋" w:cs="仿宋"/>
          <w:color w:val="auto"/>
          <w:sz w:val="28"/>
          <w:szCs w:val="48"/>
          <w:highlight w:val="none"/>
        </w:rPr>
        <w:fldChar w:fldCharType="end"/>
      </w:r>
    </w:p>
    <w:p w14:paraId="0681B72D">
      <w:pPr>
        <w:pStyle w:val="23"/>
        <w:tabs>
          <w:tab w:val="right" w:leader="dot" w:pos="8306"/>
        </w:tabs>
        <w:rPr>
          <w:rFonts w:hint="eastAsia" w:ascii="仿宋" w:hAnsi="仿宋" w:eastAsia="仿宋" w:cs="仿宋"/>
          <w:sz w:val="28"/>
          <w:szCs w:val="36"/>
          <w:highlight w:val="none"/>
        </w:rPr>
      </w:pPr>
      <w:r>
        <w:rPr>
          <w:rFonts w:hint="eastAsia" w:ascii="仿宋" w:hAnsi="仿宋" w:eastAsia="仿宋" w:cs="仿宋"/>
          <w:color w:val="auto"/>
          <w:sz w:val="28"/>
          <w:szCs w:val="48"/>
          <w:highlight w:val="none"/>
        </w:rPr>
        <w:fldChar w:fldCharType="begin"/>
      </w:r>
      <w:r>
        <w:rPr>
          <w:rFonts w:hint="eastAsia" w:ascii="仿宋" w:hAnsi="仿宋" w:eastAsia="仿宋" w:cs="仿宋"/>
          <w:sz w:val="28"/>
          <w:szCs w:val="48"/>
          <w:highlight w:val="none"/>
        </w:rPr>
        <w:instrText xml:space="preserve"> HYPERLINK \l _Toc13726 </w:instrText>
      </w:r>
      <w:r>
        <w:rPr>
          <w:rFonts w:hint="eastAsia" w:ascii="仿宋" w:hAnsi="仿宋" w:eastAsia="仿宋" w:cs="仿宋"/>
          <w:sz w:val="28"/>
          <w:szCs w:val="48"/>
          <w:highlight w:val="none"/>
        </w:rPr>
        <w:fldChar w:fldCharType="separate"/>
      </w:r>
      <w:r>
        <w:rPr>
          <w:rFonts w:hint="eastAsia" w:ascii="仿宋" w:hAnsi="仿宋" w:eastAsia="仿宋" w:cs="仿宋"/>
          <w:sz w:val="28"/>
          <w:szCs w:val="44"/>
          <w:highlight w:val="none"/>
        </w:rPr>
        <w:t>第四章  政府采购合同</w:t>
      </w:r>
      <w:r>
        <w:rPr>
          <w:rFonts w:hint="eastAsia" w:ascii="仿宋" w:hAnsi="仿宋" w:eastAsia="仿宋" w:cs="仿宋"/>
          <w:sz w:val="28"/>
          <w:szCs w:val="36"/>
          <w:highlight w:val="none"/>
        </w:rPr>
        <w:tab/>
      </w:r>
      <w:r>
        <w:rPr>
          <w:rFonts w:hint="eastAsia" w:ascii="仿宋" w:hAnsi="仿宋" w:eastAsia="仿宋" w:cs="仿宋"/>
          <w:sz w:val="28"/>
          <w:szCs w:val="36"/>
          <w:highlight w:val="none"/>
        </w:rPr>
        <w:fldChar w:fldCharType="begin"/>
      </w:r>
      <w:r>
        <w:rPr>
          <w:rFonts w:hint="eastAsia" w:ascii="仿宋" w:hAnsi="仿宋" w:eastAsia="仿宋" w:cs="仿宋"/>
          <w:sz w:val="28"/>
          <w:szCs w:val="36"/>
          <w:highlight w:val="none"/>
        </w:rPr>
        <w:instrText xml:space="preserve"> PAGEREF _Toc13726 \h </w:instrText>
      </w:r>
      <w:r>
        <w:rPr>
          <w:rFonts w:hint="eastAsia" w:ascii="仿宋" w:hAnsi="仿宋" w:eastAsia="仿宋" w:cs="仿宋"/>
          <w:sz w:val="28"/>
          <w:szCs w:val="36"/>
          <w:highlight w:val="none"/>
        </w:rPr>
        <w:fldChar w:fldCharType="separate"/>
      </w:r>
      <w:r>
        <w:rPr>
          <w:rFonts w:hint="eastAsia" w:ascii="仿宋" w:hAnsi="仿宋" w:eastAsia="仿宋" w:cs="仿宋"/>
          <w:sz w:val="28"/>
          <w:szCs w:val="36"/>
          <w:highlight w:val="none"/>
        </w:rPr>
        <w:t>25</w:t>
      </w:r>
      <w:r>
        <w:rPr>
          <w:rFonts w:hint="eastAsia" w:ascii="仿宋" w:hAnsi="仿宋" w:eastAsia="仿宋" w:cs="仿宋"/>
          <w:sz w:val="28"/>
          <w:szCs w:val="36"/>
          <w:highlight w:val="none"/>
        </w:rPr>
        <w:fldChar w:fldCharType="end"/>
      </w:r>
      <w:r>
        <w:rPr>
          <w:rFonts w:hint="eastAsia" w:ascii="仿宋" w:hAnsi="仿宋" w:eastAsia="仿宋" w:cs="仿宋"/>
          <w:color w:val="auto"/>
          <w:sz w:val="28"/>
          <w:szCs w:val="48"/>
          <w:highlight w:val="none"/>
        </w:rPr>
        <w:fldChar w:fldCharType="end"/>
      </w:r>
    </w:p>
    <w:p w14:paraId="0D6C91C4">
      <w:pPr>
        <w:pStyle w:val="23"/>
        <w:tabs>
          <w:tab w:val="right" w:leader="dot" w:pos="8306"/>
        </w:tabs>
        <w:rPr>
          <w:rFonts w:hint="eastAsia" w:ascii="仿宋" w:hAnsi="仿宋" w:eastAsia="仿宋" w:cs="仿宋"/>
          <w:sz w:val="28"/>
          <w:szCs w:val="36"/>
          <w:highlight w:val="none"/>
        </w:rPr>
      </w:pPr>
      <w:r>
        <w:rPr>
          <w:rFonts w:hint="eastAsia" w:ascii="仿宋" w:hAnsi="仿宋" w:eastAsia="仿宋" w:cs="仿宋"/>
          <w:color w:val="auto"/>
          <w:sz w:val="28"/>
          <w:szCs w:val="48"/>
          <w:highlight w:val="none"/>
        </w:rPr>
        <w:fldChar w:fldCharType="begin"/>
      </w:r>
      <w:r>
        <w:rPr>
          <w:rFonts w:hint="eastAsia" w:ascii="仿宋" w:hAnsi="仿宋" w:eastAsia="仿宋" w:cs="仿宋"/>
          <w:sz w:val="28"/>
          <w:szCs w:val="48"/>
          <w:highlight w:val="none"/>
        </w:rPr>
        <w:instrText xml:space="preserve"> HYPERLINK \l _Toc29851 </w:instrText>
      </w:r>
      <w:r>
        <w:rPr>
          <w:rFonts w:hint="eastAsia" w:ascii="仿宋" w:hAnsi="仿宋" w:eastAsia="仿宋" w:cs="仿宋"/>
          <w:sz w:val="28"/>
          <w:szCs w:val="48"/>
          <w:highlight w:val="none"/>
        </w:rPr>
        <w:fldChar w:fldCharType="separate"/>
      </w:r>
      <w:r>
        <w:rPr>
          <w:rFonts w:hint="eastAsia" w:ascii="仿宋" w:hAnsi="仿宋" w:eastAsia="仿宋" w:cs="仿宋"/>
          <w:bCs/>
          <w:sz w:val="28"/>
          <w:szCs w:val="44"/>
          <w:highlight w:val="none"/>
        </w:rPr>
        <w:t>第五章  采购需求</w:t>
      </w:r>
      <w:r>
        <w:rPr>
          <w:rFonts w:hint="eastAsia" w:ascii="仿宋" w:hAnsi="仿宋" w:eastAsia="仿宋" w:cs="仿宋"/>
          <w:sz w:val="28"/>
          <w:szCs w:val="36"/>
          <w:highlight w:val="none"/>
        </w:rPr>
        <w:tab/>
      </w:r>
      <w:r>
        <w:rPr>
          <w:rFonts w:hint="eastAsia" w:ascii="仿宋" w:hAnsi="仿宋" w:eastAsia="仿宋" w:cs="仿宋"/>
          <w:sz w:val="28"/>
          <w:szCs w:val="36"/>
          <w:highlight w:val="none"/>
        </w:rPr>
        <w:fldChar w:fldCharType="begin"/>
      </w:r>
      <w:r>
        <w:rPr>
          <w:rFonts w:hint="eastAsia" w:ascii="仿宋" w:hAnsi="仿宋" w:eastAsia="仿宋" w:cs="仿宋"/>
          <w:sz w:val="28"/>
          <w:szCs w:val="36"/>
          <w:highlight w:val="none"/>
        </w:rPr>
        <w:instrText xml:space="preserve"> PAGEREF _Toc29851 \h </w:instrText>
      </w:r>
      <w:r>
        <w:rPr>
          <w:rFonts w:hint="eastAsia" w:ascii="仿宋" w:hAnsi="仿宋" w:eastAsia="仿宋" w:cs="仿宋"/>
          <w:sz w:val="28"/>
          <w:szCs w:val="36"/>
          <w:highlight w:val="none"/>
        </w:rPr>
        <w:fldChar w:fldCharType="separate"/>
      </w:r>
      <w:r>
        <w:rPr>
          <w:rFonts w:hint="eastAsia" w:ascii="仿宋" w:hAnsi="仿宋" w:eastAsia="仿宋" w:cs="仿宋"/>
          <w:sz w:val="28"/>
          <w:szCs w:val="36"/>
          <w:highlight w:val="none"/>
        </w:rPr>
        <w:t>36</w:t>
      </w:r>
      <w:r>
        <w:rPr>
          <w:rFonts w:hint="eastAsia" w:ascii="仿宋" w:hAnsi="仿宋" w:eastAsia="仿宋" w:cs="仿宋"/>
          <w:sz w:val="28"/>
          <w:szCs w:val="36"/>
          <w:highlight w:val="none"/>
        </w:rPr>
        <w:fldChar w:fldCharType="end"/>
      </w:r>
      <w:r>
        <w:rPr>
          <w:rFonts w:hint="eastAsia" w:ascii="仿宋" w:hAnsi="仿宋" w:eastAsia="仿宋" w:cs="仿宋"/>
          <w:color w:val="auto"/>
          <w:sz w:val="28"/>
          <w:szCs w:val="48"/>
          <w:highlight w:val="none"/>
        </w:rPr>
        <w:fldChar w:fldCharType="end"/>
      </w:r>
    </w:p>
    <w:p w14:paraId="5B3B9E80">
      <w:pPr>
        <w:pStyle w:val="23"/>
        <w:tabs>
          <w:tab w:val="right" w:leader="dot" w:pos="8306"/>
        </w:tabs>
        <w:rPr>
          <w:rFonts w:hint="eastAsia" w:ascii="仿宋" w:hAnsi="仿宋" w:eastAsia="仿宋" w:cs="仿宋"/>
          <w:sz w:val="28"/>
          <w:szCs w:val="36"/>
          <w:highlight w:val="none"/>
        </w:rPr>
      </w:pPr>
      <w:r>
        <w:rPr>
          <w:rFonts w:hint="eastAsia" w:ascii="仿宋" w:hAnsi="仿宋" w:eastAsia="仿宋" w:cs="仿宋"/>
          <w:color w:val="auto"/>
          <w:sz w:val="28"/>
          <w:szCs w:val="48"/>
          <w:highlight w:val="none"/>
        </w:rPr>
        <w:fldChar w:fldCharType="begin"/>
      </w:r>
      <w:r>
        <w:rPr>
          <w:rFonts w:hint="eastAsia" w:ascii="仿宋" w:hAnsi="仿宋" w:eastAsia="仿宋" w:cs="仿宋"/>
          <w:sz w:val="28"/>
          <w:szCs w:val="48"/>
          <w:highlight w:val="none"/>
        </w:rPr>
        <w:instrText xml:space="preserve"> HYPERLINK \l _Toc23302 </w:instrText>
      </w:r>
      <w:r>
        <w:rPr>
          <w:rFonts w:hint="eastAsia" w:ascii="仿宋" w:hAnsi="仿宋" w:eastAsia="仿宋" w:cs="仿宋"/>
          <w:sz w:val="28"/>
          <w:szCs w:val="48"/>
          <w:highlight w:val="none"/>
        </w:rPr>
        <w:fldChar w:fldCharType="separate"/>
      </w:r>
      <w:r>
        <w:rPr>
          <w:rFonts w:hint="eastAsia" w:ascii="仿宋" w:hAnsi="仿宋" w:eastAsia="仿宋" w:cs="仿宋"/>
          <w:bCs/>
          <w:sz w:val="28"/>
          <w:szCs w:val="44"/>
          <w:highlight w:val="none"/>
        </w:rPr>
        <w:t>第六章  评标方法和标准</w:t>
      </w:r>
      <w:r>
        <w:rPr>
          <w:rFonts w:hint="eastAsia" w:ascii="仿宋" w:hAnsi="仿宋" w:eastAsia="仿宋" w:cs="仿宋"/>
          <w:sz w:val="28"/>
          <w:szCs w:val="36"/>
          <w:highlight w:val="none"/>
        </w:rPr>
        <w:tab/>
      </w:r>
      <w:r>
        <w:rPr>
          <w:rFonts w:hint="eastAsia" w:ascii="仿宋" w:hAnsi="仿宋" w:eastAsia="仿宋" w:cs="仿宋"/>
          <w:sz w:val="28"/>
          <w:szCs w:val="36"/>
          <w:highlight w:val="none"/>
        </w:rPr>
        <w:fldChar w:fldCharType="begin"/>
      </w:r>
      <w:r>
        <w:rPr>
          <w:rFonts w:hint="eastAsia" w:ascii="仿宋" w:hAnsi="仿宋" w:eastAsia="仿宋" w:cs="仿宋"/>
          <w:sz w:val="28"/>
          <w:szCs w:val="36"/>
          <w:highlight w:val="none"/>
        </w:rPr>
        <w:instrText xml:space="preserve"> PAGEREF _Toc23302 \h </w:instrText>
      </w:r>
      <w:r>
        <w:rPr>
          <w:rFonts w:hint="eastAsia" w:ascii="仿宋" w:hAnsi="仿宋" w:eastAsia="仿宋" w:cs="仿宋"/>
          <w:sz w:val="28"/>
          <w:szCs w:val="36"/>
          <w:highlight w:val="none"/>
        </w:rPr>
        <w:fldChar w:fldCharType="separate"/>
      </w:r>
      <w:r>
        <w:rPr>
          <w:rFonts w:hint="eastAsia" w:ascii="仿宋" w:hAnsi="仿宋" w:eastAsia="仿宋" w:cs="仿宋"/>
          <w:sz w:val="28"/>
          <w:szCs w:val="36"/>
          <w:highlight w:val="none"/>
        </w:rPr>
        <w:t>65</w:t>
      </w:r>
      <w:r>
        <w:rPr>
          <w:rFonts w:hint="eastAsia" w:ascii="仿宋" w:hAnsi="仿宋" w:eastAsia="仿宋" w:cs="仿宋"/>
          <w:sz w:val="28"/>
          <w:szCs w:val="36"/>
          <w:highlight w:val="none"/>
        </w:rPr>
        <w:fldChar w:fldCharType="end"/>
      </w:r>
      <w:r>
        <w:rPr>
          <w:rFonts w:hint="eastAsia" w:ascii="仿宋" w:hAnsi="仿宋" w:eastAsia="仿宋" w:cs="仿宋"/>
          <w:color w:val="auto"/>
          <w:sz w:val="28"/>
          <w:szCs w:val="48"/>
          <w:highlight w:val="none"/>
        </w:rPr>
        <w:fldChar w:fldCharType="end"/>
      </w:r>
    </w:p>
    <w:p w14:paraId="1DA8DDCD">
      <w:pPr>
        <w:pStyle w:val="23"/>
        <w:tabs>
          <w:tab w:val="right" w:leader="dot" w:pos="8306"/>
        </w:tabs>
        <w:rPr>
          <w:rFonts w:hint="eastAsia" w:ascii="仿宋" w:hAnsi="仿宋" w:eastAsia="仿宋" w:cs="仿宋"/>
          <w:sz w:val="28"/>
          <w:szCs w:val="36"/>
          <w:highlight w:val="none"/>
        </w:rPr>
      </w:pPr>
      <w:r>
        <w:rPr>
          <w:rFonts w:hint="eastAsia" w:ascii="仿宋" w:hAnsi="仿宋" w:eastAsia="仿宋" w:cs="仿宋"/>
          <w:color w:val="auto"/>
          <w:sz w:val="28"/>
          <w:szCs w:val="48"/>
          <w:highlight w:val="none"/>
        </w:rPr>
        <w:fldChar w:fldCharType="begin"/>
      </w:r>
      <w:r>
        <w:rPr>
          <w:rFonts w:hint="eastAsia" w:ascii="仿宋" w:hAnsi="仿宋" w:eastAsia="仿宋" w:cs="仿宋"/>
          <w:sz w:val="28"/>
          <w:szCs w:val="48"/>
          <w:highlight w:val="none"/>
        </w:rPr>
        <w:instrText xml:space="preserve"> HYPERLINK \l _Toc32528 </w:instrText>
      </w:r>
      <w:r>
        <w:rPr>
          <w:rFonts w:hint="eastAsia" w:ascii="仿宋" w:hAnsi="仿宋" w:eastAsia="仿宋" w:cs="仿宋"/>
          <w:sz w:val="28"/>
          <w:szCs w:val="48"/>
          <w:highlight w:val="none"/>
        </w:rPr>
        <w:fldChar w:fldCharType="separate"/>
      </w:r>
      <w:r>
        <w:rPr>
          <w:rFonts w:hint="eastAsia" w:ascii="仿宋" w:hAnsi="仿宋" w:eastAsia="仿宋" w:cs="仿宋"/>
          <w:sz w:val="28"/>
          <w:szCs w:val="44"/>
          <w:highlight w:val="none"/>
        </w:rPr>
        <w:t>第七章  投标文件格式</w:t>
      </w:r>
      <w:r>
        <w:rPr>
          <w:rFonts w:hint="eastAsia" w:ascii="仿宋" w:hAnsi="仿宋" w:eastAsia="仿宋" w:cs="仿宋"/>
          <w:sz w:val="28"/>
          <w:szCs w:val="36"/>
          <w:highlight w:val="none"/>
        </w:rPr>
        <w:tab/>
      </w:r>
      <w:r>
        <w:rPr>
          <w:rFonts w:hint="eastAsia" w:ascii="仿宋" w:hAnsi="仿宋" w:eastAsia="仿宋" w:cs="仿宋"/>
          <w:sz w:val="28"/>
          <w:szCs w:val="36"/>
          <w:highlight w:val="none"/>
        </w:rPr>
        <w:fldChar w:fldCharType="begin"/>
      </w:r>
      <w:r>
        <w:rPr>
          <w:rFonts w:hint="eastAsia" w:ascii="仿宋" w:hAnsi="仿宋" w:eastAsia="仿宋" w:cs="仿宋"/>
          <w:sz w:val="28"/>
          <w:szCs w:val="36"/>
          <w:highlight w:val="none"/>
        </w:rPr>
        <w:instrText xml:space="preserve"> PAGEREF _Toc32528 \h </w:instrText>
      </w:r>
      <w:r>
        <w:rPr>
          <w:rFonts w:hint="eastAsia" w:ascii="仿宋" w:hAnsi="仿宋" w:eastAsia="仿宋" w:cs="仿宋"/>
          <w:sz w:val="28"/>
          <w:szCs w:val="36"/>
          <w:highlight w:val="none"/>
        </w:rPr>
        <w:fldChar w:fldCharType="separate"/>
      </w:r>
      <w:r>
        <w:rPr>
          <w:rFonts w:hint="eastAsia" w:ascii="仿宋" w:hAnsi="仿宋" w:eastAsia="仿宋" w:cs="仿宋"/>
          <w:sz w:val="28"/>
          <w:szCs w:val="36"/>
          <w:highlight w:val="none"/>
        </w:rPr>
        <w:t>73</w:t>
      </w:r>
      <w:r>
        <w:rPr>
          <w:rFonts w:hint="eastAsia" w:ascii="仿宋" w:hAnsi="仿宋" w:eastAsia="仿宋" w:cs="仿宋"/>
          <w:sz w:val="28"/>
          <w:szCs w:val="36"/>
          <w:highlight w:val="none"/>
        </w:rPr>
        <w:fldChar w:fldCharType="end"/>
      </w:r>
      <w:r>
        <w:rPr>
          <w:rFonts w:hint="eastAsia" w:ascii="仿宋" w:hAnsi="仿宋" w:eastAsia="仿宋" w:cs="仿宋"/>
          <w:color w:val="auto"/>
          <w:sz w:val="28"/>
          <w:szCs w:val="48"/>
          <w:highlight w:val="none"/>
        </w:rPr>
        <w:fldChar w:fldCharType="end"/>
      </w:r>
    </w:p>
    <w:p w14:paraId="06EDF4EC">
      <w:pPr>
        <w:pStyle w:val="23"/>
        <w:tabs>
          <w:tab w:val="right" w:leader="dot" w:pos="8306"/>
        </w:tabs>
        <w:rPr>
          <w:rFonts w:hint="eastAsia" w:ascii="仿宋" w:hAnsi="仿宋" w:eastAsia="仿宋" w:cs="仿宋"/>
          <w:sz w:val="28"/>
          <w:szCs w:val="36"/>
          <w:highlight w:val="none"/>
        </w:rPr>
      </w:pPr>
      <w:r>
        <w:rPr>
          <w:rFonts w:hint="eastAsia" w:ascii="仿宋" w:hAnsi="仿宋" w:eastAsia="仿宋" w:cs="仿宋"/>
          <w:color w:val="auto"/>
          <w:sz w:val="28"/>
          <w:szCs w:val="48"/>
          <w:highlight w:val="none"/>
        </w:rPr>
        <w:fldChar w:fldCharType="begin"/>
      </w:r>
      <w:r>
        <w:rPr>
          <w:rFonts w:hint="eastAsia" w:ascii="仿宋" w:hAnsi="仿宋" w:eastAsia="仿宋" w:cs="仿宋"/>
          <w:sz w:val="28"/>
          <w:szCs w:val="48"/>
          <w:highlight w:val="none"/>
        </w:rPr>
        <w:instrText xml:space="preserve"> HYPERLINK \l _Toc2241 </w:instrText>
      </w:r>
      <w:r>
        <w:rPr>
          <w:rFonts w:hint="eastAsia" w:ascii="仿宋" w:hAnsi="仿宋" w:eastAsia="仿宋" w:cs="仿宋"/>
          <w:sz w:val="28"/>
          <w:szCs w:val="48"/>
          <w:highlight w:val="none"/>
        </w:rPr>
        <w:fldChar w:fldCharType="separate"/>
      </w:r>
      <w:r>
        <w:rPr>
          <w:rFonts w:hint="eastAsia" w:ascii="仿宋" w:hAnsi="仿宋" w:eastAsia="仿宋" w:cs="仿宋"/>
          <w:sz w:val="28"/>
          <w:szCs w:val="44"/>
          <w:highlight w:val="none"/>
        </w:rPr>
        <w:t>第</w:t>
      </w:r>
      <w:r>
        <w:rPr>
          <w:rFonts w:hint="eastAsia" w:ascii="仿宋" w:hAnsi="仿宋" w:eastAsia="仿宋" w:cs="仿宋"/>
          <w:sz w:val="28"/>
          <w:szCs w:val="44"/>
          <w:highlight w:val="none"/>
          <w:lang w:val="en-US" w:eastAsia="zh-CN"/>
        </w:rPr>
        <w:t>八</w:t>
      </w:r>
      <w:r>
        <w:rPr>
          <w:rFonts w:hint="eastAsia" w:ascii="仿宋" w:hAnsi="仿宋" w:eastAsia="仿宋" w:cs="仿宋"/>
          <w:sz w:val="28"/>
          <w:szCs w:val="44"/>
          <w:highlight w:val="none"/>
        </w:rPr>
        <w:t>章  补充条款</w:t>
      </w:r>
      <w:r>
        <w:rPr>
          <w:rFonts w:hint="eastAsia" w:ascii="仿宋" w:hAnsi="仿宋" w:eastAsia="仿宋" w:cs="仿宋"/>
          <w:sz w:val="28"/>
          <w:szCs w:val="36"/>
          <w:highlight w:val="none"/>
        </w:rPr>
        <w:tab/>
      </w:r>
      <w:r>
        <w:rPr>
          <w:rFonts w:hint="eastAsia" w:ascii="仿宋" w:hAnsi="仿宋" w:eastAsia="仿宋" w:cs="仿宋"/>
          <w:sz w:val="28"/>
          <w:szCs w:val="36"/>
          <w:highlight w:val="none"/>
        </w:rPr>
        <w:fldChar w:fldCharType="begin"/>
      </w:r>
      <w:r>
        <w:rPr>
          <w:rFonts w:hint="eastAsia" w:ascii="仿宋" w:hAnsi="仿宋" w:eastAsia="仿宋" w:cs="仿宋"/>
          <w:sz w:val="28"/>
          <w:szCs w:val="36"/>
          <w:highlight w:val="none"/>
        </w:rPr>
        <w:instrText xml:space="preserve"> PAGEREF _Toc2241 \h </w:instrText>
      </w:r>
      <w:r>
        <w:rPr>
          <w:rFonts w:hint="eastAsia" w:ascii="仿宋" w:hAnsi="仿宋" w:eastAsia="仿宋" w:cs="仿宋"/>
          <w:sz w:val="28"/>
          <w:szCs w:val="36"/>
          <w:highlight w:val="none"/>
        </w:rPr>
        <w:fldChar w:fldCharType="separate"/>
      </w:r>
      <w:r>
        <w:rPr>
          <w:rFonts w:hint="eastAsia" w:ascii="仿宋" w:hAnsi="仿宋" w:eastAsia="仿宋" w:cs="仿宋"/>
          <w:sz w:val="28"/>
          <w:szCs w:val="36"/>
          <w:highlight w:val="none"/>
        </w:rPr>
        <w:t>104</w:t>
      </w:r>
      <w:r>
        <w:rPr>
          <w:rFonts w:hint="eastAsia" w:ascii="仿宋" w:hAnsi="仿宋" w:eastAsia="仿宋" w:cs="仿宋"/>
          <w:sz w:val="28"/>
          <w:szCs w:val="36"/>
          <w:highlight w:val="none"/>
        </w:rPr>
        <w:fldChar w:fldCharType="end"/>
      </w:r>
      <w:r>
        <w:rPr>
          <w:rFonts w:hint="eastAsia" w:ascii="仿宋" w:hAnsi="仿宋" w:eastAsia="仿宋" w:cs="仿宋"/>
          <w:color w:val="auto"/>
          <w:sz w:val="28"/>
          <w:szCs w:val="48"/>
          <w:highlight w:val="none"/>
        </w:rPr>
        <w:fldChar w:fldCharType="end"/>
      </w:r>
    </w:p>
    <w:p w14:paraId="2B4572C2">
      <w:pPr>
        <w:pStyle w:val="65"/>
        <w:spacing w:line="360" w:lineRule="auto"/>
        <w:rPr>
          <w:rFonts w:hint="eastAsia" w:ascii="仿宋" w:hAnsi="仿宋" w:eastAsia="仿宋" w:cs="仿宋"/>
          <w:color w:val="auto"/>
          <w:sz w:val="24"/>
          <w:szCs w:val="24"/>
          <w:highlight w:val="none"/>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color w:val="auto"/>
          <w:sz w:val="28"/>
          <w:szCs w:val="48"/>
          <w:highlight w:val="none"/>
        </w:rPr>
        <w:fldChar w:fldCharType="end"/>
      </w:r>
    </w:p>
    <w:p w14:paraId="2BFA533F">
      <w:pPr>
        <w:spacing w:line="360" w:lineRule="auto"/>
        <w:jc w:val="center"/>
        <w:outlineLvl w:val="0"/>
        <w:rPr>
          <w:rFonts w:hint="eastAsia" w:ascii="仿宋" w:hAnsi="仿宋" w:eastAsia="仿宋" w:cs="仿宋"/>
          <w:b/>
          <w:bCs/>
          <w:color w:val="auto"/>
          <w:sz w:val="32"/>
          <w:szCs w:val="32"/>
          <w:highlight w:val="none"/>
        </w:rPr>
      </w:pPr>
      <w:bookmarkStart w:id="148" w:name="_GoBack"/>
      <w:bookmarkEnd w:id="148"/>
      <w:bookmarkStart w:id="0" w:name="_Toc15957"/>
      <w:r>
        <w:rPr>
          <w:rFonts w:hint="eastAsia" w:ascii="仿宋" w:hAnsi="仿宋" w:eastAsia="仿宋" w:cs="仿宋"/>
          <w:b/>
          <w:bCs/>
          <w:color w:val="auto"/>
          <w:sz w:val="32"/>
          <w:szCs w:val="32"/>
          <w:highlight w:val="none"/>
        </w:rPr>
        <w:t>第一章  招标公告</w:t>
      </w:r>
      <w:bookmarkEnd w:id="0"/>
    </w:p>
    <w:p w14:paraId="47519447">
      <w:pPr>
        <w:adjustRightInd w:val="0"/>
        <w:snapToGrid w:val="0"/>
        <w:spacing w:line="360" w:lineRule="auto"/>
        <w:ind w:firstLine="480" w:firstLineChars="200"/>
        <w:rPr>
          <w:rFonts w:hint="eastAsia" w:ascii="仿宋" w:hAnsi="仿宋" w:eastAsia="仿宋" w:cs="仿宋"/>
          <w:color w:val="auto"/>
          <w:sz w:val="24"/>
          <w:highlight w:val="none"/>
        </w:rPr>
      </w:pPr>
    </w:p>
    <w:p w14:paraId="6ED3F4A7">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bookmarkStart w:id="1" w:name="_Toc35393621"/>
      <w:bookmarkStart w:id="2" w:name="_Hlk24379207"/>
      <w:bookmarkStart w:id="3" w:name="_Toc35393790"/>
      <w:bookmarkStart w:id="4" w:name="_Toc28359002"/>
      <w:bookmarkStart w:id="5" w:name="_Toc28359079"/>
      <w:r>
        <w:rPr>
          <w:rFonts w:hint="eastAsia" w:ascii="仿宋" w:hAnsi="仿宋" w:eastAsia="仿宋" w:cs="仿宋"/>
          <w:color w:val="auto"/>
          <w:sz w:val="24"/>
          <w:highlight w:val="none"/>
        </w:rPr>
        <w:t>项目概况</w:t>
      </w:r>
    </w:p>
    <w:p w14:paraId="7D9F57EE">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b/>
          <w:bCs/>
          <w:color w:val="auto"/>
          <w:sz w:val="24"/>
          <w:highlight w:val="none"/>
        </w:rPr>
      </w:pPr>
      <w:r>
        <w:rPr>
          <w:rFonts w:hint="eastAsia" w:ascii="仿宋" w:hAnsi="仿宋" w:eastAsia="仿宋" w:cs="仿宋"/>
          <w:color w:val="auto"/>
          <w:sz w:val="24"/>
          <w:highlight w:val="none"/>
          <w:lang w:eastAsia="zh-CN"/>
        </w:rPr>
        <w:t>新疆大学智慧教学空间系统升级扩容项目</w:t>
      </w:r>
      <w:r>
        <w:rPr>
          <w:rFonts w:hint="eastAsia" w:ascii="仿宋" w:hAnsi="仿宋" w:eastAsia="仿宋" w:cs="仿宋"/>
          <w:color w:val="auto"/>
          <w:sz w:val="24"/>
          <w:highlight w:val="none"/>
        </w:rPr>
        <w:t xml:space="preserve"> 招标项目的潜在投标人应在政采云平台http://www.zcygov.cn/获取招标文件，并于</w:t>
      </w:r>
      <w:r>
        <w:rPr>
          <w:rFonts w:hint="eastAsia" w:ascii="仿宋" w:hAnsi="仿宋" w:eastAsia="仿宋" w:cs="仿宋"/>
          <w:color w:val="FF0000"/>
          <w:sz w:val="24"/>
          <w:highlight w:val="none"/>
        </w:rPr>
        <w:t>202</w:t>
      </w:r>
      <w:r>
        <w:rPr>
          <w:rFonts w:hint="eastAsia" w:ascii="仿宋" w:hAnsi="仿宋" w:eastAsia="仿宋" w:cs="仿宋"/>
          <w:color w:val="FF0000"/>
          <w:sz w:val="24"/>
          <w:highlight w:val="none"/>
          <w:lang w:val="en-US" w:eastAsia="zh-CN"/>
        </w:rPr>
        <w:t>6</w:t>
      </w:r>
      <w:r>
        <w:rPr>
          <w:rFonts w:hint="eastAsia" w:ascii="仿宋" w:hAnsi="仿宋" w:eastAsia="仿宋" w:cs="仿宋"/>
          <w:color w:val="FF0000"/>
          <w:sz w:val="24"/>
          <w:highlight w:val="none"/>
        </w:rPr>
        <w:t>年</w:t>
      </w:r>
      <w:ins w:id="0" w:author="Admin" w:date="2026-05-15T15:39:32Z">
        <w:r>
          <w:rPr>
            <w:rFonts w:hint="eastAsia" w:ascii="仿宋" w:hAnsi="仿宋" w:eastAsia="仿宋" w:cs="仿宋"/>
            <w:color w:val="FF0000"/>
            <w:sz w:val="24"/>
            <w:highlight w:val="none"/>
            <w:lang w:val="en-US" w:eastAsia="zh-CN"/>
          </w:rPr>
          <w:t>06</w:t>
        </w:r>
      </w:ins>
      <w:r>
        <w:rPr>
          <w:rFonts w:hint="eastAsia" w:ascii="仿宋" w:hAnsi="仿宋" w:eastAsia="仿宋" w:cs="仿宋"/>
          <w:color w:val="FF0000"/>
          <w:sz w:val="24"/>
          <w:highlight w:val="none"/>
        </w:rPr>
        <w:t>月</w:t>
      </w:r>
      <w:ins w:id="1" w:author="Admin" w:date="2026-05-15T15:39:34Z">
        <w:r>
          <w:rPr>
            <w:rFonts w:hint="eastAsia" w:ascii="仿宋" w:hAnsi="仿宋" w:eastAsia="仿宋" w:cs="仿宋"/>
            <w:color w:val="FF0000"/>
            <w:sz w:val="24"/>
            <w:highlight w:val="none"/>
            <w:lang w:val="en-US" w:eastAsia="zh-CN"/>
          </w:rPr>
          <w:t>08</w:t>
        </w:r>
      </w:ins>
      <w:r>
        <w:rPr>
          <w:rFonts w:hint="eastAsia" w:ascii="仿宋" w:hAnsi="仿宋" w:eastAsia="仿宋" w:cs="仿宋"/>
          <w:color w:val="FF0000"/>
          <w:sz w:val="24"/>
          <w:highlight w:val="none"/>
        </w:rPr>
        <w:t>日 1</w:t>
      </w:r>
      <w:r>
        <w:rPr>
          <w:rFonts w:hint="eastAsia" w:ascii="仿宋" w:hAnsi="仿宋" w:eastAsia="仿宋" w:cs="仿宋"/>
          <w:color w:val="FF0000"/>
          <w:sz w:val="24"/>
          <w:highlight w:val="none"/>
          <w:lang w:val="en-US" w:eastAsia="zh-CN"/>
        </w:rPr>
        <w:t>1</w:t>
      </w:r>
      <w:r>
        <w:rPr>
          <w:rFonts w:hint="eastAsia" w:ascii="仿宋" w:hAnsi="仿宋" w:eastAsia="仿宋" w:cs="仿宋"/>
          <w:color w:val="FF0000"/>
          <w:sz w:val="24"/>
          <w:highlight w:val="none"/>
        </w:rPr>
        <w:t>:00</w:t>
      </w:r>
      <w:r>
        <w:rPr>
          <w:rFonts w:hint="eastAsia" w:ascii="仿宋" w:hAnsi="仿宋" w:eastAsia="仿宋" w:cs="仿宋"/>
          <w:color w:val="auto"/>
          <w:sz w:val="24"/>
          <w:highlight w:val="none"/>
        </w:rPr>
        <w:t>（北京时间）前递交投标文件。</w:t>
      </w:r>
    </w:p>
    <w:bookmarkEnd w:id="1"/>
    <w:bookmarkEnd w:id="2"/>
    <w:bookmarkEnd w:id="3"/>
    <w:bookmarkEnd w:id="4"/>
    <w:bookmarkEnd w:id="5"/>
    <w:p w14:paraId="6A6969D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14:paraId="65EAD1BF">
      <w:pPr>
        <w:widowControl/>
        <w:spacing w:line="360" w:lineRule="auto"/>
        <w:ind w:firstLine="480"/>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项目编号：</w:t>
      </w:r>
      <w:r>
        <w:rPr>
          <w:rFonts w:hint="eastAsia" w:ascii="仿宋" w:hAnsi="仿宋" w:eastAsia="仿宋" w:cs="仿宋"/>
          <w:color w:val="auto"/>
          <w:kern w:val="0"/>
          <w:sz w:val="24"/>
          <w:highlight w:val="none"/>
          <w:lang w:eastAsia="zh-CN"/>
        </w:rPr>
        <w:t>XJXSJ-2026(ZC)-261</w:t>
      </w:r>
    </w:p>
    <w:p w14:paraId="64E3301A">
      <w:pPr>
        <w:widowControl/>
        <w:spacing w:line="360" w:lineRule="auto"/>
        <w:ind w:firstLine="480"/>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项目名称：</w:t>
      </w:r>
      <w:r>
        <w:rPr>
          <w:rFonts w:hint="eastAsia" w:ascii="仿宋" w:hAnsi="仿宋" w:eastAsia="仿宋" w:cs="仿宋"/>
          <w:color w:val="auto"/>
          <w:kern w:val="0"/>
          <w:sz w:val="24"/>
          <w:highlight w:val="none"/>
          <w:lang w:eastAsia="zh-CN"/>
        </w:rPr>
        <w:t>新疆大学智慧教学空间系统升级扩容项目</w:t>
      </w:r>
    </w:p>
    <w:p w14:paraId="1FAD655B">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采购方式：公开招标</w:t>
      </w:r>
    </w:p>
    <w:p w14:paraId="5FF96818">
      <w:pPr>
        <w:widowControl/>
        <w:spacing w:line="360" w:lineRule="auto"/>
        <w:ind w:firstLine="480"/>
        <w:jc w:val="left"/>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预算金额（元）：191515</w:t>
      </w:r>
      <w:r>
        <w:rPr>
          <w:rFonts w:hint="eastAsia" w:ascii="仿宋" w:hAnsi="仿宋" w:eastAsia="仿宋" w:cs="仿宋"/>
          <w:color w:val="auto"/>
          <w:kern w:val="0"/>
          <w:sz w:val="24"/>
          <w:highlight w:val="none"/>
          <w:lang w:val="en-US" w:eastAsia="zh-CN"/>
        </w:rPr>
        <w:t>0</w:t>
      </w:r>
    </w:p>
    <w:p w14:paraId="2A5EA1BE">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最高限价（元）：191515</w:t>
      </w:r>
      <w:r>
        <w:rPr>
          <w:rFonts w:hint="eastAsia" w:ascii="仿宋" w:hAnsi="仿宋" w:eastAsia="仿宋" w:cs="仿宋"/>
          <w:color w:val="auto"/>
          <w:kern w:val="0"/>
          <w:sz w:val="24"/>
          <w:highlight w:val="none"/>
          <w:lang w:val="en-US" w:eastAsia="zh-CN"/>
        </w:rPr>
        <w:t>0</w:t>
      </w:r>
    </w:p>
    <w:p w14:paraId="00558459">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采购需求：</w:t>
      </w:r>
    </w:p>
    <w:p w14:paraId="4D173871">
      <w:pPr>
        <w:widowControl/>
        <w:spacing w:line="360" w:lineRule="auto"/>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标项名称:</w:t>
      </w:r>
      <w:r>
        <w:rPr>
          <w:rFonts w:hint="eastAsia" w:ascii="仿宋" w:hAnsi="仿宋" w:eastAsia="仿宋" w:cs="仿宋"/>
          <w:color w:val="auto"/>
          <w:kern w:val="0"/>
          <w:sz w:val="24"/>
          <w:highlight w:val="none"/>
          <w:lang w:eastAsia="zh-CN"/>
        </w:rPr>
        <w:t>新疆大学智慧教学空间系统升级扩容项目</w:t>
      </w:r>
    </w:p>
    <w:p w14:paraId="4D8C99A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数量:</w:t>
      </w:r>
      <w:r>
        <w:rPr>
          <w:rFonts w:hint="eastAsia" w:ascii="仿宋" w:hAnsi="仿宋" w:eastAsia="仿宋" w:cs="仿宋"/>
          <w:color w:val="auto"/>
          <w:kern w:val="0"/>
          <w:sz w:val="24"/>
          <w:highlight w:val="none"/>
          <w:lang w:val="en-US" w:eastAsia="zh-CN"/>
        </w:rPr>
        <w:t>一套</w:t>
      </w:r>
    </w:p>
    <w:p w14:paraId="6668CC99">
      <w:pPr>
        <w:widowControl/>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预算金额（元）:191515</w:t>
      </w:r>
      <w:r>
        <w:rPr>
          <w:rFonts w:hint="eastAsia" w:ascii="仿宋" w:hAnsi="仿宋" w:eastAsia="仿宋" w:cs="仿宋"/>
          <w:color w:val="auto"/>
          <w:kern w:val="0"/>
          <w:sz w:val="24"/>
          <w:highlight w:val="none"/>
          <w:lang w:val="en-US" w:eastAsia="zh-CN"/>
        </w:rPr>
        <w:t>0</w:t>
      </w:r>
    </w:p>
    <w:p w14:paraId="326CF187">
      <w:pPr>
        <w:widowControl/>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 简要规格描述或项目基本概况介绍、用途：具体采购要求详见招标文件</w:t>
      </w:r>
    </w:p>
    <w:p w14:paraId="62367838">
      <w:pPr>
        <w:widowControl/>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备注：</w:t>
      </w:r>
    </w:p>
    <w:p w14:paraId="510D4349">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合同履约期限：按照采购方要求签订合同后60个工作日保证所有软硬件上线运行，其中合同签订后30个工作日内将设备运至采购方指定收货地址。</w:t>
      </w:r>
    </w:p>
    <w:p w14:paraId="10E61029">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本项目（否）接受联合体投标。</w:t>
      </w:r>
    </w:p>
    <w:p w14:paraId="65EAD07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0DC1036">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1.满足《中华人民共和国政府采购法》第二十二条规定；</w:t>
      </w:r>
    </w:p>
    <w:p w14:paraId="55995BF8">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2.落实政府采购政策需满足的资格要求：</w:t>
      </w:r>
      <w:r>
        <w:rPr>
          <w:rFonts w:hint="eastAsia" w:ascii="仿宋" w:hAnsi="仿宋" w:eastAsia="仿宋" w:cs="仿宋"/>
          <w:color w:val="000000"/>
          <w:kern w:val="0"/>
          <w:sz w:val="24"/>
          <w:szCs w:val="24"/>
        </w:rPr>
        <w:t>符合政府采购优先（节约能源、保护环境）采购政策及促进中小企业（监狱企业、残疾人福利性单位）发展政策的，依据规定给予评审优惠。</w:t>
      </w:r>
    </w:p>
    <w:p w14:paraId="7FE6A6AB">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3.本项目的特定资格要求：</w:t>
      </w:r>
    </w:p>
    <w:p w14:paraId="3149496A">
      <w:pPr>
        <w:widowControl/>
        <w:spacing w:line="360" w:lineRule="auto"/>
        <w:ind w:firstLine="480"/>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1）凡拟参加本次招标项目的供应商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加本次招采活动</w:t>
      </w:r>
      <w:r>
        <w:rPr>
          <w:rFonts w:hint="eastAsia" w:ascii="仿宋" w:hAnsi="仿宋" w:eastAsia="仿宋" w:cs="仿宋"/>
          <w:color w:val="auto"/>
          <w:kern w:val="0"/>
          <w:sz w:val="24"/>
          <w:highlight w:val="none"/>
          <w:lang w:eastAsia="zh-CN"/>
        </w:rPr>
        <w:t>；</w:t>
      </w:r>
    </w:p>
    <w:p w14:paraId="315FC511">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其他说明：（A）与采购人存在利害关系可能影响招标公正性的法人、其他组织或者个人，不得参加投标。（B）单位负责人为同一人或者存在控股、管理关系的不同单位，不得参加同一标段投标或者未划分标段的同一招标项目投标。违反前两款规定的，相关投标均无效；</w:t>
      </w:r>
    </w:p>
    <w:p w14:paraId="6AC13E91">
      <w:pPr>
        <w:spacing w:line="360" w:lineRule="auto"/>
        <w:rPr>
          <w:rFonts w:hint="eastAsia" w:ascii="仿宋" w:hAnsi="仿宋" w:eastAsia="仿宋" w:cs="仿宋"/>
          <w:b/>
          <w:color w:val="auto"/>
          <w:highlight w:val="none"/>
        </w:rPr>
      </w:pPr>
      <w:r>
        <w:rPr>
          <w:rFonts w:hint="eastAsia" w:ascii="仿宋" w:hAnsi="仿宋" w:eastAsia="仿宋" w:cs="仿宋"/>
          <w:b/>
          <w:color w:val="auto"/>
          <w:sz w:val="24"/>
          <w:highlight w:val="none"/>
        </w:rPr>
        <w:t>三、获取招标文件</w:t>
      </w:r>
    </w:p>
    <w:p w14:paraId="4628AF29">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时间：</w:t>
      </w:r>
      <w:r>
        <w:rPr>
          <w:rFonts w:hint="eastAsia" w:ascii="仿宋" w:hAnsi="仿宋" w:eastAsia="仿宋" w:cs="仿宋"/>
          <w:color w:val="FF0000"/>
          <w:kern w:val="0"/>
          <w:sz w:val="24"/>
        </w:rPr>
        <w:t>2026年</w:t>
      </w:r>
      <w:r>
        <w:rPr>
          <w:rFonts w:hint="eastAsia" w:ascii="仿宋" w:hAnsi="仿宋" w:eastAsia="仿宋" w:cs="仿宋"/>
          <w:color w:val="FF0000"/>
          <w:kern w:val="0"/>
          <w:sz w:val="24"/>
          <w:lang w:val="en-US" w:eastAsia="zh-CN"/>
        </w:rPr>
        <w:t>05</w:t>
      </w:r>
      <w:r>
        <w:rPr>
          <w:rFonts w:hint="eastAsia" w:ascii="仿宋" w:hAnsi="仿宋" w:eastAsia="仿宋" w:cs="仿宋"/>
          <w:color w:val="FF0000"/>
          <w:kern w:val="0"/>
          <w:sz w:val="24"/>
        </w:rPr>
        <w:t>月</w:t>
      </w:r>
      <w:r>
        <w:rPr>
          <w:rFonts w:hint="eastAsia" w:ascii="仿宋" w:hAnsi="仿宋" w:eastAsia="仿宋" w:cs="仿宋"/>
          <w:color w:val="FF0000"/>
          <w:kern w:val="0"/>
          <w:sz w:val="24"/>
          <w:lang w:val="en-US" w:eastAsia="zh-CN"/>
        </w:rPr>
        <w:t>15</w:t>
      </w:r>
      <w:r>
        <w:rPr>
          <w:rFonts w:hint="eastAsia" w:ascii="仿宋" w:hAnsi="仿宋" w:eastAsia="仿宋" w:cs="仿宋"/>
          <w:color w:val="FF0000"/>
          <w:kern w:val="0"/>
          <w:sz w:val="24"/>
        </w:rPr>
        <w:t>日至2026年</w:t>
      </w:r>
      <w:r>
        <w:rPr>
          <w:rFonts w:hint="eastAsia" w:ascii="仿宋" w:hAnsi="仿宋" w:eastAsia="仿宋" w:cs="仿宋"/>
          <w:color w:val="FF0000"/>
          <w:kern w:val="0"/>
          <w:sz w:val="24"/>
          <w:lang w:val="en-US" w:eastAsia="zh-CN"/>
        </w:rPr>
        <w:t>05</w:t>
      </w:r>
      <w:r>
        <w:rPr>
          <w:rFonts w:hint="eastAsia" w:ascii="仿宋" w:hAnsi="仿宋" w:eastAsia="仿宋" w:cs="仿宋"/>
          <w:color w:val="FF0000"/>
          <w:kern w:val="0"/>
          <w:sz w:val="24"/>
        </w:rPr>
        <w:t>月</w:t>
      </w:r>
      <w:r>
        <w:rPr>
          <w:rFonts w:hint="eastAsia" w:ascii="仿宋" w:hAnsi="仿宋" w:eastAsia="仿宋" w:cs="仿宋"/>
          <w:color w:val="FF0000"/>
          <w:kern w:val="0"/>
          <w:sz w:val="24"/>
          <w:lang w:val="en-US" w:eastAsia="zh-CN"/>
        </w:rPr>
        <w:t>22</w:t>
      </w:r>
      <w:r>
        <w:rPr>
          <w:rFonts w:hint="eastAsia" w:ascii="仿宋" w:hAnsi="仿宋" w:eastAsia="仿宋" w:cs="仿宋"/>
          <w:color w:val="FF0000"/>
          <w:kern w:val="0"/>
          <w:sz w:val="24"/>
        </w:rPr>
        <w:t>日</w:t>
      </w:r>
      <w:r>
        <w:rPr>
          <w:rFonts w:hint="eastAsia" w:ascii="仿宋" w:hAnsi="仿宋" w:eastAsia="仿宋" w:cs="仿宋"/>
          <w:color w:val="auto"/>
          <w:kern w:val="0"/>
          <w:sz w:val="24"/>
          <w:highlight w:val="none"/>
        </w:rPr>
        <w:t>，每天上午00:00至1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:00，下午1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:00至23:59（北京时间，法定节假日除外）</w:t>
      </w:r>
    </w:p>
    <w:p w14:paraId="1E9FC6AE">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地点：政采云平台http://www.zcygov.cn/</w:t>
      </w:r>
    </w:p>
    <w:p w14:paraId="54B277E0">
      <w:pPr>
        <w:pStyle w:val="127"/>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方式：供应商登陆政采云账户（网址：https://www.zcygov.cn/）,在线申请获取采购文件（登录政府采购云平台→采购项目→获取采购文件→申请，审核通过后可下载招标文件，如有操作性问题，可与政采云在线客服进行咨询，咨询电话95763）。</w:t>
      </w:r>
    </w:p>
    <w:p w14:paraId="34F94324">
      <w:pPr>
        <w:pStyle w:val="127"/>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售价（元）：0</w:t>
      </w:r>
    </w:p>
    <w:p w14:paraId="39EB64F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7ECBE1BE">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提交投标文件截止时间：</w:t>
      </w:r>
      <w:r>
        <w:rPr>
          <w:rFonts w:hint="eastAsia" w:ascii="仿宋" w:hAnsi="仿宋" w:eastAsia="仿宋" w:cs="仿宋"/>
          <w:color w:val="FF0000"/>
          <w:sz w:val="24"/>
          <w:highlight w:val="none"/>
        </w:rPr>
        <w:t>202</w:t>
      </w:r>
      <w:r>
        <w:rPr>
          <w:rFonts w:hint="eastAsia" w:ascii="仿宋" w:hAnsi="仿宋" w:eastAsia="仿宋" w:cs="仿宋"/>
          <w:color w:val="FF0000"/>
          <w:sz w:val="24"/>
          <w:highlight w:val="none"/>
          <w:lang w:val="en-US" w:eastAsia="zh-CN"/>
        </w:rPr>
        <w:t>6</w:t>
      </w:r>
      <w:r>
        <w:rPr>
          <w:rFonts w:hint="eastAsia" w:ascii="仿宋" w:hAnsi="仿宋" w:eastAsia="仿宋" w:cs="仿宋"/>
          <w:color w:val="FF0000"/>
          <w:sz w:val="24"/>
          <w:highlight w:val="none"/>
        </w:rPr>
        <w:t>年</w:t>
      </w:r>
      <w:r>
        <w:rPr>
          <w:rFonts w:hint="eastAsia" w:ascii="仿宋" w:hAnsi="仿宋" w:eastAsia="仿宋" w:cs="仿宋"/>
          <w:color w:val="FF0000"/>
          <w:sz w:val="24"/>
          <w:highlight w:val="none"/>
          <w:lang w:val="en-US" w:eastAsia="zh-CN"/>
        </w:rPr>
        <w:t>06</w:t>
      </w:r>
      <w:r>
        <w:rPr>
          <w:rFonts w:hint="eastAsia" w:ascii="仿宋" w:hAnsi="仿宋" w:eastAsia="仿宋" w:cs="仿宋"/>
          <w:color w:val="FF0000"/>
          <w:sz w:val="24"/>
          <w:highlight w:val="none"/>
        </w:rPr>
        <w:t>月</w:t>
      </w:r>
      <w:r>
        <w:rPr>
          <w:rFonts w:hint="eastAsia" w:ascii="仿宋" w:hAnsi="仿宋" w:eastAsia="仿宋" w:cs="仿宋"/>
          <w:color w:val="FF0000"/>
          <w:sz w:val="24"/>
          <w:highlight w:val="none"/>
          <w:lang w:val="en-US" w:eastAsia="zh-CN"/>
        </w:rPr>
        <w:t>08</w:t>
      </w:r>
      <w:r>
        <w:rPr>
          <w:rFonts w:hint="eastAsia" w:ascii="仿宋" w:hAnsi="仿宋" w:eastAsia="仿宋" w:cs="仿宋"/>
          <w:color w:val="FF0000"/>
          <w:sz w:val="24"/>
          <w:highlight w:val="none"/>
        </w:rPr>
        <w:t>日</w:t>
      </w:r>
      <w:r>
        <w:rPr>
          <w:rFonts w:hint="eastAsia" w:ascii="仿宋" w:hAnsi="仿宋" w:eastAsia="仿宋" w:cs="仿宋"/>
          <w:color w:val="auto"/>
          <w:sz w:val="24"/>
          <w:highlight w:val="none"/>
        </w:rPr>
        <w:t xml:space="preserve"> 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:00</w:t>
      </w:r>
      <w:r>
        <w:rPr>
          <w:rFonts w:hint="eastAsia" w:ascii="仿宋" w:hAnsi="仿宋" w:eastAsia="仿宋" w:cs="仿宋"/>
          <w:color w:val="auto"/>
          <w:kern w:val="0"/>
          <w:sz w:val="24"/>
          <w:highlight w:val="none"/>
        </w:rPr>
        <w:t>（北京时间）</w:t>
      </w:r>
    </w:p>
    <w:p w14:paraId="5A834509">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投标地点：供应商应在此之前将加密的投标文件上传至政采云平台对应位置 (逾期送达或不符合规定的投标文件将被拒绝接收)。</w:t>
      </w:r>
    </w:p>
    <w:p w14:paraId="1984B2FF">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开标时间：</w:t>
      </w:r>
      <w:r>
        <w:rPr>
          <w:rFonts w:hint="eastAsia" w:ascii="仿宋" w:hAnsi="仿宋" w:eastAsia="仿宋" w:cs="仿宋"/>
          <w:color w:val="FF0000"/>
          <w:sz w:val="24"/>
          <w:highlight w:val="none"/>
        </w:rPr>
        <w:t>202</w:t>
      </w:r>
      <w:r>
        <w:rPr>
          <w:rFonts w:hint="eastAsia" w:ascii="仿宋" w:hAnsi="仿宋" w:eastAsia="仿宋" w:cs="仿宋"/>
          <w:color w:val="FF0000"/>
          <w:sz w:val="24"/>
          <w:highlight w:val="none"/>
          <w:lang w:val="en-US" w:eastAsia="zh-CN"/>
        </w:rPr>
        <w:t>6</w:t>
      </w:r>
      <w:r>
        <w:rPr>
          <w:rFonts w:hint="eastAsia" w:ascii="仿宋" w:hAnsi="仿宋" w:eastAsia="仿宋" w:cs="仿宋"/>
          <w:color w:val="FF0000"/>
          <w:sz w:val="24"/>
          <w:highlight w:val="none"/>
        </w:rPr>
        <w:t>年</w:t>
      </w:r>
      <w:r>
        <w:rPr>
          <w:rFonts w:hint="eastAsia" w:ascii="仿宋" w:hAnsi="仿宋" w:eastAsia="仿宋" w:cs="仿宋"/>
          <w:color w:val="FF0000"/>
          <w:sz w:val="24"/>
          <w:highlight w:val="none"/>
          <w:lang w:val="en-US" w:eastAsia="zh-CN"/>
        </w:rPr>
        <w:t>06</w:t>
      </w:r>
      <w:r>
        <w:rPr>
          <w:rFonts w:hint="eastAsia" w:ascii="仿宋" w:hAnsi="仿宋" w:eastAsia="仿宋" w:cs="仿宋"/>
          <w:color w:val="FF0000"/>
          <w:sz w:val="24"/>
          <w:highlight w:val="none"/>
        </w:rPr>
        <w:t>月</w:t>
      </w:r>
      <w:r>
        <w:rPr>
          <w:rFonts w:hint="eastAsia" w:ascii="仿宋" w:hAnsi="仿宋" w:eastAsia="仿宋" w:cs="仿宋"/>
          <w:color w:val="FF0000"/>
          <w:sz w:val="24"/>
          <w:highlight w:val="none"/>
          <w:lang w:val="en-US" w:eastAsia="zh-CN"/>
        </w:rPr>
        <w:t>08</w:t>
      </w:r>
      <w:r>
        <w:rPr>
          <w:rFonts w:hint="eastAsia" w:ascii="仿宋" w:hAnsi="仿宋" w:eastAsia="仿宋" w:cs="仿宋"/>
          <w:color w:val="FF0000"/>
          <w:sz w:val="24"/>
          <w:highlight w:val="none"/>
        </w:rPr>
        <w:t>日</w:t>
      </w:r>
      <w:r>
        <w:rPr>
          <w:rFonts w:hint="eastAsia" w:ascii="仿宋" w:hAnsi="仿宋" w:eastAsia="仿宋" w:cs="仿宋"/>
          <w:color w:val="auto"/>
          <w:sz w:val="24"/>
          <w:highlight w:val="none"/>
        </w:rPr>
        <w:t xml:space="preserve"> 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:00</w:t>
      </w:r>
      <w:r>
        <w:rPr>
          <w:rFonts w:hint="eastAsia" w:ascii="仿宋" w:hAnsi="仿宋" w:eastAsia="仿宋" w:cs="仿宋"/>
          <w:color w:val="auto"/>
          <w:kern w:val="0"/>
          <w:sz w:val="24"/>
          <w:highlight w:val="none"/>
        </w:rPr>
        <w:t>（北京时间）</w:t>
      </w:r>
    </w:p>
    <w:p w14:paraId="04EE64DD">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开标地点：政采云平台https://www.zcygov.cn/</w:t>
      </w:r>
    </w:p>
    <w:p w14:paraId="00951CA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五、公告期限</w:t>
      </w:r>
    </w:p>
    <w:p w14:paraId="53F21953">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14:paraId="3F4C5D9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6C82E0C">
      <w:pPr>
        <w:pStyle w:val="127"/>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1.本项目实行电子招投标，供应商须登录政采云平台申请获取采购文件，并需要使用CA锁，登录政采云电子投标客户端制作投标文件，若供应商参与投标,自行承担与投标有关的一切费用。</w:t>
      </w:r>
    </w:p>
    <w:p w14:paraId="3AC245CB">
      <w:pPr>
        <w:pStyle w:val="127"/>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2.各供应商应在开标前确保是新疆维吾尔自治区政府采购网正式注册入库的供应商，并完成CA数字证书申领。因未注册入库、未办理CA数字证书等原因造成无法投标或投标失败等后果的由供应商自行承担</w:t>
      </w:r>
    </w:p>
    <w:p w14:paraId="3B222D65">
      <w:pPr>
        <w:pStyle w:val="127"/>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3.供应商可前往新疆政府采购网（http://www.ccgp-xinjiang.gov.cn/）下载专区，下载政采云电子投标客户端，安装完成后，可通过账号密码或CA登录客户端进行投标文件制作。</w:t>
      </w:r>
    </w:p>
    <w:p w14:paraId="0AA6D03F">
      <w:pPr>
        <w:pStyle w:val="127"/>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4.供应商在开标时须携带制作加密电子投标文件所使用的CA锁，电脑须提前配置好浏览器，以便开标时在线解密。</w:t>
      </w:r>
    </w:p>
    <w:p w14:paraId="5F38447D">
      <w:pPr>
        <w:pStyle w:val="127"/>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5.投标供应商应当在投标截止时间前，将生成的“电子加密投标文件”上传递交至“政府采购云平台”，投标截止时间以后上传递交的投标文件将被“政府采购云平台”拒收。</w:t>
      </w:r>
    </w:p>
    <w:p w14:paraId="0ADEFCC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七、对本次采购提出询问，请按以下方式联系</w:t>
      </w:r>
    </w:p>
    <w:p w14:paraId="30A091C9">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1.采购人信息</w:t>
      </w:r>
    </w:p>
    <w:p w14:paraId="0412C175">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名 称：新疆大学</w:t>
      </w:r>
    </w:p>
    <w:p w14:paraId="7616B850">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 址：乌鲁木齐市胜利路666号</w:t>
      </w:r>
    </w:p>
    <w:p w14:paraId="2C6F4847">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联系人:</w:t>
      </w:r>
      <w:r>
        <w:rPr>
          <w:rFonts w:hint="eastAsia" w:ascii="仿宋" w:hAnsi="仿宋" w:eastAsia="仿宋" w:cs="仿宋"/>
          <w:color w:val="auto"/>
          <w:kern w:val="0"/>
          <w:sz w:val="24"/>
          <w:highlight w:val="none"/>
          <w:lang w:val="en-US" w:eastAsia="zh-CN"/>
        </w:rPr>
        <w:t>来</w:t>
      </w:r>
      <w:r>
        <w:rPr>
          <w:rFonts w:hint="eastAsia" w:ascii="仿宋" w:hAnsi="仿宋" w:eastAsia="仿宋" w:cs="仿宋"/>
          <w:color w:val="auto"/>
          <w:kern w:val="0"/>
          <w:sz w:val="24"/>
          <w:highlight w:val="none"/>
        </w:rPr>
        <w:t>老师</w:t>
      </w:r>
    </w:p>
    <w:p w14:paraId="76B31626">
      <w:pPr>
        <w:widowControl/>
        <w:spacing w:line="360" w:lineRule="auto"/>
        <w:ind w:firstLine="480"/>
        <w:jc w:val="left"/>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联系方式：0991-85800</w:t>
      </w:r>
      <w:r>
        <w:rPr>
          <w:rFonts w:hint="eastAsia" w:ascii="仿宋" w:hAnsi="仿宋" w:eastAsia="仿宋" w:cs="仿宋"/>
          <w:color w:val="auto"/>
          <w:kern w:val="0"/>
          <w:sz w:val="24"/>
          <w:highlight w:val="none"/>
          <w:lang w:val="en-US" w:eastAsia="zh-CN"/>
        </w:rPr>
        <w:t>35</w:t>
      </w:r>
    </w:p>
    <w:p w14:paraId="3D18EB38">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2.采购代理机构信息</w:t>
      </w:r>
    </w:p>
    <w:p w14:paraId="58971890">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名 称：新疆新世纪招标有限公司</w:t>
      </w:r>
    </w:p>
    <w:p w14:paraId="5AC70935">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 址：新疆乌鲁木齐市水磨沟区新兴街20号凤凰科技大厦五楼</w:t>
      </w:r>
    </w:p>
    <w:p w14:paraId="1A5C4690">
      <w:pPr>
        <w:widowControl/>
        <w:spacing w:line="360" w:lineRule="auto"/>
        <w:ind w:firstLine="480"/>
        <w:jc w:val="left"/>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联系方式：</w:t>
      </w:r>
      <w:r>
        <w:rPr>
          <w:rFonts w:hint="eastAsia" w:ascii="仿宋" w:hAnsi="仿宋" w:eastAsia="仿宋" w:cs="仿宋"/>
          <w:color w:val="auto"/>
          <w:kern w:val="0"/>
          <w:sz w:val="24"/>
          <w:highlight w:val="none"/>
          <w:lang w:val="en-US" w:eastAsia="zh-CN"/>
        </w:rPr>
        <w:t>15699167331、15099159563</w:t>
      </w:r>
    </w:p>
    <w:p w14:paraId="0C8A697C">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3.项目联系方式</w:t>
      </w:r>
    </w:p>
    <w:p w14:paraId="29BCB178">
      <w:pPr>
        <w:widowControl/>
        <w:spacing w:line="360" w:lineRule="auto"/>
        <w:ind w:firstLine="480"/>
        <w:jc w:val="left"/>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项目联系人：马丹阳、</w:t>
      </w:r>
      <w:r>
        <w:rPr>
          <w:rFonts w:hint="eastAsia" w:ascii="仿宋" w:hAnsi="仿宋" w:eastAsia="仿宋" w:cs="仿宋"/>
          <w:color w:val="auto"/>
          <w:kern w:val="0"/>
          <w:sz w:val="24"/>
          <w:highlight w:val="none"/>
          <w:lang w:val="en-US" w:eastAsia="zh-CN"/>
        </w:rPr>
        <w:t>杨盛翔</w:t>
      </w:r>
    </w:p>
    <w:p w14:paraId="616DF075">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电 话：</w:t>
      </w:r>
      <w:r>
        <w:rPr>
          <w:rFonts w:hint="eastAsia" w:ascii="仿宋" w:hAnsi="仿宋" w:eastAsia="仿宋" w:cs="仿宋"/>
          <w:color w:val="auto"/>
          <w:kern w:val="0"/>
          <w:sz w:val="24"/>
          <w:highlight w:val="none"/>
          <w:lang w:val="en-US" w:eastAsia="zh-CN"/>
        </w:rPr>
        <w:t>15699167331、15099159563</w:t>
      </w:r>
    </w:p>
    <w:p w14:paraId="637140C2">
      <w:pPr>
        <w:adjustRightInd w:val="0"/>
        <w:snapToGrid w:val="0"/>
        <w:spacing w:line="360" w:lineRule="auto"/>
        <w:ind w:firstLine="480" w:firstLineChars="200"/>
        <w:rPr>
          <w:rFonts w:hint="eastAsia" w:ascii="仿宋" w:hAnsi="仿宋" w:eastAsia="仿宋" w:cs="仿宋"/>
          <w:color w:val="auto"/>
          <w:sz w:val="24"/>
          <w:highlight w:val="none"/>
        </w:rPr>
      </w:pPr>
    </w:p>
    <w:p w14:paraId="101864B8">
      <w:pPr>
        <w:widowControl/>
        <w:spacing w:line="360" w:lineRule="auto"/>
        <w:jc w:val="left"/>
        <w:rPr>
          <w:rFonts w:hint="eastAsia" w:ascii="仿宋" w:hAnsi="仿宋" w:eastAsia="仿宋" w:cs="仿宋"/>
          <w:color w:val="auto"/>
          <w:sz w:val="24"/>
          <w:highlight w:val="none"/>
        </w:rPr>
      </w:pPr>
      <w:bookmarkStart w:id="6" w:name="_Toc19959"/>
      <w:r>
        <w:rPr>
          <w:rFonts w:hint="eastAsia" w:ascii="仿宋" w:hAnsi="仿宋" w:eastAsia="仿宋" w:cs="仿宋"/>
          <w:color w:val="auto"/>
          <w:sz w:val="24"/>
          <w:highlight w:val="none"/>
        </w:rPr>
        <w:br w:type="page"/>
      </w:r>
    </w:p>
    <w:p w14:paraId="711254B8">
      <w:pPr>
        <w:adjustRightInd w:val="0"/>
        <w:snapToGrid w:val="0"/>
        <w:spacing w:line="360" w:lineRule="auto"/>
        <w:jc w:val="center"/>
        <w:outlineLvl w:val="0"/>
        <w:rPr>
          <w:rFonts w:hint="eastAsia" w:ascii="仿宋" w:hAnsi="仿宋" w:eastAsia="仿宋" w:cs="仿宋"/>
          <w:b/>
          <w:bCs/>
          <w:color w:val="auto"/>
          <w:sz w:val="32"/>
          <w:szCs w:val="32"/>
          <w:highlight w:val="none"/>
        </w:rPr>
      </w:pPr>
      <w:bookmarkStart w:id="7" w:name="_Toc30388"/>
      <w:r>
        <w:rPr>
          <w:rFonts w:hint="eastAsia" w:ascii="仿宋" w:hAnsi="仿宋" w:eastAsia="仿宋" w:cs="仿宋"/>
          <w:b/>
          <w:bCs/>
          <w:color w:val="auto"/>
          <w:sz w:val="32"/>
          <w:szCs w:val="32"/>
          <w:highlight w:val="none"/>
        </w:rPr>
        <w:t>第二章  投标须知前附表</w:t>
      </w:r>
      <w:bookmarkEnd w:id="6"/>
      <w:bookmarkEnd w:id="7"/>
    </w:p>
    <w:p w14:paraId="71F3FF02">
      <w:pPr>
        <w:adjustRightInd w:val="0"/>
        <w:snapToGrid w:val="0"/>
        <w:spacing w:line="360" w:lineRule="auto"/>
        <w:ind w:right="-313" w:rightChars="-149"/>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如后文中相关格式要求表述与文件前附表，表述不一致的，以前附表为准（除资格审查、符合性审查及甲方需求外）。</w:t>
      </w:r>
    </w:p>
    <w:tbl>
      <w:tblPr>
        <w:tblStyle w:val="31"/>
        <w:tblW w:w="8522"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53"/>
        <w:gridCol w:w="7669"/>
      </w:tblGrid>
      <w:tr w14:paraId="376ACA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5" w:hRule="atLeast"/>
        </w:trPr>
        <w:tc>
          <w:tcPr>
            <w:tcW w:w="853" w:type="dxa"/>
            <w:tcBorders>
              <w:tl2br w:val="nil"/>
              <w:tr2bl w:val="nil"/>
            </w:tcBorders>
            <w:noWrap w:val="0"/>
            <w:vAlign w:val="top"/>
          </w:tcPr>
          <w:p w14:paraId="167CC067">
            <w:pPr>
              <w:widowControl/>
              <w:adjustRightInd w:val="0"/>
              <w:snapToGrid w:val="0"/>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条款号</w:t>
            </w:r>
          </w:p>
        </w:tc>
        <w:tc>
          <w:tcPr>
            <w:tcW w:w="7669" w:type="dxa"/>
            <w:tcBorders>
              <w:tl2br w:val="nil"/>
              <w:tr2bl w:val="nil"/>
            </w:tcBorders>
            <w:noWrap w:val="0"/>
            <w:vAlign w:val="top"/>
          </w:tcPr>
          <w:p w14:paraId="74BC30C7">
            <w:pPr>
              <w:widowControl/>
              <w:adjustRightInd w:val="0"/>
              <w:snapToGrid w:val="0"/>
              <w:spacing w:line="360"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内容</w:t>
            </w:r>
          </w:p>
        </w:tc>
      </w:tr>
      <w:tr w14:paraId="0E3E27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853" w:type="dxa"/>
            <w:tcBorders>
              <w:tl2br w:val="nil"/>
              <w:tr2bl w:val="nil"/>
            </w:tcBorders>
            <w:noWrap w:val="0"/>
            <w:vAlign w:val="center"/>
          </w:tcPr>
          <w:p w14:paraId="14B703C7">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w:t>
            </w:r>
          </w:p>
        </w:tc>
        <w:tc>
          <w:tcPr>
            <w:tcW w:w="7669" w:type="dxa"/>
            <w:tcBorders>
              <w:tl2br w:val="nil"/>
              <w:tr2bl w:val="nil"/>
            </w:tcBorders>
            <w:noWrap w:val="0"/>
            <w:vAlign w:val="center"/>
          </w:tcPr>
          <w:p w14:paraId="60A981CF">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采购人：</w:t>
            </w:r>
            <w:r>
              <w:rPr>
                <w:rFonts w:hint="eastAsia" w:ascii="仿宋" w:hAnsi="仿宋" w:eastAsia="仿宋" w:cs="仿宋"/>
                <w:color w:val="auto"/>
                <w:sz w:val="24"/>
                <w:highlight w:val="none"/>
              </w:rPr>
              <w:t>新疆大学</w:t>
            </w:r>
          </w:p>
          <w:p w14:paraId="59D617DB">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  址：</w:t>
            </w:r>
            <w:r>
              <w:rPr>
                <w:rFonts w:hint="eastAsia" w:ascii="仿宋" w:hAnsi="仿宋" w:eastAsia="仿宋" w:cs="仿宋"/>
                <w:color w:val="auto"/>
                <w:sz w:val="24"/>
                <w:highlight w:val="none"/>
              </w:rPr>
              <w:t>乌鲁木齐市胜利路666号</w:t>
            </w:r>
          </w:p>
          <w:p w14:paraId="308EC368">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联系人:</w:t>
            </w:r>
            <w:r>
              <w:rPr>
                <w:rFonts w:hint="eastAsia" w:ascii="仿宋" w:hAnsi="仿宋" w:eastAsia="仿宋" w:cs="仿宋"/>
                <w:color w:val="auto"/>
                <w:kern w:val="0"/>
                <w:sz w:val="24"/>
                <w:highlight w:val="none"/>
                <w:lang w:val="en-US" w:eastAsia="zh-CN"/>
              </w:rPr>
              <w:t>来</w:t>
            </w:r>
            <w:r>
              <w:rPr>
                <w:rFonts w:hint="eastAsia" w:ascii="仿宋" w:hAnsi="仿宋" w:eastAsia="仿宋" w:cs="仿宋"/>
                <w:color w:val="auto"/>
                <w:kern w:val="0"/>
                <w:sz w:val="24"/>
                <w:highlight w:val="none"/>
              </w:rPr>
              <w:t>老师</w:t>
            </w:r>
          </w:p>
          <w:p w14:paraId="0554587B">
            <w:pPr>
              <w:widowControl/>
              <w:adjustRightInd w:val="0"/>
              <w:snapToGrid w:val="0"/>
              <w:spacing w:line="360" w:lineRule="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联系方式：0991-85800</w:t>
            </w:r>
            <w:r>
              <w:rPr>
                <w:rFonts w:hint="eastAsia" w:ascii="仿宋" w:hAnsi="仿宋" w:eastAsia="仿宋" w:cs="仿宋"/>
                <w:color w:val="auto"/>
                <w:kern w:val="0"/>
                <w:sz w:val="24"/>
                <w:highlight w:val="none"/>
                <w:lang w:val="en-US" w:eastAsia="zh-CN"/>
              </w:rPr>
              <w:t>35</w:t>
            </w:r>
          </w:p>
        </w:tc>
      </w:tr>
      <w:tr w14:paraId="19BA5D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67" w:hRule="atLeast"/>
        </w:trPr>
        <w:tc>
          <w:tcPr>
            <w:tcW w:w="853" w:type="dxa"/>
            <w:tcBorders>
              <w:tl2br w:val="nil"/>
              <w:tr2bl w:val="nil"/>
            </w:tcBorders>
            <w:noWrap w:val="0"/>
            <w:vAlign w:val="center"/>
          </w:tcPr>
          <w:p w14:paraId="58E34BAE">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w:t>
            </w:r>
          </w:p>
        </w:tc>
        <w:tc>
          <w:tcPr>
            <w:tcW w:w="7669" w:type="dxa"/>
            <w:tcBorders>
              <w:tl2br w:val="nil"/>
              <w:tr2bl w:val="nil"/>
            </w:tcBorders>
            <w:noWrap w:val="0"/>
            <w:vAlign w:val="center"/>
          </w:tcPr>
          <w:p w14:paraId="17CEEAB2">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新疆新世纪招标有限公司</w:t>
            </w:r>
          </w:p>
          <w:p w14:paraId="325F3EF5">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r>
              <w:rPr>
                <w:rFonts w:hint="eastAsia" w:ascii="仿宋" w:hAnsi="仿宋" w:eastAsia="仿宋" w:cs="仿宋"/>
                <w:color w:val="auto"/>
                <w:sz w:val="24"/>
                <w:highlight w:val="none"/>
              </w:rPr>
              <w:t>乌鲁木齐市水磨沟区新兴街20号凤凰科技大厦5楼</w:t>
            </w:r>
          </w:p>
          <w:p w14:paraId="7CD8F09E">
            <w:pPr>
              <w:widowControl/>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项目联系人：马丹阳、</w:t>
            </w:r>
            <w:r>
              <w:rPr>
                <w:rFonts w:hint="eastAsia" w:ascii="仿宋" w:hAnsi="仿宋" w:eastAsia="仿宋" w:cs="仿宋"/>
                <w:color w:val="auto"/>
                <w:kern w:val="0"/>
                <w:sz w:val="24"/>
                <w:highlight w:val="none"/>
                <w:lang w:val="en-US" w:eastAsia="zh-CN"/>
              </w:rPr>
              <w:t>杨盛翔</w:t>
            </w:r>
          </w:p>
          <w:p w14:paraId="7ED8FFCD">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电话：</w:t>
            </w:r>
            <w:r>
              <w:rPr>
                <w:rFonts w:hint="eastAsia" w:ascii="仿宋" w:hAnsi="仿宋" w:eastAsia="仿宋" w:cs="仿宋"/>
                <w:color w:val="auto"/>
                <w:kern w:val="0"/>
                <w:sz w:val="24"/>
                <w:highlight w:val="none"/>
                <w:lang w:val="en-US" w:eastAsia="zh-CN"/>
              </w:rPr>
              <w:t>15699167331、15099159563</w:t>
            </w:r>
          </w:p>
        </w:tc>
      </w:tr>
      <w:tr w14:paraId="4BF483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4" w:hRule="atLeast"/>
        </w:trPr>
        <w:tc>
          <w:tcPr>
            <w:tcW w:w="853" w:type="dxa"/>
            <w:tcBorders>
              <w:bottom w:val="single" w:color="auto" w:sz="4" w:space="0"/>
              <w:tl2br w:val="nil"/>
              <w:tr2bl w:val="nil"/>
            </w:tcBorders>
            <w:noWrap w:val="0"/>
            <w:vAlign w:val="center"/>
          </w:tcPr>
          <w:p w14:paraId="5D2535A3">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1.3.4 </w:t>
            </w:r>
          </w:p>
        </w:tc>
        <w:tc>
          <w:tcPr>
            <w:tcW w:w="7669" w:type="dxa"/>
            <w:tcBorders>
              <w:bottom w:val="single" w:color="auto" w:sz="4" w:space="0"/>
              <w:tl2br w:val="nil"/>
              <w:tr2bl w:val="nil"/>
            </w:tcBorders>
            <w:noWrap w:val="0"/>
            <w:vAlign w:val="center"/>
          </w:tcPr>
          <w:p w14:paraId="774288F6">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合格投标人的其他资格要求：无</w:t>
            </w:r>
          </w:p>
        </w:tc>
      </w:tr>
      <w:tr w14:paraId="134E11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5" w:hRule="atLeast"/>
        </w:trPr>
        <w:tc>
          <w:tcPr>
            <w:tcW w:w="853" w:type="dxa"/>
            <w:tcBorders>
              <w:top w:val="single" w:color="auto" w:sz="4" w:space="0"/>
              <w:tl2br w:val="nil"/>
              <w:tr2bl w:val="nil"/>
            </w:tcBorders>
            <w:noWrap w:val="0"/>
            <w:vAlign w:val="center"/>
          </w:tcPr>
          <w:p w14:paraId="22D35710">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1.4 </w:t>
            </w:r>
          </w:p>
        </w:tc>
        <w:tc>
          <w:tcPr>
            <w:tcW w:w="7669" w:type="dxa"/>
            <w:tcBorders>
              <w:top w:val="single" w:color="auto" w:sz="4" w:space="0"/>
              <w:tl2br w:val="nil"/>
              <w:tr2bl w:val="nil"/>
            </w:tcBorders>
            <w:noWrap w:val="0"/>
            <w:vAlign w:val="center"/>
          </w:tcPr>
          <w:p w14:paraId="7C6C249C">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是否允许采购进口产品：不允许</w:t>
            </w:r>
          </w:p>
        </w:tc>
      </w:tr>
      <w:tr w14:paraId="6F5B53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853" w:type="dxa"/>
            <w:tcBorders>
              <w:tl2br w:val="nil"/>
              <w:tr2bl w:val="nil"/>
            </w:tcBorders>
            <w:noWrap w:val="0"/>
            <w:vAlign w:val="center"/>
          </w:tcPr>
          <w:p w14:paraId="72D5B1F5">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1.5.1 </w:t>
            </w:r>
          </w:p>
        </w:tc>
        <w:tc>
          <w:tcPr>
            <w:tcW w:w="7669" w:type="dxa"/>
            <w:tcBorders>
              <w:tl2br w:val="nil"/>
              <w:tr2bl w:val="nil"/>
            </w:tcBorders>
            <w:noWrap w:val="0"/>
            <w:vAlign w:val="center"/>
          </w:tcPr>
          <w:p w14:paraId="5908D3AD">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所属行业：工业</w:t>
            </w:r>
          </w:p>
        </w:tc>
      </w:tr>
      <w:tr w14:paraId="7AADDC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853" w:type="dxa"/>
            <w:tcBorders>
              <w:tl2br w:val="nil"/>
              <w:tr2bl w:val="nil"/>
            </w:tcBorders>
            <w:noWrap w:val="0"/>
            <w:vAlign w:val="center"/>
          </w:tcPr>
          <w:p w14:paraId="56DBDF11">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1.5.2 </w:t>
            </w:r>
          </w:p>
        </w:tc>
        <w:tc>
          <w:tcPr>
            <w:tcW w:w="7669" w:type="dxa"/>
            <w:tcBorders>
              <w:tl2br w:val="nil"/>
              <w:tr2bl w:val="nil"/>
            </w:tcBorders>
            <w:noWrap w:val="0"/>
            <w:vAlign w:val="center"/>
          </w:tcPr>
          <w:p w14:paraId="794AA3E0">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是否为专门面向中小企业采购：否</w:t>
            </w:r>
          </w:p>
        </w:tc>
      </w:tr>
      <w:tr w14:paraId="64175A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28" w:hRule="atLeast"/>
        </w:trPr>
        <w:tc>
          <w:tcPr>
            <w:tcW w:w="853" w:type="dxa"/>
            <w:tcBorders>
              <w:tl2br w:val="nil"/>
              <w:tr2bl w:val="nil"/>
            </w:tcBorders>
            <w:noWrap w:val="0"/>
            <w:vAlign w:val="center"/>
          </w:tcPr>
          <w:p w14:paraId="18AEBADA">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1.5.3 </w:t>
            </w:r>
          </w:p>
        </w:tc>
        <w:tc>
          <w:tcPr>
            <w:tcW w:w="7669" w:type="dxa"/>
            <w:tcBorders>
              <w:tl2br w:val="nil"/>
              <w:tr2bl w:val="nil"/>
            </w:tcBorders>
            <w:noWrap w:val="0"/>
            <w:vAlign w:val="center"/>
          </w:tcPr>
          <w:p w14:paraId="40815E71">
            <w:pPr>
              <w:widowControl/>
              <w:adjustRightInd w:val="0"/>
              <w:snapToGrid w:val="0"/>
              <w:spacing w:line="360" w:lineRule="auto"/>
              <w:rPr>
                <w:rFonts w:hint="eastAsia" w:ascii="仿宋" w:hAnsi="仿宋" w:eastAsia="仿宋" w:cs="仿宋"/>
                <w:b/>
                <w:bCs/>
                <w:color w:val="auto"/>
                <w:kern w:val="0"/>
                <w:sz w:val="24"/>
                <w:highlight w:val="none"/>
              </w:rPr>
            </w:pPr>
            <w:r>
              <w:rPr>
                <w:rFonts w:hint="eastAsia" w:ascii="仿宋" w:hAnsi="仿宋" w:eastAsia="仿宋" w:cs="仿宋"/>
                <w:color w:val="auto"/>
                <w:kern w:val="0"/>
                <w:sz w:val="24"/>
                <w:highlight w:val="none"/>
              </w:rPr>
              <w:t>①是否为本项目面向中小企业采购预留份额：</w:t>
            </w:r>
            <w:r>
              <w:rPr>
                <w:rFonts w:hint="eastAsia" w:ascii="仿宋" w:hAnsi="仿宋" w:eastAsia="仿宋" w:cs="仿宋"/>
                <w:b/>
                <w:bCs/>
                <w:color w:val="auto"/>
                <w:kern w:val="0"/>
                <w:sz w:val="24"/>
                <w:highlight w:val="none"/>
              </w:rPr>
              <w:t>否</w:t>
            </w:r>
          </w:p>
          <w:p w14:paraId="6C199AF4">
            <w:pPr>
              <w:pStyle w:val="21"/>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②根据《政府采购促进中小企业发展管理办法》财库〔2020〕46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或省级以上监狱管理局、戒毒管理局（含新疆生产建设兵团）出具的属于监狱企业的证明文件的投标人，其投标报价扣除10%后参与评审。具体办法详见招标文件第六章。</w:t>
            </w:r>
          </w:p>
        </w:tc>
      </w:tr>
      <w:tr w14:paraId="6A6B96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853" w:type="dxa"/>
            <w:tcBorders>
              <w:tl2br w:val="nil"/>
              <w:tr2bl w:val="nil"/>
            </w:tcBorders>
            <w:noWrap w:val="0"/>
            <w:vAlign w:val="center"/>
          </w:tcPr>
          <w:p w14:paraId="53E47D3B">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1.6 </w:t>
            </w:r>
          </w:p>
        </w:tc>
        <w:tc>
          <w:tcPr>
            <w:tcW w:w="7669" w:type="dxa"/>
            <w:tcBorders>
              <w:tl2br w:val="nil"/>
              <w:tr2bl w:val="nil"/>
            </w:tcBorders>
            <w:noWrap w:val="0"/>
            <w:vAlign w:val="center"/>
          </w:tcPr>
          <w:p w14:paraId="098D6169">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是否允许联合体投标：否</w:t>
            </w:r>
          </w:p>
        </w:tc>
      </w:tr>
      <w:tr w14:paraId="4F7B30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853" w:type="dxa"/>
            <w:tcBorders>
              <w:tl2br w:val="nil"/>
              <w:tr2bl w:val="nil"/>
            </w:tcBorders>
            <w:noWrap w:val="0"/>
            <w:vAlign w:val="center"/>
          </w:tcPr>
          <w:p w14:paraId="2423D664">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1.6.8 </w:t>
            </w:r>
          </w:p>
        </w:tc>
        <w:tc>
          <w:tcPr>
            <w:tcW w:w="7669" w:type="dxa"/>
            <w:tcBorders>
              <w:tl2br w:val="nil"/>
              <w:tr2bl w:val="nil"/>
            </w:tcBorders>
            <w:noWrap w:val="0"/>
            <w:vAlign w:val="center"/>
          </w:tcPr>
          <w:p w14:paraId="13F997DA">
            <w:pPr>
              <w:widowControl/>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联合体的其他资格要求：无</w:t>
            </w:r>
          </w:p>
        </w:tc>
      </w:tr>
      <w:tr w14:paraId="4DBBA7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853" w:type="dxa"/>
            <w:tcBorders>
              <w:tl2br w:val="nil"/>
              <w:tr2bl w:val="nil"/>
            </w:tcBorders>
            <w:noWrap w:val="0"/>
            <w:vAlign w:val="center"/>
          </w:tcPr>
          <w:p w14:paraId="3345B85D">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2.2 </w:t>
            </w:r>
          </w:p>
        </w:tc>
        <w:tc>
          <w:tcPr>
            <w:tcW w:w="7669" w:type="dxa"/>
            <w:tcBorders>
              <w:tl2br w:val="nil"/>
              <w:tr2bl w:val="nil"/>
            </w:tcBorders>
            <w:noWrap w:val="0"/>
            <w:vAlign w:val="center"/>
          </w:tcPr>
          <w:p w14:paraId="0F7FB08E">
            <w:pPr>
              <w:widowControl/>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项目预算金额：191515</w:t>
            </w:r>
            <w:r>
              <w:rPr>
                <w:rFonts w:hint="eastAsia" w:ascii="仿宋" w:hAnsi="仿宋" w:eastAsia="仿宋" w:cs="仿宋"/>
                <w:color w:val="auto"/>
                <w:kern w:val="0"/>
                <w:sz w:val="24"/>
                <w:highlight w:val="none"/>
                <w:lang w:val="en-US" w:eastAsia="zh-CN"/>
              </w:rPr>
              <w:t>0.00</w:t>
            </w:r>
            <w:r>
              <w:rPr>
                <w:rFonts w:hint="eastAsia" w:ascii="仿宋" w:hAnsi="仿宋" w:eastAsia="仿宋" w:cs="仿宋"/>
                <w:color w:val="auto"/>
                <w:kern w:val="0"/>
                <w:sz w:val="24"/>
                <w:highlight w:val="none"/>
              </w:rPr>
              <w:t>元；</w:t>
            </w:r>
          </w:p>
          <w:p w14:paraId="15A7FEC7">
            <w:pPr>
              <w:widowControl/>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最高限价：191515</w:t>
            </w:r>
            <w:r>
              <w:rPr>
                <w:rFonts w:hint="eastAsia" w:ascii="仿宋" w:hAnsi="仿宋" w:eastAsia="仿宋" w:cs="仿宋"/>
                <w:color w:val="auto"/>
                <w:kern w:val="0"/>
                <w:sz w:val="24"/>
                <w:highlight w:val="none"/>
                <w:lang w:val="en-US" w:eastAsia="zh-CN"/>
              </w:rPr>
              <w:t>0.00</w:t>
            </w:r>
            <w:r>
              <w:rPr>
                <w:rFonts w:hint="eastAsia" w:ascii="仿宋" w:hAnsi="仿宋" w:eastAsia="仿宋" w:cs="仿宋"/>
                <w:color w:val="auto"/>
                <w:kern w:val="0"/>
                <w:sz w:val="24"/>
                <w:highlight w:val="none"/>
              </w:rPr>
              <w:t>元；</w:t>
            </w:r>
          </w:p>
          <w:p w14:paraId="2CC9A66A">
            <w:pPr>
              <w:widowControl/>
              <w:adjustRightInd w:val="0"/>
              <w:snapToGrid w:val="0"/>
              <w:spacing w:line="360" w:lineRule="auto"/>
              <w:rPr>
                <w:rFonts w:hint="eastAsia" w:ascii="仿宋" w:hAnsi="仿宋" w:eastAsia="仿宋" w:cs="仿宋"/>
                <w:color w:val="auto"/>
                <w:kern w:val="0"/>
                <w:sz w:val="24"/>
                <w:highlight w:val="none"/>
                <w:lang w:eastAsia="zh-CN"/>
              </w:rPr>
            </w:pPr>
            <w:r>
              <w:rPr>
                <w:rFonts w:hint="eastAsia" w:ascii="仿宋" w:hAnsi="仿宋" w:eastAsia="仿宋" w:cs="仿宋"/>
                <w:b/>
                <w:color w:val="auto"/>
                <w:sz w:val="24"/>
                <w:highlight w:val="none"/>
              </w:rPr>
              <w:t>注：</w:t>
            </w:r>
            <w:r>
              <w:rPr>
                <w:rFonts w:hint="eastAsia" w:ascii="仿宋" w:hAnsi="仿宋" w:eastAsia="仿宋" w:cs="仿宋"/>
                <w:b/>
                <w:bCs/>
                <w:color w:val="auto"/>
                <w:sz w:val="24"/>
                <w:highlight w:val="none"/>
              </w:rPr>
              <w:t>投标人投标报价不得高于最高限价，高于最高限价作废标处理。</w:t>
            </w:r>
          </w:p>
        </w:tc>
      </w:tr>
      <w:tr w14:paraId="6E9361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853" w:type="dxa"/>
            <w:tcBorders>
              <w:tl2br w:val="nil"/>
              <w:tr2bl w:val="nil"/>
            </w:tcBorders>
            <w:noWrap w:val="0"/>
            <w:vAlign w:val="center"/>
          </w:tcPr>
          <w:p w14:paraId="0F7CC3CC">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5.4 </w:t>
            </w:r>
          </w:p>
        </w:tc>
        <w:tc>
          <w:tcPr>
            <w:tcW w:w="7669" w:type="dxa"/>
            <w:tcBorders>
              <w:tl2br w:val="nil"/>
              <w:tr2bl w:val="nil"/>
            </w:tcBorders>
            <w:noWrap w:val="0"/>
            <w:vAlign w:val="center"/>
          </w:tcPr>
          <w:p w14:paraId="57433349">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是否组织现场考察或者召开答疑会：</w:t>
            </w:r>
            <w:r>
              <w:rPr>
                <w:rFonts w:hint="eastAsia" w:ascii="仿宋" w:hAnsi="仿宋" w:eastAsia="仿宋" w:cs="仿宋"/>
                <w:color w:val="auto"/>
                <w:kern w:val="0"/>
                <w:sz w:val="24"/>
                <w:highlight w:val="none"/>
                <w:lang w:val="en-US" w:eastAsia="zh-CN"/>
              </w:rPr>
              <w:t>是</w:t>
            </w:r>
          </w:p>
          <w:p w14:paraId="49C35E79">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组织现场考察或者召开答疑会相关要求：</w:t>
            </w:r>
          </w:p>
          <w:p w14:paraId="2D583E5B">
            <w:pPr>
              <w:widowControl/>
              <w:adjustRightInd w:val="0"/>
              <w:snapToGrid w:val="0"/>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u w:val="single"/>
                <w:lang w:val="en-US" w:eastAsia="zh-CN"/>
              </w:rPr>
              <w:t>投标人如需</w:t>
            </w:r>
            <w:r>
              <w:rPr>
                <w:rFonts w:hint="eastAsia" w:ascii="仿宋" w:hAnsi="仿宋" w:eastAsia="仿宋" w:cs="仿宋"/>
                <w:color w:val="auto"/>
                <w:kern w:val="0"/>
                <w:sz w:val="24"/>
                <w:highlight w:val="none"/>
                <w:u w:val="single"/>
                <w:lang w:eastAsia="zh-CN"/>
              </w:rPr>
              <w:t>现场考察</w:t>
            </w:r>
            <w:r>
              <w:rPr>
                <w:rFonts w:hint="eastAsia" w:ascii="仿宋" w:hAnsi="仿宋" w:eastAsia="仿宋" w:cs="仿宋"/>
                <w:color w:val="auto"/>
                <w:kern w:val="0"/>
                <w:sz w:val="24"/>
                <w:highlight w:val="none"/>
                <w:u w:val="single"/>
                <w:lang w:val="en-US" w:eastAsia="zh-CN"/>
              </w:rPr>
              <w:t>，请提前和</w:t>
            </w:r>
            <w:r>
              <w:rPr>
                <w:rFonts w:hint="eastAsia" w:ascii="仿宋" w:hAnsi="仿宋" w:eastAsia="仿宋" w:cs="仿宋"/>
                <w:color w:val="auto"/>
                <w:kern w:val="0"/>
                <w:sz w:val="24"/>
                <w:highlight w:val="none"/>
                <w:u w:val="single"/>
                <w:lang w:eastAsia="zh-CN"/>
              </w:rPr>
              <w:t>现场考察</w:t>
            </w:r>
            <w:r>
              <w:rPr>
                <w:rFonts w:hint="eastAsia" w:ascii="仿宋" w:hAnsi="仿宋" w:eastAsia="仿宋" w:cs="仿宋"/>
                <w:color w:val="auto"/>
                <w:kern w:val="0"/>
                <w:sz w:val="24"/>
                <w:highlight w:val="none"/>
                <w:u w:val="single"/>
                <w:lang w:val="en-US" w:eastAsia="zh-CN"/>
              </w:rPr>
              <w:t>联系人联系，并按要求完成进校报备手续，联系人：赵老师；电话：0991-8582855。</w:t>
            </w:r>
          </w:p>
          <w:p w14:paraId="55EA1880">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□将在招标文件提供期限截止后以书面形式通知所有获取招标文件的潜在投标人</w:t>
            </w:r>
          </w:p>
        </w:tc>
      </w:tr>
      <w:tr w14:paraId="54B1EF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85" w:hRule="atLeast"/>
        </w:trPr>
        <w:tc>
          <w:tcPr>
            <w:tcW w:w="853" w:type="dxa"/>
            <w:tcBorders>
              <w:tl2br w:val="nil"/>
              <w:tr2bl w:val="nil"/>
            </w:tcBorders>
            <w:noWrap w:val="0"/>
            <w:vAlign w:val="center"/>
          </w:tcPr>
          <w:p w14:paraId="202F9D95">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5.5 </w:t>
            </w:r>
          </w:p>
        </w:tc>
        <w:tc>
          <w:tcPr>
            <w:tcW w:w="7669" w:type="dxa"/>
            <w:tcBorders>
              <w:tl2br w:val="nil"/>
              <w:tr2bl w:val="nil"/>
            </w:tcBorders>
            <w:noWrap w:val="0"/>
            <w:vAlign w:val="center"/>
          </w:tcPr>
          <w:p w14:paraId="7A01E611">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是否需要提供样品：</w:t>
            </w:r>
            <w:r>
              <w:rPr>
                <w:rFonts w:hint="eastAsia" w:ascii="仿宋" w:hAnsi="仿宋" w:eastAsia="仿宋" w:cs="仿宋"/>
                <w:b/>
                <w:bCs/>
                <w:color w:val="auto"/>
                <w:kern w:val="0"/>
                <w:sz w:val="24"/>
                <w:highlight w:val="none"/>
              </w:rPr>
              <w:t>否</w:t>
            </w:r>
          </w:p>
          <w:p w14:paraId="6F304217">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提供样品要求包括：（样品的制作标准和要求、接收及退还，样品检测报告，检测机构、检测内容等内容）</w:t>
            </w:r>
          </w:p>
        </w:tc>
      </w:tr>
      <w:tr w14:paraId="41CF49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0" w:hRule="atLeast"/>
        </w:trPr>
        <w:tc>
          <w:tcPr>
            <w:tcW w:w="853" w:type="dxa"/>
            <w:tcBorders>
              <w:tl2br w:val="nil"/>
              <w:tr2bl w:val="nil"/>
            </w:tcBorders>
            <w:noWrap w:val="0"/>
            <w:vAlign w:val="center"/>
          </w:tcPr>
          <w:p w14:paraId="0A466844">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8.1 </w:t>
            </w:r>
          </w:p>
        </w:tc>
        <w:tc>
          <w:tcPr>
            <w:tcW w:w="7669" w:type="dxa"/>
            <w:tcBorders>
              <w:tl2br w:val="nil"/>
              <w:tr2bl w:val="nil"/>
            </w:tcBorders>
            <w:noWrap w:val="0"/>
            <w:vAlign w:val="center"/>
          </w:tcPr>
          <w:p w14:paraId="44EA98AC">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如投标人对多个包进行投标，可以中标</w:t>
            </w:r>
            <w:r>
              <w:rPr>
                <w:rFonts w:hint="eastAsia" w:ascii="仿宋" w:hAnsi="仿宋" w:eastAsia="仿宋" w:cs="仿宋"/>
                <w:b/>
                <w:bCs/>
                <w:color w:val="auto"/>
                <w:kern w:val="0"/>
                <w:sz w:val="24"/>
                <w:highlight w:val="none"/>
                <w:u w:val="single"/>
              </w:rPr>
              <w:t>多</w:t>
            </w:r>
            <w:r>
              <w:rPr>
                <w:rFonts w:hint="eastAsia" w:ascii="仿宋" w:hAnsi="仿宋" w:eastAsia="仿宋" w:cs="仿宋"/>
                <w:color w:val="auto"/>
                <w:kern w:val="0"/>
                <w:sz w:val="24"/>
                <w:highlight w:val="none"/>
              </w:rPr>
              <w:t>包</w:t>
            </w:r>
          </w:p>
        </w:tc>
      </w:tr>
      <w:tr w14:paraId="0554C9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90" w:hRule="atLeast"/>
        </w:trPr>
        <w:tc>
          <w:tcPr>
            <w:tcW w:w="853" w:type="dxa"/>
            <w:tcBorders>
              <w:tl2br w:val="nil"/>
              <w:tr2bl w:val="nil"/>
            </w:tcBorders>
            <w:noWrap w:val="0"/>
            <w:vAlign w:val="center"/>
          </w:tcPr>
          <w:p w14:paraId="79EEC5B0">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12 </w:t>
            </w:r>
          </w:p>
        </w:tc>
        <w:tc>
          <w:tcPr>
            <w:tcW w:w="7669" w:type="dxa"/>
            <w:tcBorders>
              <w:tl2br w:val="nil"/>
              <w:tr2bl w:val="nil"/>
            </w:tcBorders>
            <w:noWrap w:val="0"/>
            <w:vAlign w:val="center"/>
          </w:tcPr>
          <w:p w14:paraId="4F167FC2">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保证金形式：电汇或银行转账 </w:t>
            </w:r>
          </w:p>
          <w:p w14:paraId="43D06534">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保证金数额：</w:t>
            </w:r>
            <w:r>
              <w:rPr>
                <w:rFonts w:hint="eastAsia" w:ascii="仿宋" w:hAnsi="仿宋" w:eastAsia="仿宋" w:cs="仿宋"/>
                <w:color w:val="auto"/>
                <w:kern w:val="0"/>
                <w:sz w:val="24"/>
                <w:highlight w:val="none"/>
                <w:lang w:val="en-US" w:eastAsia="zh-CN"/>
              </w:rPr>
              <w:t>38000.00</w:t>
            </w:r>
            <w:r>
              <w:rPr>
                <w:rFonts w:hint="eastAsia" w:ascii="仿宋" w:hAnsi="仿宋" w:eastAsia="仿宋" w:cs="仿宋"/>
                <w:color w:val="auto"/>
                <w:kern w:val="0"/>
                <w:sz w:val="24"/>
                <w:highlight w:val="none"/>
              </w:rPr>
              <w:t>元</w:t>
            </w:r>
          </w:p>
          <w:p w14:paraId="0488C883">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采购代理机构名称：新疆新世纪招标有限公司</w:t>
            </w:r>
          </w:p>
          <w:p w14:paraId="1C1FAB9C">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纳税人识别号：91650100726988855F</w:t>
            </w:r>
          </w:p>
          <w:p w14:paraId="0A31EE49">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开户行：中国农业银行乌鲁木齐新民西街支行</w:t>
            </w:r>
          </w:p>
          <w:p w14:paraId="083F58DD">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账号：30014701040000595</w:t>
            </w:r>
          </w:p>
          <w:p w14:paraId="693B8252">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以电汇或银行转账形式缴纳保证金的投标人注意事项：</w:t>
            </w:r>
          </w:p>
          <w:p w14:paraId="08E9C1B3">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特别提示：无论以任何形式递交保证金，都必须从投标人基本户支出，且在投标文件提交截止时间前到达我公司账户，以我公司到账信息为准，不用开收据，若在投标截止时间前未查到账，将视为不响应招标文件。在汇款附言（或银行摘要）中，标明项目编号。</w:t>
            </w:r>
          </w:p>
          <w:p w14:paraId="11EB4FC1">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投标保证金有效期同响应有效期。</w:t>
            </w:r>
          </w:p>
        </w:tc>
      </w:tr>
      <w:tr w14:paraId="1842B7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65A4A846">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13.1</w:t>
            </w:r>
          </w:p>
        </w:tc>
        <w:tc>
          <w:tcPr>
            <w:tcW w:w="7669" w:type="dxa"/>
            <w:tcBorders>
              <w:tl2br w:val="nil"/>
              <w:tr2bl w:val="nil"/>
            </w:tcBorders>
            <w:noWrap w:val="0"/>
            <w:vAlign w:val="center"/>
          </w:tcPr>
          <w:p w14:paraId="727EA9E2">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投标有效期：90日历日 </w:t>
            </w:r>
          </w:p>
        </w:tc>
      </w:tr>
      <w:tr w14:paraId="6F613D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7D35EB29">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14.1 </w:t>
            </w:r>
          </w:p>
        </w:tc>
        <w:tc>
          <w:tcPr>
            <w:tcW w:w="7669" w:type="dxa"/>
            <w:tcBorders>
              <w:tl2br w:val="nil"/>
              <w:tr2bl w:val="nil"/>
            </w:tcBorders>
            <w:noWrap w:val="0"/>
            <w:vAlign w:val="center"/>
          </w:tcPr>
          <w:p w14:paraId="06EAD310">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投标文件：加密的电子响应文件（.jmbs格式）应在投标文件递交截止时间前通过政采云平台上传完成。</w:t>
            </w:r>
          </w:p>
        </w:tc>
      </w:tr>
      <w:tr w14:paraId="3C26A7C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7BF36613">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16.1</w:t>
            </w:r>
          </w:p>
        </w:tc>
        <w:tc>
          <w:tcPr>
            <w:tcW w:w="7669" w:type="dxa"/>
            <w:tcBorders>
              <w:tl2br w:val="nil"/>
              <w:tr2bl w:val="nil"/>
            </w:tcBorders>
            <w:noWrap w:val="0"/>
            <w:vAlign w:val="center"/>
          </w:tcPr>
          <w:p w14:paraId="3A1DC0F9">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w:t>
            </w:r>
            <w:r>
              <w:rPr>
                <w:rFonts w:hint="eastAsia" w:ascii="仿宋" w:hAnsi="仿宋" w:eastAsia="仿宋" w:cs="仿宋"/>
                <w:color w:val="FF0000"/>
                <w:sz w:val="24"/>
                <w:highlight w:val="none"/>
              </w:rPr>
              <w:t>202</w:t>
            </w:r>
            <w:r>
              <w:rPr>
                <w:rFonts w:hint="eastAsia" w:ascii="仿宋" w:hAnsi="仿宋" w:eastAsia="仿宋" w:cs="仿宋"/>
                <w:color w:val="FF0000"/>
                <w:sz w:val="24"/>
                <w:highlight w:val="none"/>
                <w:lang w:val="en-US" w:eastAsia="zh-CN"/>
              </w:rPr>
              <w:t>6</w:t>
            </w:r>
            <w:r>
              <w:rPr>
                <w:rFonts w:hint="eastAsia" w:ascii="仿宋" w:hAnsi="仿宋" w:eastAsia="仿宋" w:cs="仿宋"/>
                <w:color w:val="FF0000"/>
                <w:sz w:val="24"/>
                <w:highlight w:val="none"/>
              </w:rPr>
              <w:t>年</w:t>
            </w:r>
            <w:r>
              <w:rPr>
                <w:rFonts w:hint="eastAsia" w:ascii="仿宋" w:hAnsi="仿宋" w:eastAsia="仿宋" w:cs="仿宋"/>
                <w:color w:val="FF0000"/>
                <w:sz w:val="24"/>
                <w:highlight w:val="none"/>
                <w:lang w:val="en-US" w:eastAsia="zh-CN"/>
              </w:rPr>
              <w:t>06</w:t>
            </w:r>
            <w:r>
              <w:rPr>
                <w:rFonts w:hint="eastAsia" w:ascii="仿宋" w:hAnsi="仿宋" w:eastAsia="仿宋" w:cs="仿宋"/>
                <w:color w:val="FF0000"/>
                <w:sz w:val="24"/>
                <w:highlight w:val="none"/>
              </w:rPr>
              <w:t>月</w:t>
            </w:r>
            <w:r>
              <w:rPr>
                <w:rFonts w:hint="eastAsia" w:ascii="仿宋" w:hAnsi="仿宋" w:eastAsia="仿宋" w:cs="仿宋"/>
                <w:color w:val="FF0000"/>
                <w:sz w:val="24"/>
                <w:highlight w:val="none"/>
                <w:lang w:val="en-US" w:eastAsia="zh-CN"/>
              </w:rPr>
              <w:t>08</w:t>
            </w:r>
            <w:r>
              <w:rPr>
                <w:rFonts w:hint="eastAsia" w:ascii="仿宋" w:hAnsi="仿宋" w:eastAsia="仿宋" w:cs="仿宋"/>
                <w:color w:val="FF0000"/>
                <w:sz w:val="24"/>
                <w:highlight w:val="none"/>
              </w:rPr>
              <w:t>日</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时00分</w:t>
            </w:r>
            <w:r>
              <w:rPr>
                <w:rFonts w:hint="eastAsia" w:ascii="仿宋" w:hAnsi="仿宋" w:eastAsia="仿宋" w:cs="仿宋"/>
                <w:color w:val="auto"/>
                <w:kern w:val="0"/>
                <w:sz w:val="24"/>
                <w:highlight w:val="none"/>
              </w:rPr>
              <w:t>（北京时间）</w:t>
            </w:r>
          </w:p>
        </w:tc>
      </w:tr>
      <w:tr w14:paraId="44926D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4B7706E0">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18.1 </w:t>
            </w:r>
          </w:p>
        </w:tc>
        <w:tc>
          <w:tcPr>
            <w:tcW w:w="7669" w:type="dxa"/>
            <w:tcBorders>
              <w:tl2br w:val="nil"/>
              <w:tr2bl w:val="nil"/>
            </w:tcBorders>
            <w:noWrap w:val="0"/>
            <w:vAlign w:val="top"/>
          </w:tcPr>
          <w:p w14:paraId="5F27D6B8">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开标时间：同投标截止时间 </w:t>
            </w:r>
          </w:p>
          <w:p w14:paraId="05FC4163">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开标地点：政采云平台https://www.zcygov.cn/</w:t>
            </w:r>
          </w:p>
        </w:tc>
      </w:tr>
      <w:tr w14:paraId="4D5373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9" w:hRule="atLeast"/>
        </w:trPr>
        <w:tc>
          <w:tcPr>
            <w:tcW w:w="853" w:type="dxa"/>
            <w:tcBorders>
              <w:bottom w:val="single" w:color="auto" w:sz="4" w:space="0"/>
              <w:tl2br w:val="nil"/>
              <w:tr2bl w:val="nil"/>
            </w:tcBorders>
            <w:noWrap w:val="0"/>
            <w:vAlign w:val="center"/>
          </w:tcPr>
          <w:p w14:paraId="1652ED4F">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19.2 </w:t>
            </w:r>
          </w:p>
        </w:tc>
        <w:tc>
          <w:tcPr>
            <w:tcW w:w="7669" w:type="dxa"/>
            <w:tcBorders>
              <w:bottom w:val="single" w:color="auto" w:sz="4" w:space="0"/>
              <w:tl2br w:val="nil"/>
              <w:tr2bl w:val="nil"/>
            </w:tcBorders>
            <w:noWrap w:val="0"/>
            <w:vAlign w:val="center"/>
          </w:tcPr>
          <w:p w14:paraId="27448EC1">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信用查询时间: 递交投标截止时间前一天至资格核对工作结束前</w:t>
            </w:r>
          </w:p>
        </w:tc>
      </w:tr>
      <w:tr w14:paraId="3F57F4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7CE6B159">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23.2 </w:t>
            </w:r>
          </w:p>
        </w:tc>
        <w:tc>
          <w:tcPr>
            <w:tcW w:w="7669" w:type="dxa"/>
            <w:tcBorders>
              <w:tl2br w:val="nil"/>
              <w:tr2bl w:val="nil"/>
            </w:tcBorders>
            <w:noWrap w:val="0"/>
            <w:vAlign w:val="center"/>
          </w:tcPr>
          <w:p w14:paraId="758F9B9A">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评标方法：综合评分法</w:t>
            </w:r>
          </w:p>
        </w:tc>
      </w:tr>
      <w:tr w14:paraId="612CC2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368DC599">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23.4</w:t>
            </w:r>
          </w:p>
        </w:tc>
        <w:tc>
          <w:tcPr>
            <w:tcW w:w="7669" w:type="dxa"/>
            <w:tcBorders>
              <w:tl2br w:val="nil"/>
              <w:tr2bl w:val="nil"/>
            </w:tcBorders>
            <w:noWrap w:val="0"/>
            <w:vAlign w:val="center"/>
          </w:tcPr>
          <w:p w14:paraId="0CF82577">
            <w:pPr>
              <w:widowControl/>
              <w:adjustRightInd w:val="0"/>
              <w:snapToGrid w:val="0"/>
              <w:spacing w:line="360" w:lineRule="auto"/>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核心产品：</w:t>
            </w:r>
            <w:r>
              <w:rPr>
                <w:rFonts w:hint="eastAsia" w:ascii="仿宋" w:hAnsi="仿宋" w:eastAsia="仿宋" w:cs="仿宋"/>
                <w:color w:val="auto"/>
                <w:kern w:val="0"/>
                <w:sz w:val="24"/>
                <w:highlight w:val="none"/>
                <w:lang w:val="en-US" w:eastAsia="zh-CN"/>
              </w:rPr>
              <w:t>调频广播发射机</w:t>
            </w:r>
          </w:p>
        </w:tc>
      </w:tr>
      <w:tr w14:paraId="627CE8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29A33DCE">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27.1 </w:t>
            </w:r>
          </w:p>
        </w:tc>
        <w:tc>
          <w:tcPr>
            <w:tcW w:w="7669" w:type="dxa"/>
            <w:tcBorders>
              <w:tl2br w:val="nil"/>
              <w:tr2bl w:val="nil"/>
            </w:tcBorders>
            <w:noWrap w:val="0"/>
            <w:vAlign w:val="center"/>
          </w:tcPr>
          <w:p w14:paraId="26A9F2FD">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推荐中标候选投标人的数量：3名</w:t>
            </w:r>
          </w:p>
        </w:tc>
      </w:tr>
      <w:tr w14:paraId="4CC6AF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52AE31EE">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27.2 </w:t>
            </w:r>
          </w:p>
        </w:tc>
        <w:tc>
          <w:tcPr>
            <w:tcW w:w="7669" w:type="dxa"/>
            <w:tcBorders>
              <w:tl2br w:val="nil"/>
              <w:tr2bl w:val="nil"/>
            </w:tcBorders>
            <w:noWrap w:val="0"/>
            <w:vAlign w:val="center"/>
          </w:tcPr>
          <w:p w14:paraId="548F6F4D">
            <w:pPr>
              <w:widowControl/>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招标人是否委托评标委员会直接确定中标人：否 </w:t>
            </w:r>
          </w:p>
        </w:tc>
      </w:tr>
      <w:tr w14:paraId="04274D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0338E312">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31.1 </w:t>
            </w:r>
          </w:p>
        </w:tc>
        <w:tc>
          <w:tcPr>
            <w:tcW w:w="7669" w:type="dxa"/>
            <w:tcBorders>
              <w:tl2br w:val="nil"/>
              <w:tr2bl w:val="nil"/>
            </w:tcBorders>
            <w:noWrap w:val="0"/>
            <w:vAlign w:val="top"/>
          </w:tcPr>
          <w:p w14:paraId="7A2CFE5F">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第一成交供应商签订合同前、收到成交通知书后10日内向采购人缴纳履约保证金。否则视为自动放弃中标，由第二候选人中标，以此类推。收取履约保证金比例如下：</w:t>
            </w:r>
          </w:p>
          <w:p w14:paraId="63DBA771">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货物类服务类：中标价*2％</w:t>
            </w:r>
          </w:p>
          <w:p w14:paraId="3FF29918">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履约保证金递交形式：转账</w:t>
            </w:r>
          </w:p>
          <w:p w14:paraId="67DC56EB">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中标单位未按本文件规定缴纳履约保证金的，其投标保证金将不予退还。</w:t>
            </w:r>
          </w:p>
          <w:p w14:paraId="3D77F5A7">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履约保证金缴纳账户信息：</w:t>
            </w:r>
          </w:p>
          <w:p w14:paraId="34CF7B1D">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单位名称：新疆大学</w:t>
            </w:r>
          </w:p>
          <w:p w14:paraId="1807E481">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纳税人识别号：12650000457601471G</w:t>
            </w:r>
          </w:p>
          <w:p w14:paraId="7E72D7E1">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地址：新疆乌鲁木齐市天山区胜利路666号</w:t>
            </w:r>
          </w:p>
          <w:p w14:paraId="0310C83D">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联系电话：0991-8585360</w:t>
            </w:r>
          </w:p>
          <w:p w14:paraId="196A42E3">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开户行：中国农业银行股份有限公司乌鲁木齐胜利路（兵团）支行</w:t>
            </w:r>
          </w:p>
          <w:p w14:paraId="5984AC7D">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账号：30704301040002348</w:t>
            </w:r>
          </w:p>
          <w:p w14:paraId="16AA368E">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行号：103881070432</w:t>
            </w:r>
          </w:p>
          <w:p w14:paraId="4D0BB47A">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统一社会信用代码：12650000457601471G</w:t>
            </w:r>
          </w:p>
          <w:p w14:paraId="1BF928B3">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履约保证金的退还：合同履约完成，货物验收合格后10日内，采购人无息退还履约保证金。中标单位未按照合同、法律法规、招标文件等相关规定履行责任，采购人有权扣除履约保证金，并解除合同，由此造成的一切损失，由中标单位自行承担。</w:t>
            </w:r>
          </w:p>
        </w:tc>
      </w:tr>
      <w:tr w14:paraId="04C2F9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43A7F1F4">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32.1 </w:t>
            </w:r>
          </w:p>
        </w:tc>
        <w:tc>
          <w:tcPr>
            <w:tcW w:w="7669" w:type="dxa"/>
            <w:tcBorders>
              <w:tl2br w:val="nil"/>
              <w:tr2bl w:val="nil"/>
            </w:tcBorders>
            <w:noWrap w:val="0"/>
            <w:vAlign w:val="top"/>
          </w:tcPr>
          <w:p w14:paraId="4D33F315">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是否由中标人缴纳招标代理费：</w:t>
            </w:r>
            <w:r>
              <w:rPr>
                <w:rFonts w:hint="eastAsia" w:ascii="仿宋" w:hAnsi="仿宋" w:eastAsia="仿宋" w:cs="仿宋"/>
                <w:color w:val="auto"/>
                <w:kern w:val="0"/>
                <w:sz w:val="24"/>
                <w:highlight w:val="none"/>
                <w:u w:val="single"/>
              </w:rPr>
              <w:t>是</w:t>
            </w:r>
          </w:p>
          <w:p w14:paraId="2AACF025">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招标代理费：</w:t>
            </w: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发改价格[2011]534号及计价格[2002]1980号文件计算的招标代理服务收费标准下浮4</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 xml:space="preserve">%，代理服务费由中标人支付。  </w:t>
            </w:r>
          </w:p>
          <w:p w14:paraId="1900DDB2">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支付形式：转账、电汇等形式 </w:t>
            </w:r>
          </w:p>
          <w:p w14:paraId="59FC5601">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支付时间：领取中标通知书的同时</w:t>
            </w:r>
          </w:p>
        </w:tc>
      </w:tr>
      <w:tr w14:paraId="466D0A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681CD849">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35.2</w:t>
            </w:r>
          </w:p>
        </w:tc>
        <w:tc>
          <w:tcPr>
            <w:tcW w:w="7669" w:type="dxa"/>
            <w:tcBorders>
              <w:tl2br w:val="nil"/>
              <w:tr2bl w:val="nil"/>
            </w:tcBorders>
            <w:noWrap w:val="0"/>
            <w:vAlign w:val="top"/>
          </w:tcPr>
          <w:p w14:paraId="16DB8010">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针对同一采购程序环节的质疑次数： </w:t>
            </w:r>
          </w:p>
          <w:p w14:paraId="7F95876F">
            <w:pPr>
              <w:widowControl/>
              <w:adjustRightInd w:val="0"/>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一次性提出 </w:t>
            </w: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多次提出</w:t>
            </w:r>
          </w:p>
        </w:tc>
      </w:tr>
      <w:tr w14:paraId="51C62F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1EE87328">
            <w:pPr>
              <w:widowControl/>
              <w:adjustRightInd w:val="0"/>
              <w:snapToGrid w:val="0"/>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w:t>
            </w:r>
          </w:p>
        </w:tc>
        <w:tc>
          <w:tcPr>
            <w:tcW w:w="7669" w:type="dxa"/>
            <w:tcBorders>
              <w:tl2br w:val="nil"/>
              <w:tr2bl w:val="nil"/>
            </w:tcBorders>
            <w:noWrap w:val="0"/>
            <w:vAlign w:val="top"/>
          </w:tcPr>
          <w:p w14:paraId="251BF5D3">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付款方式：①合同生效之日起30个工作日之内，乙方将项目清单中所有规定的硬件分批次到货，货物到达甲方指定地点后，甲方与乙方共同对货物进行清点、核对和检验，甲、乙双方签署出具《货物检验报告》，甲方收到乙方开具的含税发票后，在30个工作日内向乙方支付合同总额的40%，即人民币</w:t>
            </w:r>
            <w:r>
              <w:rPr>
                <w:rFonts w:hint="eastAsia" w:ascii="仿宋" w:hAnsi="仿宋" w:eastAsia="仿宋" w:cs="仿宋"/>
                <w:color w:val="auto"/>
                <w:sz w:val="24"/>
                <w:szCs w:val="32"/>
                <w:highlight w:val="none"/>
                <w:u w:val="single"/>
              </w:rPr>
              <w:t>       </w:t>
            </w:r>
            <w:r>
              <w:rPr>
                <w:rFonts w:hint="eastAsia" w:ascii="仿宋" w:hAnsi="仿宋" w:eastAsia="仿宋" w:cs="仿宋"/>
                <w:color w:val="auto"/>
                <w:sz w:val="24"/>
                <w:szCs w:val="32"/>
                <w:highlight w:val="none"/>
              </w:rPr>
              <w:t>元整，（小写：¥</w:t>
            </w:r>
            <w:r>
              <w:rPr>
                <w:rFonts w:hint="eastAsia" w:ascii="仿宋" w:hAnsi="仿宋" w:eastAsia="仿宋" w:cs="仿宋"/>
                <w:color w:val="auto"/>
                <w:sz w:val="24"/>
                <w:szCs w:val="32"/>
                <w:highlight w:val="none"/>
                <w:u w:val="single"/>
              </w:rPr>
              <w:t xml:space="preserve">  </w:t>
            </w:r>
            <w:r>
              <w:rPr>
                <w:rFonts w:hint="eastAsia" w:ascii="仿宋" w:hAnsi="仿宋" w:eastAsia="仿宋" w:cs="仿宋"/>
                <w:color w:val="auto"/>
                <w:sz w:val="24"/>
                <w:szCs w:val="32"/>
                <w:highlight w:val="none"/>
                <w:u w:val="single"/>
                <w:lang w:val="en-US" w:eastAsia="zh-CN"/>
              </w:rPr>
              <w:t xml:space="preserve">  </w:t>
            </w:r>
            <w:r>
              <w:rPr>
                <w:rFonts w:hint="eastAsia" w:ascii="仿宋" w:hAnsi="仿宋" w:eastAsia="仿宋" w:cs="仿宋"/>
                <w:color w:val="auto"/>
                <w:sz w:val="24"/>
                <w:szCs w:val="32"/>
                <w:highlight w:val="none"/>
                <w:u w:val="single"/>
              </w:rPr>
              <w:t> </w:t>
            </w:r>
            <w:r>
              <w:rPr>
                <w:rFonts w:hint="eastAsia" w:ascii="仿宋" w:hAnsi="仿宋" w:eastAsia="仿宋" w:cs="仿宋"/>
                <w:color w:val="auto"/>
                <w:sz w:val="24"/>
                <w:szCs w:val="32"/>
                <w:highlight w:val="none"/>
              </w:rPr>
              <w:t>元）。</w:t>
            </w:r>
          </w:p>
          <w:p w14:paraId="4B6DF94E">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②项目所有内容建设完成，系统上线并试运行合格符合验收标准后，乙方以书面形式向甲方申请竣工验收，甲方在收到乙方验收申请后对项目进行竣工验收。甲方确认项目系统及设备运转正常、验收合格后，在30个工作日内，甲方支付项目总额的55%，即人民币</w:t>
            </w:r>
            <w:r>
              <w:rPr>
                <w:rFonts w:hint="eastAsia" w:ascii="仿宋" w:hAnsi="仿宋" w:eastAsia="仿宋" w:cs="仿宋"/>
                <w:color w:val="auto"/>
                <w:sz w:val="24"/>
                <w:szCs w:val="32"/>
                <w:highlight w:val="none"/>
                <w:u w:val="single"/>
              </w:rPr>
              <w:t>       </w:t>
            </w:r>
            <w:r>
              <w:rPr>
                <w:rFonts w:hint="eastAsia" w:ascii="仿宋" w:hAnsi="仿宋" w:eastAsia="仿宋" w:cs="仿宋"/>
                <w:color w:val="auto"/>
                <w:sz w:val="24"/>
                <w:szCs w:val="32"/>
                <w:highlight w:val="none"/>
              </w:rPr>
              <w:t>元整，（小写：¥</w:t>
            </w:r>
            <w:r>
              <w:rPr>
                <w:rFonts w:hint="eastAsia" w:ascii="仿宋" w:hAnsi="仿宋" w:eastAsia="仿宋" w:cs="仿宋"/>
                <w:color w:val="auto"/>
                <w:sz w:val="24"/>
                <w:szCs w:val="32"/>
                <w:highlight w:val="none"/>
                <w:u w:val="single"/>
              </w:rPr>
              <w:t xml:space="preserve">  </w:t>
            </w:r>
            <w:r>
              <w:rPr>
                <w:rFonts w:hint="eastAsia" w:ascii="仿宋" w:hAnsi="仿宋" w:eastAsia="仿宋" w:cs="仿宋"/>
                <w:color w:val="auto"/>
                <w:sz w:val="24"/>
                <w:szCs w:val="32"/>
                <w:highlight w:val="none"/>
                <w:u w:val="single"/>
                <w:lang w:val="en-US" w:eastAsia="zh-CN"/>
              </w:rPr>
              <w:t xml:space="preserve">  </w:t>
            </w:r>
            <w:r>
              <w:rPr>
                <w:rFonts w:hint="eastAsia" w:ascii="仿宋" w:hAnsi="仿宋" w:eastAsia="仿宋" w:cs="仿宋"/>
                <w:color w:val="auto"/>
                <w:sz w:val="24"/>
                <w:szCs w:val="32"/>
                <w:highlight w:val="none"/>
                <w:u w:val="single"/>
              </w:rPr>
              <w:t> </w:t>
            </w:r>
            <w:r>
              <w:rPr>
                <w:rFonts w:hint="eastAsia" w:ascii="仿宋" w:hAnsi="仿宋" w:eastAsia="仿宋" w:cs="仿宋"/>
                <w:color w:val="auto"/>
                <w:sz w:val="24"/>
                <w:szCs w:val="32"/>
                <w:highlight w:val="none"/>
              </w:rPr>
              <w:t>元）。</w:t>
            </w:r>
          </w:p>
          <w:p w14:paraId="5AA4665C">
            <w:pPr>
              <w:spacing w:line="360" w:lineRule="auto"/>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rPr>
              <w:t>③本合同总金额剩余（含税）的5%，在项目通过竣工验收满3年后，在30个工作日内向乙方支付项目总额的5%，即人民币</w:t>
            </w:r>
            <w:r>
              <w:rPr>
                <w:rFonts w:hint="eastAsia" w:ascii="仿宋" w:hAnsi="仿宋" w:eastAsia="仿宋" w:cs="仿宋"/>
                <w:color w:val="auto"/>
                <w:sz w:val="24"/>
                <w:szCs w:val="32"/>
                <w:highlight w:val="none"/>
                <w:u w:val="single"/>
              </w:rPr>
              <w:t>       </w:t>
            </w:r>
            <w:r>
              <w:rPr>
                <w:rFonts w:hint="eastAsia" w:ascii="仿宋" w:hAnsi="仿宋" w:eastAsia="仿宋" w:cs="仿宋"/>
                <w:color w:val="auto"/>
                <w:sz w:val="24"/>
                <w:szCs w:val="32"/>
                <w:highlight w:val="none"/>
              </w:rPr>
              <w:t>元整，（小写：¥</w:t>
            </w:r>
            <w:r>
              <w:rPr>
                <w:rFonts w:hint="eastAsia" w:ascii="仿宋" w:hAnsi="仿宋" w:eastAsia="仿宋" w:cs="仿宋"/>
                <w:color w:val="auto"/>
                <w:sz w:val="24"/>
                <w:szCs w:val="32"/>
                <w:highlight w:val="none"/>
                <w:u w:val="single"/>
              </w:rPr>
              <w:t xml:space="preserve">  </w:t>
            </w:r>
            <w:r>
              <w:rPr>
                <w:rFonts w:hint="eastAsia" w:ascii="仿宋" w:hAnsi="仿宋" w:eastAsia="仿宋" w:cs="仿宋"/>
                <w:color w:val="auto"/>
                <w:sz w:val="24"/>
                <w:szCs w:val="32"/>
                <w:highlight w:val="none"/>
                <w:u w:val="single"/>
                <w:lang w:val="en-US" w:eastAsia="zh-CN"/>
              </w:rPr>
              <w:t xml:space="preserve">  </w:t>
            </w:r>
            <w:r>
              <w:rPr>
                <w:rFonts w:hint="eastAsia" w:ascii="仿宋" w:hAnsi="仿宋" w:eastAsia="仿宋" w:cs="仿宋"/>
                <w:color w:val="auto"/>
                <w:sz w:val="24"/>
                <w:szCs w:val="32"/>
                <w:highlight w:val="none"/>
                <w:u w:val="single"/>
              </w:rPr>
              <w:t> </w:t>
            </w:r>
            <w:r>
              <w:rPr>
                <w:rFonts w:hint="eastAsia" w:ascii="仿宋" w:hAnsi="仿宋" w:eastAsia="仿宋" w:cs="仿宋"/>
                <w:color w:val="auto"/>
                <w:sz w:val="24"/>
                <w:szCs w:val="32"/>
                <w:highlight w:val="none"/>
              </w:rPr>
              <w:t>元）</w:t>
            </w:r>
            <w:r>
              <w:rPr>
                <w:rFonts w:hint="eastAsia" w:ascii="仿宋" w:hAnsi="仿宋" w:eastAsia="仿宋" w:cs="仿宋"/>
                <w:color w:val="auto"/>
                <w:sz w:val="24"/>
                <w:szCs w:val="32"/>
                <w:highlight w:val="none"/>
                <w:lang w:eastAsia="zh-CN"/>
              </w:rPr>
              <w:t>。</w:t>
            </w:r>
          </w:p>
          <w:p w14:paraId="56DC196A">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关于付款的特别说明：中标后中标单位在首次申请预付款支付时，应开具预付款（发票），具体以新疆大学要求为准。</w:t>
            </w:r>
          </w:p>
        </w:tc>
      </w:tr>
      <w:tr w14:paraId="41B0CD8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0F7D2C9C">
            <w:pPr>
              <w:widowControl/>
              <w:adjustRightInd w:val="0"/>
              <w:snapToGrid w:val="0"/>
              <w:spacing w:line="360" w:lineRule="auto"/>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37</w:t>
            </w:r>
          </w:p>
        </w:tc>
        <w:tc>
          <w:tcPr>
            <w:tcW w:w="7669" w:type="dxa"/>
            <w:tcBorders>
              <w:tl2br w:val="nil"/>
              <w:tr2bl w:val="nil"/>
            </w:tcBorders>
            <w:noWrap w:val="0"/>
            <w:vAlign w:val="top"/>
          </w:tcPr>
          <w:p w14:paraId="066AFE14">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本国产品政策说明</w:t>
            </w:r>
            <w:r>
              <w:rPr>
                <w:rFonts w:hint="eastAsia" w:ascii="仿宋" w:hAnsi="仿宋" w:eastAsia="仿宋" w:cs="仿宋"/>
                <w:color w:val="auto"/>
                <w:sz w:val="24"/>
                <w:szCs w:val="32"/>
                <w:highlight w:val="none"/>
                <w:lang w:eastAsia="zh-CN"/>
              </w:rPr>
              <w:t>：</w:t>
            </w:r>
            <w:r>
              <w:rPr>
                <w:rFonts w:hint="eastAsia" w:ascii="仿宋" w:hAnsi="仿宋" w:eastAsia="仿宋" w:cs="仿宋"/>
                <w:color w:val="auto"/>
                <w:sz w:val="24"/>
                <w:szCs w:val="32"/>
                <w:highlight w:val="none"/>
              </w:rPr>
              <w:t>根据《国务院办公厅关于在政府采购中实施本国产品标准及相关政策的通知》（国办发〔2025〕34号）的相关规定，投标产品符合“本国产品标准”的，按照以下政策执行价格评审优惠：</w:t>
            </w:r>
          </w:p>
          <w:p w14:paraId="1F10EFEF">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政府采购活动中既有本国产品又有非本国产品参与竞争的，依法对本国产品给予价格评审优惠，对本国产品的报价给予20%的价格扣除，用扣除后的价格参与评审。</w:t>
            </w:r>
          </w:p>
          <w:p w14:paraId="01FE192E">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AAE04F9">
            <w:pPr>
              <w:spacing w:line="360" w:lineRule="auto"/>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32"/>
                <w:highlight w:val="none"/>
              </w:rPr>
              <w:t>注：供应商对其提供的产品出具《关于符合本国产品标准的声明函》或财政部会同有关部门规定的有关证明文件。出具符合要求的《声明函》或有关证明文件的，该产品视为本国产品</w:t>
            </w:r>
            <w:r>
              <w:rPr>
                <w:rFonts w:hint="eastAsia" w:ascii="仿宋" w:hAnsi="仿宋" w:eastAsia="仿宋" w:cs="仿宋"/>
                <w:color w:val="auto"/>
                <w:sz w:val="24"/>
                <w:szCs w:val="32"/>
                <w:highlight w:val="none"/>
                <w:lang w:eastAsia="zh-CN"/>
              </w:rPr>
              <w:t>。</w:t>
            </w:r>
          </w:p>
        </w:tc>
      </w:tr>
      <w:tr w14:paraId="545A33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853" w:type="dxa"/>
            <w:tcBorders>
              <w:tl2br w:val="nil"/>
              <w:tr2bl w:val="nil"/>
            </w:tcBorders>
            <w:noWrap w:val="0"/>
            <w:vAlign w:val="center"/>
          </w:tcPr>
          <w:p w14:paraId="2389FFC3">
            <w:pPr>
              <w:widowControl/>
              <w:adjustRightInd w:val="0"/>
              <w:snapToGrid w:val="0"/>
              <w:spacing w:line="360" w:lineRule="auto"/>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38</w:t>
            </w:r>
          </w:p>
        </w:tc>
        <w:tc>
          <w:tcPr>
            <w:tcW w:w="7669" w:type="dxa"/>
            <w:tcBorders>
              <w:tl2br w:val="nil"/>
              <w:tr2bl w:val="nil"/>
            </w:tcBorders>
            <w:noWrap w:val="0"/>
            <w:vAlign w:val="top"/>
          </w:tcPr>
          <w:p w14:paraId="6382C6CA">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1.</w:t>
            </w:r>
            <w:r>
              <w:rPr>
                <w:rFonts w:hint="eastAsia" w:ascii="仿宋" w:hAnsi="仿宋" w:eastAsia="仿宋" w:cs="仿宋"/>
                <w:color w:val="auto"/>
                <w:sz w:val="24"/>
                <w:szCs w:val="32"/>
                <w:highlight w:val="none"/>
              </w:rPr>
              <w:t>政府采购评审中出现下列情形之一的，评标委员会应当启动异常低价投标（响应）审查程序：</w:t>
            </w:r>
          </w:p>
          <w:p w14:paraId="25DC5346">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（1）投标报价低于全部通过符合性审查投标人投标报价平均值</w:t>
            </w:r>
            <w:r>
              <w:rPr>
                <w:rFonts w:hint="eastAsia" w:ascii="仿宋" w:hAnsi="仿宋" w:eastAsia="仿宋" w:cs="仿宋"/>
                <w:color w:val="auto"/>
                <w:sz w:val="24"/>
                <w:szCs w:val="32"/>
                <w:highlight w:val="none"/>
                <w:lang w:val="en-US" w:eastAsia="zh-CN"/>
              </w:rPr>
              <w:t>65</w:t>
            </w:r>
            <w:r>
              <w:rPr>
                <w:rFonts w:hint="eastAsia" w:ascii="仿宋" w:hAnsi="仿宋" w:eastAsia="仿宋" w:cs="仿宋"/>
                <w:color w:val="auto"/>
                <w:sz w:val="24"/>
                <w:szCs w:val="32"/>
                <w:highlight w:val="none"/>
              </w:rPr>
              <w:t>%的，即投标报价&lt;全部通过符合性审查投标人投标报价平均值×</w:t>
            </w:r>
            <w:r>
              <w:rPr>
                <w:rFonts w:hint="eastAsia" w:ascii="仿宋" w:hAnsi="仿宋" w:eastAsia="仿宋" w:cs="仿宋"/>
                <w:color w:val="auto"/>
                <w:sz w:val="24"/>
                <w:szCs w:val="32"/>
                <w:highlight w:val="none"/>
                <w:lang w:val="en-US" w:eastAsia="zh-CN"/>
              </w:rPr>
              <w:t>65</w:t>
            </w:r>
            <w:r>
              <w:rPr>
                <w:rFonts w:hint="eastAsia" w:ascii="仿宋" w:hAnsi="仿宋" w:eastAsia="仿宋" w:cs="仿宋"/>
                <w:color w:val="auto"/>
                <w:sz w:val="24"/>
                <w:szCs w:val="32"/>
                <w:highlight w:val="none"/>
              </w:rPr>
              <w:t>%；</w:t>
            </w:r>
          </w:p>
          <w:p w14:paraId="15B0A90D">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（2）投标报价低于通过符合性审查的次低报价投标人投标报价</w:t>
            </w:r>
            <w:r>
              <w:rPr>
                <w:rFonts w:hint="eastAsia" w:ascii="仿宋" w:hAnsi="仿宋" w:eastAsia="仿宋" w:cs="仿宋"/>
                <w:color w:val="auto"/>
                <w:sz w:val="24"/>
                <w:szCs w:val="32"/>
                <w:highlight w:val="none"/>
                <w:lang w:val="en-US" w:eastAsia="zh-CN"/>
              </w:rPr>
              <w:t>65</w:t>
            </w:r>
            <w:r>
              <w:rPr>
                <w:rFonts w:hint="eastAsia" w:ascii="仿宋" w:hAnsi="仿宋" w:eastAsia="仿宋" w:cs="仿宋"/>
                <w:color w:val="auto"/>
                <w:sz w:val="24"/>
                <w:szCs w:val="32"/>
                <w:highlight w:val="none"/>
              </w:rPr>
              <w:t>%的，即投标报价&lt;通过符合性审查的次低报价投标人投标报价×</w:t>
            </w:r>
            <w:r>
              <w:rPr>
                <w:rFonts w:hint="eastAsia" w:ascii="仿宋" w:hAnsi="仿宋" w:eastAsia="仿宋" w:cs="仿宋"/>
                <w:color w:val="auto"/>
                <w:sz w:val="24"/>
                <w:szCs w:val="32"/>
                <w:highlight w:val="none"/>
                <w:lang w:val="en-US" w:eastAsia="zh-CN"/>
              </w:rPr>
              <w:t>65</w:t>
            </w:r>
            <w:r>
              <w:rPr>
                <w:rFonts w:hint="eastAsia" w:ascii="仿宋" w:hAnsi="仿宋" w:eastAsia="仿宋" w:cs="仿宋"/>
                <w:color w:val="auto"/>
                <w:sz w:val="24"/>
                <w:szCs w:val="32"/>
                <w:highlight w:val="none"/>
              </w:rPr>
              <w:t>%；</w:t>
            </w:r>
          </w:p>
          <w:p w14:paraId="6DD4068D">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（3）投标报价低于采购项目最高限价</w:t>
            </w:r>
            <w:r>
              <w:rPr>
                <w:rFonts w:hint="eastAsia" w:ascii="仿宋" w:hAnsi="仿宋" w:eastAsia="仿宋" w:cs="仿宋"/>
                <w:color w:val="auto"/>
                <w:sz w:val="24"/>
                <w:szCs w:val="32"/>
                <w:highlight w:val="none"/>
                <w:lang w:val="en-US" w:eastAsia="zh-CN"/>
              </w:rPr>
              <w:t>65</w:t>
            </w:r>
            <w:r>
              <w:rPr>
                <w:rFonts w:hint="eastAsia" w:ascii="仿宋" w:hAnsi="仿宋" w:eastAsia="仿宋" w:cs="仿宋"/>
                <w:color w:val="auto"/>
                <w:sz w:val="24"/>
                <w:szCs w:val="32"/>
                <w:highlight w:val="none"/>
              </w:rPr>
              <w:t>%的，即投标报价&lt;采购项目最高限价×</w:t>
            </w:r>
            <w:r>
              <w:rPr>
                <w:rFonts w:hint="eastAsia" w:ascii="仿宋" w:hAnsi="仿宋" w:eastAsia="仿宋" w:cs="仿宋"/>
                <w:color w:val="auto"/>
                <w:sz w:val="24"/>
                <w:szCs w:val="32"/>
                <w:highlight w:val="none"/>
                <w:lang w:val="en-US" w:eastAsia="zh-CN"/>
              </w:rPr>
              <w:t>65</w:t>
            </w:r>
            <w:r>
              <w:rPr>
                <w:rFonts w:hint="eastAsia" w:ascii="仿宋" w:hAnsi="仿宋" w:eastAsia="仿宋" w:cs="仿宋"/>
                <w:color w:val="auto"/>
                <w:sz w:val="24"/>
                <w:szCs w:val="32"/>
                <w:highlight w:val="none"/>
              </w:rPr>
              <w:t>%；</w:t>
            </w:r>
          </w:p>
          <w:p w14:paraId="06EB3167">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（4）评标委员会基于专业判断，认为投标人报价过低，有可能影响产品质量或者不能诚信履约的其他情形。</w:t>
            </w:r>
          </w:p>
          <w:p w14:paraId="1434C0BA">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2.</w:t>
            </w:r>
            <w:r>
              <w:rPr>
                <w:rFonts w:hint="eastAsia" w:ascii="仿宋" w:hAnsi="仿宋" w:eastAsia="仿宋" w:cs="仿宋"/>
                <w:color w:val="auto"/>
                <w:sz w:val="24"/>
                <w:szCs w:val="32"/>
                <w:highlight w:val="none"/>
              </w:rPr>
              <w:t>评标委员会启动异常低价投标（响应）审查后，属于前述第1项至第4项情形的，应当要求相关投标人在评审现场合理的时间内对投标（响应）价格作出解释，提供项目具体成本测算等与报价合理性相关的书面说明及必要的证明材料，包括但不限于原材料成本、人工成本、制造费用等，给予相关投标人的合理时间一般不少于30分钟。其中，属于第3项情形，投标人已随投标（响应）文件一并提交相关书面说明及必要的证明材料的，在评审现场可不再重复提交。</w:t>
            </w:r>
          </w:p>
          <w:p w14:paraId="13383CDE">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3.</w:t>
            </w:r>
            <w:r>
              <w:rPr>
                <w:rFonts w:hint="eastAsia" w:ascii="仿宋" w:hAnsi="仿宋" w:eastAsia="仿宋" w:cs="仿宋"/>
                <w:color w:val="auto"/>
                <w:sz w:val="24"/>
                <w:szCs w:val="32"/>
                <w:highlight w:val="none"/>
              </w:rPr>
              <w:t>评标委员会依据专业经验，参考同类项目中标（成交）价格、类似产品市场价格水平、行业人工费用标准、国家有关部门指导行业协会发布的行业平均成本等情况，对报价合理性进行判断。投标（响应）投标人不能提供书面说明、证明材料，或者提供的书面说明、证明材料不能证明其报价合理性的，评标委员会应当将其作为无效投标（响应）处理。</w:t>
            </w:r>
          </w:p>
        </w:tc>
      </w:tr>
      <w:tr w14:paraId="508D52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8522" w:type="dxa"/>
            <w:gridSpan w:val="2"/>
            <w:tcBorders>
              <w:tl2br w:val="nil"/>
              <w:tr2bl w:val="nil"/>
            </w:tcBorders>
            <w:noWrap w:val="0"/>
            <w:vAlign w:val="top"/>
          </w:tcPr>
          <w:p w14:paraId="633AD57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备注：</w:t>
            </w:r>
          </w:p>
          <w:p w14:paraId="66F16F39">
            <w:pPr>
              <w:pStyle w:val="65"/>
              <w:numPr>
                <w:ilvl w:val="0"/>
                <w:numId w:val="0"/>
              </w:numPr>
              <w:spacing w:line="360" w:lineRule="auto"/>
              <w:rPr>
                <w:rFonts w:hint="eastAsia" w:ascii="仿宋" w:hAnsi="仿宋" w:eastAsia="仿宋" w:cs="仿宋"/>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质保期：自通过采购方验收合格之日起提供三年质保。</w:t>
            </w:r>
          </w:p>
          <w:p w14:paraId="500E4755">
            <w:pPr>
              <w:pStyle w:val="65"/>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合同履约期限：按照采购方要求签订合同后60个工作日保证所有软硬件上线运行，其中合同签订后30个工作日内将设备运至采购方指定收货地址。</w:t>
            </w:r>
          </w:p>
          <w:p w14:paraId="03644B46">
            <w:pPr>
              <w:pStyle w:val="65"/>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.报价构成：包含完成本项目采购需求，并达到验收合格所需要的全部费用，包括但不限于各项服务以及其他有关费用等。</w:t>
            </w:r>
          </w:p>
          <w:p w14:paraId="0727D3AA">
            <w:pPr>
              <w:pStyle w:val="65"/>
              <w:spacing w:line="360" w:lineRule="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w:t>
            </w:r>
            <w:r>
              <w:rPr>
                <w:rFonts w:hint="eastAsia" w:ascii="仿宋" w:hAnsi="仿宋" w:eastAsia="仿宋" w:cs="仿宋"/>
                <w:b/>
                <w:bCs w:val="0"/>
                <w:color w:val="auto"/>
                <w:sz w:val="24"/>
                <w:highlight w:val="none"/>
                <w:lang w:val="en-US" w:eastAsia="zh-CN"/>
              </w:rPr>
              <w:t>4.</w:t>
            </w:r>
            <w:r>
              <w:rPr>
                <w:rFonts w:hint="eastAsia" w:ascii="仿宋" w:hAnsi="仿宋" w:eastAsia="仿宋" w:cs="仿宋"/>
                <w:b/>
                <w:bCs w:val="0"/>
                <w:color w:val="auto"/>
                <w:sz w:val="24"/>
                <w:highlight w:val="none"/>
              </w:rPr>
              <w:t>投标人应保证在本项目使用的任何产品和服务（包括部分使用）时，不会产生因第三方提出侵犯其专利权、商标权或其他知识产权而引起的法律和经济纠纷，如因专利权、商标权或其他知识产权而引起的法律和经济纠纷，由投标人承担所有相关责任的同时不得耽误本项目实施。</w:t>
            </w:r>
          </w:p>
          <w:p w14:paraId="5A391ADB">
            <w:pPr>
              <w:pStyle w:val="65"/>
              <w:spacing w:line="360" w:lineRule="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w:t>
            </w:r>
            <w:r>
              <w:rPr>
                <w:rFonts w:hint="eastAsia" w:ascii="仿宋" w:hAnsi="仿宋" w:eastAsia="仿宋" w:cs="仿宋"/>
                <w:b/>
                <w:bCs w:val="0"/>
                <w:color w:val="auto"/>
                <w:sz w:val="24"/>
                <w:highlight w:val="none"/>
                <w:lang w:val="en-US" w:eastAsia="zh-CN"/>
              </w:rPr>
              <w:t>5.</w:t>
            </w:r>
            <w:r>
              <w:rPr>
                <w:rFonts w:hint="eastAsia" w:ascii="仿宋" w:hAnsi="仿宋" w:eastAsia="仿宋" w:cs="仿宋"/>
                <w:b/>
                <w:bCs w:val="0"/>
                <w:color w:val="auto"/>
                <w:sz w:val="24"/>
                <w:highlight w:val="none"/>
              </w:rPr>
              <w:t>投标单位所填分项报价表中的单价时请合理分配产品利润，产品单价不得出现严重偏离市场单价金额情况（如出现视为价格歧视情形）；后续确实出现上述情形，采购人可针对该产品进行三方询价，以询价后均价作为单价修订偏离实际单价，签订合同。修订单价后产生的优惠，视为投标单位自行让利行为。投标单位须提供承诺函响应本条要求，否则作无效标处理。</w:t>
            </w:r>
          </w:p>
          <w:p w14:paraId="42BB4794">
            <w:pPr>
              <w:pStyle w:val="65"/>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6.</w:t>
            </w:r>
            <w:r>
              <w:rPr>
                <w:rFonts w:hint="eastAsia" w:ascii="仿宋" w:hAnsi="仿宋" w:eastAsia="仿宋" w:cs="仿宋"/>
                <w:b w:val="0"/>
                <w:bCs/>
                <w:color w:val="auto"/>
                <w:sz w:val="24"/>
                <w:highlight w:val="none"/>
              </w:rPr>
              <w:t>参与项目采购人员及相关人员与供应商有下列利害关系之一的，应当回避：</w:t>
            </w:r>
          </w:p>
          <w:p w14:paraId="4E98EBAE">
            <w:pPr>
              <w:pStyle w:val="65"/>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（一）参加采购活动前3年内与供应商存在劳动关系；</w:t>
            </w:r>
          </w:p>
          <w:p w14:paraId="6C862C6A">
            <w:pPr>
              <w:pStyle w:val="65"/>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（二）参加采购活动前3年内担任供应商的董事、监事；</w:t>
            </w:r>
          </w:p>
          <w:p w14:paraId="26D97214">
            <w:pPr>
              <w:pStyle w:val="65"/>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（三）参加采购活动前3年内是供应商的控股股东或者实际控制人；</w:t>
            </w:r>
          </w:p>
          <w:p w14:paraId="75F94A54">
            <w:pPr>
              <w:pStyle w:val="65"/>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（四）与供应商的法定代表人或者负责人有夫妻、直系血亲、三代以内旁系血亲或者近姻亲关系；</w:t>
            </w:r>
          </w:p>
          <w:p w14:paraId="6BBD3468">
            <w:pPr>
              <w:pStyle w:val="65"/>
              <w:spacing w:line="360" w:lineRule="auto"/>
              <w:rPr>
                <w:rFonts w:hint="eastAsia" w:ascii="仿宋" w:hAnsi="仿宋" w:eastAsia="仿宋" w:cs="仿宋"/>
                <w:b/>
                <w:bCs w:val="0"/>
                <w:color w:val="auto"/>
                <w:sz w:val="24"/>
                <w:highlight w:val="none"/>
              </w:rPr>
            </w:pPr>
            <w:r>
              <w:rPr>
                <w:rFonts w:hint="eastAsia" w:ascii="仿宋" w:hAnsi="仿宋" w:eastAsia="仿宋" w:cs="仿宋"/>
                <w:b w:val="0"/>
                <w:bCs/>
                <w:color w:val="auto"/>
                <w:sz w:val="24"/>
                <w:highlight w:val="none"/>
              </w:rPr>
              <w:t>（五）与供应商有其他可能影响政府采购活动公平、公正进行的关系。</w:t>
            </w:r>
          </w:p>
        </w:tc>
      </w:tr>
    </w:tbl>
    <w:p w14:paraId="4E88307F">
      <w:pP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0335A67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bCs/>
          <w:color w:val="auto"/>
          <w:sz w:val="32"/>
          <w:szCs w:val="32"/>
          <w:highlight w:val="none"/>
        </w:rPr>
      </w:pPr>
      <w:bookmarkStart w:id="8" w:name="_Toc7985"/>
      <w:r>
        <w:rPr>
          <w:rFonts w:hint="eastAsia" w:ascii="仿宋" w:hAnsi="仿宋" w:eastAsia="仿宋" w:cs="仿宋"/>
          <w:b/>
          <w:bCs/>
          <w:color w:val="auto"/>
          <w:sz w:val="32"/>
          <w:szCs w:val="32"/>
          <w:highlight w:val="none"/>
        </w:rPr>
        <w:t>第三章  投标人须知</w:t>
      </w:r>
      <w:bookmarkEnd w:id="8"/>
    </w:p>
    <w:p w14:paraId="04399259">
      <w:pPr>
        <w:adjustRightInd w:val="0"/>
        <w:snapToGrid w:val="0"/>
        <w:spacing w:line="360" w:lineRule="auto"/>
        <w:jc w:val="center"/>
        <w:rPr>
          <w:rFonts w:hint="eastAsia" w:ascii="仿宋" w:hAnsi="仿宋" w:eastAsia="仿宋" w:cs="仿宋"/>
          <w:b/>
          <w:bCs/>
          <w:color w:val="auto"/>
          <w:sz w:val="28"/>
          <w:szCs w:val="28"/>
          <w:highlight w:val="none"/>
        </w:rPr>
      </w:pPr>
    </w:p>
    <w:p w14:paraId="2F143321">
      <w:pPr>
        <w:adjustRightInd w:val="0"/>
        <w:snapToGrid w:val="0"/>
        <w:spacing w:line="360" w:lineRule="auto"/>
        <w:jc w:val="center"/>
        <w:rPr>
          <w:rFonts w:hint="eastAsia" w:ascii="仿宋" w:hAnsi="仿宋" w:eastAsia="仿宋" w:cs="仿宋"/>
          <w:b/>
          <w:bCs/>
          <w:color w:val="auto"/>
          <w:sz w:val="28"/>
          <w:szCs w:val="28"/>
          <w:highlight w:val="none"/>
        </w:rPr>
      </w:pPr>
      <w:bookmarkStart w:id="9" w:name="_Toc507399488"/>
      <w:r>
        <w:rPr>
          <w:rFonts w:hint="eastAsia" w:ascii="仿宋" w:hAnsi="仿宋" w:eastAsia="仿宋" w:cs="仿宋"/>
          <w:b/>
          <w:bCs/>
          <w:color w:val="auto"/>
          <w:sz w:val="28"/>
          <w:szCs w:val="28"/>
          <w:highlight w:val="none"/>
        </w:rPr>
        <w:t>一、说 明</w:t>
      </w:r>
    </w:p>
    <w:p w14:paraId="6CBD1FF4">
      <w:pPr>
        <w:adjustRightInd w:val="0"/>
        <w:snapToGrid w:val="0"/>
        <w:spacing w:line="360" w:lineRule="auto"/>
        <w:rPr>
          <w:rFonts w:hint="eastAsia" w:ascii="仿宋" w:hAnsi="仿宋" w:eastAsia="仿宋" w:cs="仿宋"/>
          <w:b/>
          <w:bCs/>
          <w:color w:val="auto"/>
          <w:sz w:val="24"/>
          <w:highlight w:val="none"/>
        </w:rPr>
      </w:pPr>
    </w:p>
    <w:p w14:paraId="0C4D6C85">
      <w:pPr>
        <w:adjustRightInd w:val="0"/>
        <w:snapToGrid w:val="0"/>
        <w:spacing w:line="360" w:lineRule="auto"/>
        <w:ind w:left="638" w:hanging="638" w:hangingChars="26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1.  采购人、采购代理机构及投标人 </w:t>
      </w:r>
    </w:p>
    <w:p w14:paraId="609E850A">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1.1 采购人：是指依法进行政府采购的国家机构、事业单位、团体组织。</w:t>
      </w:r>
    </w:p>
    <w:p w14:paraId="35A1DD4C">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1.2 采购代理机构：本次招标的采购代理机构为</w:t>
      </w:r>
      <w:r>
        <w:rPr>
          <w:rFonts w:hint="eastAsia" w:ascii="仿宋" w:hAnsi="仿宋" w:eastAsia="仿宋" w:cs="仿宋"/>
          <w:color w:val="auto"/>
          <w:sz w:val="24"/>
          <w:highlight w:val="none"/>
          <w:u w:val="single"/>
        </w:rPr>
        <w:t>新疆新世纪招标有限公司</w:t>
      </w:r>
      <w:r>
        <w:rPr>
          <w:rFonts w:hint="eastAsia" w:ascii="仿宋" w:hAnsi="仿宋" w:eastAsia="仿宋" w:cs="仿宋"/>
          <w:color w:val="auto"/>
          <w:sz w:val="24"/>
          <w:highlight w:val="none"/>
        </w:rPr>
        <w:t>。</w:t>
      </w:r>
    </w:p>
    <w:p w14:paraId="66A1C956">
      <w:pPr>
        <w:adjustRightInd w:val="0"/>
        <w:snapToGrid w:val="0"/>
        <w:spacing w:line="360" w:lineRule="auto"/>
        <w:ind w:left="682" w:hanging="681" w:hangingChars="284"/>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投标人：是指响应招标、参加投标竞争的法人、非法人组织或者自然人。潜</w:t>
      </w:r>
    </w:p>
    <w:p w14:paraId="16CE9967">
      <w:pPr>
        <w:adjustRightInd w:val="0"/>
        <w:snapToGrid w:val="0"/>
        <w:spacing w:line="360" w:lineRule="auto"/>
        <w:ind w:left="682" w:hanging="681" w:hangingChars="284"/>
        <w:rPr>
          <w:rFonts w:hint="eastAsia" w:ascii="仿宋" w:hAnsi="仿宋" w:eastAsia="仿宋" w:cs="仿宋"/>
          <w:color w:val="auto"/>
          <w:sz w:val="24"/>
          <w:highlight w:val="none"/>
        </w:rPr>
      </w:pPr>
      <w:r>
        <w:rPr>
          <w:rFonts w:hint="eastAsia" w:ascii="仿宋" w:hAnsi="仿宋" w:eastAsia="仿宋" w:cs="仿宋"/>
          <w:color w:val="auto"/>
          <w:sz w:val="24"/>
          <w:highlight w:val="none"/>
        </w:rPr>
        <w:t>在投标人：以招标文件规定的方式获取本项目招标文件的法人、非法人组织或者</w:t>
      </w:r>
    </w:p>
    <w:p w14:paraId="3DB81C61">
      <w:pPr>
        <w:adjustRightInd w:val="0"/>
        <w:snapToGrid w:val="0"/>
        <w:spacing w:line="360" w:lineRule="auto"/>
        <w:ind w:left="682" w:hanging="681" w:hangingChars="284"/>
        <w:rPr>
          <w:rFonts w:hint="eastAsia" w:ascii="仿宋" w:hAnsi="仿宋" w:eastAsia="仿宋" w:cs="仿宋"/>
          <w:color w:val="auto"/>
          <w:sz w:val="24"/>
          <w:highlight w:val="none"/>
        </w:rPr>
      </w:pPr>
      <w:r>
        <w:rPr>
          <w:rFonts w:hint="eastAsia" w:ascii="仿宋" w:hAnsi="仿宋" w:eastAsia="仿宋" w:cs="仿宋"/>
          <w:color w:val="auto"/>
          <w:sz w:val="24"/>
          <w:highlight w:val="none"/>
        </w:rPr>
        <w:t>自然人。</w:t>
      </w:r>
    </w:p>
    <w:p w14:paraId="7B676733">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投标人须满足以下条件： </w:t>
      </w:r>
    </w:p>
    <w:p w14:paraId="6370A6B6">
      <w:pPr>
        <w:adjustRightInd w:val="0"/>
        <w:snapToGrid w:val="0"/>
        <w:spacing w:line="360" w:lineRule="auto"/>
        <w:ind w:left="658" w:hanging="657" w:hangingChars="274"/>
        <w:rPr>
          <w:rFonts w:hint="eastAsia" w:ascii="仿宋" w:hAnsi="仿宋" w:eastAsia="仿宋" w:cs="仿宋"/>
          <w:color w:val="auto"/>
          <w:sz w:val="24"/>
          <w:highlight w:val="none"/>
        </w:rPr>
      </w:pPr>
      <w:r>
        <w:rPr>
          <w:rFonts w:hint="eastAsia" w:ascii="仿宋" w:hAnsi="仿宋" w:eastAsia="仿宋" w:cs="仿宋"/>
          <w:color w:val="auto"/>
          <w:sz w:val="24"/>
          <w:highlight w:val="none"/>
        </w:rPr>
        <w:t>1.3.1 在中华人民共和国境内注册，能够独立承担民事责任，有生产或供应能力</w:t>
      </w:r>
    </w:p>
    <w:p w14:paraId="41013CF7">
      <w:pPr>
        <w:adjustRightInd w:val="0"/>
        <w:snapToGrid w:val="0"/>
        <w:spacing w:line="360" w:lineRule="auto"/>
        <w:ind w:left="658" w:hanging="657" w:hangingChars="274"/>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的本国投标人，包括法人、非法人组织或者自然人。 </w:t>
      </w:r>
    </w:p>
    <w:p w14:paraId="658323E7">
      <w:pPr>
        <w:adjustRightInd w:val="0"/>
        <w:snapToGrid w:val="0"/>
        <w:spacing w:line="360" w:lineRule="auto"/>
        <w:ind w:left="641" w:leftChars="-9"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1.3.2 具备《中华人民共和国政府采购法》第二十二条关于投标人条件的规定，</w:t>
      </w:r>
    </w:p>
    <w:p w14:paraId="720B94AB">
      <w:pPr>
        <w:adjustRightInd w:val="0"/>
        <w:snapToGrid w:val="0"/>
        <w:spacing w:line="360" w:lineRule="auto"/>
        <w:ind w:left="641" w:leftChars="-9"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遵守国家、本项目采购人本级和上级财政部门政府采购的有关规定。 </w:t>
      </w:r>
    </w:p>
    <w:p w14:paraId="6C23B4DA">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1.3.3 以招标文件规定的方式获得了本项目的招标文件。 </w:t>
      </w:r>
    </w:p>
    <w:p w14:paraId="28B1B058">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1.3.4 符合</w:t>
      </w:r>
      <w:r>
        <w:rPr>
          <w:rFonts w:hint="eastAsia" w:ascii="仿宋" w:hAnsi="仿宋" w:eastAsia="仿宋" w:cs="仿宋"/>
          <w:color w:val="auto"/>
          <w:sz w:val="24"/>
          <w:highlight w:val="none"/>
          <w:u w:val="single"/>
        </w:rPr>
        <w:t>投标须知前附表</w:t>
      </w:r>
      <w:r>
        <w:rPr>
          <w:rFonts w:hint="eastAsia" w:ascii="仿宋" w:hAnsi="仿宋" w:eastAsia="仿宋" w:cs="仿宋"/>
          <w:color w:val="auto"/>
          <w:sz w:val="24"/>
          <w:highlight w:val="none"/>
        </w:rPr>
        <w:t>中规定的其他资格要求。</w:t>
      </w:r>
    </w:p>
    <w:p w14:paraId="24522665">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1.4如经财政主管部门批准可以采购进口产品，将在</w:t>
      </w:r>
      <w:r>
        <w:rPr>
          <w:rFonts w:hint="eastAsia" w:ascii="仿宋" w:hAnsi="仿宋" w:eastAsia="仿宋" w:cs="仿宋"/>
          <w:color w:val="auto"/>
          <w:sz w:val="24"/>
          <w:highlight w:val="none"/>
          <w:u w:val="single"/>
        </w:rPr>
        <w:t>投标须知前附表</w:t>
      </w:r>
      <w:r>
        <w:rPr>
          <w:rFonts w:hint="eastAsia" w:ascii="仿宋" w:hAnsi="仿宋" w:eastAsia="仿宋" w:cs="仿宋"/>
          <w:color w:val="auto"/>
          <w:sz w:val="24"/>
          <w:highlight w:val="none"/>
        </w:rPr>
        <w:t>中写明。但</w:t>
      </w:r>
    </w:p>
    <w:p w14:paraId="1217C6FC">
      <w:pPr>
        <w:adjustRightInd w:val="0"/>
        <w:snapToGrid w:val="0"/>
        <w:spacing w:line="360" w:lineRule="auto"/>
        <w:ind w:left="636" w:hanging="636" w:hangingChars="265"/>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投标人应保证所投产品可履行合法报通关手续进入中国关境内。若</w:t>
      </w:r>
      <w:r>
        <w:rPr>
          <w:rFonts w:hint="eastAsia" w:ascii="仿宋" w:hAnsi="仿宋" w:eastAsia="仿宋" w:cs="仿宋"/>
          <w:color w:val="auto"/>
          <w:sz w:val="24"/>
          <w:highlight w:val="none"/>
          <w:u w:val="single"/>
        </w:rPr>
        <w:t>投标须知前附</w:t>
      </w:r>
    </w:p>
    <w:p w14:paraId="4333A3BB">
      <w:pPr>
        <w:adjustRightInd w:val="0"/>
        <w:snapToGrid w:val="0"/>
        <w:spacing w:line="360" w:lineRule="auto"/>
        <w:ind w:left="636" w:hanging="636" w:hangingChars="265"/>
        <w:rPr>
          <w:rFonts w:hint="eastAsia" w:ascii="仿宋" w:hAnsi="仿宋" w:eastAsia="仿宋" w:cs="仿宋"/>
          <w:b/>
          <w:bCs/>
          <w:color w:val="auto"/>
          <w:sz w:val="24"/>
          <w:highlight w:val="none"/>
        </w:rPr>
      </w:pPr>
      <w:r>
        <w:rPr>
          <w:rFonts w:hint="eastAsia" w:ascii="仿宋" w:hAnsi="仿宋" w:eastAsia="仿宋" w:cs="仿宋"/>
          <w:color w:val="auto"/>
          <w:sz w:val="24"/>
          <w:highlight w:val="none"/>
          <w:u w:val="single"/>
        </w:rPr>
        <w:t>表</w:t>
      </w:r>
      <w:r>
        <w:rPr>
          <w:rFonts w:hint="eastAsia" w:ascii="仿宋" w:hAnsi="仿宋" w:eastAsia="仿宋" w:cs="仿宋"/>
          <w:color w:val="auto"/>
          <w:sz w:val="24"/>
          <w:highlight w:val="none"/>
        </w:rPr>
        <w:t>中未写明允许采购进口产品，如投标人所投产品为进口产品，其投标将作为</w:t>
      </w:r>
      <w:r>
        <w:rPr>
          <w:rFonts w:hint="eastAsia" w:ascii="仿宋" w:hAnsi="仿宋" w:eastAsia="仿宋" w:cs="仿宋"/>
          <w:b/>
          <w:bCs/>
          <w:color w:val="auto"/>
          <w:sz w:val="24"/>
          <w:highlight w:val="none"/>
        </w:rPr>
        <w:t>无</w:t>
      </w:r>
    </w:p>
    <w:p w14:paraId="6DE0C461">
      <w:pPr>
        <w:adjustRightInd w:val="0"/>
        <w:snapToGrid w:val="0"/>
        <w:spacing w:line="360" w:lineRule="auto"/>
        <w:ind w:left="638" w:hanging="638" w:hangingChars="265"/>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效投标</w:t>
      </w:r>
      <w:r>
        <w:rPr>
          <w:rFonts w:hint="eastAsia" w:ascii="仿宋" w:hAnsi="仿宋" w:eastAsia="仿宋" w:cs="仿宋"/>
          <w:color w:val="auto"/>
          <w:sz w:val="24"/>
          <w:highlight w:val="none"/>
        </w:rPr>
        <w:t>被拒绝。</w:t>
      </w:r>
    </w:p>
    <w:p w14:paraId="520D8D0E">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1.5 投标人提供的货物由中小企业制造，货物由中小企业生产且使用该中小企业</w:t>
      </w:r>
    </w:p>
    <w:p w14:paraId="15F79CDB">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商号或者注册商标，享受中小企业扶持政策。投标人根据《工业和信息化部、国</w:t>
      </w:r>
    </w:p>
    <w:p w14:paraId="22BB89B6">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家统计局、国家发展和改革委员会、财政部关于印发中小企业划型标准规定的通</w:t>
      </w:r>
    </w:p>
    <w:p w14:paraId="277B98CA">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知》（工信部联企业[2011]300 号）确定企业类型；也可在工业和信息化部网站</w:t>
      </w:r>
    </w:p>
    <w:p w14:paraId="40DD8FFC">
      <w:pPr>
        <w:adjustRightInd w:val="0"/>
        <w:snapToGrid w:val="0"/>
        <w:spacing w:line="360" w:lineRule="auto"/>
        <w:ind w:left="14" w:hanging="14" w:hangingChars="6"/>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（https://www.miit.gov.cn/）的“中小企业规模类型自测小程序”自助查询到企业类型。 </w:t>
      </w:r>
    </w:p>
    <w:p w14:paraId="579705D7">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1.5.1 投标标的所属行业见</w:t>
      </w:r>
      <w:r>
        <w:rPr>
          <w:rFonts w:hint="eastAsia" w:ascii="仿宋" w:hAnsi="仿宋" w:eastAsia="仿宋" w:cs="仿宋"/>
          <w:color w:val="auto"/>
          <w:sz w:val="24"/>
          <w:highlight w:val="none"/>
          <w:u w:val="single"/>
        </w:rPr>
        <w:t>投标人须知前附表</w:t>
      </w:r>
      <w:r>
        <w:rPr>
          <w:rFonts w:hint="eastAsia" w:ascii="仿宋" w:hAnsi="仿宋" w:eastAsia="仿宋" w:cs="仿宋"/>
          <w:color w:val="auto"/>
          <w:sz w:val="24"/>
          <w:highlight w:val="none"/>
        </w:rPr>
        <w:t xml:space="preserve">。 </w:t>
      </w:r>
    </w:p>
    <w:p w14:paraId="64175024">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1.5.2 若</w:t>
      </w:r>
      <w:r>
        <w:rPr>
          <w:rFonts w:hint="eastAsia" w:ascii="仿宋" w:hAnsi="仿宋" w:eastAsia="仿宋" w:cs="仿宋"/>
          <w:color w:val="auto"/>
          <w:sz w:val="24"/>
          <w:highlight w:val="none"/>
          <w:u w:val="single"/>
        </w:rPr>
        <w:t>投标须知前附表</w:t>
      </w:r>
      <w:r>
        <w:rPr>
          <w:rFonts w:hint="eastAsia" w:ascii="仿宋" w:hAnsi="仿宋" w:eastAsia="仿宋" w:cs="仿宋"/>
          <w:color w:val="auto"/>
          <w:sz w:val="24"/>
          <w:highlight w:val="none"/>
        </w:rPr>
        <w:t>中写明专门面向中小企业采购的，如投标人所提供的货</w:t>
      </w:r>
    </w:p>
    <w:p w14:paraId="0B27F234">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物为非中小企业制造，其投标将被认定为</w:t>
      </w:r>
      <w:r>
        <w:rPr>
          <w:rFonts w:hint="eastAsia" w:ascii="仿宋" w:hAnsi="仿宋" w:eastAsia="仿宋" w:cs="仿宋"/>
          <w:b/>
          <w:bCs/>
          <w:color w:val="auto"/>
          <w:sz w:val="24"/>
          <w:highlight w:val="none"/>
        </w:rPr>
        <w:t>投标无效</w:t>
      </w:r>
      <w:r>
        <w:rPr>
          <w:rFonts w:hint="eastAsia" w:ascii="仿宋" w:hAnsi="仿宋" w:eastAsia="仿宋" w:cs="仿宋"/>
          <w:color w:val="auto"/>
          <w:sz w:val="24"/>
          <w:highlight w:val="none"/>
        </w:rPr>
        <w:t>。承接企业如为监狱企业或残</w:t>
      </w:r>
    </w:p>
    <w:p w14:paraId="1C75CAB4">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疾人福利性单位的，视同为小型、微型企业。（本项目不适用）</w:t>
      </w:r>
    </w:p>
    <w:p w14:paraId="167AE701">
      <w:pPr>
        <w:adjustRightInd w:val="0"/>
        <w:snapToGrid w:val="0"/>
        <w:spacing w:line="360" w:lineRule="auto"/>
        <w:ind w:left="-2" w:right="-48" w:rightChars="-23"/>
        <w:rPr>
          <w:rFonts w:hint="eastAsia" w:ascii="仿宋" w:hAnsi="仿宋" w:eastAsia="仿宋" w:cs="仿宋"/>
          <w:color w:val="auto"/>
          <w:sz w:val="24"/>
          <w:highlight w:val="none"/>
        </w:rPr>
      </w:pPr>
      <w:r>
        <w:rPr>
          <w:rFonts w:hint="eastAsia" w:ascii="仿宋" w:hAnsi="仿宋" w:eastAsia="仿宋" w:cs="仿宋"/>
          <w:color w:val="auto"/>
          <w:sz w:val="24"/>
          <w:highlight w:val="none"/>
        </w:rPr>
        <w:t>1.5.3 本项目是否面向中小企业采购预留份额、供应商根据《政府采购促进中小企业发展管理办法》落实政策。</w:t>
      </w:r>
    </w:p>
    <w:p w14:paraId="51C238D6">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1.5.4 享受中小企业扶持政策获得政府采购合同的，小微企业不得将合同分包给</w:t>
      </w:r>
    </w:p>
    <w:p w14:paraId="5666ECFA">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大中型企业，中型企业不得将合同分包给大型企业。</w:t>
      </w:r>
    </w:p>
    <w:p w14:paraId="5655D1A2">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1.6 如</w:t>
      </w:r>
      <w:r>
        <w:rPr>
          <w:rFonts w:hint="eastAsia" w:ascii="仿宋" w:hAnsi="仿宋" w:eastAsia="仿宋" w:cs="仿宋"/>
          <w:color w:val="auto"/>
          <w:sz w:val="24"/>
          <w:highlight w:val="none"/>
          <w:u w:val="single"/>
        </w:rPr>
        <w:t>投标须知前附表</w:t>
      </w:r>
      <w:r>
        <w:rPr>
          <w:rFonts w:hint="eastAsia" w:ascii="仿宋" w:hAnsi="仿宋" w:eastAsia="仿宋" w:cs="仿宋"/>
          <w:color w:val="auto"/>
          <w:sz w:val="24"/>
          <w:highlight w:val="none"/>
        </w:rPr>
        <w:t xml:space="preserve">中允许联合体投标，对联合体规定如下： </w:t>
      </w:r>
    </w:p>
    <w:p w14:paraId="1F81E8FB">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1.6.1 两个以上投标人可以组成一个投标联合体，以一个投标人的身份投标。 </w:t>
      </w:r>
    </w:p>
    <w:p w14:paraId="5C08D515">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1.6.2 联合体各方均应符合《中华人民共和国政府采购法》第二十二条规定的条</w:t>
      </w:r>
    </w:p>
    <w:p w14:paraId="53FE5606">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件，遵守国家、本项目采购人本级和上级财政部门政府采购的有关规定。</w:t>
      </w:r>
    </w:p>
    <w:p w14:paraId="2633E6BA">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1.6.3 采购人根据采购项目对投标人的特殊要求，联合体中至少应当有一方符合</w:t>
      </w:r>
    </w:p>
    <w:p w14:paraId="57A2445F">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相关规定。</w:t>
      </w:r>
    </w:p>
    <w:p w14:paraId="47B9EAA6">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1.6.4 联合体各方应签订共同投标协议，明确约定联合体各方承担的工作和相应</w:t>
      </w:r>
    </w:p>
    <w:p w14:paraId="39BDD3C6">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的责任，并将共同投标协议连同投标文件一并提交采购人或采购代理机构。 </w:t>
      </w:r>
    </w:p>
    <w:p w14:paraId="4EF85BDF">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1.6.5 大中型企业、其他自然人、法人或者非法人组织与小型、微型企业组成联</w:t>
      </w:r>
    </w:p>
    <w:p w14:paraId="2E52B71A">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合体共同参加投标，共同投标协议中应写明小型、微型企业的协议合同金额占到</w:t>
      </w:r>
    </w:p>
    <w:p w14:paraId="4EE90C88">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共同投标协议投标总金额的比例。联合体各方均为中小企业的，联合体视同中小</w:t>
      </w:r>
    </w:p>
    <w:p w14:paraId="4CBC12F7">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企业。其中，联合体各方均为小微企业的，联合体视同小微企业。 </w:t>
      </w:r>
    </w:p>
    <w:p w14:paraId="29D0C0F3">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1.6.6 联合体中有同类资质的投标人按照联合体分工承担相同工作的，按照资质</w:t>
      </w:r>
    </w:p>
    <w:p w14:paraId="1B49C6F9">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等级较低的投标人确定资质等级。（本项目不适用）</w:t>
      </w:r>
    </w:p>
    <w:p w14:paraId="61690B53">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1.6.7 以联合体形式参加政府采购活动的，联合体各方不得再单独参加或者与其</w:t>
      </w:r>
    </w:p>
    <w:p w14:paraId="573A955E">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他投标人另外组成联合体参加本项目投标，否则相关投标将被认定为</w:t>
      </w:r>
      <w:r>
        <w:rPr>
          <w:rFonts w:hint="eastAsia" w:ascii="仿宋" w:hAnsi="仿宋" w:eastAsia="仿宋" w:cs="仿宋"/>
          <w:b/>
          <w:bCs/>
          <w:color w:val="auto"/>
          <w:sz w:val="24"/>
          <w:highlight w:val="none"/>
        </w:rPr>
        <w:t>投标无效</w:t>
      </w:r>
      <w:r>
        <w:rPr>
          <w:rFonts w:hint="eastAsia" w:ascii="仿宋" w:hAnsi="仿宋" w:eastAsia="仿宋" w:cs="仿宋"/>
          <w:color w:val="auto"/>
          <w:sz w:val="24"/>
          <w:highlight w:val="none"/>
        </w:rPr>
        <w:t xml:space="preserve">。 </w:t>
      </w:r>
    </w:p>
    <w:p w14:paraId="5A072D3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1.6.8 对联合体投标的其他资格要求见</w:t>
      </w:r>
      <w:r>
        <w:rPr>
          <w:rFonts w:hint="eastAsia" w:ascii="仿宋" w:hAnsi="仿宋" w:eastAsia="仿宋" w:cs="仿宋"/>
          <w:color w:val="auto"/>
          <w:sz w:val="24"/>
          <w:highlight w:val="none"/>
          <w:u w:val="single"/>
        </w:rPr>
        <w:t>投标须知前附表</w:t>
      </w:r>
      <w:r>
        <w:rPr>
          <w:rFonts w:hint="eastAsia" w:ascii="仿宋" w:hAnsi="仿宋" w:eastAsia="仿宋" w:cs="仿宋"/>
          <w:color w:val="auto"/>
          <w:sz w:val="24"/>
          <w:highlight w:val="none"/>
        </w:rPr>
        <w:t xml:space="preserve">。 </w:t>
      </w:r>
    </w:p>
    <w:p w14:paraId="7C76D1D3">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1.7 单位负责人为同一人或者存在直接控股、管理关系的不同投标人，其投标将被认定为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 xml:space="preserve">。 </w:t>
      </w:r>
    </w:p>
    <w:p w14:paraId="71222F3A">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1.8 为本项目提供整体设计、规范编制或者项目管理、监理、检测等服务的投标人，其投标将被认定为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w:t>
      </w:r>
    </w:p>
    <w:p w14:paraId="1E87D107">
      <w:pPr>
        <w:adjustRightInd w:val="0"/>
        <w:snapToGrid w:val="0"/>
        <w:spacing w:line="360" w:lineRule="auto"/>
        <w:ind w:left="638" w:hanging="638" w:hangingChars="26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2．资金来源 </w:t>
      </w:r>
    </w:p>
    <w:p w14:paraId="22EBFE22">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2.1 本项目的采购人已获得足以支付本次招标后所签订的合同项下的资金（包括</w:t>
      </w:r>
    </w:p>
    <w:p w14:paraId="0BA4DC36">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财政性资金和本项目采购中无法与财政性资金分割的非财政性资金）。 </w:t>
      </w:r>
    </w:p>
    <w:p w14:paraId="4A385CE3">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2.2 项目预算金额和最高限价见</w:t>
      </w:r>
      <w:r>
        <w:rPr>
          <w:rFonts w:hint="eastAsia" w:ascii="仿宋" w:hAnsi="仿宋" w:eastAsia="仿宋" w:cs="仿宋"/>
          <w:color w:val="auto"/>
          <w:sz w:val="24"/>
          <w:highlight w:val="none"/>
          <w:u w:val="single"/>
        </w:rPr>
        <w:t>投标须知前附表</w:t>
      </w:r>
      <w:r>
        <w:rPr>
          <w:rFonts w:hint="eastAsia" w:ascii="仿宋" w:hAnsi="仿宋" w:eastAsia="仿宋" w:cs="仿宋"/>
          <w:color w:val="auto"/>
          <w:sz w:val="24"/>
          <w:highlight w:val="none"/>
        </w:rPr>
        <w:t xml:space="preserve">。 </w:t>
      </w:r>
    </w:p>
    <w:p w14:paraId="5C45A3AC">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投标人报价超过招标文件规定的预算金额或者最高限价的，其投标将被认定</w:t>
      </w:r>
    </w:p>
    <w:p w14:paraId="28D84BD7">
      <w:pPr>
        <w:adjustRightInd w:val="0"/>
        <w:snapToGrid w:val="0"/>
        <w:spacing w:line="360" w:lineRule="auto"/>
        <w:ind w:left="660" w:hanging="660" w:hangingChars="275"/>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为</w:t>
      </w:r>
      <w:r>
        <w:rPr>
          <w:rFonts w:hint="eastAsia" w:ascii="仿宋" w:hAnsi="仿宋" w:eastAsia="仿宋" w:cs="仿宋"/>
          <w:b/>
          <w:bCs/>
          <w:color w:val="auto"/>
          <w:sz w:val="24"/>
          <w:highlight w:val="none"/>
        </w:rPr>
        <w:t>投标无效</w:t>
      </w:r>
      <w:r>
        <w:rPr>
          <w:rFonts w:hint="eastAsia" w:ascii="仿宋" w:hAnsi="仿宋" w:eastAsia="仿宋" w:cs="仿宋"/>
          <w:color w:val="auto"/>
          <w:sz w:val="24"/>
          <w:highlight w:val="none"/>
        </w:rPr>
        <w:t>。</w:t>
      </w:r>
    </w:p>
    <w:p w14:paraId="54319F49">
      <w:pPr>
        <w:adjustRightInd w:val="0"/>
        <w:snapToGrid w:val="0"/>
        <w:spacing w:line="360" w:lineRule="auto"/>
        <w:ind w:left="638" w:hanging="638" w:hangingChars="26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3. 投标费用 </w:t>
      </w:r>
    </w:p>
    <w:p w14:paraId="3BF8A9E5">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不论投标的结果如何，投标人应承担所有与投标有关的费用。 </w:t>
      </w:r>
    </w:p>
    <w:p w14:paraId="74B05C73">
      <w:pPr>
        <w:adjustRightInd w:val="0"/>
        <w:snapToGrid w:val="0"/>
        <w:spacing w:line="360" w:lineRule="auto"/>
        <w:ind w:left="638" w:hanging="638" w:hangingChars="26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4. 适用法律 </w:t>
      </w:r>
    </w:p>
    <w:p w14:paraId="5E8F9A2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项目采购人、采购代理机构、投标人、评标委员会的相关行为均受《中华人民共和国政府采购法》、《中华人民共和国政府采购法实施条例》及本项目本级和上级财政部门政府采购有关规定的约束，其权利受到上述法律法规的保护。 </w:t>
      </w:r>
    </w:p>
    <w:p w14:paraId="2617D441">
      <w:pPr>
        <w:adjustRightInd w:val="0"/>
        <w:snapToGrid w:val="0"/>
        <w:spacing w:line="360" w:lineRule="auto"/>
        <w:ind w:left="638" w:hanging="638" w:hangingChars="265"/>
        <w:rPr>
          <w:rFonts w:hint="eastAsia" w:ascii="仿宋" w:hAnsi="仿宋" w:eastAsia="仿宋" w:cs="仿宋"/>
          <w:b/>
          <w:bCs/>
          <w:color w:val="auto"/>
          <w:sz w:val="24"/>
          <w:highlight w:val="none"/>
        </w:rPr>
      </w:pPr>
    </w:p>
    <w:p w14:paraId="73DE9D0B">
      <w:pPr>
        <w:pStyle w:val="65"/>
        <w:widowControl w:val="0"/>
        <w:adjustRightInd w:val="0"/>
        <w:snapToGrid w:val="0"/>
        <w:spacing w:before="0" w:after="0" w:line="360" w:lineRule="auto"/>
        <w:ind w:left="745" w:hanging="745" w:hangingChars="265"/>
        <w:jc w:val="center"/>
        <w:rPr>
          <w:rFonts w:hint="eastAsia" w:ascii="仿宋" w:hAnsi="仿宋" w:eastAsia="仿宋" w:cs="仿宋"/>
          <w:bCs w:val="0"/>
          <w:color w:val="auto"/>
          <w:spacing w:val="0"/>
          <w:kern w:val="2"/>
          <w:sz w:val="28"/>
          <w:szCs w:val="28"/>
          <w:highlight w:val="none"/>
        </w:rPr>
      </w:pPr>
      <w:r>
        <w:rPr>
          <w:rFonts w:hint="eastAsia" w:ascii="仿宋" w:hAnsi="仿宋" w:eastAsia="仿宋" w:cs="仿宋"/>
          <w:b/>
          <w:color w:val="auto"/>
          <w:spacing w:val="0"/>
          <w:kern w:val="2"/>
          <w:sz w:val="28"/>
          <w:szCs w:val="28"/>
          <w:highlight w:val="none"/>
        </w:rPr>
        <w:t>二 招标文件</w:t>
      </w:r>
    </w:p>
    <w:p w14:paraId="4EA89EE4">
      <w:pPr>
        <w:adjustRightInd w:val="0"/>
        <w:snapToGrid w:val="0"/>
        <w:spacing w:line="360" w:lineRule="auto"/>
        <w:ind w:left="636" w:hanging="636" w:hangingChars="265"/>
        <w:rPr>
          <w:rFonts w:hint="eastAsia" w:ascii="仿宋" w:hAnsi="仿宋" w:eastAsia="仿宋" w:cs="仿宋"/>
          <w:color w:val="auto"/>
          <w:sz w:val="24"/>
          <w:highlight w:val="none"/>
        </w:rPr>
      </w:pPr>
    </w:p>
    <w:p w14:paraId="35F5056A">
      <w:pPr>
        <w:adjustRightInd w:val="0"/>
        <w:snapToGrid w:val="0"/>
        <w:spacing w:line="360" w:lineRule="auto"/>
        <w:ind w:left="638" w:hanging="638" w:hangingChars="26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5.  招标文件构成 </w:t>
      </w:r>
    </w:p>
    <w:p w14:paraId="112319C2">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5.1要求提供货物及伴随服务的内容及详细技术需求、投标须知和合同条件等在招标文件中均有说明。 </w:t>
      </w:r>
    </w:p>
    <w:p w14:paraId="47CDEEC6">
      <w:pPr>
        <w:adjustRightInd w:val="0"/>
        <w:snapToGrid w:val="0"/>
        <w:spacing w:line="360" w:lineRule="auto"/>
        <w:ind w:left="634" w:leftChars="302" w:firstLine="4"/>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招标文件共七章。各册的内容如下： </w:t>
      </w:r>
    </w:p>
    <w:p w14:paraId="58D98173">
      <w:pPr>
        <w:adjustRightInd w:val="0"/>
        <w:snapToGrid w:val="0"/>
        <w:spacing w:line="360" w:lineRule="auto"/>
        <w:ind w:left="634" w:leftChars="302" w:firstLine="4"/>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第一章 招标公告 </w:t>
      </w:r>
    </w:p>
    <w:p w14:paraId="7F16ED1D">
      <w:pPr>
        <w:adjustRightInd w:val="0"/>
        <w:snapToGrid w:val="0"/>
        <w:spacing w:line="360" w:lineRule="auto"/>
        <w:ind w:left="634" w:leftChars="302" w:firstLine="4"/>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第二章 投标须知前附表 </w:t>
      </w:r>
    </w:p>
    <w:p w14:paraId="3EC86EE0">
      <w:pPr>
        <w:adjustRightInd w:val="0"/>
        <w:snapToGrid w:val="0"/>
        <w:spacing w:line="360" w:lineRule="auto"/>
        <w:ind w:left="634" w:leftChars="302" w:firstLine="4"/>
        <w:rPr>
          <w:rFonts w:hint="eastAsia" w:ascii="仿宋" w:hAnsi="仿宋" w:eastAsia="仿宋" w:cs="仿宋"/>
          <w:color w:val="auto"/>
          <w:sz w:val="24"/>
          <w:highlight w:val="none"/>
        </w:rPr>
      </w:pPr>
      <w:r>
        <w:rPr>
          <w:rFonts w:hint="eastAsia" w:ascii="仿宋" w:hAnsi="仿宋" w:eastAsia="仿宋" w:cs="仿宋"/>
          <w:color w:val="auto"/>
          <w:sz w:val="24"/>
          <w:highlight w:val="none"/>
        </w:rPr>
        <w:t>第三章 投标人须知</w:t>
      </w:r>
    </w:p>
    <w:p w14:paraId="6B42168D">
      <w:pPr>
        <w:adjustRightInd w:val="0"/>
        <w:snapToGrid w:val="0"/>
        <w:spacing w:line="360" w:lineRule="auto"/>
        <w:ind w:left="634" w:leftChars="302" w:firstLine="4"/>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第四章 政府采购合同 </w:t>
      </w:r>
    </w:p>
    <w:p w14:paraId="3E590670">
      <w:pPr>
        <w:adjustRightInd w:val="0"/>
        <w:snapToGrid w:val="0"/>
        <w:spacing w:line="360" w:lineRule="auto"/>
        <w:ind w:left="634" w:leftChars="302" w:firstLine="4"/>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第五章 采购需求 </w:t>
      </w:r>
    </w:p>
    <w:p w14:paraId="196939E4">
      <w:pPr>
        <w:adjustRightInd w:val="0"/>
        <w:snapToGrid w:val="0"/>
        <w:spacing w:line="360" w:lineRule="auto"/>
        <w:ind w:left="634" w:leftChars="302" w:firstLine="4"/>
        <w:rPr>
          <w:rFonts w:hint="eastAsia" w:ascii="仿宋" w:hAnsi="仿宋" w:eastAsia="仿宋" w:cs="仿宋"/>
          <w:color w:val="auto"/>
          <w:sz w:val="24"/>
          <w:highlight w:val="none"/>
        </w:rPr>
      </w:pPr>
      <w:r>
        <w:rPr>
          <w:rFonts w:hint="eastAsia" w:ascii="仿宋" w:hAnsi="仿宋" w:eastAsia="仿宋" w:cs="仿宋"/>
          <w:color w:val="auto"/>
          <w:sz w:val="24"/>
          <w:highlight w:val="none"/>
        </w:rPr>
        <w:t>第六章 评标方法和标准</w:t>
      </w:r>
    </w:p>
    <w:p w14:paraId="0D9C02B8">
      <w:pPr>
        <w:adjustRightInd w:val="0"/>
        <w:snapToGrid w:val="0"/>
        <w:spacing w:line="360" w:lineRule="auto"/>
        <w:ind w:left="634" w:leftChars="302" w:firstLine="4"/>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第七章 投标文件格式 </w:t>
      </w:r>
    </w:p>
    <w:p w14:paraId="219E004D">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5.2  招标文件中有不一致的，有澄清的部分以最终的澄清更正内容为准；未澄</w:t>
      </w:r>
    </w:p>
    <w:p w14:paraId="48BB8C55">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清的，以</w:t>
      </w:r>
      <w:r>
        <w:rPr>
          <w:rFonts w:hint="eastAsia" w:ascii="仿宋" w:hAnsi="仿宋" w:eastAsia="仿宋" w:cs="仿宋"/>
          <w:color w:val="auto"/>
          <w:sz w:val="24"/>
          <w:highlight w:val="none"/>
          <w:u w:val="single"/>
        </w:rPr>
        <w:t>投标须知前附表</w:t>
      </w:r>
      <w:r>
        <w:rPr>
          <w:rFonts w:hint="eastAsia" w:ascii="仿宋" w:hAnsi="仿宋" w:eastAsia="仿宋" w:cs="仿宋"/>
          <w:color w:val="auto"/>
          <w:sz w:val="24"/>
          <w:highlight w:val="none"/>
        </w:rPr>
        <w:t>为准；</w:t>
      </w:r>
      <w:r>
        <w:rPr>
          <w:rFonts w:hint="eastAsia" w:ascii="仿宋" w:hAnsi="仿宋" w:eastAsia="仿宋" w:cs="仿宋"/>
          <w:color w:val="auto"/>
          <w:sz w:val="24"/>
          <w:highlight w:val="none"/>
          <w:u w:val="single"/>
        </w:rPr>
        <w:t>投标须知前附表</w:t>
      </w:r>
      <w:r>
        <w:rPr>
          <w:rFonts w:hint="eastAsia" w:ascii="仿宋" w:hAnsi="仿宋" w:eastAsia="仿宋" w:cs="仿宋"/>
          <w:color w:val="auto"/>
          <w:sz w:val="24"/>
          <w:highlight w:val="none"/>
        </w:rPr>
        <w:t>不涉及的内容，以编排在后的最</w:t>
      </w:r>
    </w:p>
    <w:p w14:paraId="16423DE3">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后描述为准。 </w:t>
      </w:r>
    </w:p>
    <w:p w14:paraId="69F63D6E">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5.3 投标人应认真阅读招标文件所有的事项、格式、条款和技术规范等。如投标</w:t>
      </w:r>
    </w:p>
    <w:p w14:paraId="494502CC">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人没有按照招标文件要求提交全部资料，或者投标文件没有对招标文件在各方面</w:t>
      </w:r>
    </w:p>
    <w:p w14:paraId="22223A3A">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都做出实质性响应是投标人的风险，其投标将被认定为</w:t>
      </w:r>
      <w:r>
        <w:rPr>
          <w:rFonts w:hint="eastAsia" w:ascii="仿宋" w:hAnsi="仿宋" w:eastAsia="仿宋" w:cs="仿宋"/>
          <w:b/>
          <w:color w:val="auto"/>
          <w:sz w:val="24"/>
          <w:highlight w:val="none"/>
        </w:rPr>
        <w:t>投标无效</w:t>
      </w:r>
      <w:r>
        <w:rPr>
          <w:rFonts w:hint="eastAsia" w:ascii="仿宋" w:hAnsi="仿宋" w:eastAsia="仿宋" w:cs="仿宋"/>
          <w:color w:val="auto"/>
          <w:sz w:val="24"/>
          <w:highlight w:val="none"/>
        </w:rPr>
        <w:t>。</w:t>
      </w:r>
    </w:p>
    <w:p w14:paraId="6FBA8A2D">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5.4 现场考察或者答疑会及相关事项见</w:t>
      </w:r>
      <w:r>
        <w:rPr>
          <w:rFonts w:hint="eastAsia" w:ascii="仿宋" w:hAnsi="仿宋" w:eastAsia="仿宋" w:cs="仿宋"/>
          <w:bCs w:val="0"/>
          <w:color w:val="auto"/>
          <w:spacing w:val="0"/>
          <w:kern w:val="2"/>
          <w:sz w:val="24"/>
          <w:szCs w:val="24"/>
          <w:highlight w:val="none"/>
          <w:u w:val="single"/>
        </w:rPr>
        <w:t>投标须知前附表</w:t>
      </w:r>
      <w:r>
        <w:rPr>
          <w:rFonts w:hint="eastAsia" w:ascii="仿宋" w:hAnsi="仿宋" w:eastAsia="仿宋" w:cs="仿宋"/>
          <w:bCs w:val="0"/>
          <w:color w:val="auto"/>
          <w:spacing w:val="0"/>
          <w:kern w:val="2"/>
          <w:sz w:val="24"/>
          <w:szCs w:val="24"/>
          <w:highlight w:val="none"/>
        </w:rPr>
        <w:t xml:space="preserve">。 </w:t>
      </w:r>
    </w:p>
    <w:p w14:paraId="3C358C8D">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5.5 原则上采购人、采购代理机构不要求投标人提供样品。除仅凭书面方式不能准确描述采购需求，或者需要对样品进行主观判断以确认是否满足采购需求等特殊情况除外。 </w:t>
      </w:r>
    </w:p>
    <w:p w14:paraId="6A611B5A">
      <w:pPr>
        <w:pStyle w:val="65"/>
        <w:widowControl w:val="0"/>
        <w:adjustRightInd w:val="0"/>
        <w:snapToGrid w:val="0"/>
        <w:spacing w:before="0" w:after="0" w:line="360" w:lineRule="auto"/>
        <w:ind w:firstLine="480" w:firstLineChars="200"/>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如需提供样品，对样品相关要求见</w:t>
      </w:r>
      <w:r>
        <w:rPr>
          <w:rFonts w:hint="eastAsia" w:ascii="仿宋" w:hAnsi="仿宋" w:eastAsia="仿宋" w:cs="仿宋"/>
          <w:bCs w:val="0"/>
          <w:color w:val="auto"/>
          <w:spacing w:val="0"/>
          <w:kern w:val="2"/>
          <w:sz w:val="24"/>
          <w:szCs w:val="24"/>
          <w:highlight w:val="none"/>
          <w:u w:val="single"/>
        </w:rPr>
        <w:t>投标须知前附表</w:t>
      </w:r>
      <w:r>
        <w:rPr>
          <w:rFonts w:hint="eastAsia" w:ascii="仿宋" w:hAnsi="仿宋" w:eastAsia="仿宋" w:cs="仿宋"/>
          <w:bCs w:val="0"/>
          <w:color w:val="auto"/>
          <w:spacing w:val="0"/>
          <w:kern w:val="2"/>
          <w:sz w:val="24"/>
          <w:szCs w:val="24"/>
          <w:highlight w:val="none"/>
        </w:rPr>
        <w:t xml:space="preserve">，对样品的评审方法及评审标准见招标文件第六章。 </w:t>
      </w:r>
    </w:p>
    <w:p w14:paraId="69FEEB62">
      <w:pPr>
        <w:adjustRightInd w:val="0"/>
        <w:snapToGrid w:val="0"/>
        <w:spacing w:line="360" w:lineRule="auto"/>
        <w:ind w:left="638" w:hanging="638" w:hangingChars="26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6. 招标文件的澄清与修改 </w:t>
      </w:r>
    </w:p>
    <w:p w14:paraId="53A19A7C">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6.1 采购人可主动地或在解答投标人提出的澄清问题时对招标文件进行澄清或</w:t>
      </w:r>
    </w:p>
    <w:p w14:paraId="0D44C4F7">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修改。采购代理机构将以发布澄清（更正）公告的方式，澄清或修改招标文件，</w:t>
      </w:r>
    </w:p>
    <w:p w14:paraId="39363807">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澄清或修改内容作为招标文件的组成部分。 </w:t>
      </w:r>
    </w:p>
    <w:p w14:paraId="41A79A22">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6.2 澄清或者修改的内容可能影响投标文件编制的，采购代理机构将以书面形式</w:t>
      </w:r>
    </w:p>
    <w:p w14:paraId="7F7D1E5A">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通知所有获取招标文件的潜在投标人，并对其具有约束力。投标人在收到上述通</w:t>
      </w:r>
    </w:p>
    <w:p w14:paraId="1CCA4D88">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知后，应及时向采购代理机构确认。投标人未回复的，视同已知晓澄清或者修改</w:t>
      </w:r>
    </w:p>
    <w:p w14:paraId="0D7ADF25">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的内容。 </w:t>
      </w:r>
    </w:p>
    <w:p w14:paraId="321CBDA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因潜在投标人原因或通讯线路故障导致通知逾期送达或无法送达，采购代理机构不因此承担任何责任，有关的招标采购活动可以继续有效进行。</w:t>
      </w:r>
    </w:p>
    <w:p w14:paraId="7182F425">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6.3  为了保证对招标文件的澄清和修改满足法律的时限要求，任何要求对招标</w:t>
      </w:r>
    </w:p>
    <w:p w14:paraId="0603D2FF">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文件进行澄清的投标人，均应在投标截止期十五日前，以书面形式将澄清要求通</w:t>
      </w:r>
    </w:p>
    <w:p w14:paraId="4A2D6D7D">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知采购代理机构，否则采购人不作任何解释。采购人或采购代理机构将发布澄清</w:t>
      </w:r>
    </w:p>
    <w:p w14:paraId="6312AD09">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公告或澄清通知，澄清内容为招标文件的组成部分。 </w:t>
      </w:r>
    </w:p>
    <w:p w14:paraId="23805359">
      <w:pPr>
        <w:adjustRightInd w:val="0"/>
        <w:snapToGrid w:val="0"/>
        <w:spacing w:line="360" w:lineRule="auto"/>
        <w:ind w:left="638" w:hanging="638" w:hangingChars="26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7. 投标截止时间的顺延 </w:t>
      </w:r>
    </w:p>
    <w:p w14:paraId="34A0CE8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为使投标人有足够的时间对招标文件的澄清或者修改部分进行研究而准备投标或因其他原因，采购人将依法决定是否顺延投标截止时间。</w:t>
      </w:r>
    </w:p>
    <w:p w14:paraId="35C56CB9">
      <w:pPr>
        <w:adjustRightInd w:val="0"/>
        <w:snapToGrid w:val="0"/>
        <w:spacing w:line="360" w:lineRule="auto"/>
        <w:ind w:left="636" w:hanging="636" w:hangingChars="265"/>
        <w:rPr>
          <w:rFonts w:hint="eastAsia" w:ascii="仿宋" w:hAnsi="仿宋" w:eastAsia="仿宋" w:cs="仿宋"/>
          <w:color w:val="auto"/>
          <w:sz w:val="24"/>
          <w:highlight w:val="none"/>
        </w:rPr>
      </w:pPr>
    </w:p>
    <w:p w14:paraId="7CD1EB79">
      <w:pPr>
        <w:pStyle w:val="65"/>
        <w:widowControl w:val="0"/>
        <w:adjustRightInd w:val="0"/>
        <w:snapToGrid w:val="0"/>
        <w:spacing w:before="0" w:after="0" w:line="360" w:lineRule="auto"/>
        <w:ind w:left="745" w:hanging="745" w:hangingChars="265"/>
        <w:jc w:val="center"/>
        <w:rPr>
          <w:rFonts w:hint="eastAsia" w:ascii="仿宋" w:hAnsi="仿宋" w:eastAsia="仿宋" w:cs="仿宋"/>
          <w:b/>
          <w:color w:val="auto"/>
          <w:spacing w:val="0"/>
          <w:kern w:val="2"/>
          <w:sz w:val="28"/>
          <w:szCs w:val="28"/>
          <w:highlight w:val="none"/>
        </w:rPr>
      </w:pPr>
      <w:r>
        <w:rPr>
          <w:rFonts w:hint="eastAsia" w:ascii="仿宋" w:hAnsi="仿宋" w:eastAsia="仿宋" w:cs="仿宋"/>
          <w:b/>
          <w:color w:val="auto"/>
          <w:spacing w:val="0"/>
          <w:kern w:val="2"/>
          <w:sz w:val="28"/>
          <w:szCs w:val="28"/>
          <w:highlight w:val="none"/>
        </w:rPr>
        <w:t>三 投标文件的编制</w:t>
      </w:r>
    </w:p>
    <w:p w14:paraId="655B9400">
      <w:pPr>
        <w:adjustRightInd w:val="0"/>
        <w:snapToGrid w:val="0"/>
        <w:spacing w:line="360" w:lineRule="auto"/>
        <w:ind w:left="636" w:hanging="636" w:hangingChars="265"/>
        <w:rPr>
          <w:rFonts w:hint="eastAsia" w:ascii="仿宋" w:hAnsi="仿宋" w:eastAsia="仿宋" w:cs="仿宋"/>
          <w:color w:val="auto"/>
          <w:sz w:val="24"/>
          <w:highlight w:val="none"/>
        </w:rPr>
      </w:pPr>
    </w:p>
    <w:p w14:paraId="3A74D663">
      <w:pPr>
        <w:pStyle w:val="65"/>
        <w:widowControl w:val="0"/>
        <w:adjustRightInd w:val="0"/>
        <w:snapToGrid w:val="0"/>
        <w:spacing w:before="0" w:after="0" w:line="360" w:lineRule="auto"/>
        <w:ind w:left="638" w:hanging="638"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8. 投标范围及投标文件中标准和计量单位的使用 </w:t>
      </w:r>
    </w:p>
    <w:p w14:paraId="64912C7A">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u w:val="single"/>
        </w:rPr>
      </w:pPr>
      <w:r>
        <w:rPr>
          <w:rFonts w:hint="eastAsia" w:ascii="仿宋" w:hAnsi="仿宋" w:eastAsia="仿宋" w:cs="仿宋"/>
          <w:bCs w:val="0"/>
          <w:color w:val="auto"/>
          <w:spacing w:val="0"/>
          <w:kern w:val="2"/>
          <w:sz w:val="24"/>
          <w:szCs w:val="24"/>
          <w:highlight w:val="none"/>
        </w:rPr>
        <w:t>8.1 投标人可对招标文件中一个或几个分包货物进行投标，除非在</w:t>
      </w:r>
      <w:r>
        <w:rPr>
          <w:rFonts w:hint="eastAsia" w:ascii="仿宋" w:hAnsi="仿宋" w:eastAsia="仿宋" w:cs="仿宋"/>
          <w:bCs w:val="0"/>
          <w:color w:val="auto"/>
          <w:spacing w:val="0"/>
          <w:kern w:val="2"/>
          <w:sz w:val="24"/>
          <w:szCs w:val="24"/>
          <w:highlight w:val="none"/>
          <w:u w:val="single"/>
        </w:rPr>
        <w:t>投标须知前附表</w:t>
      </w:r>
      <w:r>
        <w:rPr>
          <w:rFonts w:hint="eastAsia" w:ascii="仿宋" w:hAnsi="仿宋" w:eastAsia="仿宋" w:cs="仿宋"/>
          <w:bCs w:val="0"/>
          <w:color w:val="auto"/>
          <w:spacing w:val="0"/>
          <w:kern w:val="2"/>
          <w:sz w:val="24"/>
          <w:szCs w:val="24"/>
          <w:highlight w:val="none"/>
        </w:rPr>
        <w:t xml:space="preserve">中另有规定。 </w:t>
      </w:r>
    </w:p>
    <w:p w14:paraId="5A484270">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8.2 投标人应当对所投分包招标文件采购需求中“采购需求一览表”所列的所有内容进行投标，如仅响应分包中的部分内容，其该包投标将被认定为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 xml:space="preserve">。 </w:t>
      </w:r>
    </w:p>
    <w:p w14:paraId="5A1DBABA">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8.3 无论招标文件中是否要求，投标人所投货物及其伴随的服务和工程均应符合国家强制性标准。 </w:t>
      </w:r>
    </w:p>
    <w:p w14:paraId="7AB99293">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8.4 除招标文件中有特殊要求外，投标文件中所使用的计量单位，应采用中华人民共和国法定计量单位。 </w:t>
      </w:r>
    </w:p>
    <w:p w14:paraId="2DB04208">
      <w:pPr>
        <w:pStyle w:val="65"/>
        <w:widowControl w:val="0"/>
        <w:adjustRightInd w:val="0"/>
        <w:snapToGrid w:val="0"/>
        <w:spacing w:before="0" w:after="0" w:line="360" w:lineRule="auto"/>
        <w:ind w:left="638" w:hanging="638"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9.  投标文件组成 </w:t>
      </w:r>
    </w:p>
    <w:p w14:paraId="3DAB4479">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9.1 投标文件由“资格证明文件、经济、商务及技术文件”组成。投标人应完整地按照招标文件提供的投标文件格式及要求编写投标文件。投标文件中资格审查和符合性审查涉及的事项不满足招标文件要求的，其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 xml:space="preserve">。 </w:t>
      </w:r>
    </w:p>
    <w:p w14:paraId="6061E99B">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9.2 上述文件应按照招标文件的规定签署和盖电子公章。 </w:t>
      </w:r>
    </w:p>
    <w:p w14:paraId="1425E87D">
      <w:pPr>
        <w:pStyle w:val="65"/>
        <w:widowControl w:val="0"/>
        <w:adjustRightInd w:val="0"/>
        <w:snapToGrid w:val="0"/>
        <w:spacing w:before="0" w:after="0" w:line="360" w:lineRule="auto"/>
        <w:ind w:left="638" w:hanging="638"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10. 证明投标标的的合格性和符合招标文件规定的技术文件 </w:t>
      </w:r>
    </w:p>
    <w:p w14:paraId="67E2F722">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10.1 投标人应提交证明文件，证明其投标标的符合招标文件规定。该证明文件</w:t>
      </w:r>
    </w:p>
    <w:p w14:paraId="1CBAACBA">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是投标文件的技术文件。 </w:t>
      </w:r>
    </w:p>
    <w:p w14:paraId="06C6F2B6">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10.2 上款所述的证明文件，可以是文字资料、图纸和数据，它包括：</w:t>
      </w:r>
    </w:p>
    <w:p w14:paraId="10CDB8E6">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（1）货物主要技术指标和性能的详细说明。 </w:t>
      </w:r>
    </w:p>
    <w:p w14:paraId="7A51E537">
      <w:pPr>
        <w:pStyle w:val="65"/>
        <w:widowControl w:val="0"/>
        <w:adjustRightInd w:val="0"/>
        <w:snapToGrid w:val="0"/>
        <w:spacing w:before="0" w:after="0" w:line="360" w:lineRule="auto"/>
        <w:ind w:right="-48" w:rightChars="-23"/>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（2）货物从买方开始使用至招标文件规定的保质期内正常、连续地使用所必须的备件和专用工具清单，包括备件和专用工具的货源及现行价格。 </w:t>
      </w:r>
    </w:p>
    <w:p w14:paraId="1F87BBF1">
      <w:pPr>
        <w:pStyle w:val="65"/>
        <w:widowControl w:val="0"/>
        <w:adjustRightInd w:val="0"/>
        <w:snapToGrid w:val="0"/>
        <w:spacing w:before="0" w:after="0" w:line="360" w:lineRule="auto"/>
        <w:ind w:right="-48" w:rightChars="-23"/>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（3）对照招标文件技术规格，逐条说明所提供货物和服务已对招标文件的技术规格做出了实质性的响应，或申明与技术规格条文的偏差和例外。</w:t>
      </w:r>
    </w:p>
    <w:p w14:paraId="3F66FA0A">
      <w:pPr>
        <w:pStyle w:val="65"/>
        <w:widowControl w:val="0"/>
        <w:adjustRightInd w:val="0"/>
        <w:snapToGrid w:val="0"/>
        <w:spacing w:before="0" w:after="0" w:line="360" w:lineRule="auto"/>
        <w:ind w:right="-48" w:rightChars="-23"/>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10.3 投标人应注意采购人在技术规格中指出的工艺、材料和设备的参照品牌、牌号或分类号仅起说明作用，并没有任何限制性。投标人在投标中可以选用替代品牌、牌号或分类号，但这些替代要实质上相当于技术规格的要求。</w:t>
      </w:r>
      <w:r>
        <w:rPr>
          <w:rFonts w:hint="eastAsia" w:ascii="仿宋" w:hAnsi="仿宋" w:eastAsia="仿宋" w:cs="仿宋"/>
          <w:b/>
          <w:color w:val="auto"/>
          <w:spacing w:val="0"/>
          <w:kern w:val="2"/>
          <w:sz w:val="24"/>
          <w:szCs w:val="24"/>
          <w:highlight w:val="none"/>
        </w:rPr>
        <w:t>采购人、采购代理机构承诺不以上述参考品牌、牌号或分类号作为评标时判定其投标是否有效的标准</w:t>
      </w:r>
      <w:r>
        <w:rPr>
          <w:rFonts w:hint="eastAsia" w:ascii="仿宋" w:hAnsi="仿宋" w:eastAsia="仿宋" w:cs="仿宋"/>
          <w:bCs w:val="0"/>
          <w:color w:val="auto"/>
          <w:spacing w:val="0"/>
          <w:kern w:val="2"/>
          <w:sz w:val="24"/>
          <w:szCs w:val="24"/>
          <w:highlight w:val="none"/>
        </w:rPr>
        <w:t xml:space="preserve">。 </w:t>
      </w:r>
    </w:p>
    <w:p w14:paraId="2C95F848">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10.4 本条所指证明文件不包括对招标文件相关部分的文字、图标的复制。</w:t>
      </w:r>
    </w:p>
    <w:p w14:paraId="55B8854D">
      <w:pPr>
        <w:pStyle w:val="65"/>
        <w:widowControl w:val="0"/>
        <w:adjustRightInd w:val="0"/>
        <w:snapToGrid w:val="0"/>
        <w:spacing w:before="0" w:after="0" w:line="360" w:lineRule="auto"/>
        <w:ind w:left="638" w:hanging="638"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11. 投标报价 </w:t>
      </w:r>
    </w:p>
    <w:p w14:paraId="1223F4CA">
      <w:pPr>
        <w:pStyle w:val="65"/>
        <w:widowControl w:val="0"/>
        <w:adjustRightInd w:val="0"/>
        <w:snapToGrid w:val="0"/>
        <w:spacing w:before="0" w:after="0" w:line="360" w:lineRule="auto"/>
        <w:ind w:left="636" w:hanging="636"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11.1 投标人的报价应当包括满足本次招标全部采购需求所应提供的货物以及伴</w:t>
      </w:r>
    </w:p>
    <w:p w14:paraId="45584E0E">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随的服务和工程。所有投标均以人民币报价。投标人的投标报价应遵守《中华人民共和国价格法》。同时，根据《中华人民共和国政府采购法》及相关配套法律、法规的规定，为保证公平竞争，如投标人有货物主体部分的赠与行为，将导致其</w:t>
      </w:r>
      <w:r>
        <w:rPr>
          <w:rFonts w:hint="eastAsia" w:ascii="仿宋" w:hAnsi="仿宋" w:eastAsia="仿宋" w:cs="仿宋"/>
          <w:b/>
          <w:color w:val="auto"/>
          <w:spacing w:val="0"/>
          <w:kern w:val="2"/>
          <w:sz w:val="24"/>
          <w:szCs w:val="24"/>
          <w:highlight w:val="none"/>
        </w:rPr>
        <w:t>投标被拒绝</w:t>
      </w:r>
      <w:r>
        <w:rPr>
          <w:rFonts w:hint="eastAsia" w:ascii="仿宋" w:hAnsi="仿宋" w:eastAsia="仿宋" w:cs="仿宋"/>
          <w:bCs w:val="0"/>
          <w:color w:val="auto"/>
          <w:spacing w:val="0"/>
          <w:kern w:val="2"/>
          <w:sz w:val="24"/>
          <w:szCs w:val="24"/>
          <w:highlight w:val="none"/>
        </w:rPr>
        <w:t xml:space="preserve">。 </w:t>
      </w:r>
    </w:p>
    <w:p w14:paraId="25718090">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11.2 投标人应在投标分项报价表上标明货物及伴随的服务和工程的单价（如适</w:t>
      </w:r>
    </w:p>
    <w:p w14:paraId="36915824">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用）和总价，并由法定代表人或委托代理人签字或盖章。 </w:t>
      </w:r>
    </w:p>
    <w:p w14:paraId="00A07B1C">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11.3 投标人所报的各分项投标单价在合同履行过程中是固定不变的，不得以任何理由予以变更。任何包含价格调整要求的投标，其投标将被认定为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 xml:space="preserve">。 </w:t>
      </w:r>
    </w:p>
    <w:p w14:paraId="6E39365A">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11.4 每种货物及伴随的服务只能有一个投标报价，否则其投标将被认定为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 xml:space="preserve">，采购人不接受具有附加条件的报价。 </w:t>
      </w:r>
    </w:p>
    <w:p w14:paraId="41606758">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11.5 投标分项报价表上的价格应按下列方式填写：</w:t>
      </w:r>
    </w:p>
    <w:p w14:paraId="47D1633F">
      <w:pPr>
        <w:pStyle w:val="65"/>
        <w:widowControl w:val="0"/>
        <w:adjustRightInd w:val="0"/>
        <w:snapToGrid w:val="0"/>
        <w:spacing w:before="0" w:after="0" w:line="360" w:lineRule="auto"/>
        <w:ind w:firstLine="480" w:firstLineChars="200"/>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投标货物（包括备品备件、专用工具等）的出厂价（包括已在中国国内的进口货物完税后的仓库交货价、展室交货价或货架交货价），投标货物安装、调试、检验、技术服务、培训和招标文件要求提供的所有伴随服务、工程等费用，货物运至最终目的地的运输费和保险费用。</w:t>
      </w:r>
    </w:p>
    <w:p w14:paraId="0E7CDA7B">
      <w:pPr>
        <w:pStyle w:val="65"/>
        <w:widowControl w:val="0"/>
        <w:adjustRightInd w:val="0"/>
        <w:snapToGrid w:val="0"/>
        <w:spacing w:before="0" w:after="0" w:line="360" w:lineRule="auto"/>
        <w:ind w:left="638" w:hanging="638"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12. 投标保证金 </w:t>
      </w:r>
    </w:p>
    <w:p w14:paraId="5CD87C09">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12.1 投标人应提交</w:t>
      </w:r>
      <w:r>
        <w:rPr>
          <w:rFonts w:hint="eastAsia" w:ascii="仿宋" w:hAnsi="仿宋" w:eastAsia="仿宋" w:cs="仿宋"/>
          <w:bCs w:val="0"/>
          <w:color w:val="auto"/>
          <w:spacing w:val="0"/>
          <w:kern w:val="2"/>
          <w:sz w:val="24"/>
          <w:szCs w:val="24"/>
          <w:highlight w:val="none"/>
          <w:u w:val="single"/>
        </w:rPr>
        <w:t>投标须知前附表</w:t>
      </w:r>
      <w:r>
        <w:rPr>
          <w:rFonts w:hint="eastAsia" w:ascii="仿宋" w:hAnsi="仿宋" w:eastAsia="仿宋" w:cs="仿宋"/>
          <w:bCs w:val="0"/>
          <w:color w:val="auto"/>
          <w:spacing w:val="0"/>
          <w:kern w:val="2"/>
          <w:sz w:val="24"/>
          <w:szCs w:val="24"/>
          <w:highlight w:val="none"/>
        </w:rPr>
        <w:t>中规定的投标保证金，并作为其投标的一部</w:t>
      </w:r>
    </w:p>
    <w:p w14:paraId="0D7FA558">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分。 </w:t>
      </w:r>
    </w:p>
    <w:p w14:paraId="32127334">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12.2 投标保证金是为了保护采购人和采购代理机构免遭因投标人的行为蒙受损</w:t>
      </w:r>
    </w:p>
    <w:p w14:paraId="049AC77D">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失而要求的。 </w:t>
      </w:r>
    </w:p>
    <w:p w14:paraId="3A64C419">
      <w:pPr>
        <w:pStyle w:val="65"/>
        <w:widowControl w:val="0"/>
        <w:adjustRightInd w:val="0"/>
        <w:snapToGrid w:val="0"/>
        <w:spacing w:before="0" w:after="0" w:line="360" w:lineRule="auto"/>
        <w:ind w:firstLine="482" w:firstLineChars="200"/>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下列任何情况发生，投标保证金不予退还： </w:t>
      </w:r>
    </w:p>
    <w:p w14:paraId="39A04930">
      <w:pPr>
        <w:pStyle w:val="65"/>
        <w:widowControl w:val="0"/>
        <w:adjustRightInd w:val="0"/>
        <w:snapToGrid w:val="0"/>
        <w:spacing w:before="0" w:after="0" w:line="360" w:lineRule="auto"/>
        <w:ind w:left="636" w:leftChars="303"/>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（1）在投标有效期内，投标人撤回投标的； </w:t>
      </w:r>
    </w:p>
    <w:p w14:paraId="2A75FA45">
      <w:pPr>
        <w:pStyle w:val="65"/>
        <w:widowControl w:val="0"/>
        <w:adjustRightInd w:val="0"/>
        <w:snapToGrid w:val="0"/>
        <w:spacing w:before="0" w:after="0" w:line="360" w:lineRule="auto"/>
        <w:ind w:left="636" w:leftChars="303"/>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（2）中标人不按本招标文件的规定与采购人签订合同的； </w:t>
      </w:r>
    </w:p>
    <w:p w14:paraId="451A1868">
      <w:pPr>
        <w:pStyle w:val="65"/>
        <w:widowControl w:val="0"/>
        <w:adjustRightInd w:val="0"/>
        <w:snapToGrid w:val="0"/>
        <w:spacing w:before="0" w:after="0" w:line="360" w:lineRule="auto"/>
        <w:ind w:left="636" w:leftChars="303"/>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（3）中标人不按本招标文件的规定提交履约保证金的； </w:t>
      </w:r>
    </w:p>
    <w:p w14:paraId="48E3D267">
      <w:pPr>
        <w:pStyle w:val="65"/>
        <w:widowControl w:val="0"/>
        <w:adjustRightInd w:val="0"/>
        <w:snapToGrid w:val="0"/>
        <w:spacing w:before="0" w:after="0" w:line="360" w:lineRule="auto"/>
        <w:ind w:left="636" w:leftChars="303"/>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（4）中标人不按本招标文件的规定缴纳中标服务费的； </w:t>
      </w:r>
    </w:p>
    <w:p w14:paraId="3497B0AA">
      <w:pPr>
        <w:pStyle w:val="65"/>
        <w:widowControl w:val="0"/>
        <w:adjustRightInd w:val="0"/>
        <w:snapToGrid w:val="0"/>
        <w:spacing w:before="0" w:after="0" w:line="360" w:lineRule="auto"/>
        <w:ind w:left="636" w:leftChars="303"/>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（5）存在的串通投标情形的； </w:t>
      </w:r>
    </w:p>
    <w:p w14:paraId="466F6CFD">
      <w:pPr>
        <w:pStyle w:val="65"/>
        <w:widowControl w:val="0"/>
        <w:adjustRightInd w:val="0"/>
        <w:snapToGrid w:val="0"/>
        <w:spacing w:before="0" w:after="0" w:line="360" w:lineRule="auto"/>
        <w:ind w:left="636" w:leftChars="303"/>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（6）存在向采购人、代理机构或评标专家行贿事实的； </w:t>
      </w:r>
    </w:p>
    <w:p w14:paraId="39A6C468">
      <w:pPr>
        <w:pStyle w:val="65"/>
        <w:widowControl w:val="0"/>
        <w:adjustRightInd w:val="0"/>
        <w:snapToGrid w:val="0"/>
        <w:spacing w:before="0" w:after="0" w:line="360" w:lineRule="auto"/>
        <w:ind w:left="636" w:leftChars="303"/>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（7）法律、法规规定的其它情况。</w:t>
      </w:r>
    </w:p>
    <w:p w14:paraId="75197B1F">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12.3 投标保证金可采用下列形式之一： </w:t>
      </w:r>
    </w:p>
    <w:p w14:paraId="068F6C50">
      <w:pPr>
        <w:pStyle w:val="65"/>
        <w:widowControl w:val="0"/>
        <w:adjustRightInd w:val="0"/>
        <w:snapToGrid w:val="0"/>
        <w:spacing w:before="0" w:after="0" w:line="360" w:lineRule="auto"/>
        <w:ind w:firstLine="720" w:firstLineChars="300"/>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电汇、转账，以及</w:t>
      </w:r>
      <w:r>
        <w:rPr>
          <w:rFonts w:hint="eastAsia" w:ascii="仿宋" w:hAnsi="仿宋" w:eastAsia="仿宋" w:cs="仿宋"/>
          <w:bCs w:val="0"/>
          <w:color w:val="auto"/>
          <w:spacing w:val="0"/>
          <w:kern w:val="2"/>
          <w:sz w:val="24"/>
          <w:szCs w:val="24"/>
          <w:highlight w:val="none"/>
          <w:u w:val="single"/>
        </w:rPr>
        <w:t>投标须知前附表</w:t>
      </w:r>
      <w:r>
        <w:rPr>
          <w:rFonts w:hint="eastAsia" w:ascii="仿宋" w:hAnsi="仿宋" w:eastAsia="仿宋" w:cs="仿宋"/>
          <w:bCs w:val="0"/>
          <w:color w:val="auto"/>
          <w:spacing w:val="0"/>
          <w:kern w:val="2"/>
          <w:sz w:val="24"/>
          <w:szCs w:val="24"/>
          <w:highlight w:val="none"/>
        </w:rPr>
        <w:t xml:space="preserve">中可接受的其他形式； </w:t>
      </w:r>
    </w:p>
    <w:p w14:paraId="27EAACFE">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12.4 投标人没有根据本须知 12.1 和第 12.3 条规定提交投标保证金的，其投</w:t>
      </w:r>
    </w:p>
    <w:p w14:paraId="1B3DC46E">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 xml:space="preserve">。 </w:t>
      </w:r>
    </w:p>
    <w:p w14:paraId="2A4ECEDB">
      <w:pPr>
        <w:pStyle w:val="65"/>
        <w:widowControl w:val="0"/>
        <w:adjustRightInd w:val="0"/>
        <w:snapToGrid w:val="0"/>
        <w:spacing w:before="0" w:after="0" w:line="360" w:lineRule="auto"/>
        <w:ind w:firstLine="480" w:firstLineChars="200"/>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采用电汇、转账等形式提交投标保证金的，投标人则应充分考虑入账时间，以确保投标保证金能按时进入指定账户。根据银行信息交换和付款时间，建议投标人投标截止日前 2-3 个工作日提交投标保证金。如投标人未及时提交投标保证，导致投标保证金不能按时进入指定账户的，将按照招标文件的第 22.2 条相关规定处理。</w:t>
      </w:r>
    </w:p>
    <w:p w14:paraId="1C89A947">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12.5 联合体投标的，可以由联合体中的一方或者共同提交投标保证金，以一方</w:t>
      </w:r>
    </w:p>
    <w:p w14:paraId="5B39A84F">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名义提交投标保证金的，对联合体各方均具有约束力。（本项目不适用） </w:t>
      </w:r>
    </w:p>
    <w:p w14:paraId="0BCE3C21">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12.6 中标人应在与采购人签订合同之日起 5 个工作日内及时联系采购代理机</w:t>
      </w:r>
    </w:p>
    <w:p w14:paraId="44D5B76E">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构办理投标保证金无息退还手续。 </w:t>
      </w:r>
    </w:p>
    <w:p w14:paraId="36BE845D">
      <w:pPr>
        <w:pStyle w:val="65"/>
        <w:widowControl w:val="0"/>
        <w:adjustRightInd w:val="0"/>
        <w:snapToGrid w:val="0"/>
        <w:spacing w:before="0" w:after="0" w:line="360" w:lineRule="auto"/>
        <w:ind w:firstLine="480" w:firstLineChars="200"/>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未中标投标人的投标保证金将在中标通知书发出之日暨中标结果公告公布之日起 5 个工作日内，及时联系采购人或采购代理机构办理无息退还投标保证金手续，因投标人自身原因导致无法及时退还的，采购人或采购代理机构将不承担资金占用费。 </w:t>
      </w:r>
    </w:p>
    <w:p w14:paraId="32BBDC4C">
      <w:pPr>
        <w:pStyle w:val="65"/>
        <w:widowControl w:val="0"/>
        <w:adjustRightInd w:val="0"/>
        <w:snapToGrid w:val="0"/>
        <w:spacing w:before="0" w:after="0" w:line="360" w:lineRule="auto"/>
        <w:ind w:left="638" w:hanging="638"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13. 投标有效期 </w:t>
      </w:r>
    </w:p>
    <w:p w14:paraId="11941D72">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13.1 投标应在规定的提交投标文件截止之日起，按照</w:t>
      </w:r>
      <w:r>
        <w:rPr>
          <w:rFonts w:hint="eastAsia" w:ascii="仿宋" w:hAnsi="仿宋" w:eastAsia="仿宋" w:cs="仿宋"/>
          <w:bCs w:val="0"/>
          <w:color w:val="auto"/>
          <w:spacing w:val="0"/>
          <w:kern w:val="2"/>
          <w:sz w:val="24"/>
          <w:szCs w:val="24"/>
          <w:highlight w:val="none"/>
          <w:u w:val="single"/>
        </w:rPr>
        <w:t>投标须知前附表</w:t>
      </w:r>
      <w:r>
        <w:rPr>
          <w:rFonts w:hint="eastAsia" w:ascii="仿宋" w:hAnsi="仿宋" w:eastAsia="仿宋" w:cs="仿宋"/>
          <w:bCs w:val="0"/>
          <w:color w:val="auto"/>
          <w:spacing w:val="0"/>
          <w:kern w:val="2"/>
          <w:sz w:val="24"/>
          <w:szCs w:val="24"/>
          <w:highlight w:val="none"/>
        </w:rPr>
        <w:t>中规定时</w:t>
      </w:r>
    </w:p>
    <w:p w14:paraId="7490C4E6">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间内保持有效。投标有效期不满足要求的投标，其投标将被认定为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w:t>
      </w:r>
    </w:p>
    <w:p w14:paraId="09FEEDFC">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13.2 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其投标保证金将无息退还。上述要求和答复都应以书面形式提交。 </w:t>
      </w:r>
    </w:p>
    <w:p w14:paraId="2A2573DC">
      <w:pPr>
        <w:pStyle w:val="65"/>
        <w:widowControl w:val="0"/>
        <w:adjustRightInd w:val="0"/>
        <w:snapToGrid w:val="0"/>
        <w:spacing w:before="0" w:after="0" w:line="360" w:lineRule="auto"/>
        <w:ind w:left="638" w:hanging="638"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
          <w:color w:val="auto"/>
          <w:spacing w:val="0"/>
          <w:kern w:val="2"/>
          <w:sz w:val="24"/>
          <w:szCs w:val="24"/>
          <w:highlight w:val="none"/>
        </w:rPr>
        <w:t>14. 投标文件的制作</w:t>
      </w:r>
    </w:p>
    <w:p w14:paraId="53433DA9">
      <w:pPr>
        <w:pStyle w:val="65"/>
        <w:adjustRightInd w:val="0"/>
        <w:snapToGrid w:val="0"/>
        <w:spacing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14.1 电子投标文件使用政采云平台响应文件制作工具以及招标文件要求进行制作编制。投标文件制作时，按照招标文件中明确的投标文件目录和格式进行编制，保证目录清晰、内容完整。</w:t>
      </w:r>
    </w:p>
    <w:p w14:paraId="73DAFD1C">
      <w:pPr>
        <w:pStyle w:val="65"/>
        <w:adjustRightInd w:val="0"/>
        <w:snapToGrid w:val="0"/>
        <w:spacing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14.2 电子投标文件须使用投标人电子公章及法定代表人的电子签名。若无电子签章和签名，则视为无效响应。</w:t>
      </w:r>
    </w:p>
    <w:p w14:paraId="686BCD4A">
      <w:pPr>
        <w:pStyle w:val="65"/>
        <w:adjustRightInd w:val="0"/>
        <w:snapToGrid w:val="0"/>
        <w:spacing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14.3 电子招投标文件具有法律效力，与其他形式的招投标文件在内容和格式上等同，若投标文件与招标文件要求不一致，其内容影响中标结果时，责任由投标人自行承担。投标人递交的电子响应文件因投标人自身原因而导致无法导入电子辅助评标系统，该投标文件视为无效投标文件，将导致其投标被拒绝。</w:t>
      </w:r>
    </w:p>
    <w:p w14:paraId="21B89693">
      <w:pPr>
        <w:pStyle w:val="65"/>
        <w:adjustRightInd w:val="0"/>
        <w:snapToGrid w:val="0"/>
        <w:spacing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14.4 未按招标文件要求签署和盖章的投标文件，其投标将被认定为投标无效。</w:t>
      </w:r>
    </w:p>
    <w:p w14:paraId="173F7981">
      <w:pPr>
        <w:pStyle w:val="65"/>
        <w:widowControl w:val="0"/>
        <w:adjustRightInd w:val="0"/>
        <w:snapToGrid w:val="0"/>
        <w:spacing w:before="0" w:after="0" w:line="360" w:lineRule="auto"/>
        <w:ind w:left="745" w:hanging="745" w:hangingChars="265"/>
        <w:jc w:val="center"/>
        <w:rPr>
          <w:rFonts w:hint="eastAsia" w:ascii="仿宋" w:hAnsi="仿宋" w:eastAsia="仿宋" w:cs="仿宋"/>
          <w:b/>
          <w:color w:val="auto"/>
          <w:spacing w:val="0"/>
          <w:kern w:val="2"/>
          <w:sz w:val="28"/>
          <w:szCs w:val="28"/>
          <w:highlight w:val="none"/>
        </w:rPr>
      </w:pPr>
      <w:r>
        <w:rPr>
          <w:rFonts w:hint="eastAsia" w:ascii="仿宋" w:hAnsi="仿宋" w:eastAsia="仿宋" w:cs="仿宋"/>
          <w:b/>
          <w:color w:val="auto"/>
          <w:spacing w:val="0"/>
          <w:kern w:val="2"/>
          <w:sz w:val="28"/>
          <w:szCs w:val="28"/>
          <w:highlight w:val="none"/>
        </w:rPr>
        <w:t>四  投标文件的递交</w:t>
      </w:r>
    </w:p>
    <w:p w14:paraId="3F300B92">
      <w:pPr>
        <w:pStyle w:val="65"/>
        <w:widowControl w:val="0"/>
        <w:adjustRightInd w:val="0"/>
        <w:snapToGrid w:val="0"/>
        <w:spacing w:before="0" w:after="0" w:line="360" w:lineRule="auto"/>
        <w:ind w:left="638" w:hanging="638"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15. 投标文件的密封和标记 </w:t>
      </w:r>
    </w:p>
    <w:p w14:paraId="357D53FD">
      <w:pPr>
        <w:pStyle w:val="65"/>
        <w:adjustRightInd w:val="0"/>
        <w:snapToGrid w:val="0"/>
        <w:spacing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15.1加密的电子响应文件（.jmbs格式）应在响应文件递交截止时间前通过政采云平台上传完成。</w:t>
      </w:r>
    </w:p>
    <w:p w14:paraId="51577C72">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15.2 逾期上传或者未上传指定地点的响应文件，采购人不予受理。 </w:t>
      </w:r>
    </w:p>
    <w:p w14:paraId="673577E2">
      <w:pPr>
        <w:pStyle w:val="65"/>
        <w:widowControl w:val="0"/>
        <w:adjustRightInd w:val="0"/>
        <w:snapToGrid w:val="0"/>
        <w:spacing w:before="0" w:after="0" w:line="360" w:lineRule="auto"/>
        <w:ind w:left="638" w:hanging="638"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
          <w:color w:val="auto"/>
          <w:spacing w:val="0"/>
          <w:kern w:val="2"/>
          <w:sz w:val="24"/>
          <w:szCs w:val="24"/>
          <w:highlight w:val="none"/>
        </w:rPr>
        <w:t>16. 投标截止</w:t>
      </w:r>
    </w:p>
    <w:p w14:paraId="0A87060F">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16.1 投标人应在</w:t>
      </w:r>
      <w:r>
        <w:rPr>
          <w:rFonts w:hint="eastAsia" w:ascii="仿宋" w:hAnsi="仿宋" w:eastAsia="仿宋" w:cs="仿宋"/>
          <w:bCs w:val="0"/>
          <w:color w:val="auto"/>
          <w:spacing w:val="0"/>
          <w:kern w:val="2"/>
          <w:sz w:val="24"/>
          <w:szCs w:val="24"/>
          <w:highlight w:val="none"/>
          <w:u w:val="single"/>
        </w:rPr>
        <w:t>投标须知前附表</w:t>
      </w:r>
      <w:r>
        <w:rPr>
          <w:rFonts w:hint="eastAsia" w:ascii="仿宋" w:hAnsi="仿宋" w:eastAsia="仿宋" w:cs="仿宋"/>
          <w:bCs w:val="0"/>
          <w:color w:val="auto"/>
          <w:spacing w:val="0"/>
          <w:kern w:val="2"/>
          <w:sz w:val="24"/>
          <w:szCs w:val="24"/>
          <w:highlight w:val="none"/>
        </w:rPr>
        <w:t>中规定的截止时间前，将投标文件递交到政采云平台。</w:t>
      </w:r>
    </w:p>
    <w:p w14:paraId="3ED7000F">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16.2 采购人和采购代理机构有权按本须知的规定，通过修改招标文件，延长投</w:t>
      </w:r>
    </w:p>
    <w:p w14:paraId="4E3D1A01">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标截止期。在此情况下，采购人、采购代理机构和投标人受投标截止期制约的所有权利和义务均应延长至新的截止期。 </w:t>
      </w:r>
    </w:p>
    <w:p w14:paraId="718E5DA2">
      <w:pPr>
        <w:pStyle w:val="65"/>
        <w:widowControl w:val="0"/>
        <w:adjustRightInd w:val="0"/>
        <w:snapToGrid w:val="0"/>
        <w:spacing w:before="0" w:after="0" w:line="360" w:lineRule="auto"/>
        <w:ind w:left="638" w:hanging="638"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17. 投标文件的接收、修改与撤回 </w:t>
      </w:r>
    </w:p>
    <w:p w14:paraId="2DC1C5E3">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17.1投标人应在投标须知前附表中规定的截止时间前，可以撤回已上传的投标文件。如要修改，必须在撤回并修改后在规定的投标文件递交截止时间之前将修改后的投标文件再重新上传。在投标文件递交截止时间之后，投标人不得对上传的投标文件撤销或修改。</w:t>
      </w:r>
    </w:p>
    <w:p w14:paraId="1E3A1FD8">
      <w:pPr>
        <w:widowControl/>
        <w:spacing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28"/>
          <w:szCs w:val="28"/>
          <w:highlight w:val="none"/>
        </w:rPr>
        <w:t>五 开标及评标</w:t>
      </w:r>
    </w:p>
    <w:p w14:paraId="4C9D3B74">
      <w:pPr>
        <w:pStyle w:val="65"/>
        <w:widowControl w:val="0"/>
        <w:adjustRightInd w:val="0"/>
        <w:snapToGrid w:val="0"/>
        <w:spacing w:before="0" w:after="0" w:line="360" w:lineRule="auto"/>
        <w:ind w:left="638" w:hanging="638"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18. 开标 </w:t>
      </w:r>
    </w:p>
    <w:p w14:paraId="6897192A">
      <w:pPr>
        <w:pStyle w:val="65"/>
        <w:widowControl w:val="0"/>
        <w:adjustRightInd w:val="0"/>
        <w:snapToGrid w:val="0"/>
        <w:spacing w:before="0" w:after="0" w:line="360" w:lineRule="auto"/>
        <w:ind w:left="660" w:hanging="660" w:hangingChars="27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18.1 采购人和采购代理机构将按</w:t>
      </w:r>
      <w:r>
        <w:rPr>
          <w:rFonts w:hint="eastAsia" w:ascii="仿宋" w:hAnsi="仿宋" w:eastAsia="仿宋" w:cs="仿宋"/>
          <w:bCs w:val="0"/>
          <w:color w:val="auto"/>
          <w:spacing w:val="0"/>
          <w:kern w:val="2"/>
          <w:sz w:val="24"/>
          <w:szCs w:val="24"/>
          <w:highlight w:val="none"/>
          <w:u w:val="single"/>
        </w:rPr>
        <w:t>投标须知前附表</w:t>
      </w:r>
      <w:r>
        <w:rPr>
          <w:rFonts w:hint="eastAsia" w:ascii="仿宋" w:hAnsi="仿宋" w:eastAsia="仿宋" w:cs="仿宋"/>
          <w:bCs w:val="0"/>
          <w:color w:val="auto"/>
          <w:spacing w:val="0"/>
          <w:kern w:val="2"/>
          <w:sz w:val="24"/>
          <w:szCs w:val="24"/>
          <w:highlight w:val="none"/>
        </w:rPr>
        <w:t>中规定的开标时间组织</w:t>
      </w:r>
    </w:p>
    <w:p w14:paraId="38D0DE23">
      <w:pPr>
        <w:pStyle w:val="65"/>
        <w:widowControl w:val="0"/>
        <w:adjustRightInd w:val="0"/>
        <w:snapToGrid w:val="0"/>
        <w:spacing w:before="0" w:after="0" w:line="360" w:lineRule="auto"/>
        <w:ind w:left="660" w:hanging="660" w:hangingChars="27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公开开标并邀请所有投标人代表参加。投标人不足 3 家的，不予开标。 </w:t>
      </w:r>
    </w:p>
    <w:p w14:paraId="6A82C505">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18.2 开标前，采购代理机构将会同监督人员或公证人员进行验标（检查网上招标系统正常与否，检查未加密的电子投标文件，检查投标人保证金交纳情况），确认无误后开标。开标时，各投标人应对本单位的加密的电子投标文件现场解密，采购代理机构工作人员在监督人员或公证人员监督下解密所有投标文件。 </w:t>
      </w:r>
    </w:p>
    <w:p w14:paraId="01975BAB">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18.3 采购人或采购代理机构将对开标过程进行记录，并存档备查。投标人未派代表参加开标的，视同投标人认可开标结果。 </w:t>
      </w:r>
    </w:p>
    <w:p w14:paraId="343E6CD3">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18.4 投标人代表对开标过程和开标记录有疑义，以及认为开标现场采购人、采购代理机构相关工作人员有需要回避的情形的，应当场提出询问或者回避申请。 </w:t>
      </w:r>
    </w:p>
    <w:p w14:paraId="4FBE5E54">
      <w:pPr>
        <w:pStyle w:val="65"/>
        <w:widowControl w:val="0"/>
        <w:adjustRightInd w:val="0"/>
        <w:snapToGrid w:val="0"/>
        <w:spacing w:before="0" w:after="0" w:line="360" w:lineRule="auto"/>
        <w:ind w:left="638" w:hanging="638"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19. 资格审查及组建评标委员会 </w:t>
      </w:r>
    </w:p>
    <w:p w14:paraId="4E136BFA">
      <w:pPr>
        <w:pStyle w:val="65"/>
        <w:widowControl w:val="0"/>
        <w:adjustRightInd w:val="0"/>
        <w:snapToGrid w:val="0"/>
        <w:spacing w:before="0" w:after="0" w:line="360" w:lineRule="auto"/>
        <w:rPr>
          <w:rFonts w:hint="eastAsia" w:ascii="仿宋" w:hAnsi="仿宋" w:eastAsia="仿宋" w:cs="仿宋"/>
          <w:b/>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19.1 采购人或采购代理机构依据法律法规和招标文件中规定的内容，对投标人及其投标货物及服务的资格进行审查，未通过资格审查的投标人不进入评标；资格证明文件未装在“投标文件”中的，将被认定为未通过资格审查；通过资格审查的投标人少于三家的，不进行评标。</w:t>
      </w:r>
    </w:p>
    <w:p w14:paraId="14752C0E">
      <w:pPr>
        <w:pStyle w:val="65"/>
        <w:widowControl w:val="0"/>
        <w:adjustRightInd w:val="0"/>
        <w:snapToGrid w:val="0"/>
        <w:spacing w:before="0" w:after="0" w:line="360" w:lineRule="auto"/>
        <w:ind w:left="660" w:hanging="660" w:hangingChars="27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19.2 采购代理机构将按</w:t>
      </w:r>
      <w:r>
        <w:rPr>
          <w:rFonts w:hint="eastAsia" w:ascii="仿宋" w:hAnsi="仿宋" w:eastAsia="仿宋" w:cs="仿宋"/>
          <w:bCs w:val="0"/>
          <w:color w:val="auto"/>
          <w:spacing w:val="0"/>
          <w:kern w:val="2"/>
          <w:sz w:val="24"/>
          <w:szCs w:val="24"/>
          <w:highlight w:val="none"/>
          <w:u w:val="single"/>
        </w:rPr>
        <w:t>投标须知前附表</w:t>
      </w:r>
      <w:r>
        <w:rPr>
          <w:rFonts w:hint="eastAsia" w:ascii="仿宋" w:hAnsi="仿宋" w:eastAsia="仿宋" w:cs="仿宋"/>
          <w:bCs w:val="0"/>
          <w:color w:val="auto"/>
          <w:spacing w:val="0"/>
          <w:kern w:val="2"/>
          <w:sz w:val="24"/>
          <w:szCs w:val="24"/>
          <w:highlight w:val="none"/>
        </w:rPr>
        <w:t xml:space="preserve">中规定的时间查询投标人的信用记录。 </w:t>
      </w:r>
    </w:p>
    <w:p w14:paraId="0069F0C2">
      <w:pPr>
        <w:pStyle w:val="65"/>
        <w:widowControl w:val="0"/>
        <w:adjustRightInd w:val="0"/>
        <w:snapToGrid w:val="0"/>
        <w:spacing w:before="0" w:after="0" w:line="360" w:lineRule="auto"/>
        <w:ind w:left="-1"/>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19.2.1投标人在中国政府采购网（www.ccgp.gov.cn）被列入政府采购严重违法失信行为记录名单，在“信用中国”网站（www.creditchina.gov.cn）被列入失信被执行人、重大税收违法案件当事人名单，</w:t>
      </w:r>
      <w:r>
        <w:rPr>
          <w:rFonts w:hint="eastAsia" w:ascii="仿宋" w:hAnsi="仿宋" w:eastAsia="仿宋" w:cs="仿宋"/>
          <w:color w:val="auto"/>
          <w:sz w:val="24"/>
          <w:highlight w:val="none"/>
        </w:rPr>
        <w:t>被列入新疆税务局失信惩戒企业名单</w:t>
      </w:r>
      <w:r>
        <w:rPr>
          <w:rFonts w:hint="eastAsia" w:ascii="仿宋" w:hAnsi="仿宋" w:eastAsia="仿宋" w:cs="仿宋"/>
          <w:bCs w:val="0"/>
          <w:color w:val="auto"/>
          <w:spacing w:val="0"/>
          <w:kern w:val="2"/>
          <w:sz w:val="24"/>
          <w:szCs w:val="24"/>
          <w:highlight w:val="none"/>
        </w:rPr>
        <w:t>以及存在《中华人民共和国政府采购法实施条例》第十九条规定的行政处罚记录，投标将被认定为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 xml:space="preserve">。 </w:t>
      </w:r>
    </w:p>
    <w:p w14:paraId="21F81E5D">
      <w:pPr>
        <w:pStyle w:val="65"/>
        <w:widowControl w:val="0"/>
        <w:adjustRightInd w:val="0"/>
        <w:snapToGrid w:val="0"/>
        <w:spacing w:before="0" w:after="0" w:line="360" w:lineRule="auto"/>
        <w:ind w:firstLine="480" w:firstLineChars="200"/>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以联合体形式参加投标的，联合体任何成员存在以上不良信用记录的，联合体投标将被认定为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 xml:space="preserve">。（本项目不适用） </w:t>
      </w:r>
    </w:p>
    <w:p w14:paraId="1A5FEB93">
      <w:pPr>
        <w:pStyle w:val="65"/>
        <w:widowControl w:val="0"/>
        <w:adjustRightInd w:val="0"/>
        <w:snapToGrid w:val="0"/>
        <w:spacing w:before="0" w:after="0" w:line="360" w:lineRule="auto"/>
        <w:ind w:left="-1"/>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19.2.2 采购代理机构经办人将查询网页打印并存档备查。投标人不良信用记录以采购人或采购代理机构查询结果为准。投标人自行提供的与网站信息不一致的其他证明材料亦不作为资格审查依据。 </w:t>
      </w:r>
    </w:p>
    <w:p w14:paraId="1E27DF4E">
      <w:pPr>
        <w:pStyle w:val="65"/>
        <w:widowControl w:val="0"/>
        <w:adjustRightInd w:val="0"/>
        <w:snapToGrid w:val="0"/>
        <w:spacing w:before="0" w:after="0" w:line="360" w:lineRule="auto"/>
        <w:ind w:firstLine="480" w:firstLineChars="200"/>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在本招标文件规定的查询时间之外，网站信息发生的任何变更均不作为资格审查依据。 </w:t>
      </w:r>
    </w:p>
    <w:p w14:paraId="7BC5258C">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19.3 评标由采购人按照《政府采购评审专家管理办法》财库〔2016〕198号，依法组建的评标委员会负责。评标委员会由采购人熟悉相关业务的代表，以及有关技术、经济等方面的专家组成。 </w:t>
      </w:r>
    </w:p>
    <w:p w14:paraId="040A54EC">
      <w:pPr>
        <w:pStyle w:val="65"/>
        <w:widowControl w:val="0"/>
        <w:adjustRightInd w:val="0"/>
        <w:snapToGrid w:val="0"/>
        <w:spacing w:before="0" w:after="0" w:line="360" w:lineRule="auto"/>
        <w:ind w:left="638" w:hanging="638"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20. 投标文件的符合性审查与澄清 </w:t>
      </w:r>
    </w:p>
    <w:p w14:paraId="62FC7243">
      <w:pPr>
        <w:pStyle w:val="65"/>
        <w:widowControl w:val="0"/>
        <w:adjustRightInd w:val="0"/>
        <w:snapToGrid w:val="0"/>
        <w:spacing w:before="0" w:after="0" w:line="360" w:lineRule="auto"/>
        <w:rPr>
          <w:rFonts w:hint="eastAsia" w:ascii="仿宋" w:hAnsi="仿宋" w:eastAsia="仿宋" w:cs="仿宋"/>
          <w:b/>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20.1 符合性检查是指依据招标文件的规定，从投标文件的有效性、完整性和对招标文件的响应程度进行审查，以确定是否对招标文件的实质性要求做出响应。 </w:t>
      </w:r>
    </w:p>
    <w:p w14:paraId="4FD58CBF">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20.2 投标文件的澄清 </w:t>
      </w:r>
    </w:p>
    <w:p w14:paraId="0EAC0798">
      <w:pPr>
        <w:pStyle w:val="65"/>
        <w:widowControl w:val="0"/>
        <w:adjustRightInd w:val="0"/>
        <w:snapToGrid w:val="0"/>
        <w:spacing w:before="0" w:after="0" w:line="360" w:lineRule="auto"/>
        <w:ind w:left="-1"/>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20.2.1 在评标期间，评标委员会将以书面方式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以书面方式进行，并不得超出投标文件范围或者改变投标文件的实质性内容。 </w:t>
      </w:r>
    </w:p>
    <w:p w14:paraId="49EA21EA">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20.2.2 投标人的澄清、说明或补正将作为投标文件的一部分。 </w:t>
      </w:r>
    </w:p>
    <w:p w14:paraId="19F7C5A8">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20.2.3 投标文件报价出现前后不一致的，按照下列规定修正： </w:t>
      </w:r>
    </w:p>
    <w:p w14:paraId="5DF10B4A">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（一）投标文件中开标一览表（报价表）内容与投标文件中相应内容不一致的，以开标一览表（报价表）为准； </w:t>
      </w:r>
    </w:p>
    <w:p w14:paraId="449CEC12">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（二）大写金额和小写金额不一致的，以大写金额为准；</w:t>
      </w:r>
    </w:p>
    <w:p w14:paraId="594BDABA">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（三）单价金额小数点或者百分比有明显错位的，以开标一览表的总价为准，并修改单价； </w:t>
      </w:r>
    </w:p>
    <w:p w14:paraId="5828BF67">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（四）总价金额与按单价汇总金额不一致的，以单价金额计算结果为准。 </w:t>
      </w:r>
    </w:p>
    <w:p w14:paraId="47678ED5">
      <w:pPr>
        <w:pStyle w:val="65"/>
        <w:widowControl w:val="0"/>
        <w:adjustRightInd w:val="0"/>
        <w:snapToGrid w:val="0"/>
        <w:spacing w:before="0" w:after="0" w:line="360" w:lineRule="auto"/>
        <w:ind w:firstLine="480" w:firstLineChars="200"/>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同时出现两种以上不一致的，按照前款规定的顺序修正。修正后的报价经投标人确认后产生约束力，投标人不确认的，其投标将被认定为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 xml:space="preserve">。 </w:t>
      </w:r>
    </w:p>
    <w:p w14:paraId="1CFC3CD2">
      <w:pPr>
        <w:pStyle w:val="65"/>
        <w:widowControl w:val="0"/>
        <w:adjustRightInd w:val="0"/>
        <w:snapToGrid w:val="0"/>
        <w:spacing w:before="0" w:after="0" w:line="360" w:lineRule="auto"/>
        <w:ind w:firstLine="480" w:firstLineChars="200"/>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对不同文字文本投标文件的解释发生异议的，以汉语语言文本为准。 </w:t>
      </w:r>
    </w:p>
    <w:p w14:paraId="52632ED6">
      <w:pPr>
        <w:pStyle w:val="65"/>
        <w:widowControl w:val="0"/>
        <w:adjustRightInd w:val="0"/>
        <w:snapToGrid w:val="0"/>
        <w:spacing w:before="0" w:after="0"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20.3 投标人所投货物所伴随的服务如被列入财政部与国家主管部门颁发的节能产品或环境标志产品品目清单或无线局域网产品清单，应提供处于有效期之内认证证书等相关证明，在评标时予以优先采购，具体优先采购办法见第六章评标方法和标准。 </w:t>
      </w:r>
    </w:p>
    <w:p w14:paraId="53648EB5">
      <w:pPr>
        <w:pStyle w:val="65"/>
        <w:widowControl w:val="0"/>
        <w:adjustRightInd w:val="0"/>
        <w:snapToGrid w:val="0"/>
        <w:spacing w:before="0" w:after="0" w:line="360" w:lineRule="auto"/>
        <w:ind w:firstLine="480" w:firstLineChars="200"/>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如采购货物为政府强制采购的产品，投标人所投产品应属于品目清单的强制采购部分。投标人应提供有效期内的认证证书，否则其投标将被认定为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 xml:space="preserve">。 </w:t>
      </w:r>
    </w:p>
    <w:p w14:paraId="22EF49CD">
      <w:pPr>
        <w:pStyle w:val="65"/>
        <w:widowControl w:val="0"/>
        <w:adjustRightInd w:val="0"/>
        <w:snapToGrid w:val="0"/>
        <w:spacing w:before="0" w:after="0" w:line="360" w:lineRule="auto"/>
        <w:ind w:firstLine="480" w:firstLineChars="200"/>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如采购货物属于信息安全产品的，投标人所投产品应为经国家认证的信息安全产品，并提供由中国信息安全认证中心按国家标准认证颁发的有效认证证书，否则其投标将被认定为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 xml:space="preserve">。 </w:t>
      </w:r>
    </w:p>
    <w:p w14:paraId="1C81866D">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20.4 政府采购货物或服务项目中涉及商品包装和快递包装的，投标人提供产品及相关快递服务的具体包装要求请详见《商品包装政府采购需求标准（试行）》、《快递包装政府采购需求标准（试行）》。</w:t>
      </w:r>
    </w:p>
    <w:p w14:paraId="0A41D2F5">
      <w:pPr>
        <w:pStyle w:val="65"/>
        <w:widowControl w:val="0"/>
        <w:adjustRightInd w:val="0"/>
        <w:snapToGrid w:val="0"/>
        <w:spacing w:before="0" w:after="0" w:line="360" w:lineRule="auto"/>
        <w:ind w:left="638" w:hanging="638"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21. 投标偏离 </w:t>
      </w:r>
    </w:p>
    <w:p w14:paraId="02EFA40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对于投标文件中不构成实质性偏差的不正规、不一致或不规则，评标委员会可以接受，但这种接受不能损坏或影响任何投标人的相对排序。 </w:t>
      </w:r>
    </w:p>
    <w:p w14:paraId="40C38B7B">
      <w:pPr>
        <w:pStyle w:val="65"/>
        <w:widowControl w:val="0"/>
        <w:adjustRightInd w:val="0"/>
        <w:snapToGrid w:val="0"/>
        <w:spacing w:before="0" w:after="0" w:line="360" w:lineRule="auto"/>
        <w:ind w:left="638" w:hanging="638" w:hangingChars="265"/>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 xml:space="preserve">22. 无效投标 </w:t>
      </w:r>
    </w:p>
    <w:p w14:paraId="45F9BE28">
      <w:pPr>
        <w:pStyle w:val="65"/>
        <w:widowControl w:val="0"/>
        <w:adjustRightInd w:val="0"/>
        <w:snapToGrid w:val="0"/>
        <w:spacing w:before="0" w:after="0" w:line="360" w:lineRule="auto"/>
        <w:rPr>
          <w:rFonts w:hint="eastAsia" w:ascii="仿宋" w:hAnsi="仿宋" w:eastAsia="仿宋" w:cs="仿宋"/>
          <w:b/>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22.1 在比较与评价之前，根据招标文件的规定，评标委员会要审查每份投标文件是否实质上响应了招标文件的要求。实质上响应的投标应该是与招标文件要求的全部条款、条件和规格相符，没有重大偏离的投标。 对关键条款的偏离、保留和反对，将被认为是实质上的偏离，其投标将被认定为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 xml:space="preserve">。评标委员会决定投标的响应性只根据招标文件要求、投标文件内容及财政主管部门指定相关信息发布媒体。 </w:t>
      </w:r>
    </w:p>
    <w:p w14:paraId="11E7482A">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22.2 实质上没有响应招标文件要求的投标将被认定为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。投标人不得通</w:t>
      </w:r>
    </w:p>
    <w:p w14:paraId="5C4DE67E">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过修正或撤销不符合要求的偏离或保留从而使其投标成为实质上响应的投标。如发现下列情况之一的，其投标将被认定为</w:t>
      </w:r>
      <w:r>
        <w:rPr>
          <w:rFonts w:hint="eastAsia" w:ascii="仿宋" w:hAnsi="仿宋" w:eastAsia="仿宋" w:cs="仿宋"/>
          <w:b/>
          <w:color w:val="auto"/>
          <w:spacing w:val="0"/>
          <w:kern w:val="2"/>
          <w:sz w:val="24"/>
          <w:szCs w:val="24"/>
          <w:highlight w:val="none"/>
        </w:rPr>
        <w:t>投标无效</w:t>
      </w:r>
      <w:r>
        <w:rPr>
          <w:rFonts w:hint="eastAsia" w:ascii="仿宋" w:hAnsi="仿宋" w:eastAsia="仿宋" w:cs="仿宋"/>
          <w:bCs w:val="0"/>
          <w:color w:val="auto"/>
          <w:spacing w:val="0"/>
          <w:kern w:val="2"/>
          <w:sz w:val="24"/>
          <w:szCs w:val="24"/>
          <w:highlight w:val="none"/>
        </w:rPr>
        <w:t xml:space="preserve">： </w:t>
      </w:r>
    </w:p>
    <w:p w14:paraId="07F23636">
      <w:pPr>
        <w:pStyle w:val="65"/>
        <w:widowControl w:val="0"/>
        <w:adjustRightInd w:val="0"/>
        <w:snapToGrid w:val="0"/>
        <w:spacing w:before="0" w:after="0" w:line="360" w:lineRule="auto"/>
        <w:ind w:left="634" w:leftChars="302" w:firstLine="4"/>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（1） 未按招标文件规定的形式和金额交纳投标保证金的； </w:t>
      </w:r>
    </w:p>
    <w:p w14:paraId="7B152A90">
      <w:pPr>
        <w:pStyle w:val="65"/>
        <w:widowControl w:val="0"/>
        <w:adjustRightInd w:val="0"/>
        <w:snapToGrid w:val="0"/>
        <w:spacing w:before="0" w:after="0" w:line="360" w:lineRule="auto"/>
        <w:ind w:left="634" w:leftChars="302" w:firstLine="4"/>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（2） 未按照招标文件规定要求加盖电子章的； </w:t>
      </w:r>
    </w:p>
    <w:p w14:paraId="2043164C">
      <w:pPr>
        <w:pStyle w:val="65"/>
        <w:widowControl w:val="0"/>
        <w:adjustRightInd w:val="0"/>
        <w:snapToGrid w:val="0"/>
        <w:spacing w:before="0" w:after="0" w:line="360" w:lineRule="auto"/>
        <w:ind w:left="634" w:leftChars="302" w:firstLine="4"/>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（3） 未满足招标文件中技术条款的实质性要求； </w:t>
      </w:r>
    </w:p>
    <w:p w14:paraId="040013A6">
      <w:pPr>
        <w:pStyle w:val="65"/>
        <w:widowControl w:val="0"/>
        <w:adjustRightInd w:val="0"/>
        <w:snapToGrid w:val="0"/>
        <w:spacing w:before="0" w:after="0" w:line="360" w:lineRule="auto"/>
        <w:ind w:left="634" w:leftChars="302" w:firstLine="4"/>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（4） 属于串通投标，或者依法被视为串通投标； </w:t>
      </w:r>
    </w:p>
    <w:p w14:paraId="1FB168D8">
      <w:pPr>
        <w:pStyle w:val="65"/>
        <w:widowControl w:val="0"/>
        <w:adjustRightInd w:val="0"/>
        <w:snapToGrid w:val="0"/>
        <w:spacing w:before="0" w:after="0" w:line="360" w:lineRule="auto"/>
        <w:ind w:left="634" w:leftChars="302" w:firstLine="4"/>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（5） 投标文件含有采购人不能接受的附加条件的； </w:t>
      </w:r>
    </w:p>
    <w:p w14:paraId="694FE9F2">
      <w:pPr>
        <w:pStyle w:val="65"/>
        <w:widowControl w:val="0"/>
        <w:adjustRightInd w:val="0"/>
        <w:snapToGrid w:val="0"/>
        <w:spacing w:before="0" w:after="0" w:line="360" w:lineRule="auto"/>
        <w:ind w:left="634" w:leftChars="302" w:firstLine="4"/>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（6） 评标委员会认为投标人的报价明显低于其他通过符合性检查投标人的报价，有可能影响履约的，且投标人未按照规定证明其报价合理性的； </w:t>
      </w:r>
    </w:p>
    <w:p w14:paraId="066EB801">
      <w:pPr>
        <w:pStyle w:val="65"/>
        <w:widowControl w:val="0"/>
        <w:adjustRightInd w:val="0"/>
        <w:snapToGrid w:val="0"/>
        <w:spacing w:before="0" w:after="0" w:line="360" w:lineRule="auto"/>
        <w:ind w:left="634" w:leftChars="302" w:firstLine="4"/>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（7） 属于招标文件规定的其他无效投标情形； </w:t>
      </w:r>
    </w:p>
    <w:p w14:paraId="6E083D35">
      <w:pPr>
        <w:pStyle w:val="65"/>
        <w:widowControl w:val="0"/>
        <w:adjustRightInd w:val="0"/>
        <w:snapToGrid w:val="0"/>
        <w:spacing w:before="0" w:after="0" w:line="360" w:lineRule="auto"/>
        <w:ind w:left="634" w:leftChars="302" w:firstLine="4"/>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（8） 不符合法规和招标文件中规定的其他实质性要求的。 </w:t>
      </w:r>
    </w:p>
    <w:p w14:paraId="1936CD8C">
      <w:pPr>
        <w:adjustRightInd w:val="0"/>
        <w:snapToGrid w:val="0"/>
        <w:spacing w:line="360" w:lineRule="auto"/>
        <w:ind w:left="638" w:hanging="638" w:hangingChars="265"/>
        <w:rPr>
          <w:rFonts w:hint="eastAsia" w:ascii="仿宋" w:hAnsi="仿宋" w:eastAsia="仿宋" w:cs="仿宋"/>
          <w:b/>
          <w:bCs/>
          <w:color w:val="auto"/>
          <w:sz w:val="24"/>
          <w:highlight w:val="none"/>
        </w:rPr>
      </w:pPr>
      <w:bookmarkStart w:id="10" w:name="_Toc507399470"/>
      <w:r>
        <w:rPr>
          <w:rFonts w:hint="eastAsia" w:ascii="仿宋" w:hAnsi="仿宋" w:eastAsia="仿宋" w:cs="仿宋"/>
          <w:b/>
          <w:bCs/>
          <w:color w:val="auto"/>
          <w:sz w:val="24"/>
          <w:highlight w:val="none"/>
        </w:rPr>
        <w:t>23.  比较与评价</w:t>
      </w:r>
      <w:bookmarkEnd w:id="10"/>
    </w:p>
    <w:p w14:paraId="27A4EC63">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23.1 经符合性检查合格的投标文件，评标委员会将根据招标文件确定的评标方</w:t>
      </w:r>
    </w:p>
    <w:p w14:paraId="5CD11591">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法和标准，对其技术部分和商务部分作进一步的比较和评价。</w:t>
      </w:r>
    </w:p>
    <w:p w14:paraId="7F537657">
      <w:pPr>
        <w:adjustRightInd w:val="0"/>
        <w:snapToGrid w:val="0"/>
        <w:spacing w:line="360" w:lineRule="auto"/>
        <w:ind w:left="660" w:hanging="660" w:hangingChars="275"/>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23.2 评标严格按照招标文件的要求和条件进行。根据实际情况，在</w:t>
      </w:r>
      <w:r>
        <w:rPr>
          <w:rFonts w:hint="eastAsia" w:ascii="仿宋" w:hAnsi="仿宋" w:eastAsia="仿宋" w:cs="仿宋"/>
          <w:color w:val="auto"/>
          <w:sz w:val="24"/>
          <w:highlight w:val="none"/>
          <w:u w:val="single"/>
        </w:rPr>
        <w:t>投标人须知</w:t>
      </w:r>
    </w:p>
    <w:p w14:paraId="63685092">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前附表</w:t>
      </w:r>
      <w:r>
        <w:rPr>
          <w:rFonts w:hint="eastAsia" w:ascii="仿宋" w:hAnsi="仿宋" w:eastAsia="仿宋" w:cs="仿宋"/>
          <w:color w:val="auto"/>
          <w:sz w:val="24"/>
          <w:highlight w:val="none"/>
        </w:rPr>
        <w:t>中规定采用下列一种评标方法，详细评标标准见招标文件第六章：</w:t>
      </w:r>
    </w:p>
    <w:p w14:paraId="73CA703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 最低评标价法，是指投标文件满足招标文件全部实质性要求，且投标报价最低的投标人为中标候选人的评标方法。</w:t>
      </w:r>
    </w:p>
    <w:p w14:paraId="27AD07CA">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 综合评分法，是指投标文件满足招标文件全部实质性要求，且按照评审因素的量化指标评审得分最高的投标人为中标候选人的评标方法。</w:t>
      </w:r>
    </w:p>
    <w:p w14:paraId="65899360">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23.3 根据《政府采购促进中小企业发展管理办法》财库〔2020〕46号、《财政</w:t>
      </w:r>
    </w:p>
    <w:p w14:paraId="134EED75">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部 司法部关于政府采购支持监狱企业发展有关问题的通知》（财库〔2014〕68</w:t>
      </w:r>
    </w:p>
    <w:p w14:paraId="21E2914B">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号）和《三部门联合发布关于促进残疾人就业政府采购政策的通知》（</w:t>
      </w:r>
      <w:bookmarkStart w:id="11" w:name="sendNo"/>
      <w:r>
        <w:rPr>
          <w:rFonts w:hint="eastAsia" w:ascii="仿宋" w:hAnsi="仿宋" w:eastAsia="仿宋" w:cs="仿宋"/>
          <w:color w:val="auto"/>
          <w:sz w:val="24"/>
          <w:highlight w:val="none"/>
        </w:rPr>
        <w:t>财库〔</w:t>
      </w:r>
      <w:bookmarkEnd w:id="11"/>
      <w:r>
        <w:rPr>
          <w:rFonts w:hint="eastAsia" w:ascii="仿宋" w:hAnsi="仿宋" w:eastAsia="仿宋" w:cs="仿宋"/>
          <w:color w:val="auto"/>
          <w:sz w:val="24"/>
          <w:highlight w:val="none"/>
        </w:rPr>
        <w:t>2017〕</w:t>
      </w:r>
    </w:p>
    <w:p w14:paraId="4DCB3D09">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141号）的规定，对满足价格扣除条件且在投标文件中提交了《投标人企业类型</w:t>
      </w:r>
    </w:p>
    <w:p w14:paraId="60DD8685">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声明函》或省级以上监狱管理局、戒毒管理局（含新疆生产建设兵团）出具的属</w:t>
      </w:r>
    </w:p>
    <w:p w14:paraId="52782B3E">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于监狱企业的证明文件的投标人，其投标报价扣除10%后参与评审。具体办法详见招标文件第六章。</w:t>
      </w:r>
    </w:p>
    <w:p w14:paraId="73B4E4D4">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23.4　同品牌多家投标人处理原则</w:t>
      </w:r>
    </w:p>
    <w:p w14:paraId="3A92431D">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23.4.1　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86F6C51">
      <w:pPr>
        <w:adjustRightInd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sz w:val="24"/>
          <w:highlight w:val="none"/>
        </w:rPr>
        <w:t>23.4.2  非单一产品采购项目，采购人应当根据采购项目技术构成、产品价格比重等合理确定核心产品，并在招标文件中载明。多家投标人提供的核心产品品牌型号相同的，按前款规定处理。</w:t>
      </w:r>
    </w:p>
    <w:p w14:paraId="3E237829">
      <w:pPr>
        <w:adjustRightInd w:val="0"/>
        <w:snapToGrid w:val="0"/>
        <w:spacing w:line="360" w:lineRule="auto"/>
        <w:ind w:left="638" w:hanging="638" w:hangingChars="265"/>
        <w:rPr>
          <w:rFonts w:hint="eastAsia" w:ascii="仿宋" w:hAnsi="仿宋" w:eastAsia="仿宋" w:cs="仿宋"/>
          <w:b/>
          <w:bCs/>
          <w:color w:val="auto"/>
          <w:sz w:val="24"/>
          <w:highlight w:val="none"/>
        </w:rPr>
      </w:pPr>
      <w:bookmarkStart w:id="12" w:name="_Toc520356168"/>
      <w:bookmarkStart w:id="13" w:name="_Toc507399471"/>
      <w:r>
        <w:rPr>
          <w:rFonts w:hint="eastAsia" w:ascii="仿宋" w:hAnsi="仿宋" w:eastAsia="仿宋" w:cs="仿宋"/>
          <w:b/>
          <w:bCs/>
          <w:color w:val="auto"/>
          <w:sz w:val="24"/>
          <w:highlight w:val="none"/>
        </w:rPr>
        <w:t>24</w:t>
      </w:r>
      <w:bookmarkEnd w:id="12"/>
      <w:r>
        <w:rPr>
          <w:rFonts w:hint="eastAsia" w:ascii="仿宋" w:hAnsi="仿宋" w:eastAsia="仿宋" w:cs="仿宋"/>
          <w:b/>
          <w:bCs/>
          <w:color w:val="auto"/>
          <w:sz w:val="24"/>
          <w:highlight w:val="none"/>
        </w:rPr>
        <w:t>.  废标</w:t>
      </w:r>
      <w:bookmarkEnd w:id="13"/>
    </w:p>
    <w:p w14:paraId="0B160AF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出现下列情形之一，将导致项目废标即本项目的所有投标被拒绝： </w:t>
      </w:r>
    </w:p>
    <w:p w14:paraId="2934D54D">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（1）符合专业条件的投标人或者对招标文件做实质性响应的投标人不足三家；</w:t>
      </w:r>
    </w:p>
    <w:p w14:paraId="0C4F9C19">
      <w:pPr>
        <w:adjustRightInd w:val="0"/>
        <w:snapToGrid w:val="0"/>
        <w:spacing w:line="360" w:lineRule="auto"/>
        <w:ind w:left="634" w:leftChars="302" w:firstLine="4"/>
        <w:rPr>
          <w:rFonts w:hint="eastAsia" w:ascii="仿宋" w:hAnsi="仿宋" w:eastAsia="仿宋" w:cs="仿宋"/>
          <w:color w:val="auto"/>
          <w:sz w:val="24"/>
          <w:highlight w:val="none"/>
        </w:rPr>
      </w:pPr>
      <w:r>
        <w:rPr>
          <w:rFonts w:hint="eastAsia" w:ascii="仿宋" w:hAnsi="仿宋" w:eastAsia="仿宋" w:cs="仿宋"/>
          <w:color w:val="auto"/>
          <w:sz w:val="24"/>
          <w:highlight w:val="none"/>
        </w:rPr>
        <w:t>（2）出现影响采购公正的违法、违规行为的；</w:t>
      </w:r>
    </w:p>
    <w:p w14:paraId="3B4FA2BF">
      <w:pPr>
        <w:adjustRightInd w:val="0"/>
        <w:snapToGrid w:val="0"/>
        <w:spacing w:line="360" w:lineRule="auto"/>
        <w:ind w:left="634" w:leftChars="302" w:firstLine="4"/>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（3）投标人的报价均超过了采购预算，采购人不能支付的；</w:t>
      </w:r>
    </w:p>
    <w:p w14:paraId="12FF5B14">
      <w:pPr>
        <w:adjustRightInd w:val="0"/>
        <w:snapToGrid w:val="0"/>
        <w:spacing w:line="360" w:lineRule="auto"/>
        <w:ind w:left="634" w:leftChars="302" w:firstLine="4"/>
        <w:rPr>
          <w:rFonts w:hint="eastAsia" w:ascii="仿宋" w:hAnsi="仿宋" w:eastAsia="仿宋" w:cs="仿宋"/>
          <w:color w:val="auto"/>
          <w:sz w:val="24"/>
          <w:highlight w:val="none"/>
        </w:rPr>
      </w:pPr>
      <w:r>
        <w:rPr>
          <w:rFonts w:hint="eastAsia" w:ascii="仿宋" w:hAnsi="仿宋" w:eastAsia="仿宋" w:cs="仿宋"/>
          <w:color w:val="auto"/>
          <w:sz w:val="24"/>
          <w:highlight w:val="none"/>
        </w:rPr>
        <w:t>（4）因重大变故，采购任务取消的。</w:t>
      </w:r>
    </w:p>
    <w:p w14:paraId="2D8D11FE">
      <w:pPr>
        <w:adjustRightInd w:val="0"/>
        <w:snapToGrid w:val="0"/>
        <w:spacing w:line="360" w:lineRule="auto"/>
        <w:ind w:left="638" w:hanging="638" w:hangingChars="265"/>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25.  保密原则</w:t>
      </w:r>
    </w:p>
    <w:p w14:paraId="4CCBD528">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25.1 评标将在严格保密的情况下进行。</w:t>
      </w:r>
    </w:p>
    <w:p w14:paraId="4F7183AB">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25.2 政府采购评审专家应当遵守评审工作纪律，不得泄露评审文件、评审情况</w:t>
      </w:r>
    </w:p>
    <w:p w14:paraId="69D6DDF8">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和评审中获悉的商业秘密。</w:t>
      </w:r>
    </w:p>
    <w:p w14:paraId="3FF8BEB2">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25.3 投标人试图影响采购人、采购代理机构和评标委员会的任何活动，将导致</w:t>
      </w:r>
    </w:p>
    <w:p w14:paraId="61A73421">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其</w:t>
      </w:r>
      <w:r>
        <w:rPr>
          <w:rFonts w:hint="eastAsia" w:ascii="仿宋" w:hAnsi="仿宋" w:eastAsia="仿宋" w:cs="仿宋"/>
          <w:b/>
          <w:bCs/>
          <w:color w:val="auto"/>
          <w:sz w:val="24"/>
          <w:highlight w:val="none"/>
        </w:rPr>
        <w:t>投标被拒绝</w:t>
      </w:r>
      <w:r>
        <w:rPr>
          <w:rFonts w:hint="eastAsia" w:ascii="仿宋" w:hAnsi="仿宋" w:eastAsia="仿宋" w:cs="仿宋"/>
          <w:color w:val="auto"/>
          <w:sz w:val="24"/>
          <w:highlight w:val="none"/>
        </w:rPr>
        <w:t>，并承担相应的法律责任。</w:t>
      </w:r>
    </w:p>
    <w:p w14:paraId="636A77AC">
      <w:pPr>
        <w:adjustRightInd w:val="0"/>
        <w:snapToGrid w:val="0"/>
        <w:spacing w:line="360" w:lineRule="auto"/>
        <w:ind w:left="638" w:hanging="638" w:hangingChars="265"/>
        <w:jc w:val="center"/>
        <w:rPr>
          <w:rFonts w:hint="eastAsia" w:ascii="仿宋" w:hAnsi="仿宋" w:eastAsia="仿宋" w:cs="仿宋"/>
          <w:b/>
          <w:bCs/>
          <w:color w:val="auto"/>
          <w:sz w:val="24"/>
          <w:highlight w:val="none"/>
        </w:rPr>
      </w:pPr>
      <w:bookmarkStart w:id="14" w:name="_Toc507399473"/>
      <w:bookmarkStart w:id="15" w:name="_Toc216582810"/>
    </w:p>
    <w:p w14:paraId="2F979E61">
      <w:pPr>
        <w:adjustRightInd w:val="0"/>
        <w:snapToGrid w:val="0"/>
        <w:spacing w:line="360" w:lineRule="auto"/>
        <w:ind w:left="638" w:hanging="638" w:hangingChars="265"/>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六   确定中标</w:t>
      </w:r>
      <w:bookmarkEnd w:id="14"/>
      <w:bookmarkEnd w:id="15"/>
    </w:p>
    <w:p w14:paraId="60796833">
      <w:pPr>
        <w:adjustRightInd w:val="0"/>
        <w:snapToGrid w:val="0"/>
        <w:spacing w:line="360" w:lineRule="auto"/>
        <w:ind w:left="638" w:hanging="638" w:hangingChars="265"/>
        <w:jc w:val="center"/>
        <w:rPr>
          <w:rFonts w:hint="eastAsia" w:ascii="仿宋" w:hAnsi="仿宋" w:eastAsia="仿宋" w:cs="仿宋"/>
          <w:b/>
          <w:bCs/>
          <w:color w:val="auto"/>
          <w:sz w:val="24"/>
          <w:highlight w:val="none"/>
        </w:rPr>
      </w:pPr>
    </w:p>
    <w:p w14:paraId="2C75A9DA">
      <w:pPr>
        <w:adjustRightInd w:val="0"/>
        <w:snapToGrid w:val="0"/>
        <w:spacing w:line="360" w:lineRule="auto"/>
        <w:ind w:left="638" w:hanging="638" w:hangingChars="265"/>
        <w:rPr>
          <w:rFonts w:hint="eastAsia" w:ascii="仿宋" w:hAnsi="仿宋" w:eastAsia="仿宋" w:cs="仿宋"/>
          <w:b/>
          <w:bCs/>
          <w:color w:val="auto"/>
          <w:sz w:val="24"/>
          <w:highlight w:val="none"/>
        </w:rPr>
      </w:pPr>
      <w:bookmarkStart w:id="16" w:name="_Toc507399474"/>
      <w:bookmarkStart w:id="17" w:name="_Toc520356170"/>
      <w:bookmarkStart w:id="18" w:name="_Ref467307010"/>
      <w:r>
        <w:rPr>
          <w:rFonts w:hint="eastAsia" w:ascii="仿宋" w:hAnsi="仿宋" w:eastAsia="仿宋" w:cs="仿宋"/>
          <w:b/>
          <w:bCs/>
          <w:color w:val="auto"/>
          <w:sz w:val="24"/>
          <w:highlight w:val="none"/>
        </w:rPr>
        <w:t>26.  中标候选人的确定原则及标准</w:t>
      </w:r>
      <w:bookmarkEnd w:id="16"/>
      <w:bookmarkEnd w:id="17"/>
      <w:bookmarkEnd w:id="18"/>
    </w:p>
    <w:p w14:paraId="24A3FEA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除评标委员会受采购人委托直接确定中标人的情形外，对实质上响应招标文件的投标人按下列方法进行排序，确定中标候选人： </w:t>
      </w:r>
    </w:p>
    <w:p w14:paraId="5D931A7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用最低评标价法的，除了算数修正和落实政府采购政策需进行的价格扣除外，不对投标人的投标价格进行任何调整。评标结果按投标报价由低到高顺序排列。报价相同的由评标委员会现场采取随机抽取方式确定（详见招标文件第六章）。</w:t>
      </w:r>
    </w:p>
    <w:p w14:paraId="1BABAC7F">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（2）采用综合评分法的，评标结果按评审后得分由高到低顺序排列。得分相同的，按投标报价由低到高顺序排列。（详见招标文件第六章）</w:t>
      </w:r>
    </w:p>
    <w:p w14:paraId="078635F6">
      <w:pPr>
        <w:adjustRightInd w:val="0"/>
        <w:snapToGrid w:val="0"/>
        <w:spacing w:line="360" w:lineRule="auto"/>
        <w:ind w:left="638" w:hanging="638" w:hangingChars="26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27.  确定中标候选人和中标人</w:t>
      </w:r>
    </w:p>
    <w:p w14:paraId="7167C28C">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27.1 评标委员会将根据评标标准，按</w:t>
      </w:r>
      <w:r>
        <w:rPr>
          <w:rFonts w:hint="eastAsia" w:ascii="仿宋" w:hAnsi="仿宋" w:eastAsia="仿宋" w:cs="仿宋"/>
          <w:bCs w:val="0"/>
          <w:color w:val="auto"/>
          <w:spacing w:val="0"/>
          <w:kern w:val="2"/>
          <w:sz w:val="24"/>
          <w:szCs w:val="24"/>
          <w:highlight w:val="none"/>
          <w:u w:val="single"/>
        </w:rPr>
        <w:t>投标须知前附表</w:t>
      </w:r>
      <w:r>
        <w:rPr>
          <w:rFonts w:hint="eastAsia" w:ascii="仿宋" w:hAnsi="仿宋" w:eastAsia="仿宋" w:cs="仿宋"/>
          <w:bCs w:val="0"/>
          <w:color w:val="auto"/>
          <w:spacing w:val="0"/>
          <w:kern w:val="2"/>
          <w:sz w:val="24"/>
          <w:szCs w:val="24"/>
          <w:highlight w:val="none"/>
        </w:rPr>
        <w:t>中规定数量推荐中标候选</w:t>
      </w:r>
    </w:p>
    <w:p w14:paraId="00C68A95">
      <w:pPr>
        <w:pStyle w:val="65"/>
        <w:widowControl w:val="0"/>
        <w:adjustRightInd w:val="0"/>
        <w:snapToGrid w:val="0"/>
        <w:spacing w:before="0" w:after="0" w:line="360" w:lineRule="auto"/>
        <w:ind w:left="636" w:hanging="636" w:hangingChars="265"/>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人。 </w:t>
      </w:r>
    </w:p>
    <w:p w14:paraId="011A599C">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27.2 按投标须知前附表中规定，由评标委员会直接确定中标人。</w:t>
      </w:r>
    </w:p>
    <w:p w14:paraId="3254D050">
      <w:pPr>
        <w:adjustRightInd w:val="0"/>
        <w:snapToGrid w:val="0"/>
        <w:spacing w:line="360" w:lineRule="auto"/>
        <w:ind w:left="638" w:hanging="638" w:hangingChars="26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28.  采购任务取消</w:t>
      </w:r>
    </w:p>
    <w:p w14:paraId="1D50AD1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当采购任务取消时，为维护国家和社会公共利益，采购人有权拒绝任何投标人中标，且对受影响的投标人不承担任何责任。</w:t>
      </w:r>
    </w:p>
    <w:p w14:paraId="7F946C54">
      <w:pPr>
        <w:adjustRightInd w:val="0"/>
        <w:snapToGrid w:val="0"/>
        <w:spacing w:line="360" w:lineRule="auto"/>
        <w:ind w:left="638" w:hanging="638" w:hangingChars="26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29.  中标通知书</w:t>
      </w:r>
    </w:p>
    <w:p w14:paraId="645A365F">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29.1 在投标有效期内，中标人确定后，采购人或者采购代理机构发布中标公告</w:t>
      </w:r>
    </w:p>
    <w:p w14:paraId="4CDE3ED6">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后向中标人发出中标通知书。</w:t>
      </w:r>
    </w:p>
    <w:p w14:paraId="564B1854">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29.2 中标通知书是合同的组成部分。</w:t>
      </w:r>
    </w:p>
    <w:p w14:paraId="74DA7A34">
      <w:pPr>
        <w:adjustRightInd w:val="0"/>
        <w:snapToGrid w:val="0"/>
        <w:spacing w:line="360" w:lineRule="auto"/>
        <w:ind w:left="638" w:hanging="638" w:hangingChars="26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30.  签订合同</w:t>
      </w:r>
    </w:p>
    <w:p w14:paraId="76BF9687">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30.1 中标人应当自发出中标通知书之日起30日内，与采购人签订合同。</w:t>
      </w:r>
    </w:p>
    <w:p w14:paraId="109BF34B">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30.2 招标文件、中标人的投标文件及其澄清文件等，均为签订合同的依据。</w:t>
      </w:r>
    </w:p>
    <w:p w14:paraId="3B89D707">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30.3 中标人拒绝与采购人签订合同的，采购人可以按照评审报告推荐的中标候</w:t>
      </w:r>
    </w:p>
    <w:p w14:paraId="49146064">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选人名单排序，确定下一候选人为中标人，也可以重新开展政府采购活动。</w:t>
      </w:r>
    </w:p>
    <w:p w14:paraId="1BE789F0">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30.4 当出现法规规定的中标无效情形时，采购人可与排名下一位的中标候选人</w:t>
      </w:r>
    </w:p>
    <w:p w14:paraId="27DEB2F1">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另行签订合同，或依法重新开展采购活动。</w:t>
      </w:r>
    </w:p>
    <w:p w14:paraId="72E73443">
      <w:pPr>
        <w:adjustRightInd w:val="0"/>
        <w:snapToGrid w:val="0"/>
        <w:spacing w:line="360" w:lineRule="auto"/>
        <w:ind w:left="638" w:hanging="638" w:hangingChars="265"/>
        <w:rPr>
          <w:rFonts w:hint="eastAsia" w:ascii="仿宋" w:hAnsi="仿宋" w:eastAsia="仿宋" w:cs="仿宋"/>
          <w:b/>
          <w:bCs/>
          <w:color w:val="auto"/>
          <w:sz w:val="24"/>
          <w:highlight w:val="none"/>
        </w:rPr>
      </w:pPr>
      <w:bookmarkStart w:id="19" w:name="_Toc507399479"/>
      <w:r>
        <w:rPr>
          <w:rFonts w:hint="eastAsia" w:ascii="仿宋" w:hAnsi="仿宋" w:eastAsia="仿宋" w:cs="仿宋"/>
          <w:b/>
          <w:bCs/>
          <w:color w:val="auto"/>
          <w:sz w:val="24"/>
          <w:highlight w:val="none"/>
        </w:rPr>
        <w:t>31.  履约保证金</w:t>
      </w:r>
      <w:bookmarkEnd w:id="19"/>
    </w:p>
    <w:p w14:paraId="4C97C2FD">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31.1 中标人应按照</w:t>
      </w:r>
      <w:r>
        <w:rPr>
          <w:rFonts w:hint="eastAsia" w:ascii="仿宋" w:hAnsi="仿宋" w:eastAsia="仿宋" w:cs="仿宋"/>
          <w:color w:val="auto"/>
          <w:sz w:val="24"/>
          <w:highlight w:val="none"/>
          <w:u w:val="single"/>
        </w:rPr>
        <w:t>投标人须知前附表</w:t>
      </w:r>
      <w:r>
        <w:rPr>
          <w:rFonts w:hint="eastAsia" w:ascii="仿宋" w:hAnsi="仿宋" w:eastAsia="仿宋" w:cs="仿宋"/>
          <w:color w:val="auto"/>
          <w:sz w:val="24"/>
          <w:highlight w:val="none"/>
        </w:rPr>
        <w:t>规定的金额、形式和时间向采购人缴纳履</w:t>
      </w:r>
    </w:p>
    <w:p w14:paraId="3E6EACD7">
      <w:pPr>
        <w:adjustRightInd w:val="0"/>
        <w:snapToGrid w:val="0"/>
        <w:spacing w:line="360" w:lineRule="auto"/>
        <w:ind w:left="660" w:hanging="660" w:hangingChars="275"/>
        <w:rPr>
          <w:rFonts w:hint="eastAsia" w:ascii="仿宋" w:hAnsi="仿宋" w:eastAsia="仿宋" w:cs="仿宋"/>
          <w:color w:val="auto"/>
          <w:sz w:val="24"/>
          <w:highlight w:val="none"/>
        </w:rPr>
      </w:pPr>
      <w:r>
        <w:rPr>
          <w:rFonts w:hint="eastAsia" w:ascii="仿宋" w:hAnsi="仿宋" w:eastAsia="仿宋" w:cs="仿宋"/>
          <w:color w:val="auto"/>
          <w:sz w:val="24"/>
          <w:highlight w:val="none"/>
        </w:rPr>
        <w:t>约保证金。</w:t>
      </w:r>
    </w:p>
    <w:p w14:paraId="277C8AFA">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31.2 经采购人同意，中标人也可以自愿采用其他履约保证金的提供方式。</w:t>
      </w:r>
    </w:p>
    <w:p w14:paraId="541D88A1">
      <w:pPr>
        <w:adjustRightInd w:val="0"/>
        <w:snapToGrid w:val="0"/>
        <w:spacing w:line="360" w:lineRule="auto"/>
        <w:ind w:left="-1"/>
        <w:rPr>
          <w:rFonts w:hint="eastAsia" w:ascii="仿宋" w:hAnsi="仿宋" w:eastAsia="仿宋" w:cs="仿宋"/>
          <w:color w:val="auto"/>
          <w:sz w:val="24"/>
          <w:highlight w:val="none"/>
        </w:rPr>
      </w:pPr>
      <w:r>
        <w:rPr>
          <w:rFonts w:hint="eastAsia" w:ascii="仿宋" w:hAnsi="仿宋" w:eastAsia="仿宋" w:cs="仿宋"/>
          <w:color w:val="auto"/>
          <w:sz w:val="24"/>
          <w:highlight w:val="none"/>
        </w:rPr>
        <w:t>31.3 如果中标人没有按照上述第30条或31.1条的规定执行，将视为放弃中标资格，中标人的投标保证金将被没收。在此情况下，采购人可确定下一候选人为中标人，也可以重新开展政府采购活动。</w:t>
      </w:r>
    </w:p>
    <w:p w14:paraId="0482DF5D">
      <w:pPr>
        <w:adjustRightInd w:val="0"/>
        <w:snapToGrid w:val="0"/>
        <w:spacing w:line="360" w:lineRule="auto"/>
        <w:ind w:left="638" w:hanging="638" w:hangingChars="265"/>
        <w:rPr>
          <w:rFonts w:hint="eastAsia" w:ascii="仿宋" w:hAnsi="仿宋" w:eastAsia="仿宋" w:cs="仿宋"/>
          <w:b/>
          <w:bCs/>
          <w:color w:val="auto"/>
          <w:sz w:val="24"/>
          <w:highlight w:val="none"/>
        </w:rPr>
      </w:pPr>
      <w:bookmarkStart w:id="20" w:name="_Toc507399480"/>
      <w:r>
        <w:rPr>
          <w:rFonts w:hint="eastAsia" w:ascii="仿宋" w:hAnsi="仿宋" w:eastAsia="仿宋" w:cs="仿宋"/>
          <w:b/>
          <w:bCs/>
          <w:color w:val="auto"/>
          <w:sz w:val="24"/>
          <w:highlight w:val="none"/>
        </w:rPr>
        <w:t>32.  招标代理费</w:t>
      </w:r>
      <w:bookmarkEnd w:id="20"/>
    </w:p>
    <w:p w14:paraId="40EC9621">
      <w:pPr>
        <w:adjustRightInd w:val="0"/>
        <w:snapToGrid w:val="0"/>
        <w:spacing w:line="360" w:lineRule="auto"/>
        <w:ind w:firstLine="480" w:firstLineChars="200"/>
        <w:rPr>
          <w:rFonts w:hint="eastAsia" w:ascii="仿宋" w:hAnsi="仿宋" w:eastAsia="仿宋" w:cs="仿宋"/>
          <w:color w:val="auto"/>
          <w:sz w:val="24"/>
          <w:highlight w:val="none"/>
        </w:rPr>
      </w:pPr>
      <w:bookmarkStart w:id="21" w:name="_Toc507399482"/>
      <w:r>
        <w:rPr>
          <w:rFonts w:hint="eastAsia" w:ascii="仿宋" w:hAnsi="仿宋" w:eastAsia="仿宋" w:cs="仿宋"/>
          <w:color w:val="auto"/>
          <w:sz w:val="24"/>
          <w:highlight w:val="none"/>
        </w:rPr>
        <w:t>中标人须按照投标须知前附表中规定的时间、形式、金额，向招标代理机构支付中标服务费。</w:t>
      </w:r>
    </w:p>
    <w:p w14:paraId="38DB4849">
      <w:pPr>
        <w:adjustRightInd w:val="0"/>
        <w:snapToGrid w:val="0"/>
        <w:spacing w:line="360" w:lineRule="auto"/>
        <w:ind w:left="638" w:hanging="638" w:hangingChars="26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33.  廉洁自律规定</w:t>
      </w:r>
      <w:bookmarkEnd w:id="21"/>
    </w:p>
    <w:p w14:paraId="3D5AB13E">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33.1 采购代理机构工作人员不得以不正当手段获取政府采购代理业务，不得与</w:t>
      </w:r>
    </w:p>
    <w:p w14:paraId="6EBDB1BB">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采购人、投标人恶意串通操纵政府采购活动。</w:t>
      </w:r>
    </w:p>
    <w:p w14:paraId="269FF5DF">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33.2 采购代理机构工作人员不得接受采购人或者投标人组织的宴请、旅游、娱</w:t>
      </w:r>
    </w:p>
    <w:p w14:paraId="731682F5">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乐，不得收受礼品、现金、有价证券等，不得向采购人或者投标人报销应当由个</w:t>
      </w:r>
    </w:p>
    <w:p w14:paraId="7C794BB8">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人承担的费用。</w:t>
      </w:r>
    </w:p>
    <w:p w14:paraId="3C92A531">
      <w:pPr>
        <w:adjustRightInd w:val="0"/>
        <w:snapToGrid w:val="0"/>
        <w:spacing w:line="360" w:lineRule="auto"/>
        <w:ind w:left="638" w:hanging="638" w:hangingChars="265"/>
        <w:rPr>
          <w:rFonts w:hint="eastAsia" w:ascii="仿宋" w:hAnsi="仿宋" w:eastAsia="仿宋" w:cs="仿宋"/>
          <w:b/>
          <w:bCs/>
          <w:color w:val="auto"/>
          <w:sz w:val="24"/>
          <w:highlight w:val="none"/>
        </w:rPr>
      </w:pPr>
      <w:bookmarkStart w:id="22" w:name="_Toc507399483"/>
      <w:r>
        <w:rPr>
          <w:rFonts w:hint="eastAsia" w:ascii="仿宋" w:hAnsi="仿宋" w:eastAsia="仿宋" w:cs="仿宋"/>
          <w:b/>
          <w:bCs/>
          <w:color w:val="auto"/>
          <w:sz w:val="24"/>
          <w:highlight w:val="none"/>
        </w:rPr>
        <w:t>34.  人员回避</w:t>
      </w:r>
      <w:bookmarkEnd w:id="22"/>
    </w:p>
    <w:p w14:paraId="64A5C117">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潜在投标人认为招标文件使自己的权益受到损害的，投标人认为采购人员及其相关人员有法律法规所列与其他投标人有利害关系的，均可以向采购人或采购代理机构书面提出回避申请，并说明理由。</w:t>
      </w:r>
    </w:p>
    <w:p w14:paraId="013F3514">
      <w:pPr>
        <w:adjustRightInd w:val="0"/>
        <w:snapToGrid w:val="0"/>
        <w:spacing w:line="360" w:lineRule="auto"/>
        <w:ind w:left="638" w:hanging="638" w:hangingChars="265"/>
        <w:rPr>
          <w:rFonts w:hint="eastAsia" w:ascii="仿宋" w:hAnsi="仿宋" w:eastAsia="仿宋" w:cs="仿宋"/>
          <w:b/>
          <w:bCs/>
          <w:color w:val="auto"/>
          <w:sz w:val="24"/>
          <w:highlight w:val="none"/>
        </w:rPr>
      </w:pPr>
      <w:bookmarkStart w:id="23" w:name="_Toc507399484"/>
      <w:r>
        <w:rPr>
          <w:rFonts w:hint="eastAsia" w:ascii="仿宋" w:hAnsi="仿宋" w:eastAsia="仿宋" w:cs="仿宋"/>
          <w:b/>
          <w:bCs/>
          <w:color w:val="auto"/>
          <w:sz w:val="24"/>
          <w:highlight w:val="none"/>
        </w:rPr>
        <w:t>35.  质疑与接收</w:t>
      </w:r>
      <w:bookmarkEnd w:id="23"/>
    </w:p>
    <w:p w14:paraId="441F5966">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35.1 投标人认为采购文件、采购过程和中标结果使自己的权益受到损害的，根</w:t>
      </w:r>
    </w:p>
    <w:p w14:paraId="4A781523">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据《政府采购法》、《政府采购法实施条例》和《政府采购质疑和投诉办法》的</w:t>
      </w:r>
    </w:p>
    <w:p w14:paraId="44C3E805">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有关规定，可以依法向采购人或采购代理机构提出质疑。</w:t>
      </w:r>
    </w:p>
    <w:p w14:paraId="4748F1D4">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35.2 投标人应按照财政部制定的《政府采购质疑函范本》格式（可从财政部官</w:t>
      </w:r>
    </w:p>
    <w:p w14:paraId="2B73B9EB">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方网站下载）和《政府采购质疑和投诉办法》的要求，在法定质疑期内以纸质形</w:t>
      </w:r>
    </w:p>
    <w:p w14:paraId="037DE7D7">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式提出质疑，针对同一采购程序环节的质疑次数见</w:t>
      </w:r>
      <w:r>
        <w:rPr>
          <w:rFonts w:hint="eastAsia" w:ascii="仿宋" w:hAnsi="仿宋" w:eastAsia="仿宋" w:cs="仿宋"/>
          <w:color w:val="auto"/>
          <w:sz w:val="24"/>
          <w:highlight w:val="none"/>
          <w:u w:val="single"/>
        </w:rPr>
        <w:t>投标须知前附表</w:t>
      </w:r>
      <w:r>
        <w:rPr>
          <w:rFonts w:hint="eastAsia" w:ascii="仿宋" w:hAnsi="仿宋" w:eastAsia="仿宋" w:cs="仿宋"/>
          <w:color w:val="auto"/>
          <w:sz w:val="24"/>
          <w:highlight w:val="none"/>
        </w:rPr>
        <w:t>。</w:t>
      </w:r>
    </w:p>
    <w:p w14:paraId="5A2AAAE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超出法定质疑期的、重复提出的、分次提出的或内容、形式不符合《政府采购质疑和投诉办法》的，投标人将依法承担不利后果。</w:t>
      </w:r>
    </w:p>
    <w:p w14:paraId="249D0247">
      <w:pPr>
        <w:adjustRightInd w:val="0"/>
        <w:snapToGrid w:val="0"/>
        <w:spacing w:line="360" w:lineRule="auto"/>
        <w:ind w:left="636" w:hanging="636" w:hangingChars="265"/>
        <w:rPr>
          <w:rFonts w:hint="eastAsia" w:ascii="仿宋" w:hAnsi="仿宋" w:eastAsia="仿宋" w:cs="仿宋"/>
          <w:color w:val="auto"/>
          <w:sz w:val="24"/>
          <w:highlight w:val="none"/>
        </w:rPr>
      </w:pPr>
      <w:r>
        <w:rPr>
          <w:rFonts w:hint="eastAsia" w:ascii="仿宋" w:hAnsi="仿宋" w:eastAsia="仿宋" w:cs="仿宋"/>
          <w:color w:val="auto"/>
          <w:sz w:val="24"/>
          <w:highlight w:val="none"/>
        </w:rPr>
        <w:t>35.3 采购代理机构质疑函接收部门、联系电话和通讯地址</w:t>
      </w:r>
    </w:p>
    <w:p w14:paraId="162B73A1">
      <w:pPr>
        <w:pStyle w:val="65"/>
        <w:widowControl w:val="0"/>
        <w:adjustRightInd w:val="0"/>
        <w:snapToGrid w:val="0"/>
        <w:spacing w:before="0" w:after="0" w:line="360" w:lineRule="auto"/>
        <w:ind w:left="638" w:leftChars="304"/>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联系部门：新疆新世纪招标有限公司 </w:t>
      </w:r>
    </w:p>
    <w:p w14:paraId="051D181D">
      <w:pPr>
        <w:pStyle w:val="65"/>
        <w:widowControl w:val="0"/>
        <w:adjustRightInd w:val="0"/>
        <w:snapToGrid w:val="0"/>
        <w:spacing w:before="0" w:after="0" w:line="360" w:lineRule="auto"/>
        <w:ind w:left="638" w:leftChars="304"/>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联系电话：15699167331</w:t>
      </w:r>
    </w:p>
    <w:p w14:paraId="4B2B7B58">
      <w:pPr>
        <w:pStyle w:val="65"/>
        <w:widowControl w:val="0"/>
        <w:adjustRightInd w:val="0"/>
        <w:snapToGrid w:val="0"/>
        <w:spacing w:before="0" w:after="0" w:line="360" w:lineRule="auto"/>
        <w:ind w:left="638" w:leftChars="304"/>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通讯地址：乌鲁木齐市水磨沟区新兴街20号凤凰科技大厦5楼</w:t>
      </w:r>
    </w:p>
    <w:p w14:paraId="5E3F91C5">
      <w:pPr>
        <w:widowControl/>
        <w:numPr>
          <w:ilvl w:val="0"/>
          <w:numId w:val="2"/>
        </w:numPr>
        <w:spacing w:line="360"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 支付方式</w:t>
      </w:r>
    </w:p>
    <w:p w14:paraId="5848D8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①合同生效之日起30个工作日之内，乙方将项目清单中所有规定的硬件分批次到货，货物到达甲方指定地点后，甲方与乙方共同对货物进行清点、核对和检验，甲、乙双方签署出具《货物检验报告》，甲方收到乙方开具的含税发票后，在30个工作日内向乙方支付合同总额的40%，即人民币</w:t>
      </w:r>
      <w:r>
        <w:rPr>
          <w:rFonts w:hint="eastAsia" w:ascii="仿宋" w:hAnsi="仿宋" w:eastAsia="仿宋" w:cs="仿宋"/>
          <w:color w:val="auto"/>
          <w:sz w:val="24"/>
          <w:szCs w:val="32"/>
          <w:highlight w:val="none"/>
          <w:u w:val="single"/>
        </w:rPr>
        <w:t>       </w:t>
      </w:r>
      <w:r>
        <w:rPr>
          <w:rFonts w:hint="eastAsia" w:ascii="仿宋" w:hAnsi="仿宋" w:eastAsia="仿宋" w:cs="仿宋"/>
          <w:color w:val="auto"/>
          <w:sz w:val="24"/>
          <w:szCs w:val="32"/>
          <w:highlight w:val="none"/>
        </w:rPr>
        <w:t>元整，（小写：¥</w:t>
      </w:r>
      <w:r>
        <w:rPr>
          <w:rFonts w:hint="eastAsia" w:ascii="仿宋" w:hAnsi="仿宋" w:eastAsia="仿宋" w:cs="仿宋"/>
          <w:color w:val="auto"/>
          <w:sz w:val="24"/>
          <w:szCs w:val="32"/>
          <w:highlight w:val="none"/>
          <w:u w:val="single"/>
        </w:rPr>
        <w:t xml:space="preserve">  </w:t>
      </w:r>
      <w:r>
        <w:rPr>
          <w:rFonts w:hint="eastAsia" w:ascii="仿宋" w:hAnsi="仿宋" w:eastAsia="仿宋" w:cs="仿宋"/>
          <w:color w:val="auto"/>
          <w:sz w:val="24"/>
          <w:szCs w:val="32"/>
          <w:highlight w:val="none"/>
          <w:u w:val="single"/>
          <w:lang w:val="en-US" w:eastAsia="zh-CN"/>
        </w:rPr>
        <w:t xml:space="preserve">  </w:t>
      </w:r>
      <w:r>
        <w:rPr>
          <w:rFonts w:hint="eastAsia" w:ascii="仿宋" w:hAnsi="仿宋" w:eastAsia="仿宋" w:cs="仿宋"/>
          <w:color w:val="auto"/>
          <w:sz w:val="24"/>
          <w:szCs w:val="32"/>
          <w:highlight w:val="none"/>
          <w:u w:val="single"/>
        </w:rPr>
        <w:t> </w:t>
      </w:r>
      <w:r>
        <w:rPr>
          <w:rFonts w:hint="eastAsia" w:ascii="仿宋" w:hAnsi="仿宋" w:eastAsia="仿宋" w:cs="仿宋"/>
          <w:color w:val="auto"/>
          <w:sz w:val="24"/>
          <w:szCs w:val="32"/>
          <w:highlight w:val="none"/>
        </w:rPr>
        <w:t>元）。</w:t>
      </w:r>
    </w:p>
    <w:p w14:paraId="3F67F9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②项目所有内容建设完成，系统上线并试运行合格符合验收标准后，乙方以书面形式向甲方申请竣工验收，甲方在收到乙方验收申请后对项目进行竣工验收。甲方确认项目系统及设备运转正常、验收合格后，在30个工作日内，甲方支付项目总额的55%，即人民币</w:t>
      </w:r>
      <w:r>
        <w:rPr>
          <w:rFonts w:hint="eastAsia" w:ascii="仿宋" w:hAnsi="仿宋" w:eastAsia="仿宋" w:cs="仿宋"/>
          <w:color w:val="auto"/>
          <w:sz w:val="24"/>
          <w:szCs w:val="32"/>
          <w:highlight w:val="none"/>
          <w:u w:val="single"/>
        </w:rPr>
        <w:t>       </w:t>
      </w:r>
      <w:r>
        <w:rPr>
          <w:rFonts w:hint="eastAsia" w:ascii="仿宋" w:hAnsi="仿宋" w:eastAsia="仿宋" w:cs="仿宋"/>
          <w:color w:val="auto"/>
          <w:sz w:val="24"/>
          <w:szCs w:val="32"/>
          <w:highlight w:val="none"/>
        </w:rPr>
        <w:t>元整，（小写：¥</w:t>
      </w:r>
      <w:r>
        <w:rPr>
          <w:rFonts w:hint="eastAsia" w:ascii="仿宋" w:hAnsi="仿宋" w:eastAsia="仿宋" w:cs="仿宋"/>
          <w:color w:val="auto"/>
          <w:sz w:val="24"/>
          <w:szCs w:val="32"/>
          <w:highlight w:val="none"/>
          <w:u w:val="single"/>
        </w:rPr>
        <w:t xml:space="preserve">  </w:t>
      </w:r>
      <w:r>
        <w:rPr>
          <w:rFonts w:hint="eastAsia" w:ascii="仿宋" w:hAnsi="仿宋" w:eastAsia="仿宋" w:cs="仿宋"/>
          <w:color w:val="auto"/>
          <w:sz w:val="24"/>
          <w:szCs w:val="32"/>
          <w:highlight w:val="none"/>
          <w:u w:val="single"/>
          <w:lang w:val="en-US" w:eastAsia="zh-CN"/>
        </w:rPr>
        <w:t xml:space="preserve">  </w:t>
      </w:r>
      <w:r>
        <w:rPr>
          <w:rFonts w:hint="eastAsia" w:ascii="仿宋" w:hAnsi="仿宋" w:eastAsia="仿宋" w:cs="仿宋"/>
          <w:color w:val="auto"/>
          <w:sz w:val="24"/>
          <w:szCs w:val="32"/>
          <w:highlight w:val="none"/>
          <w:u w:val="single"/>
        </w:rPr>
        <w:t> </w:t>
      </w:r>
      <w:r>
        <w:rPr>
          <w:rFonts w:hint="eastAsia" w:ascii="仿宋" w:hAnsi="仿宋" w:eastAsia="仿宋" w:cs="仿宋"/>
          <w:color w:val="auto"/>
          <w:sz w:val="24"/>
          <w:szCs w:val="32"/>
          <w:highlight w:val="none"/>
        </w:rPr>
        <w:t>元）。</w:t>
      </w:r>
    </w:p>
    <w:p w14:paraId="1A2434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32"/>
          <w:highlight w:val="none"/>
          <w:lang w:val="en-US" w:eastAsia="zh-CN"/>
        </w:rPr>
      </w:pPr>
      <w:r>
        <w:rPr>
          <w:rFonts w:hint="eastAsia" w:ascii="仿宋" w:hAnsi="仿宋" w:eastAsia="仿宋" w:cs="仿宋"/>
          <w:color w:val="auto"/>
          <w:sz w:val="24"/>
          <w:szCs w:val="32"/>
          <w:highlight w:val="none"/>
        </w:rPr>
        <w:t>③本合同总金额剩余（含税）的5%，在项目通过竣工验收满3年后，在30个工作日内向乙方支付项目总额的5%，即人民币</w:t>
      </w:r>
      <w:r>
        <w:rPr>
          <w:rFonts w:hint="eastAsia" w:ascii="仿宋" w:hAnsi="仿宋" w:eastAsia="仿宋" w:cs="仿宋"/>
          <w:color w:val="auto"/>
          <w:sz w:val="24"/>
          <w:szCs w:val="32"/>
          <w:highlight w:val="none"/>
          <w:u w:val="single"/>
        </w:rPr>
        <w:t>       </w:t>
      </w:r>
      <w:r>
        <w:rPr>
          <w:rFonts w:hint="eastAsia" w:ascii="仿宋" w:hAnsi="仿宋" w:eastAsia="仿宋" w:cs="仿宋"/>
          <w:color w:val="auto"/>
          <w:sz w:val="24"/>
          <w:szCs w:val="32"/>
          <w:highlight w:val="none"/>
        </w:rPr>
        <w:t>元整，（小写：¥</w:t>
      </w:r>
      <w:r>
        <w:rPr>
          <w:rFonts w:hint="eastAsia" w:ascii="仿宋" w:hAnsi="仿宋" w:eastAsia="仿宋" w:cs="仿宋"/>
          <w:color w:val="auto"/>
          <w:sz w:val="24"/>
          <w:szCs w:val="32"/>
          <w:highlight w:val="none"/>
          <w:u w:val="single"/>
        </w:rPr>
        <w:t xml:space="preserve">  </w:t>
      </w:r>
      <w:r>
        <w:rPr>
          <w:rFonts w:hint="eastAsia" w:ascii="仿宋" w:hAnsi="仿宋" w:eastAsia="仿宋" w:cs="仿宋"/>
          <w:color w:val="auto"/>
          <w:sz w:val="24"/>
          <w:szCs w:val="32"/>
          <w:highlight w:val="none"/>
          <w:u w:val="single"/>
          <w:lang w:val="en-US" w:eastAsia="zh-CN"/>
        </w:rPr>
        <w:t xml:space="preserve">  </w:t>
      </w:r>
      <w:r>
        <w:rPr>
          <w:rFonts w:hint="eastAsia" w:ascii="仿宋" w:hAnsi="仿宋" w:eastAsia="仿宋" w:cs="仿宋"/>
          <w:color w:val="auto"/>
          <w:sz w:val="24"/>
          <w:szCs w:val="32"/>
          <w:highlight w:val="none"/>
          <w:u w:val="single"/>
        </w:rPr>
        <w:t> </w:t>
      </w:r>
      <w:r>
        <w:rPr>
          <w:rFonts w:hint="eastAsia" w:ascii="仿宋" w:hAnsi="仿宋" w:eastAsia="仿宋" w:cs="仿宋"/>
          <w:color w:val="auto"/>
          <w:sz w:val="24"/>
          <w:szCs w:val="32"/>
          <w:highlight w:val="none"/>
        </w:rPr>
        <w:t>元）</w:t>
      </w:r>
      <w:r>
        <w:rPr>
          <w:rFonts w:hint="eastAsia" w:ascii="仿宋" w:hAnsi="仿宋" w:eastAsia="仿宋" w:cs="仿宋"/>
          <w:color w:val="auto"/>
          <w:sz w:val="24"/>
          <w:szCs w:val="32"/>
          <w:highlight w:val="none"/>
          <w:lang w:eastAsia="zh-CN"/>
        </w:rPr>
        <w:t>。</w:t>
      </w:r>
    </w:p>
    <w:p w14:paraId="10FA2F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32"/>
          <w:highlight w:val="yellow"/>
        </w:rPr>
      </w:pPr>
      <w:r>
        <w:rPr>
          <w:rFonts w:hint="eastAsia" w:ascii="仿宋" w:hAnsi="仿宋" w:eastAsia="仿宋" w:cs="仿宋"/>
          <w:color w:val="auto"/>
          <w:sz w:val="24"/>
          <w:szCs w:val="32"/>
          <w:highlight w:val="none"/>
        </w:rPr>
        <w:t>关于付款的特别说明：中标后中标单位在首次申请预付款支付时，应开具预付款（发票），具体以新疆大学要求为准。</w:t>
      </w:r>
    </w:p>
    <w:p w14:paraId="150FD112">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1A9791DD">
      <w:pPr>
        <w:widowControl/>
        <w:spacing w:line="360" w:lineRule="auto"/>
        <w:jc w:val="center"/>
        <w:outlineLvl w:val="0"/>
        <w:rPr>
          <w:rFonts w:hint="eastAsia" w:ascii="仿宋" w:hAnsi="仿宋" w:eastAsia="仿宋" w:cs="仿宋"/>
          <w:b/>
          <w:color w:val="auto"/>
          <w:sz w:val="32"/>
          <w:szCs w:val="32"/>
          <w:highlight w:val="none"/>
        </w:rPr>
      </w:pPr>
      <w:bookmarkStart w:id="24" w:name="_Toc13726"/>
      <w:r>
        <w:rPr>
          <w:rFonts w:hint="eastAsia" w:ascii="仿宋" w:hAnsi="仿宋" w:eastAsia="仿宋" w:cs="仿宋"/>
          <w:b/>
          <w:color w:val="auto"/>
          <w:sz w:val="32"/>
          <w:szCs w:val="32"/>
          <w:highlight w:val="none"/>
        </w:rPr>
        <w:t xml:space="preserve">第四章  </w:t>
      </w:r>
      <w:bookmarkEnd w:id="9"/>
      <w:r>
        <w:rPr>
          <w:rFonts w:hint="eastAsia" w:ascii="仿宋" w:hAnsi="仿宋" w:eastAsia="仿宋" w:cs="仿宋"/>
          <w:b/>
          <w:color w:val="auto"/>
          <w:sz w:val="32"/>
          <w:szCs w:val="32"/>
          <w:highlight w:val="none"/>
        </w:rPr>
        <w:t>采购合同</w:t>
      </w:r>
      <w:bookmarkEnd w:id="24"/>
    </w:p>
    <w:p w14:paraId="616CD61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（本合同仅供参考，具体以实际签订为准）</w:t>
      </w:r>
    </w:p>
    <w:p w14:paraId="4A7B61F0">
      <w:pPr>
        <w:jc w:val="center"/>
        <w:rPr>
          <w:rFonts w:hint="eastAsia" w:ascii="仿宋" w:hAnsi="仿宋" w:eastAsia="仿宋" w:cs="仿宋"/>
          <w:color w:val="000000"/>
          <w:sz w:val="84"/>
          <w:szCs w:val="84"/>
        </w:rPr>
      </w:pPr>
      <w:r>
        <w:rPr>
          <w:rFonts w:hint="eastAsia" w:ascii="仿宋" w:hAnsi="仿宋" w:eastAsia="仿宋" w:cs="仿宋"/>
          <w:color w:val="000000"/>
          <w:sz w:val="84"/>
          <w:szCs w:val="84"/>
        </w:rPr>
        <w:t>新  疆  大  学</w:t>
      </w:r>
    </w:p>
    <w:p w14:paraId="44BCC5B6">
      <w:pPr>
        <w:jc w:val="center"/>
        <w:rPr>
          <w:rFonts w:hint="eastAsia" w:ascii="仿宋" w:hAnsi="仿宋" w:eastAsia="仿宋" w:cs="仿宋"/>
          <w:color w:val="000000"/>
          <w:sz w:val="48"/>
          <w:szCs w:val="48"/>
        </w:rPr>
      </w:pPr>
      <w:r>
        <w:rPr>
          <w:rFonts w:hint="eastAsia" w:ascii="仿宋" w:hAnsi="仿宋" w:eastAsia="仿宋" w:cs="仿宋"/>
          <w:color w:val="000000"/>
          <w:sz w:val="48"/>
          <w:szCs w:val="48"/>
        </w:rPr>
        <w:t>（</w:t>
      </w:r>
      <w:r>
        <w:rPr>
          <w:rFonts w:hint="eastAsia" w:ascii="仿宋" w:hAnsi="仿宋" w:eastAsia="仿宋" w:cs="仿宋"/>
          <w:b/>
          <w:bCs/>
          <w:color w:val="000000"/>
          <w:sz w:val="48"/>
          <w:szCs w:val="48"/>
          <w:lang w:val="en-US" w:eastAsia="zh-CN"/>
        </w:rPr>
        <w:t>设备类招标采购</w:t>
      </w:r>
      <w:r>
        <w:rPr>
          <w:rFonts w:hint="eastAsia" w:ascii="仿宋" w:hAnsi="仿宋" w:eastAsia="仿宋" w:cs="仿宋"/>
          <w:color w:val="000000"/>
          <w:sz w:val="48"/>
          <w:szCs w:val="48"/>
        </w:rPr>
        <w:t>）</w:t>
      </w:r>
    </w:p>
    <w:p w14:paraId="2DE00C04">
      <w:pPr>
        <w:jc w:val="center"/>
        <w:rPr>
          <w:rFonts w:hint="eastAsia" w:ascii="仿宋" w:hAnsi="仿宋" w:eastAsia="仿宋" w:cs="仿宋"/>
          <w:color w:val="000000"/>
          <w:sz w:val="44"/>
          <w:szCs w:val="44"/>
        </w:rPr>
      </w:pPr>
    </w:p>
    <w:p w14:paraId="358D735D">
      <w:pPr>
        <w:jc w:val="center"/>
        <w:rPr>
          <w:rFonts w:hint="eastAsia" w:ascii="仿宋" w:hAnsi="仿宋" w:eastAsia="仿宋" w:cs="仿宋"/>
          <w:color w:val="000000"/>
          <w:sz w:val="84"/>
          <w:szCs w:val="84"/>
        </w:rPr>
      </w:pPr>
      <w:r>
        <w:rPr>
          <w:rFonts w:hint="eastAsia" w:ascii="仿宋" w:hAnsi="仿宋" w:eastAsia="仿宋" w:cs="仿宋"/>
          <w:color w:val="000000"/>
          <w:sz w:val="84"/>
          <w:szCs w:val="84"/>
        </w:rPr>
        <w:t>供</w:t>
      </w:r>
    </w:p>
    <w:p w14:paraId="5431C548">
      <w:pPr>
        <w:jc w:val="center"/>
        <w:rPr>
          <w:rFonts w:hint="eastAsia" w:ascii="仿宋" w:hAnsi="仿宋" w:eastAsia="仿宋" w:cs="仿宋"/>
          <w:color w:val="000000"/>
          <w:sz w:val="84"/>
          <w:szCs w:val="84"/>
        </w:rPr>
      </w:pPr>
      <w:r>
        <w:rPr>
          <w:rFonts w:hint="eastAsia" w:ascii="仿宋" w:hAnsi="仿宋" w:eastAsia="仿宋" w:cs="仿宋"/>
          <w:color w:val="000000"/>
          <w:sz w:val="84"/>
          <w:szCs w:val="84"/>
        </w:rPr>
        <w:t>货</w:t>
      </w:r>
    </w:p>
    <w:p w14:paraId="550AC736">
      <w:pPr>
        <w:jc w:val="center"/>
        <w:rPr>
          <w:rFonts w:hint="eastAsia" w:ascii="仿宋" w:hAnsi="仿宋" w:eastAsia="仿宋" w:cs="仿宋"/>
          <w:color w:val="000000"/>
          <w:sz w:val="84"/>
          <w:szCs w:val="84"/>
        </w:rPr>
      </w:pPr>
      <w:r>
        <w:rPr>
          <w:rFonts w:hint="eastAsia" w:ascii="仿宋" w:hAnsi="仿宋" w:eastAsia="仿宋" w:cs="仿宋"/>
          <w:color w:val="000000"/>
          <w:sz w:val="84"/>
          <w:szCs w:val="84"/>
        </w:rPr>
        <w:t>合</w:t>
      </w:r>
    </w:p>
    <w:p w14:paraId="09B7DD65">
      <w:pPr>
        <w:jc w:val="center"/>
        <w:rPr>
          <w:rFonts w:hint="eastAsia" w:ascii="仿宋" w:hAnsi="仿宋" w:eastAsia="仿宋" w:cs="仿宋"/>
          <w:color w:val="000000"/>
          <w:sz w:val="84"/>
          <w:szCs w:val="84"/>
        </w:rPr>
      </w:pPr>
      <w:r>
        <w:rPr>
          <w:rFonts w:hint="eastAsia" w:ascii="仿宋" w:hAnsi="仿宋" w:eastAsia="仿宋" w:cs="仿宋"/>
          <w:color w:val="000000"/>
          <w:sz w:val="84"/>
          <w:szCs w:val="84"/>
        </w:rPr>
        <w:t>同</w:t>
      </w:r>
    </w:p>
    <w:p w14:paraId="66136946">
      <w:pPr>
        <w:rPr>
          <w:rFonts w:hint="eastAsia" w:ascii="仿宋" w:hAnsi="仿宋" w:eastAsia="仿宋" w:cs="仿宋"/>
          <w:color w:val="000000"/>
          <w:sz w:val="36"/>
          <w:szCs w:val="36"/>
        </w:rPr>
      </w:pPr>
    </w:p>
    <w:p w14:paraId="58BAFAD8">
      <w:pPr>
        <w:rPr>
          <w:rFonts w:hint="eastAsia" w:ascii="仿宋" w:hAnsi="仿宋" w:eastAsia="仿宋" w:cs="仿宋"/>
          <w:color w:val="000000"/>
          <w:sz w:val="36"/>
          <w:szCs w:val="36"/>
        </w:rPr>
      </w:pPr>
    </w:p>
    <w:p w14:paraId="16FE4E76">
      <w:pPr>
        <w:rPr>
          <w:rFonts w:hint="eastAsia" w:ascii="仿宋" w:hAnsi="仿宋" w:eastAsia="仿宋" w:cs="仿宋"/>
          <w:color w:val="000000"/>
          <w:sz w:val="36"/>
          <w:szCs w:val="36"/>
        </w:rPr>
      </w:pPr>
    </w:p>
    <w:p w14:paraId="6E1FA038">
      <w:pPr>
        <w:ind w:firstLine="1280" w:firstLineChars="400"/>
        <w:rPr>
          <w:rFonts w:hint="eastAsia" w:ascii="仿宋" w:hAnsi="仿宋" w:eastAsia="仿宋" w:cs="仿宋"/>
          <w:spacing w:val="54"/>
          <w:kern w:val="4"/>
          <w:sz w:val="32"/>
          <w:szCs w:val="32"/>
        </w:rPr>
      </w:pPr>
      <w:r>
        <w:rPr>
          <w:rFonts w:hint="eastAsia" w:ascii="仿宋" w:hAnsi="仿宋" w:eastAsia="仿宋" w:cs="仿宋"/>
          <w:color w:val="000000"/>
          <w:sz w:val="32"/>
          <w:szCs w:val="32"/>
        </w:rPr>
        <w:t>招标项目名称：</w:t>
      </w:r>
      <w:r>
        <w:rPr>
          <w:rFonts w:hint="eastAsia" w:ascii="仿宋" w:hAnsi="仿宋" w:eastAsia="仿宋" w:cs="仿宋"/>
          <w:bCs/>
          <w:sz w:val="32"/>
          <w:szCs w:val="32"/>
          <w:u w:val="single"/>
        </w:rPr>
        <w:t xml:space="preserve">         </w:t>
      </w:r>
      <w:r>
        <w:rPr>
          <w:rFonts w:hint="eastAsia" w:ascii="仿宋" w:hAnsi="仿宋" w:eastAsia="仿宋" w:cs="仿宋"/>
          <w:bCs/>
          <w:sz w:val="32"/>
          <w:szCs w:val="32"/>
          <w:u w:val="single"/>
          <w:lang w:val="en-US" w:eastAsia="zh-CN"/>
        </w:rPr>
        <w:t xml:space="preserve">   </w:t>
      </w:r>
      <w:r>
        <w:rPr>
          <w:rFonts w:hint="eastAsia" w:ascii="仿宋" w:hAnsi="仿宋" w:eastAsia="仿宋" w:cs="仿宋"/>
          <w:bCs/>
          <w:sz w:val="32"/>
          <w:szCs w:val="32"/>
          <w:u w:val="single"/>
        </w:rPr>
        <w:t xml:space="preserve">          </w:t>
      </w:r>
    </w:p>
    <w:p w14:paraId="0646BC36">
      <w:pPr>
        <w:ind w:left="0" w:leftChars="0" w:firstLine="1280" w:firstLineChars="400"/>
        <w:rPr>
          <w:rFonts w:hint="eastAsia" w:ascii="仿宋" w:hAnsi="仿宋" w:eastAsia="仿宋" w:cs="仿宋"/>
          <w:color w:val="000000"/>
          <w:sz w:val="32"/>
          <w:szCs w:val="32"/>
        </w:rPr>
      </w:pPr>
      <w:r>
        <w:rPr>
          <w:rFonts w:hint="eastAsia" w:ascii="仿宋" w:hAnsi="仿宋" w:eastAsia="仿宋" w:cs="仿宋"/>
          <w:color w:val="000000"/>
          <w:sz w:val="32"/>
          <w:szCs w:val="32"/>
        </w:rPr>
        <w:t>招标文件编号：</w:t>
      </w:r>
      <w:r>
        <w:rPr>
          <w:rFonts w:hint="eastAsia" w:ascii="仿宋" w:hAnsi="仿宋" w:eastAsia="仿宋" w:cs="仿宋"/>
          <w:bCs/>
          <w:sz w:val="32"/>
          <w:szCs w:val="32"/>
          <w:u w:val="single"/>
        </w:rPr>
        <w:t xml:space="preserve">      </w:t>
      </w:r>
      <w:r>
        <w:rPr>
          <w:rFonts w:hint="eastAsia" w:ascii="仿宋" w:hAnsi="仿宋" w:eastAsia="仿宋" w:cs="仿宋"/>
          <w:bCs/>
          <w:sz w:val="32"/>
          <w:szCs w:val="32"/>
          <w:u w:val="single"/>
          <w:lang w:val="en-US" w:eastAsia="zh-CN"/>
        </w:rPr>
        <w:t xml:space="preserve"> </w:t>
      </w:r>
      <w:r>
        <w:rPr>
          <w:rFonts w:hint="eastAsia" w:ascii="仿宋" w:hAnsi="仿宋" w:eastAsia="仿宋" w:cs="仿宋"/>
          <w:bCs/>
          <w:sz w:val="32"/>
          <w:szCs w:val="32"/>
          <w:u w:val="single"/>
        </w:rPr>
        <w:t xml:space="preserve">                </w:t>
      </w:r>
    </w:p>
    <w:p w14:paraId="3396F0F6">
      <w:pPr>
        <w:rPr>
          <w:rFonts w:hint="eastAsia" w:ascii="仿宋" w:hAnsi="仿宋" w:eastAsia="仿宋" w:cs="仿宋"/>
          <w:color w:val="000000"/>
          <w:sz w:val="30"/>
          <w:szCs w:val="30"/>
        </w:rPr>
      </w:pPr>
    </w:p>
    <w:p w14:paraId="196CAB13">
      <w:pPr>
        <w:jc w:val="center"/>
        <w:rPr>
          <w:rFonts w:hint="eastAsia" w:ascii="仿宋" w:hAnsi="仿宋" w:eastAsia="仿宋" w:cs="仿宋"/>
          <w:color w:val="000000"/>
          <w:sz w:val="32"/>
          <w:szCs w:val="32"/>
        </w:rPr>
      </w:pPr>
    </w:p>
    <w:p w14:paraId="1F29C9FA">
      <w:pPr>
        <w:jc w:val="center"/>
        <w:rPr>
          <w:rFonts w:hint="eastAsia" w:ascii="仿宋" w:hAnsi="仿宋" w:eastAsia="仿宋" w:cs="仿宋"/>
          <w:color w:val="000000"/>
          <w:sz w:val="32"/>
          <w:szCs w:val="32"/>
        </w:rPr>
      </w:pPr>
    </w:p>
    <w:p w14:paraId="3E3B6541">
      <w:pPr>
        <w:jc w:val="center"/>
        <w:rPr>
          <w:rFonts w:hint="eastAsia" w:ascii="仿宋" w:hAnsi="仿宋" w:eastAsia="仿宋" w:cs="仿宋"/>
          <w:color w:val="000000"/>
          <w:sz w:val="32"/>
          <w:szCs w:val="32"/>
        </w:rPr>
      </w:pPr>
    </w:p>
    <w:p w14:paraId="3B97077D">
      <w:pPr>
        <w:numPr>
          <w:ilvl w:val="0"/>
          <w:numId w:val="0"/>
        </w:numPr>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新疆大学合同填写说明：</w:t>
      </w:r>
    </w:p>
    <w:p w14:paraId="69F97B4A">
      <w:pPr>
        <w:numPr>
          <w:ilvl w:val="0"/>
          <w:numId w:val="0"/>
        </w:num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本合同为限制性编辑的制式合同模板，未经合同签订双方同意不得对限制编辑内容进行修改。</w:t>
      </w:r>
    </w:p>
    <w:p w14:paraId="4B48C973">
      <w:pPr>
        <w:numPr>
          <w:ilvl w:val="0"/>
          <w:numId w:val="0"/>
        </w:num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rPr>
        <w:t>合同信息内容电话、传真、开户行号等如无使用“/”代替。</w:t>
      </w:r>
    </w:p>
    <w:p w14:paraId="53DC36E5">
      <w:pPr>
        <w:numPr>
          <w:ilvl w:val="0"/>
          <w:numId w:val="0"/>
        </w:num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合同标的物</w:t>
      </w:r>
      <w:r>
        <w:rPr>
          <w:rFonts w:hint="eastAsia" w:ascii="仿宋" w:hAnsi="仿宋" w:eastAsia="仿宋" w:cs="仿宋"/>
          <w:sz w:val="32"/>
          <w:szCs w:val="32"/>
        </w:rPr>
        <w:t>参数必须详细列出。</w:t>
      </w:r>
    </w:p>
    <w:p w14:paraId="59F3AA01">
      <w:pPr>
        <w:numPr>
          <w:ilvl w:val="0"/>
          <w:numId w:val="0"/>
        </w:num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合同打印方式双面打印。</w:t>
      </w:r>
    </w:p>
    <w:p w14:paraId="7C5C4643">
      <w:pPr>
        <w:numPr>
          <w:ilvl w:val="0"/>
          <w:numId w:val="0"/>
        </w:num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合同签订需双方加盖骑缝章。</w:t>
      </w:r>
    </w:p>
    <w:p w14:paraId="3DA7BB1C">
      <w:pPr>
        <w:rPr>
          <w:rFonts w:hint="eastAsia" w:ascii="仿宋" w:hAnsi="仿宋" w:eastAsia="仿宋" w:cs="仿宋"/>
          <w:color w:val="000000"/>
          <w:sz w:val="32"/>
          <w:szCs w:val="32"/>
        </w:rPr>
      </w:pPr>
      <w:r>
        <w:rPr>
          <w:rFonts w:hint="eastAsia" w:ascii="仿宋" w:hAnsi="仿宋" w:eastAsia="仿宋" w:cs="仿宋"/>
          <w:color w:val="000000"/>
          <w:sz w:val="32"/>
          <w:szCs w:val="32"/>
        </w:rPr>
        <w:br w:type="page"/>
      </w:r>
    </w:p>
    <w:p w14:paraId="3F932C81">
      <w:pPr>
        <w:jc w:val="center"/>
        <w:rPr>
          <w:rFonts w:hint="eastAsia" w:ascii="仿宋" w:hAnsi="仿宋" w:eastAsia="仿宋" w:cs="仿宋"/>
          <w:b/>
          <w:bCs/>
          <w:color w:val="000000"/>
          <w:sz w:val="44"/>
          <w:szCs w:val="44"/>
        </w:rPr>
      </w:pPr>
      <w:r>
        <w:rPr>
          <w:rFonts w:hint="eastAsia" w:ascii="仿宋" w:hAnsi="仿宋" w:eastAsia="仿宋" w:cs="仿宋"/>
          <w:b/>
          <w:bCs/>
          <w:color w:val="000000"/>
          <w:sz w:val="44"/>
          <w:szCs w:val="44"/>
        </w:rPr>
        <w:t>新疆大学(</w:t>
      </w:r>
      <w:r>
        <w:rPr>
          <w:rFonts w:hint="eastAsia" w:ascii="仿宋" w:hAnsi="仿宋" w:eastAsia="仿宋" w:cs="仿宋"/>
          <w:b/>
          <w:bCs/>
          <w:color w:val="000000"/>
          <w:sz w:val="44"/>
          <w:szCs w:val="44"/>
          <w:lang w:val="en-US" w:eastAsia="zh-CN"/>
        </w:rPr>
        <w:t>设备类招标采购</w:t>
      </w:r>
      <w:r>
        <w:rPr>
          <w:rFonts w:hint="eastAsia" w:ascii="仿宋" w:hAnsi="仿宋" w:eastAsia="仿宋" w:cs="仿宋"/>
          <w:b/>
          <w:bCs/>
          <w:color w:val="000000"/>
          <w:sz w:val="44"/>
          <w:szCs w:val="44"/>
        </w:rPr>
        <w:t>）供货合同</w:t>
      </w:r>
    </w:p>
    <w:p w14:paraId="51B0205D">
      <w:pPr>
        <w:spacing w:line="560" w:lineRule="exact"/>
        <w:rPr>
          <w:rFonts w:hint="eastAsia" w:ascii="仿宋" w:hAnsi="仿宋" w:eastAsia="仿宋" w:cs="仿宋"/>
          <w:color w:val="000000"/>
          <w:sz w:val="28"/>
          <w:szCs w:val="28"/>
        </w:rPr>
      </w:pPr>
    </w:p>
    <w:p w14:paraId="3A37BB73">
      <w:pPr>
        <w:spacing w:line="560" w:lineRule="exact"/>
        <w:rPr>
          <w:rFonts w:hint="eastAsia" w:ascii="仿宋" w:hAnsi="仿宋" w:eastAsia="仿宋" w:cs="仿宋"/>
          <w:b/>
          <w:bCs/>
          <w:color w:val="000000"/>
          <w:sz w:val="28"/>
          <w:szCs w:val="28"/>
        </w:rPr>
      </w:pPr>
      <w:r>
        <w:rPr>
          <w:rFonts w:hint="eastAsia" w:ascii="仿宋" w:hAnsi="仿宋" w:eastAsia="仿宋" w:cs="仿宋"/>
          <w:color w:val="000000"/>
          <w:sz w:val="28"/>
          <w:szCs w:val="28"/>
        </w:rPr>
        <w:t>甲   方：</w:t>
      </w:r>
      <w:r>
        <w:rPr>
          <w:rFonts w:hint="eastAsia" w:ascii="仿宋" w:hAnsi="仿宋" w:eastAsia="仿宋" w:cs="仿宋"/>
          <w:b/>
          <w:bCs/>
          <w:color w:val="000000"/>
          <w:sz w:val="28"/>
          <w:szCs w:val="28"/>
        </w:rPr>
        <w:t>新疆大学</w:t>
      </w:r>
    </w:p>
    <w:p w14:paraId="22B38EA2">
      <w:pPr>
        <w:spacing w:line="5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乙   方：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 xml:space="preserve">  </w:t>
      </w:r>
    </w:p>
    <w:p w14:paraId="024AD456">
      <w:pPr>
        <w:numPr>
          <w:ilvl w:val="0"/>
          <w:numId w:val="0"/>
        </w:numPr>
        <w:spacing w:line="560" w:lineRule="exact"/>
        <w:ind w:firstLine="560" w:firstLineChars="200"/>
        <w:rPr>
          <w:rFonts w:hint="eastAsia" w:ascii="仿宋" w:hAnsi="仿宋" w:eastAsia="仿宋" w:cs="仿宋"/>
          <w:b/>
          <w:color w:val="000000"/>
          <w:sz w:val="28"/>
          <w:szCs w:val="28"/>
          <w:lang w:eastAsia="zh-CN"/>
        </w:rPr>
      </w:pPr>
      <w:r>
        <w:rPr>
          <w:rFonts w:hint="eastAsia" w:ascii="仿宋" w:hAnsi="仿宋" w:eastAsia="仿宋" w:cs="仿宋"/>
          <w:color w:val="000000"/>
          <w:sz w:val="28"/>
          <w:szCs w:val="28"/>
        </w:rPr>
        <w:t>按照</w:t>
      </w:r>
      <w:r>
        <w:rPr>
          <w:rFonts w:hint="eastAsia" w:ascii="仿宋" w:hAnsi="仿宋" w:eastAsia="仿宋" w:cs="仿宋"/>
          <w:sz w:val="28"/>
          <w:szCs w:val="28"/>
        </w:rPr>
        <w:t xml:space="preserve">20  年  月   </w:t>
      </w:r>
      <w:r>
        <w:rPr>
          <w:rFonts w:hint="eastAsia" w:ascii="仿宋" w:hAnsi="仿宋" w:eastAsia="仿宋" w:cs="仿宋"/>
          <w:color w:val="000000"/>
          <w:sz w:val="28"/>
          <w:szCs w:val="28"/>
        </w:rPr>
        <w:t>日组织招标的</w:t>
      </w:r>
      <w:r>
        <w:rPr>
          <w:rFonts w:hint="eastAsia" w:ascii="仿宋" w:hAnsi="仿宋" w:eastAsia="仿宋" w:cs="仿宋"/>
          <w:bCs/>
          <w:sz w:val="28"/>
          <w:szCs w:val="28"/>
          <w:u w:val="none"/>
        </w:rPr>
        <w:t xml:space="preserve">          </w:t>
      </w:r>
      <w:r>
        <w:rPr>
          <w:rFonts w:hint="eastAsia" w:ascii="仿宋" w:hAnsi="仿宋" w:eastAsia="仿宋" w:cs="仿宋"/>
          <w:color w:val="000000"/>
          <w:sz w:val="28"/>
          <w:szCs w:val="28"/>
          <w:u w:val="none"/>
        </w:rPr>
        <w:t>项目</w:t>
      </w:r>
      <w:r>
        <w:rPr>
          <w:rFonts w:hint="eastAsia" w:ascii="仿宋" w:hAnsi="仿宋" w:eastAsia="仿宋" w:cs="仿宋"/>
          <w:color w:val="000000"/>
          <w:sz w:val="28"/>
          <w:szCs w:val="28"/>
          <w:u w:val="none"/>
          <w:lang w:val="en-US" w:eastAsia="zh-CN"/>
        </w:rPr>
        <w:t>，项目</w:t>
      </w:r>
      <w:r>
        <w:rPr>
          <w:rFonts w:hint="eastAsia" w:ascii="仿宋" w:hAnsi="仿宋" w:eastAsia="仿宋" w:cs="仿宋"/>
          <w:color w:val="000000"/>
          <w:sz w:val="28"/>
          <w:szCs w:val="28"/>
        </w:rPr>
        <w:t>编号为</w:t>
      </w:r>
      <w:r>
        <w:rPr>
          <w:rFonts w:hint="eastAsia" w:ascii="仿宋" w:hAnsi="仿宋" w:eastAsia="仿宋" w:cs="仿宋"/>
          <w:bCs/>
          <w:sz w:val="28"/>
          <w:szCs w:val="28"/>
          <w:u w:val="none"/>
        </w:rPr>
        <w:t xml:space="preserve">          </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采购计划号为</w:t>
      </w:r>
      <w:r>
        <w:rPr>
          <w:rFonts w:hint="eastAsia" w:ascii="仿宋" w:hAnsi="仿宋" w:eastAsia="仿宋" w:cs="仿宋"/>
          <w:bCs/>
          <w:sz w:val="28"/>
          <w:szCs w:val="28"/>
          <w:u w:val="none"/>
        </w:rPr>
        <w:t xml:space="preserve">          </w:t>
      </w:r>
      <w:r>
        <w:rPr>
          <w:rFonts w:hint="eastAsia" w:ascii="仿宋" w:hAnsi="仿宋" w:eastAsia="仿宋" w:cs="仿宋"/>
          <w:color w:val="000000"/>
          <w:sz w:val="28"/>
          <w:szCs w:val="28"/>
        </w:rPr>
        <w:t>，经评定，乙方</w:t>
      </w:r>
      <w:r>
        <w:rPr>
          <w:rFonts w:hint="eastAsia" w:ascii="仿宋" w:hAnsi="仿宋" w:eastAsia="仿宋" w:cs="仿宋"/>
          <w:sz w:val="28"/>
          <w:szCs w:val="28"/>
          <w:u w:val="none"/>
        </w:rPr>
        <w:t xml:space="preserve">     </w:t>
      </w:r>
      <w:r>
        <w:rPr>
          <w:rFonts w:hint="eastAsia" w:ascii="仿宋" w:hAnsi="仿宋" w:eastAsia="仿宋" w:cs="仿宋"/>
          <w:color w:val="000000"/>
          <w:sz w:val="28"/>
          <w:szCs w:val="28"/>
        </w:rPr>
        <w:t>为</w:t>
      </w:r>
      <w:r>
        <w:rPr>
          <w:rFonts w:hint="eastAsia" w:ascii="仿宋" w:hAnsi="仿宋" w:eastAsia="仿宋" w:cs="仿宋"/>
          <w:color w:val="000000"/>
          <w:sz w:val="28"/>
          <w:szCs w:val="28"/>
          <w:u w:val="none"/>
        </w:rPr>
        <w:t>第</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none"/>
        </w:rPr>
        <w:t>包</w:t>
      </w:r>
      <w:r>
        <w:rPr>
          <w:rFonts w:hint="eastAsia" w:ascii="仿宋" w:hAnsi="仿宋" w:eastAsia="仿宋" w:cs="仿宋"/>
          <w:color w:val="000000"/>
          <w:sz w:val="28"/>
          <w:szCs w:val="28"/>
        </w:rPr>
        <w:t>中标方。根据《中华人民共和国政府采购法》和《中华人民共和国</w:t>
      </w:r>
      <w:r>
        <w:rPr>
          <w:rFonts w:hint="eastAsia" w:ascii="仿宋" w:hAnsi="仿宋" w:eastAsia="仿宋" w:cs="仿宋"/>
          <w:color w:val="000000"/>
          <w:sz w:val="28"/>
          <w:szCs w:val="28"/>
          <w:lang w:val="en-US" w:eastAsia="zh-CN"/>
        </w:rPr>
        <w:t>民法典</w:t>
      </w:r>
      <w:r>
        <w:rPr>
          <w:rFonts w:hint="eastAsia" w:ascii="仿宋" w:hAnsi="仿宋" w:eastAsia="仿宋" w:cs="仿宋"/>
          <w:color w:val="000000"/>
          <w:sz w:val="28"/>
          <w:szCs w:val="28"/>
        </w:rPr>
        <w:t>》的规定，按照公平、公正、平等自愿和诚实信用、协商一致的原则，甲、乙双方授权代表就所供</w:t>
      </w:r>
      <w:r>
        <w:rPr>
          <w:rFonts w:hint="eastAsia" w:ascii="仿宋" w:hAnsi="仿宋" w:eastAsia="仿宋" w:cs="仿宋"/>
          <w:color w:val="000000"/>
          <w:sz w:val="28"/>
          <w:szCs w:val="28"/>
          <w:lang w:eastAsia="zh-CN"/>
        </w:rPr>
        <w:t>合同标的物</w:t>
      </w:r>
      <w:r>
        <w:rPr>
          <w:rFonts w:hint="eastAsia" w:ascii="仿宋" w:hAnsi="仿宋" w:eastAsia="仿宋" w:cs="仿宋"/>
          <w:color w:val="000000"/>
          <w:sz w:val="28"/>
          <w:szCs w:val="28"/>
        </w:rPr>
        <w:t>的购销、安装、调试和售后服务等事宜达成如下条款。</w:t>
      </w:r>
    </w:p>
    <w:p w14:paraId="16516D67">
      <w:pPr>
        <w:numPr>
          <w:ilvl w:val="0"/>
          <w:numId w:val="0"/>
        </w:numPr>
        <w:spacing w:line="560" w:lineRule="exact"/>
        <w:ind w:firstLine="560" w:firstLineChars="200"/>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lang w:val="en-US" w:eastAsia="zh-CN"/>
        </w:rPr>
        <w:t>一、</w:t>
      </w:r>
      <w:r>
        <w:rPr>
          <w:rFonts w:hint="eastAsia" w:ascii="仿宋" w:hAnsi="仿宋" w:eastAsia="仿宋" w:cs="仿宋"/>
          <w:b w:val="0"/>
          <w:bCs/>
          <w:color w:val="000000"/>
          <w:sz w:val="28"/>
          <w:szCs w:val="28"/>
          <w:lang w:eastAsia="zh-CN"/>
        </w:rPr>
        <w:t>合同标的物</w:t>
      </w:r>
      <w:r>
        <w:rPr>
          <w:rFonts w:hint="eastAsia" w:ascii="仿宋" w:hAnsi="仿宋" w:eastAsia="仿宋" w:cs="仿宋"/>
          <w:b w:val="0"/>
          <w:bCs/>
          <w:color w:val="000000"/>
          <w:sz w:val="28"/>
          <w:szCs w:val="28"/>
        </w:rPr>
        <w:t>名称、型号、数量</w:t>
      </w:r>
      <w:r>
        <w:rPr>
          <w:rFonts w:hint="eastAsia" w:ascii="仿宋" w:hAnsi="仿宋" w:eastAsia="仿宋" w:cs="仿宋"/>
          <w:b w:val="0"/>
          <w:bCs/>
          <w:color w:val="000000"/>
          <w:sz w:val="28"/>
          <w:szCs w:val="28"/>
          <w:lang w:eastAsia="zh-CN"/>
        </w:rPr>
        <w:t>、</w:t>
      </w:r>
      <w:r>
        <w:rPr>
          <w:rFonts w:hint="eastAsia" w:ascii="仿宋" w:hAnsi="仿宋" w:eastAsia="仿宋" w:cs="仿宋"/>
          <w:b w:val="0"/>
          <w:bCs/>
          <w:color w:val="000000"/>
          <w:sz w:val="28"/>
          <w:szCs w:val="28"/>
          <w:lang w:val="en-US" w:eastAsia="zh-CN"/>
        </w:rPr>
        <w:t>质保期</w:t>
      </w:r>
      <w:r>
        <w:rPr>
          <w:rFonts w:hint="eastAsia" w:ascii="仿宋" w:hAnsi="仿宋" w:eastAsia="仿宋" w:cs="仿宋"/>
          <w:b w:val="0"/>
          <w:bCs/>
          <w:color w:val="000000"/>
          <w:sz w:val="28"/>
          <w:szCs w:val="28"/>
        </w:rPr>
        <w:t>及价格</w:t>
      </w:r>
      <w:r>
        <w:rPr>
          <w:rFonts w:hint="eastAsia" w:ascii="仿宋" w:hAnsi="仿宋" w:eastAsia="仿宋" w:cs="仿宋"/>
          <w:b w:val="0"/>
          <w:bCs/>
          <w:color w:val="auto"/>
          <w:sz w:val="28"/>
          <w:szCs w:val="28"/>
        </w:rPr>
        <w:t>（单位：元）</w:t>
      </w:r>
    </w:p>
    <w:tbl>
      <w:tblPr>
        <w:tblStyle w:val="31"/>
        <w:tblW w:w="8755" w:type="dxa"/>
        <w:tblInd w:w="-318" w:type="dxa"/>
        <w:tblLayout w:type="fixed"/>
        <w:tblCellMar>
          <w:top w:w="0" w:type="dxa"/>
          <w:left w:w="108" w:type="dxa"/>
          <w:bottom w:w="0" w:type="dxa"/>
          <w:right w:w="108" w:type="dxa"/>
        </w:tblCellMar>
      </w:tblPr>
      <w:tblGrid>
        <w:gridCol w:w="1059"/>
        <w:gridCol w:w="1517"/>
        <w:gridCol w:w="1154"/>
        <w:gridCol w:w="777"/>
        <w:gridCol w:w="1416"/>
        <w:gridCol w:w="773"/>
        <w:gridCol w:w="1029"/>
        <w:gridCol w:w="1030"/>
      </w:tblGrid>
      <w:tr w14:paraId="6D5A49A5">
        <w:tblPrEx>
          <w:tblCellMar>
            <w:top w:w="0" w:type="dxa"/>
            <w:left w:w="108" w:type="dxa"/>
            <w:bottom w:w="0" w:type="dxa"/>
            <w:right w:w="108" w:type="dxa"/>
          </w:tblCellMar>
        </w:tblPrEx>
        <w:trPr>
          <w:trHeight w:val="778" w:hRule="exact"/>
        </w:trPr>
        <w:tc>
          <w:tcPr>
            <w:tcW w:w="1059" w:type="dxa"/>
            <w:tcBorders>
              <w:top w:val="single" w:color="auto" w:sz="4" w:space="0"/>
              <w:left w:val="single" w:color="auto" w:sz="4" w:space="0"/>
              <w:bottom w:val="single" w:color="auto" w:sz="4" w:space="0"/>
              <w:right w:val="single" w:color="auto" w:sz="4" w:space="0"/>
            </w:tcBorders>
            <w:noWrap w:val="0"/>
            <w:vAlign w:val="center"/>
          </w:tcPr>
          <w:p w14:paraId="546B82B8">
            <w:pPr>
              <w:jc w:val="center"/>
              <w:rPr>
                <w:rFonts w:hint="eastAsia" w:ascii="仿宋" w:hAnsi="仿宋" w:eastAsia="仿宋" w:cs="仿宋"/>
                <w:sz w:val="28"/>
                <w:szCs w:val="28"/>
              </w:rPr>
            </w:pPr>
            <w:r>
              <w:rPr>
                <w:rFonts w:hint="eastAsia" w:ascii="仿宋" w:hAnsi="仿宋" w:eastAsia="仿宋" w:cs="仿宋"/>
                <w:sz w:val="28"/>
                <w:szCs w:val="28"/>
              </w:rPr>
              <w:t>序号</w:t>
            </w:r>
          </w:p>
        </w:tc>
        <w:tc>
          <w:tcPr>
            <w:tcW w:w="1517" w:type="dxa"/>
            <w:tcBorders>
              <w:top w:val="single" w:color="auto" w:sz="4" w:space="0"/>
              <w:left w:val="nil"/>
              <w:bottom w:val="single" w:color="auto" w:sz="4" w:space="0"/>
              <w:right w:val="single" w:color="auto" w:sz="4" w:space="0"/>
            </w:tcBorders>
            <w:noWrap w:val="0"/>
            <w:vAlign w:val="center"/>
          </w:tcPr>
          <w:p w14:paraId="052823C1">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tc>
        <w:tc>
          <w:tcPr>
            <w:tcW w:w="1154" w:type="dxa"/>
            <w:tcBorders>
              <w:top w:val="single" w:color="auto" w:sz="4" w:space="0"/>
              <w:left w:val="nil"/>
              <w:bottom w:val="single" w:color="auto" w:sz="4" w:space="0"/>
              <w:right w:val="single" w:color="auto" w:sz="4" w:space="0"/>
            </w:tcBorders>
            <w:noWrap w:val="0"/>
            <w:vAlign w:val="center"/>
          </w:tcPr>
          <w:p w14:paraId="07B701CC">
            <w:pPr>
              <w:jc w:val="center"/>
              <w:rPr>
                <w:rFonts w:hint="eastAsia" w:ascii="仿宋" w:hAnsi="仿宋" w:eastAsia="仿宋" w:cs="仿宋"/>
                <w:sz w:val="28"/>
                <w:szCs w:val="28"/>
              </w:rPr>
            </w:pPr>
          </w:p>
        </w:tc>
        <w:tc>
          <w:tcPr>
            <w:tcW w:w="777" w:type="dxa"/>
            <w:tcBorders>
              <w:top w:val="single" w:color="auto" w:sz="4" w:space="0"/>
              <w:left w:val="single" w:color="auto" w:sz="4" w:space="0"/>
              <w:bottom w:val="single" w:color="auto" w:sz="4" w:space="0"/>
              <w:right w:val="single" w:color="auto" w:sz="4" w:space="0"/>
            </w:tcBorders>
            <w:noWrap w:val="0"/>
            <w:vAlign w:val="center"/>
          </w:tcPr>
          <w:p w14:paraId="4F22ED3E">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tc>
        <w:tc>
          <w:tcPr>
            <w:tcW w:w="1416" w:type="dxa"/>
            <w:tcBorders>
              <w:top w:val="single" w:color="auto" w:sz="4" w:space="0"/>
              <w:left w:val="nil"/>
              <w:bottom w:val="single" w:color="auto" w:sz="4" w:space="0"/>
              <w:right w:val="single" w:color="auto" w:sz="4" w:space="0"/>
            </w:tcBorders>
            <w:noWrap w:val="0"/>
            <w:vAlign w:val="center"/>
          </w:tcPr>
          <w:p w14:paraId="26D22944">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tc>
        <w:tc>
          <w:tcPr>
            <w:tcW w:w="773" w:type="dxa"/>
            <w:tcBorders>
              <w:top w:val="single" w:color="auto" w:sz="4" w:space="0"/>
              <w:left w:val="nil"/>
              <w:bottom w:val="single" w:color="auto" w:sz="4" w:space="0"/>
              <w:right w:val="single" w:color="auto" w:sz="4" w:space="0"/>
            </w:tcBorders>
            <w:noWrap w:val="0"/>
            <w:vAlign w:val="center"/>
          </w:tcPr>
          <w:p w14:paraId="0AA0602F">
            <w:pPr>
              <w:jc w:val="center"/>
              <w:rPr>
                <w:rFonts w:hint="eastAsia" w:ascii="仿宋" w:hAnsi="仿宋" w:eastAsia="仿宋" w:cs="仿宋"/>
                <w:sz w:val="28"/>
                <w:szCs w:val="28"/>
              </w:rPr>
            </w:pPr>
          </w:p>
        </w:tc>
        <w:tc>
          <w:tcPr>
            <w:tcW w:w="1029" w:type="dxa"/>
            <w:tcBorders>
              <w:top w:val="single" w:color="auto" w:sz="4" w:space="0"/>
              <w:left w:val="nil"/>
              <w:bottom w:val="single" w:color="auto" w:sz="4" w:space="0"/>
              <w:right w:val="single" w:color="auto" w:sz="4" w:space="0"/>
            </w:tcBorders>
            <w:noWrap w:val="0"/>
            <w:vAlign w:val="center"/>
          </w:tcPr>
          <w:p w14:paraId="0B964F52">
            <w:pPr>
              <w:jc w:val="center"/>
              <w:rPr>
                <w:rFonts w:hint="eastAsia" w:ascii="仿宋" w:hAnsi="仿宋" w:eastAsia="仿宋" w:cs="仿宋"/>
                <w:sz w:val="28"/>
                <w:szCs w:val="28"/>
              </w:rPr>
            </w:pPr>
          </w:p>
        </w:tc>
        <w:tc>
          <w:tcPr>
            <w:tcW w:w="1030" w:type="dxa"/>
            <w:tcBorders>
              <w:top w:val="single" w:color="auto" w:sz="4" w:space="0"/>
              <w:left w:val="nil"/>
              <w:bottom w:val="single" w:color="auto" w:sz="4" w:space="0"/>
              <w:right w:val="single" w:color="auto" w:sz="4" w:space="0"/>
            </w:tcBorders>
            <w:noWrap w:val="0"/>
            <w:vAlign w:val="center"/>
          </w:tcPr>
          <w:p w14:paraId="010296CE">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tc>
      </w:tr>
      <w:tr w14:paraId="395FFC74">
        <w:tblPrEx>
          <w:tblCellMar>
            <w:top w:w="0" w:type="dxa"/>
            <w:left w:w="108" w:type="dxa"/>
            <w:bottom w:w="0" w:type="dxa"/>
            <w:right w:w="108" w:type="dxa"/>
          </w:tblCellMar>
        </w:tblPrEx>
        <w:trPr>
          <w:trHeight w:val="689" w:hRule="exact"/>
        </w:trPr>
        <w:tc>
          <w:tcPr>
            <w:tcW w:w="1059" w:type="dxa"/>
            <w:tcBorders>
              <w:top w:val="nil"/>
              <w:left w:val="single" w:color="auto" w:sz="4" w:space="0"/>
              <w:bottom w:val="single" w:color="auto" w:sz="4" w:space="0"/>
              <w:right w:val="single" w:color="auto" w:sz="4" w:space="0"/>
            </w:tcBorders>
            <w:noWrap w:val="0"/>
            <w:vAlign w:val="center"/>
          </w:tcPr>
          <w:p w14:paraId="40F071E5">
            <w:pPr>
              <w:widowControl/>
              <w:adjustRightInd w:val="0"/>
              <w:snapToGrid w:val="0"/>
              <w:ind w:left="-105" w:leftChars="-50" w:right="-105" w:rightChars="-50"/>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p>
        </w:tc>
        <w:tc>
          <w:tcPr>
            <w:tcW w:w="1517" w:type="dxa"/>
            <w:tcBorders>
              <w:top w:val="nil"/>
              <w:left w:val="nil"/>
              <w:bottom w:val="single" w:color="auto" w:sz="4" w:space="0"/>
              <w:right w:val="single" w:color="auto" w:sz="4" w:space="0"/>
            </w:tcBorders>
            <w:noWrap w:val="0"/>
            <w:vAlign w:val="center"/>
          </w:tcPr>
          <w:p w14:paraId="15DE2C0B">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 xml:space="preserve"> </w:t>
            </w:r>
          </w:p>
        </w:tc>
        <w:tc>
          <w:tcPr>
            <w:tcW w:w="1154" w:type="dxa"/>
            <w:tcBorders>
              <w:top w:val="nil"/>
              <w:left w:val="nil"/>
              <w:bottom w:val="single" w:color="auto" w:sz="4" w:space="0"/>
              <w:right w:val="single" w:color="auto" w:sz="4" w:space="0"/>
            </w:tcBorders>
            <w:noWrap w:val="0"/>
            <w:vAlign w:val="center"/>
          </w:tcPr>
          <w:p w14:paraId="58EDEDBE">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 xml:space="preserve"> </w:t>
            </w:r>
          </w:p>
        </w:tc>
        <w:tc>
          <w:tcPr>
            <w:tcW w:w="777" w:type="dxa"/>
            <w:tcBorders>
              <w:top w:val="nil"/>
              <w:left w:val="single" w:color="auto" w:sz="4" w:space="0"/>
              <w:bottom w:val="single" w:color="auto" w:sz="4" w:space="0"/>
              <w:right w:val="single" w:color="auto" w:sz="4" w:space="0"/>
            </w:tcBorders>
            <w:noWrap w:val="0"/>
            <w:vAlign w:val="center"/>
          </w:tcPr>
          <w:p w14:paraId="4D305525">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 xml:space="preserve"> </w:t>
            </w:r>
          </w:p>
        </w:tc>
        <w:tc>
          <w:tcPr>
            <w:tcW w:w="1416" w:type="dxa"/>
            <w:tcBorders>
              <w:top w:val="nil"/>
              <w:left w:val="nil"/>
              <w:bottom w:val="single" w:color="auto" w:sz="4" w:space="0"/>
              <w:right w:val="single" w:color="auto" w:sz="4" w:space="0"/>
            </w:tcBorders>
            <w:noWrap w:val="0"/>
            <w:vAlign w:val="center"/>
          </w:tcPr>
          <w:p w14:paraId="6040E7C3">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 xml:space="preserve"> </w:t>
            </w:r>
          </w:p>
        </w:tc>
        <w:tc>
          <w:tcPr>
            <w:tcW w:w="773" w:type="dxa"/>
            <w:tcBorders>
              <w:top w:val="nil"/>
              <w:left w:val="nil"/>
              <w:bottom w:val="single" w:color="auto" w:sz="4" w:space="0"/>
              <w:right w:val="single" w:color="auto" w:sz="4" w:space="0"/>
            </w:tcBorders>
            <w:noWrap w:val="0"/>
            <w:vAlign w:val="center"/>
          </w:tcPr>
          <w:p w14:paraId="2E4EC3BE">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 xml:space="preserve"> </w:t>
            </w:r>
          </w:p>
        </w:tc>
        <w:tc>
          <w:tcPr>
            <w:tcW w:w="1029" w:type="dxa"/>
            <w:tcBorders>
              <w:top w:val="nil"/>
              <w:left w:val="nil"/>
              <w:bottom w:val="single" w:color="auto" w:sz="4" w:space="0"/>
              <w:right w:val="single" w:color="auto" w:sz="4" w:space="0"/>
            </w:tcBorders>
            <w:noWrap w:val="0"/>
            <w:vAlign w:val="center"/>
          </w:tcPr>
          <w:p w14:paraId="5EC3FA8C">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 xml:space="preserve"> </w:t>
            </w:r>
          </w:p>
        </w:tc>
        <w:tc>
          <w:tcPr>
            <w:tcW w:w="1030" w:type="dxa"/>
            <w:tcBorders>
              <w:top w:val="nil"/>
              <w:left w:val="nil"/>
              <w:bottom w:val="single" w:color="auto" w:sz="4" w:space="0"/>
              <w:right w:val="single" w:color="auto" w:sz="4" w:space="0"/>
            </w:tcBorders>
            <w:noWrap w:val="0"/>
            <w:vAlign w:val="center"/>
          </w:tcPr>
          <w:p w14:paraId="2F100F4D">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 xml:space="preserve"> </w:t>
            </w:r>
          </w:p>
        </w:tc>
      </w:tr>
      <w:tr w14:paraId="2F7240A0">
        <w:tblPrEx>
          <w:tblCellMar>
            <w:top w:w="0" w:type="dxa"/>
            <w:left w:w="108" w:type="dxa"/>
            <w:bottom w:w="0" w:type="dxa"/>
            <w:right w:w="108" w:type="dxa"/>
          </w:tblCellMar>
        </w:tblPrEx>
        <w:trPr>
          <w:trHeight w:val="689" w:hRule="exact"/>
        </w:trPr>
        <w:tc>
          <w:tcPr>
            <w:tcW w:w="1059" w:type="dxa"/>
            <w:tcBorders>
              <w:top w:val="nil"/>
              <w:left w:val="single" w:color="auto" w:sz="4" w:space="0"/>
              <w:bottom w:val="single" w:color="auto" w:sz="4" w:space="0"/>
              <w:right w:val="single" w:color="auto" w:sz="4" w:space="0"/>
            </w:tcBorders>
            <w:noWrap w:val="0"/>
            <w:vAlign w:val="center"/>
          </w:tcPr>
          <w:p w14:paraId="785F1DE4">
            <w:pPr>
              <w:widowControl/>
              <w:adjustRightInd w:val="0"/>
              <w:snapToGrid w:val="0"/>
              <w:ind w:left="-105" w:leftChars="-50" w:right="-105" w:rightChars="-50"/>
              <w:jc w:val="center"/>
              <w:rPr>
                <w:rFonts w:hint="eastAsia" w:ascii="仿宋" w:hAnsi="仿宋" w:eastAsia="仿宋" w:cs="仿宋"/>
                <w:color w:val="000000"/>
                <w:kern w:val="0"/>
                <w:sz w:val="28"/>
                <w:szCs w:val="28"/>
              </w:rPr>
            </w:pPr>
          </w:p>
        </w:tc>
        <w:tc>
          <w:tcPr>
            <w:tcW w:w="1517" w:type="dxa"/>
            <w:tcBorders>
              <w:top w:val="nil"/>
              <w:left w:val="nil"/>
              <w:bottom w:val="single" w:color="auto" w:sz="4" w:space="0"/>
              <w:right w:val="single" w:color="auto" w:sz="4" w:space="0"/>
            </w:tcBorders>
            <w:noWrap w:val="0"/>
            <w:vAlign w:val="center"/>
          </w:tcPr>
          <w:p w14:paraId="472AD8E2">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p>
        </w:tc>
        <w:tc>
          <w:tcPr>
            <w:tcW w:w="1154" w:type="dxa"/>
            <w:tcBorders>
              <w:top w:val="nil"/>
              <w:left w:val="nil"/>
              <w:bottom w:val="single" w:color="auto" w:sz="4" w:space="0"/>
              <w:right w:val="single" w:color="auto" w:sz="4" w:space="0"/>
            </w:tcBorders>
            <w:noWrap w:val="0"/>
            <w:vAlign w:val="center"/>
          </w:tcPr>
          <w:p w14:paraId="0171A238">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p>
        </w:tc>
        <w:tc>
          <w:tcPr>
            <w:tcW w:w="777" w:type="dxa"/>
            <w:tcBorders>
              <w:top w:val="nil"/>
              <w:left w:val="single" w:color="auto" w:sz="4" w:space="0"/>
              <w:bottom w:val="single" w:color="auto" w:sz="4" w:space="0"/>
              <w:right w:val="single" w:color="auto" w:sz="4" w:space="0"/>
            </w:tcBorders>
            <w:noWrap w:val="0"/>
            <w:vAlign w:val="center"/>
          </w:tcPr>
          <w:p w14:paraId="2FE10380">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p>
        </w:tc>
        <w:tc>
          <w:tcPr>
            <w:tcW w:w="1416" w:type="dxa"/>
            <w:tcBorders>
              <w:top w:val="nil"/>
              <w:left w:val="nil"/>
              <w:bottom w:val="single" w:color="auto" w:sz="4" w:space="0"/>
              <w:right w:val="single" w:color="auto" w:sz="4" w:space="0"/>
            </w:tcBorders>
            <w:noWrap w:val="0"/>
            <w:vAlign w:val="center"/>
          </w:tcPr>
          <w:p w14:paraId="2C7A7202">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p>
        </w:tc>
        <w:tc>
          <w:tcPr>
            <w:tcW w:w="773" w:type="dxa"/>
            <w:tcBorders>
              <w:top w:val="nil"/>
              <w:left w:val="nil"/>
              <w:bottom w:val="single" w:color="auto" w:sz="4" w:space="0"/>
              <w:right w:val="single" w:color="auto" w:sz="4" w:space="0"/>
            </w:tcBorders>
            <w:noWrap w:val="0"/>
            <w:vAlign w:val="center"/>
          </w:tcPr>
          <w:p w14:paraId="16648ACD">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p>
        </w:tc>
        <w:tc>
          <w:tcPr>
            <w:tcW w:w="1029" w:type="dxa"/>
            <w:tcBorders>
              <w:top w:val="nil"/>
              <w:left w:val="nil"/>
              <w:bottom w:val="single" w:color="auto" w:sz="4" w:space="0"/>
              <w:right w:val="single" w:color="auto" w:sz="4" w:space="0"/>
            </w:tcBorders>
            <w:noWrap w:val="0"/>
            <w:vAlign w:val="center"/>
          </w:tcPr>
          <w:p w14:paraId="0D87AC00">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p>
        </w:tc>
        <w:tc>
          <w:tcPr>
            <w:tcW w:w="1030" w:type="dxa"/>
            <w:tcBorders>
              <w:top w:val="nil"/>
              <w:left w:val="nil"/>
              <w:bottom w:val="single" w:color="auto" w:sz="4" w:space="0"/>
              <w:right w:val="single" w:color="auto" w:sz="4" w:space="0"/>
            </w:tcBorders>
            <w:noWrap w:val="0"/>
            <w:vAlign w:val="center"/>
          </w:tcPr>
          <w:p w14:paraId="59DD2110">
            <w:pPr>
              <w:widowControl/>
              <w:adjustRightInd w:val="0"/>
              <w:snapToGrid w:val="0"/>
              <w:ind w:left="-105" w:leftChars="-50" w:right="-105" w:rightChars="-50"/>
              <w:jc w:val="center"/>
              <w:rPr>
                <w:rFonts w:hint="eastAsia" w:ascii="仿宋" w:hAnsi="仿宋" w:eastAsia="仿宋" w:cs="仿宋"/>
                <w:color w:val="000000"/>
                <w:kern w:val="0"/>
                <w:sz w:val="28"/>
                <w:szCs w:val="28"/>
                <w:lang w:val="en-US" w:eastAsia="zh-CN"/>
              </w:rPr>
            </w:pPr>
          </w:p>
        </w:tc>
      </w:tr>
      <w:tr w14:paraId="7ADA6AB1">
        <w:tblPrEx>
          <w:tblCellMar>
            <w:top w:w="0" w:type="dxa"/>
            <w:left w:w="108" w:type="dxa"/>
            <w:bottom w:w="0" w:type="dxa"/>
            <w:right w:w="108" w:type="dxa"/>
          </w:tblCellMar>
        </w:tblPrEx>
        <w:trPr>
          <w:trHeight w:val="1358" w:hRule="exact"/>
        </w:trPr>
        <w:tc>
          <w:tcPr>
            <w:tcW w:w="8755" w:type="dxa"/>
            <w:gridSpan w:val="8"/>
            <w:tcBorders>
              <w:top w:val="single" w:color="auto" w:sz="4" w:space="0"/>
              <w:left w:val="single" w:color="auto" w:sz="4" w:space="0"/>
              <w:bottom w:val="single" w:color="auto" w:sz="4" w:space="0"/>
              <w:right w:val="single" w:color="auto" w:sz="4" w:space="0"/>
            </w:tcBorders>
            <w:noWrap w:val="0"/>
            <w:vAlign w:val="center"/>
          </w:tcPr>
          <w:p w14:paraId="36973332">
            <w:pPr>
              <w:jc w:val="left"/>
              <w:rPr>
                <w:rFonts w:hint="eastAsia" w:ascii="仿宋" w:hAnsi="仿宋" w:eastAsia="仿宋" w:cs="仿宋"/>
                <w:color w:val="000000"/>
                <w:sz w:val="28"/>
                <w:szCs w:val="28"/>
              </w:rPr>
            </w:pPr>
            <w:r>
              <w:rPr>
                <w:rFonts w:hint="eastAsia" w:ascii="仿宋" w:hAnsi="仿宋" w:eastAsia="仿宋" w:cs="仿宋"/>
                <w:color w:val="000000"/>
                <w:sz w:val="24"/>
                <w:szCs w:val="24"/>
              </w:rPr>
              <w:t>总计</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大写人民币</w:t>
            </w:r>
            <w:r>
              <w:rPr>
                <w:rFonts w:hint="eastAsia" w:ascii="仿宋" w:hAnsi="仿宋" w:eastAsia="仿宋" w:cs="仿宋"/>
                <w:color w:val="000000"/>
                <w:kern w:val="0"/>
                <w:sz w:val="24"/>
                <w:szCs w:val="24"/>
                <w:u w:val="none"/>
              </w:rPr>
              <w:t xml:space="preserve">    </w:t>
            </w:r>
            <w:r>
              <w:rPr>
                <w:rFonts w:hint="eastAsia" w:ascii="仿宋" w:hAnsi="仿宋" w:eastAsia="仿宋" w:cs="仿宋"/>
                <w:color w:val="000000"/>
                <w:kern w:val="0"/>
                <w:sz w:val="24"/>
                <w:szCs w:val="24"/>
                <w:u w:val="none"/>
                <w:lang w:val="en-US" w:eastAsia="zh-CN"/>
              </w:rPr>
              <w:t xml:space="preserve"> </w:t>
            </w:r>
            <w:r>
              <w:rPr>
                <w:rFonts w:hint="eastAsia" w:ascii="仿宋" w:hAnsi="仿宋" w:eastAsia="仿宋" w:cs="仿宋"/>
                <w:color w:val="000000"/>
                <w:kern w:val="0"/>
                <w:sz w:val="24"/>
                <w:szCs w:val="24"/>
                <w:u w:val="none"/>
              </w:rPr>
              <w:t xml:space="preserve">  元整</w:t>
            </w:r>
            <w:r>
              <w:rPr>
                <w:rFonts w:hint="eastAsia" w:ascii="仿宋" w:hAnsi="仿宋" w:eastAsia="仿宋" w:cs="仿宋"/>
                <w:color w:val="000000"/>
                <w:sz w:val="24"/>
                <w:szCs w:val="24"/>
              </w:rPr>
              <w:t>，小写</w:t>
            </w:r>
            <w:r>
              <w:rPr>
                <w:rFonts w:hint="eastAsia" w:ascii="仿宋" w:hAnsi="仿宋" w:eastAsia="仿宋" w:cs="仿宋"/>
                <w:sz w:val="24"/>
                <w:szCs w:val="24"/>
                <w:u w:val="none"/>
              </w:rPr>
              <w:t>¥</w:t>
            </w:r>
            <w:r>
              <w:rPr>
                <w:rFonts w:hint="eastAsia" w:ascii="仿宋" w:hAnsi="仿宋" w:eastAsia="仿宋" w:cs="仿宋"/>
                <w:color w:val="000000"/>
                <w:kern w:val="0"/>
                <w:sz w:val="24"/>
                <w:szCs w:val="24"/>
                <w:u w:val="none"/>
              </w:rPr>
              <w:t xml:space="preserve"> </w:t>
            </w:r>
            <w:r>
              <w:rPr>
                <w:rFonts w:hint="eastAsia" w:ascii="仿宋" w:hAnsi="仿宋" w:eastAsia="仿宋" w:cs="仿宋"/>
                <w:color w:val="000000"/>
                <w:kern w:val="0"/>
                <w:sz w:val="24"/>
                <w:szCs w:val="24"/>
                <w:u w:val="none"/>
                <w:lang w:val="en-US" w:eastAsia="zh-CN"/>
              </w:rPr>
              <w:t xml:space="preserve"> </w:t>
            </w:r>
            <w:r>
              <w:rPr>
                <w:rFonts w:hint="eastAsia" w:ascii="仿宋" w:hAnsi="仿宋" w:eastAsia="仿宋" w:cs="仿宋"/>
                <w:color w:val="000000"/>
                <w:kern w:val="0"/>
                <w:sz w:val="24"/>
                <w:szCs w:val="24"/>
                <w:u w:val="none"/>
              </w:rPr>
              <w:t xml:space="preserve">   </w:t>
            </w:r>
            <w:r>
              <w:rPr>
                <w:rFonts w:hint="eastAsia" w:ascii="仿宋" w:hAnsi="仿宋" w:eastAsia="仿宋" w:cs="仿宋"/>
                <w:color w:val="000000"/>
                <w:kern w:val="0"/>
                <w:sz w:val="24"/>
                <w:szCs w:val="24"/>
              </w:rPr>
              <w:t>元</w:t>
            </w:r>
            <w:r>
              <w:rPr>
                <w:rFonts w:hint="eastAsia" w:ascii="仿宋" w:hAnsi="仿宋" w:eastAsia="仿宋" w:cs="仿宋"/>
                <w:color w:val="000000"/>
                <w:sz w:val="24"/>
                <w:szCs w:val="24"/>
              </w:rPr>
              <w:t>（包括但不限于运输费、保险费及所配套的土建、吊装就位，培训、安装、调试等所有相关费用）</w:t>
            </w:r>
          </w:p>
        </w:tc>
      </w:tr>
    </w:tbl>
    <w:p w14:paraId="4BCEFD31">
      <w:pPr>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b w:val="0"/>
          <w:bCs/>
          <w:color w:val="000000"/>
          <w:sz w:val="28"/>
          <w:szCs w:val="28"/>
        </w:rPr>
        <w:t>二、报价币种、合同总价</w:t>
      </w:r>
    </w:p>
    <w:p w14:paraId="64A2C142">
      <w:pPr>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本合同总金额为</w:t>
      </w:r>
      <w:r>
        <w:rPr>
          <w:rFonts w:hint="eastAsia" w:ascii="仿宋" w:hAnsi="仿宋" w:eastAsia="仿宋" w:cs="仿宋"/>
          <w:sz w:val="28"/>
          <w:szCs w:val="28"/>
          <w:u w:val="none"/>
        </w:rPr>
        <w:t xml:space="preserve">¥    </w:t>
      </w:r>
      <w:r>
        <w:rPr>
          <w:rFonts w:hint="eastAsia" w:ascii="仿宋" w:hAnsi="仿宋" w:eastAsia="仿宋" w:cs="仿宋"/>
          <w:color w:val="000000"/>
          <w:sz w:val="28"/>
          <w:szCs w:val="28"/>
        </w:rPr>
        <w:t>元，大写人民币</w:t>
      </w:r>
      <w:r>
        <w:rPr>
          <w:rFonts w:hint="eastAsia" w:ascii="仿宋" w:hAnsi="仿宋" w:eastAsia="仿宋" w:cs="仿宋"/>
          <w:color w:val="000000"/>
          <w:kern w:val="0"/>
          <w:sz w:val="28"/>
          <w:szCs w:val="28"/>
          <w:u w:val="none"/>
        </w:rPr>
        <w:t xml:space="preserve">       元整</w:t>
      </w:r>
      <w:r>
        <w:rPr>
          <w:rFonts w:hint="eastAsia" w:ascii="仿宋" w:hAnsi="仿宋" w:eastAsia="仿宋" w:cs="仿宋"/>
          <w:color w:val="000000"/>
          <w:sz w:val="28"/>
          <w:szCs w:val="28"/>
        </w:rPr>
        <w:t>，含税及运费、安装、调试等所有相关费用。</w:t>
      </w:r>
    </w:p>
    <w:p w14:paraId="0087F251">
      <w:pPr>
        <w:numPr>
          <w:ilvl w:val="0"/>
          <w:numId w:val="0"/>
        </w:numPr>
        <w:spacing w:line="560" w:lineRule="exact"/>
        <w:ind w:firstLine="560" w:firstLineChars="200"/>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三、付款方式</w:t>
      </w:r>
    </w:p>
    <w:p w14:paraId="5201941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①合同生效之日起30个工作日之内，乙方将项目清单中所有规定的硬件分批次到货，货物到达甲方指定地点后，甲方与乙方共同对货物进行清点、核对和检验，甲、乙双方签署出具《货物检验报告》，甲方收到乙方开具的含税发票后，在30个工作日内向乙方支付合同总额的40%，即人民币</w:t>
      </w:r>
      <w:r>
        <w:rPr>
          <w:rFonts w:hint="eastAsia" w:ascii="仿宋" w:hAnsi="仿宋" w:eastAsia="仿宋" w:cs="仿宋"/>
          <w:color w:val="auto"/>
          <w:sz w:val="28"/>
          <w:szCs w:val="28"/>
          <w:highlight w:val="none"/>
          <w:u w:val="single"/>
        </w:rPr>
        <w:t>       </w:t>
      </w:r>
      <w:r>
        <w:rPr>
          <w:rFonts w:hint="eastAsia" w:ascii="仿宋" w:hAnsi="仿宋" w:eastAsia="仿宋" w:cs="仿宋"/>
          <w:color w:val="auto"/>
          <w:sz w:val="28"/>
          <w:szCs w:val="28"/>
          <w:highlight w:val="none"/>
        </w:rPr>
        <w:t>元整，（小写：¥</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w:t>
      </w:r>
      <w:r>
        <w:rPr>
          <w:rFonts w:hint="eastAsia" w:ascii="仿宋" w:hAnsi="仿宋" w:eastAsia="仿宋" w:cs="仿宋"/>
          <w:color w:val="auto"/>
          <w:sz w:val="28"/>
          <w:szCs w:val="28"/>
          <w:highlight w:val="none"/>
        </w:rPr>
        <w:t>元）。</w:t>
      </w:r>
    </w:p>
    <w:p w14:paraId="09BF81B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②项目所有内容建设完成，系统上线并试运行合格符合验收标准后，乙方以书面形式向甲方申请竣工验收，甲方在收到乙方验收申请后对项目进行竣工验收。甲方确认项目系统及设备运转正常、验收合格后，在30个工作日内，甲方支付项目总额的55%，即人民币</w:t>
      </w:r>
      <w:r>
        <w:rPr>
          <w:rFonts w:hint="eastAsia" w:ascii="仿宋" w:hAnsi="仿宋" w:eastAsia="仿宋" w:cs="仿宋"/>
          <w:color w:val="auto"/>
          <w:sz w:val="28"/>
          <w:szCs w:val="28"/>
          <w:highlight w:val="none"/>
          <w:u w:val="single"/>
        </w:rPr>
        <w:t>       </w:t>
      </w:r>
      <w:r>
        <w:rPr>
          <w:rFonts w:hint="eastAsia" w:ascii="仿宋" w:hAnsi="仿宋" w:eastAsia="仿宋" w:cs="仿宋"/>
          <w:color w:val="auto"/>
          <w:sz w:val="28"/>
          <w:szCs w:val="28"/>
          <w:highlight w:val="none"/>
        </w:rPr>
        <w:t>元整，（小写：¥</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w:t>
      </w:r>
      <w:r>
        <w:rPr>
          <w:rFonts w:hint="eastAsia" w:ascii="仿宋" w:hAnsi="仿宋" w:eastAsia="仿宋" w:cs="仿宋"/>
          <w:color w:val="auto"/>
          <w:sz w:val="28"/>
          <w:szCs w:val="28"/>
          <w:highlight w:val="none"/>
        </w:rPr>
        <w:t>元）。</w:t>
      </w:r>
    </w:p>
    <w:p w14:paraId="3BA1C32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③本合同总金额剩余（含税）的5%，在项目通过竣工验收满3年后，在30个工作日内向乙方支付项目总额的5%，即人民币</w:t>
      </w:r>
      <w:r>
        <w:rPr>
          <w:rFonts w:hint="eastAsia" w:ascii="仿宋" w:hAnsi="仿宋" w:eastAsia="仿宋" w:cs="仿宋"/>
          <w:color w:val="auto"/>
          <w:sz w:val="28"/>
          <w:szCs w:val="28"/>
          <w:highlight w:val="none"/>
          <w:u w:val="single"/>
        </w:rPr>
        <w:t>       </w:t>
      </w:r>
      <w:r>
        <w:rPr>
          <w:rFonts w:hint="eastAsia" w:ascii="仿宋" w:hAnsi="仿宋" w:eastAsia="仿宋" w:cs="仿宋"/>
          <w:color w:val="auto"/>
          <w:sz w:val="28"/>
          <w:szCs w:val="28"/>
          <w:highlight w:val="none"/>
        </w:rPr>
        <w:t>元整，（小写：¥</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w:t>
      </w:r>
      <w:r>
        <w:rPr>
          <w:rFonts w:hint="eastAsia" w:ascii="仿宋" w:hAnsi="仿宋" w:eastAsia="仿宋" w:cs="仿宋"/>
          <w:color w:val="auto"/>
          <w:sz w:val="28"/>
          <w:szCs w:val="28"/>
          <w:highlight w:val="none"/>
        </w:rPr>
        <w:t>元）</w:t>
      </w:r>
      <w:r>
        <w:rPr>
          <w:rFonts w:hint="eastAsia" w:ascii="仿宋" w:hAnsi="仿宋" w:eastAsia="仿宋" w:cs="仿宋"/>
          <w:color w:val="auto"/>
          <w:sz w:val="28"/>
          <w:szCs w:val="28"/>
          <w:highlight w:val="none"/>
          <w:lang w:eastAsia="zh-CN"/>
        </w:rPr>
        <w:t>。</w:t>
      </w:r>
    </w:p>
    <w:p w14:paraId="1939D83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color w:val="auto"/>
          <w:kern w:val="0"/>
          <w:sz w:val="28"/>
          <w:szCs w:val="28"/>
          <w:highlight w:val="none"/>
        </w:rPr>
      </w:pPr>
      <w:r>
        <w:rPr>
          <w:rFonts w:hint="eastAsia" w:ascii="仿宋" w:hAnsi="仿宋" w:eastAsia="仿宋" w:cs="仿宋"/>
          <w:color w:val="auto"/>
          <w:sz w:val="28"/>
          <w:szCs w:val="28"/>
          <w:highlight w:val="none"/>
        </w:rPr>
        <w:t>关于付款的特别说明：中标后中标单位在首次申请预付款支付时，应开具预付款（发票），具体以新疆大学要求为准。</w:t>
      </w:r>
    </w:p>
    <w:p w14:paraId="14AC830C">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color w:val="auto"/>
          <w:kern w:val="0"/>
          <w:sz w:val="28"/>
          <w:szCs w:val="28"/>
          <w:lang w:eastAsia="zh-CN"/>
        </w:rPr>
      </w:pPr>
      <w:r>
        <w:rPr>
          <w:rFonts w:hint="eastAsia" w:ascii="仿宋" w:hAnsi="仿宋" w:eastAsia="仿宋" w:cs="仿宋"/>
          <w:b/>
          <w:color w:val="auto"/>
          <w:kern w:val="0"/>
          <w:sz w:val="28"/>
          <w:szCs w:val="28"/>
          <w:lang w:eastAsia="zh-CN"/>
        </w:rPr>
        <w:t>乙方账户信息如下：</w:t>
      </w:r>
    </w:p>
    <w:p w14:paraId="2719E912">
      <w:pPr>
        <w:spacing w:line="560" w:lineRule="exact"/>
        <w:ind w:firstLine="562" w:firstLineChars="200"/>
        <w:rPr>
          <w:rFonts w:hint="eastAsia" w:ascii="仿宋" w:hAnsi="仿宋" w:eastAsia="仿宋" w:cs="仿宋"/>
          <w:b/>
          <w:color w:val="auto"/>
          <w:kern w:val="0"/>
          <w:sz w:val="28"/>
          <w:szCs w:val="28"/>
          <w:u w:val="single"/>
          <w:lang w:val="en-US" w:eastAsia="zh-CN"/>
        </w:rPr>
      </w:pPr>
      <w:r>
        <w:rPr>
          <w:rFonts w:hint="eastAsia" w:ascii="仿宋" w:hAnsi="仿宋" w:eastAsia="仿宋" w:cs="仿宋"/>
          <w:b/>
          <w:color w:val="auto"/>
          <w:kern w:val="0"/>
          <w:sz w:val="28"/>
          <w:szCs w:val="28"/>
          <w:lang w:eastAsia="zh-CN"/>
        </w:rPr>
        <w:t>开户名称：</w:t>
      </w:r>
      <w:r>
        <w:rPr>
          <w:rFonts w:hint="eastAsia" w:ascii="仿宋" w:hAnsi="仿宋" w:eastAsia="仿宋" w:cs="仿宋"/>
          <w:b/>
          <w:color w:val="auto"/>
          <w:kern w:val="0"/>
          <w:sz w:val="28"/>
          <w:szCs w:val="28"/>
          <w:u w:val="none"/>
          <w:lang w:val="en-US" w:eastAsia="zh-CN"/>
        </w:rPr>
        <w:t xml:space="preserve">                              </w:t>
      </w:r>
    </w:p>
    <w:p w14:paraId="64627565">
      <w:pPr>
        <w:spacing w:line="560" w:lineRule="exact"/>
        <w:ind w:firstLine="562" w:firstLineChars="200"/>
        <w:rPr>
          <w:rFonts w:hint="eastAsia" w:ascii="仿宋" w:hAnsi="仿宋" w:eastAsia="仿宋" w:cs="仿宋"/>
          <w:b/>
          <w:color w:val="auto"/>
          <w:kern w:val="0"/>
          <w:sz w:val="28"/>
          <w:szCs w:val="28"/>
          <w:u w:val="none"/>
          <w:lang w:val="en-US" w:eastAsia="zh-CN"/>
        </w:rPr>
      </w:pPr>
      <w:r>
        <w:rPr>
          <w:rFonts w:hint="eastAsia" w:ascii="仿宋" w:hAnsi="仿宋" w:eastAsia="仿宋" w:cs="仿宋"/>
          <w:b/>
          <w:color w:val="auto"/>
          <w:kern w:val="0"/>
          <w:sz w:val="28"/>
          <w:szCs w:val="28"/>
          <w:lang w:eastAsia="zh-CN"/>
        </w:rPr>
        <w:t>账</w:t>
      </w:r>
      <w:r>
        <w:rPr>
          <w:rFonts w:hint="eastAsia" w:ascii="仿宋" w:hAnsi="仿宋" w:eastAsia="仿宋" w:cs="仿宋"/>
          <w:b/>
          <w:color w:val="auto"/>
          <w:kern w:val="0"/>
          <w:sz w:val="28"/>
          <w:szCs w:val="28"/>
          <w:lang w:val="en-US" w:eastAsia="zh-CN"/>
        </w:rPr>
        <w:t xml:space="preserve">    </w:t>
      </w:r>
      <w:r>
        <w:rPr>
          <w:rFonts w:hint="eastAsia" w:ascii="仿宋" w:hAnsi="仿宋" w:eastAsia="仿宋" w:cs="仿宋"/>
          <w:b/>
          <w:color w:val="auto"/>
          <w:kern w:val="0"/>
          <w:sz w:val="28"/>
          <w:szCs w:val="28"/>
          <w:lang w:eastAsia="zh-CN"/>
        </w:rPr>
        <w:t>号：</w:t>
      </w:r>
      <w:r>
        <w:rPr>
          <w:rFonts w:hint="eastAsia" w:ascii="仿宋" w:hAnsi="仿宋" w:eastAsia="仿宋" w:cs="仿宋"/>
          <w:b/>
          <w:color w:val="auto"/>
          <w:kern w:val="0"/>
          <w:sz w:val="28"/>
          <w:szCs w:val="28"/>
          <w:u w:val="none"/>
          <w:lang w:val="en-US" w:eastAsia="zh-CN"/>
        </w:rPr>
        <w:t xml:space="preserve">                             </w:t>
      </w:r>
    </w:p>
    <w:p w14:paraId="724927A6">
      <w:pPr>
        <w:spacing w:line="560" w:lineRule="exact"/>
        <w:ind w:firstLine="562" w:firstLineChars="200"/>
        <w:rPr>
          <w:rFonts w:hint="eastAsia" w:ascii="仿宋" w:hAnsi="仿宋" w:eastAsia="仿宋" w:cs="仿宋"/>
          <w:b/>
          <w:color w:val="auto"/>
          <w:kern w:val="0"/>
          <w:sz w:val="28"/>
          <w:szCs w:val="28"/>
          <w:u w:val="single"/>
          <w:lang w:val="en-US" w:eastAsia="zh-CN"/>
        </w:rPr>
      </w:pPr>
      <w:r>
        <w:rPr>
          <w:rFonts w:hint="eastAsia" w:ascii="仿宋" w:hAnsi="仿宋" w:eastAsia="仿宋" w:cs="仿宋"/>
          <w:b/>
          <w:color w:val="auto"/>
          <w:kern w:val="0"/>
          <w:sz w:val="28"/>
          <w:szCs w:val="28"/>
          <w:lang w:eastAsia="zh-CN"/>
        </w:rPr>
        <w:t>开</w:t>
      </w:r>
      <w:r>
        <w:rPr>
          <w:rFonts w:hint="eastAsia" w:ascii="仿宋" w:hAnsi="仿宋" w:eastAsia="仿宋" w:cs="仿宋"/>
          <w:b/>
          <w:color w:val="auto"/>
          <w:kern w:val="0"/>
          <w:sz w:val="28"/>
          <w:szCs w:val="28"/>
          <w:lang w:val="en-US" w:eastAsia="zh-CN"/>
        </w:rPr>
        <w:t xml:space="preserve"> </w:t>
      </w:r>
      <w:r>
        <w:rPr>
          <w:rFonts w:hint="eastAsia" w:ascii="仿宋" w:hAnsi="仿宋" w:eastAsia="仿宋" w:cs="仿宋"/>
          <w:b/>
          <w:color w:val="auto"/>
          <w:kern w:val="0"/>
          <w:sz w:val="28"/>
          <w:szCs w:val="28"/>
          <w:lang w:eastAsia="zh-CN"/>
        </w:rPr>
        <w:t>户</w:t>
      </w:r>
      <w:r>
        <w:rPr>
          <w:rFonts w:hint="eastAsia" w:ascii="仿宋" w:hAnsi="仿宋" w:eastAsia="仿宋" w:cs="仿宋"/>
          <w:b/>
          <w:color w:val="auto"/>
          <w:kern w:val="0"/>
          <w:sz w:val="28"/>
          <w:szCs w:val="28"/>
          <w:lang w:val="en-US" w:eastAsia="zh-CN"/>
        </w:rPr>
        <w:t xml:space="preserve"> </w:t>
      </w:r>
      <w:r>
        <w:rPr>
          <w:rFonts w:hint="eastAsia" w:ascii="仿宋" w:hAnsi="仿宋" w:eastAsia="仿宋" w:cs="仿宋"/>
          <w:b/>
          <w:color w:val="auto"/>
          <w:kern w:val="0"/>
          <w:sz w:val="28"/>
          <w:szCs w:val="28"/>
          <w:lang w:eastAsia="zh-CN"/>
        </w:rPr>
        <w:t>行：</w:t>
      </w:r>
      <w:r>
        <w:rPr>
          <w:rFonts w:hint="eastAsia" w:ascii="仿宋" w:hAnsi="仿宋" w:eastAsia="仿宋" w:cs="仿宋"/>
          <w:b/>
          <w:color w:val="auto"/>
          <w:kern w:val="0"/>
          <w:sz w:val="28"/>
          <w:szCs w:val="28"/>
          <w:u w:val="none"/>
          <w:lang w:val="en-US" w:eastAsia="zh-CN"/>
        </w:rPr>
        <w:t xml:space="preserve">                              </w:t>
      </w:r>
    </w:p>
    <w:p w14:paraId="0D958497">
      <w:pPr>
        <w:spacing w:line="560" w:lineRule="exact"/>
        <w:ind w:firstLine="560" w:firstLineChars="200"/>
        <w:rPr>
          <w:rFonts w:hint="eastAsia" w:ascii="仿宋" w:hAnsi="仿宋" w:eastAsia="仿宋" w:cs="仿宋"/>
          <w:b/>
          <w:color w:val="000000"/>
          <w:kern w:val="0"/>
          <w:sz w:val="28"/>
          <w:szCs w:val="28"/>
        </w:rPr>
      </w:pPr>
      <w:r>
        <w:rPr>
          <w:rFonts w:hint="eastAsia" w:ascii="仿宋" w:hAnsi="仿宋" w:eastAsia="仿宋" w:cs="仿宋"/>
          <w:color w:val="000000"/>
          <w:sz w:val="28"/>
          <w:szCs w:val="28"/>
        </w:rPr>
        <w:t>2.本合同约定价款为含税价，乙方应在甲方付款前提供符合甲方财务做账需求的等额增值税（</w:t>
      </w:r>
      <w:r>
        <w:rPr>
          <w:rFonts w:hint="eastAsia" w:ascii="仿宋" w:hAnsi="仿宋" w:eastAsia="仿宋" w:cs="仿宋"/>
          <w:color w:val="auto"/>
          <w:sz w:val="28"/>
          <w:szCs w:val="28"/>
          <w:highlight w:val="none"/>
        </w:rPr>
        <w:t xml:space="preserve"> </w:t>
      </w:r>
      <w:r>
        <w:rPr>
          <w:rFonts w:hint="eastAsia" w:ascii="仿宋" w:hAnsi="仿宋" w:eastAsia="仿宋" w:cs="仿宋"/>
          <w:color w:val="000000"/>
          <w:sz w:val="28"/>
          <w:szCs w:val="28"/>
        </w:rPr>
        <w:t>专用发票/普通发票</w:t>
      </w:r>
      <w:r>
        <w:rPr>
          <w:rFonts w:hint="eastAsia" w:ascii="仿宋" w:hAnsi="仿宋" w:eastAsia="仿宋" w:cs="仿宋"/>
          <w:color w:val="auto"/>
          <w:sz w:val="28"/>
          <w:szCs w:val="28"/>
          <w:highlight w:val="none"/>
        </w:rPr>
        <w:t xml:space="preserve"> </w:t>
      </w:r>
      <w:r>
        <w:rPr>
          <w:rFonts w:hint="eastAsia" w:ascii="仿宋" w:hAnsi="仿宋" w:eastAsia="仿宋" w:cs="仿宋"/>
          <w:color w:val="000000"/>
          <w:sz w:val="28"/>
          <w:szCs w:val="28"/>
        </w:rPr>
        <w:t>），</w:t>
      </w:r>
      <w:r>
        <w:rPr>
          <w:rFonts w:hint="eastAsia" w:ascii="仿宋" w:hAnsi="仿宋" w:eastAsia="仿宋" w:cs="仿宋"/>
          <w:color w:val="000000"/>
          <w:sz w:val="28"/>
          <w:szCs w:val="28"/>
          <w:highlight w:val="none"/>
        </w:rPr>
        <w:t>否则甲方有权不予支付且不承担任何违约责任</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lang w:val="en-US" w:eastAsia="zh-CN"/>
        </w:rPr>
        <w:t>乙方不得因此拒绝或延迟履行合同义务</w:t>
      </w: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rPr>
        <w:t>。</w:t>
      </w:r>
    </w:p>
    <w:p w14:paraId="0A946E94">
      <w:pPr>
        <w:numPr>
          <w:ilvl w:val="0"/>
          <w:numId w:val="0"/>
        </w:numPr>
        <w:spacing w:line="560" w:lineRule="exact"/>
        <w:ind w:firstLine="560" w:firstLineChars="200"/>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四、</w:t>
      </w:r>
      <w:r>
        <w:rPr>
          <w:rFonts w:hint="eastAsia" w:ascii="仿宋" w:hAnsi="仿宋" w:eastAsia="仿宋" w:cs="仿宋"/>
          <w:b w:val="0"/>
          <w:bCs/>
          <w:color w:val="000000"/>
          <w:sz w:val="28"/>
          <w:szCs w:val="28"/>
          <w:lang w:val="en-US" w:eastAsia="zh-CN"/>
        </w:rPr>
        <w:t>交付</w:t>
      </w:r>
      <w:r>
        <w:rPr>
          <w:rFonts w:hint="eastAsia" w:ascii="仿宋" w:hAnsi="仿宋" w:eastAsia="仿宋" w:cs="仿宋"/>
          <w:b w:val="0"/>
          <w:bCs/>
          <w:color w:val="000000"/>
          <w:sz w:val="28"/>
          <w:szCs w:val="28"/>
        </w:rPr>
        <w:t>地点、时间</w:t>
      </w:r>
    </w:p>
    <w:p w14:paraId="67DD3BA2">
      <w:pPr>
        <w:widowControl w:val="0"/>
        <w:autoSpaceDE w:val="0"/>
        <w:autoSpaceDN w:val="0"/>
        <w:adjustRightInd w:val="0"/>
        <w:spacing w:line="560" w:lineRule="exact"/>
        <w:ind w:firstLine="560" w:firstLineChars="200"/>
        <w:outlineLvl w:val="9"/>
        <w:rPr>
          <w:rFonts w:hint="eastAsia"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 xml:space="preserve">1.甲方指定的地点：乌鲁木齐市胜利路666号新疆大学（单位名称：    ）；具体以甲方通知时指定地点为准。 </w:t>
      </w:r>
    </w:p>
    <w:p w14:paraId="52EF0503">
      <w:pPr>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时间：自</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w:t>
      </w:r>
      <w:r>
        <w:rPr>
          <w:rFonts w:hint="eastAsia" w:ascii="仿宋" w:hAnsi="仿宋" w:eastAsia="仿宋" w:cs="仿宋"/>
          <w:sz w:val="28"/>
          <w:szCs w:val="28"/>
          <w:highlight w:val="none"/>
        </w:rPr>
        <w:t>后</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w:t>
      </w:r>
      <w:r>
        <w:rPr>
          <w:rFonts w:hint="eastAsia" w:ascii="仿宋" w:hAnsi="仿宋" w:eastAsia="仿宋" w:cs="仿宋"/>
          <w:sz w:val="28"/>
          <w:szCs w:val="28"/>
          <w:highlight w:val="none"/>
        </w:rPr>
        <w:t>天内</w:t>
      </w:r>
      <w:r>
        <w:rPr>
          <w:rFonts w:hint="eastAsia" w:ascii="仿宋" w:hAnsi="仿宋" w:eastAsia="仿宋" w:cs="仿宋"/>
          <w:sz w:val="28"/>
          <w:szCs w:val="28"/>
          <w:highlight w:val="none"/>
          <w:lang w:val="en-US" w:eastAsia="zh-CN"/>
        </w:rPr>
        <w:t>交付</w:t>
      </w:r>
      <w:r>
        <w:rPr>
          <w:rFonts w:hint="eastAsia" w:ascii="仿宋" w:hAnsi="仿宋" w:eastAsia="仿宋" w:cs="仿宋"/>
          <w:sz w:val="28"/>
          <w:szCs w:val="28"/>
          <w:highlight w:val="none"/>
        </w:rPr>
        <w:t>。</w:t>
      </w:r>
    </w:p>
    <w:p w14:paraId="001021C2">
      <w:pPr>
        <w:numPr>
          <w:ilvl w:val="0"/>
          <w:numId w:val="0"/>
        </w:numPr>
        <w:spacing w:line="560" w:lineRule="exact"/>
        <w:ind w:firstLine="560" w:firstLineChars="200"/>
        <w:rPr>
          <w:rFonts w:hint="eastAsia" w:ascii="仿宋" w:hAnsi="仿宋" w:eastAsia="仿宋" w:cs="仿宋"/>
          <w:b w:val="0"/>
          <w:bCs/>
          <w:color w:val="000000"/>
          <w:sz w:val="28"/>
          <w:szCs w:val="28"/>
          <w:highlight w:val="none"/>
        </w:rPr>
      </w:pPr>
      <w:r>
        <w:rPr>
          <w:rFonts w:hint="eastAsia" w:ascii="仿宋" w:hAnsi="仿宋" w:eastAsia="仿宋" w:cs="仿宋"/>
          <w:b w:val="0"/>
          <w:bCs/>
          <w:color w:val="000000"/>
          <w:sz w:val="28"/>
          <w:szCs w:val="28"/>
          <w:highlight w:val="none"/>
        </w:rPr>
        <w:t>五、产品质量保证</w:t>
      </w:r>
    </w:p>
    <w:p w14:paraId="10B1C483">
      <w:pPr>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乙方保证</w:t>
      </w:r>
      <w:r>
        <w:rPr>
          <w:rFonts w:hint="eastAsia" w:ascii="仿宋" w:hAnsi="仿宋" w:eastAsia="仿宋" w:cs="仿宋"/>
          <w:sz w:val="28"/>
          <w:szCs w:val="28"/>
          <w:highlight w:val="none"/>
          <w:u w:val="none"/>
          <w:lang w:val="en-US" w:eastAsia="zh-CN"/>
        </w:rPr>
        <w:t>合同标的物</w:t>
      </w:r>
      <w:r>
        <w:rPr>
          <w:rFonts w:hint="eastAsia" w:ascii="仿宋" w:hAnsi="仿宋" w:eastAsia="仿宋" w:cs="仿宋"/>
          <w:sz w:val="28"/>
          <w:szCs w:val="28"/>
          <w:highlight w:val="none"/>
        </w:rPr>
        <w:t>为全新产品。</w:t>
      </w:r>
    </w:p>
    <w:p w14:paraId="1200205B">
      <w:pPr>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乙方保证</w:t>
      </w:r>
      <w:r>
        <w:rPr>
          <w:rFonts w:hint="eastAsia" w:ascii="仿宋" w:hAnsi="仿宋" w:eastAsia="仿宋" w:cs="仿宋"/>
          <w:sz w:val="28"/>
          <w:szCs w:val="28"/>
          <w:highlight w:val="none"/>
          <w:u w:val="none"/>
          <w:lang w:val="en-US" w:eastAsia="zh-CN"/>
        </w:rPr>
        <w:t>合同标的物</w:t>
      </w:r>
      <w:r>
        <w:rPr>
          <w:rFonts w:hint="eastAsia" w:ascii="仿宋" w:hAnsi="仿宋" w:eastAsia="仿宋" w:cs="仿宋"/>
          <w:sz w:val="28"/>
          <w:szCs w:val="28"/>
          <w:highlight w:val="none"/>
        </w:rPr>
        <w:t>的</w:t>
      </w:r>
      <w:r>
        <w:rPr>
          <w:rFonts w:hint="eastAsia" w:ascii="仿宋" w:hAnsi="仿宋" w:eastAsia="仿宋" w:cs="仿宋"/>
          <w:sz w:val="28"/>
          <w:szCs w:val="28"/>
          <w:highlight w:val="none"/>
          <w:lang w:val="en-US" w:eastAsia="zh-CN"/>
        </w:rPr>
        <w:t>名称、</w:t>
      </w:r>
      <w:r>
        <w:rPr>
          <w:rFonts w:hint="eastAsia" w:ascii="仿宋" w:hAnsi="仿宋" w:eastAsia="仿宋" w:cs="仿宋"/>
          <w:sz w:val="28"/>
          <w:szCs w:val="28"/>
          <w:highlight w:val="none"/>
        </w:rPr>
        <w:t>型号、数量、规格及技术、质量标准、售后服务必须满足招标文件要求。</w:t>
      </w:r>
    </w:p>
    <w:p w14:paraId="00FF6DA8">
      <w:pPr>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乙方保证</w:t>
      </w:r>
      <w:r>
        <w:rPr>
          <w:rFonts w:hint="eastAsia" w:ascii="仿宋" w:hAnsi="仿宋" w:eastAsia="仿宋" w:cs="仿宋"/>
          <w:sz w:val="28"/>
          <w:szCs w:val="28"/>
          <w:highlight w:val="none"/>
          <w:lang w:eastAsia="zh-CN"/>
        </w:rPr>
        <w:t>合同标的物</w:t>
      </w:r>
      <w:r>
        <w:rPr>
          <w:rFonts w:hint="eastAsia" w:ascii="仿宋" w:hAnsi="仿宋" w:eastAsia="仿宋" w:cs="仿宋"/>
          <w:sz w:val="28"/>
          <w:szCs w:val="28"/>
          <w:highlight w:val="none"/>
        </w:rPr>
        <w:t>按国家标准要求制作，质量完全满足</w:t>
      </w:r>
      <w:r>
        <w:rPr>
          <w:rFonts w:hint="eastAsia" w:ascii="仿宋" w:hAnsi="仿宋" w:eastAsia="仿宋" w:cs="仿宋"/>
          <w:sz w:val="28"/>
          <w:szCs w:val="28"/>
          <w:highlight w:val="none"/>
          <w:lang w:val="en-US" w:eastAsia="zh-CN"/>
        </w:rPr>
        <w:t>甲方</w:t>
      </w:r>
      <w:r>
        <w:rPr>
          <w:rFonts w:hint="eastAsia" w:ascii="仿宋" w:hAnsi="仿宋" w:eastAsia="仿宋" w:cs="仿宋"/>
          <w:sz w:val="28"/>
          <w:szCs w:val="28"/>
          <w:highlight w:val="none"/>
        </w:rPr>
        <w:t>的要求并能满足甲方的使用需求。</w:t>
      </w:r>
    </w:p>
    <w:p w14:paraId="32F03972">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eastAsia="zh-CN"/>
        </w:rPr>
        <w:t>.</w:t>
      </w:r>
      <w:r>
        <w:rPr>
          <w:rFonts w:hint="eastAsia" w:ascii="仿宋" w:hAnsi="仿宋" w:eastAsia="仿宋" w:cs="仿宋"/>
          <w:sz w:val="28"/>
          <w:szCs w:val="28"/>
        </w:rPr>
        <w:t>乙方的安装调试人员有义务对甲方维修人员及使用人员进行免费培训，确保维修人员能对</w:t>
      </w:r>
      <w:r>
        <w:rPr>
          <w:rFonts w:hint="eastAsia" w:ascii="仿宋" w:hAnsi="仿宋" w:eastAsia="仿宋" w:cs="仿宋"/>
          <w:sz w:val="28"/>
          <w:szCs w:val="28"/>
          <w:lang w:eastAsia="zh-CN"/>
        </w:rPr>
        <w:t>合同标的物</w:t>
      </w:r>
      <w:r>
        <w:rPr>
          <w:rFonts w:hint="eastAsia" w:ascii="仿宋" w:hAnsi="仿宋" w:eastAsia="仿宋" w:cs="仿宋"/>
          <w:sz w:val="28"/>
          <w:szCs w:val="28"/>
        </w:rPr>
        <w:t>进行日常维护和一般性故障的查找及故障的排除，确保使用人员能够熟练掌握</w:t>
      </w:r>
      <w:r>
        <w:rPr>
          <w:rFonts w:hint="eastAsia" w:ascii="仿宋" w:hAnsi="仿宋" w:eastAsia="仿宋" w:cs="仿宋"/>
          <w:sz w:val="28"/>
          <w:szCs w:val="28"/>
          <w:lang w:eastAsia="zh-CN"/>
        </w:rPr>
        <w:t>合同标的物</w:t>
      </w:r>
      <w:r>
        <w:rPr>
          <w:rFonts w:hint="eastAsia" w:ascii="仿宋" w:hAnsi="仿宋" w:eastAsia="仿宋" w:cs="仿宋"/>
          <w:sz w:val="28"/>
          <w:szCs w:val="28"/>
        </w:rPr>
        <w:t>的各项功能和操作。</w:t>
      </w:r>
    </w:p>
    <w:p w14:paraId="362E678D">
      <w:pPr>
        <w:numPr>
          <w:ilvl w:val="0"/>
          <w:numId w:val="0"/>
        </w:numPr>
        <w:spacing w:line="560" w:lineRule="exact"/>
        <w:ind w:firstLine="560" w:firstLineChars="200"/>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六、质量保证期</w:t>
      </w:r>
    </w:p>
    <w:p w14:paraId="69C96794">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.合同标的物</w:t>
      </w:r>
      <w:r>
        <w:rPr>
          <w:rFonts w:hint="eastAsia" w:ascii="仿宋" w:hAnsi="仿宋" w:eastAsia="仿宋" w:cs="仿宋"/>
          <w:sz w:val="28"/>
          <w:szCs w:val="28"/>
        </w:rPr>
        <w:t>质保期</w:t>
      </w:r>
      <w:r>
        <w:rPr>
          <w:rFonts w:hint="eastAsia" w:ascii="仿宋" w:hAnsi="仿宋" w:eastAsia="仿宋" w:cs="仿宋"/>
          <w:sz w:val="28"/>
          <w:szCs w:val="28"/>
          <w:lang w:eastAsia="zh-CN"/>
        </w:rPr>
        <w:t>见</w:t>
      </w:r>
      <w:r>
        <w:rPr>
          <w:rFonts w:hint="eastAsia" w:ascii="仿宋" w:hAnsi="仿宋" w:eastAsia="仿宋" w:cs="仿宋"/>
          <w:sz w:val="28"/>
          <w:szCs w:val="28"/>
          <w:lang w:val="en-US" w:eastAsia="zh-CN"/>
        </w:rPr>
        <w:t>合同标的物</w:t>
      </w:r>
      <w:r>
        <w:rPr>
          <w:rFonts w:hint="eastAsia" w:ascii="仿宋" w:hAnsi="仿宋" w:eastAsia="仿宋" w:cs="仿宋"/>
          <w:sz w:val="28"/>
          <w:szCs w:val="28"/>
          <w:lang w:eastAsia="zh-CN"/>
        </w:rPr>
        <w:t>明细表</w:t>
      </w:r>
      <w:r>
        <w:rPr>
          <w:rFonts w:hint="eastAsia" w:ascii="仿宋" w:hAnsi="仿宋" w:eastAsia="仿宋" w:cs="仿宋"/>
          <w:sz w:val="28"/>
          <w:szCs w:val="28"/>
        </w:rPr>
        <w:t>，具体质保期以生产厂家提供的质保期为准。生产厂家提供的质保期少于</w:t>
      </w:r>
      <w:r>
        <w:rPr>
          <w:rFonts w:hint="eastAsia" w:ascii="仿宋" w:hAnsi="仿宋" w:eastAsia="仿宋" w:cs="仿宋"/>
          <w:sz w:val="28"/>
          <w:szCs w:val="28"/>
          <w:u w:val="none"/>
          <w:lang w:val="en-US" w:eastAsia="zh-CN"/>
        </w:rPr>
        <w:t>明细表中</w:t>
      </w:r>
      <w:r>
        <w:rPr>
          <w:rFonts w:hint="eastAsia" w:ascii="仿宋" w:hAnsi="仿宋" w:eastAsia="仿宋" w:cs="仿宋"/>
          <w:sz w:val="28"/>
          <w:szCs w:val="28"/>
          <w:lang w:eastAsia="zh-CN"/>
        </w:rPr>
        <w:t>质保期的</w:t>
      </w:r>
      <w:r>
        <w:rPr>
          <w:rFonts w:hint="eastAsia" w:ascii="仿宋" w:hAnsi="仿宋" w:eastAsia="仿宋" w:cs="仿宋"/>
          <w:sz w:val="28"/>
          <w:szCs w:val="28"/>
        </w:rPr>
        <w:t>，以</w:t>
      </w:r>
      <w:r>
        <w:rPr>
          <w:rFonts w:hint="eastAsia" w:ascii="仿宋" w:hAnsi="仿宋" w:eastAsia="仿宋" w:cs="仿宋"/>
          <w:sz w:val="28"/>
          <w:szCs w:val="28"/>
          <w:u w:val="none"/>
          <w:lang w:val="en-US" w:eastAsia="zh-CN"/>
        </w:rPr>
        <w:t>明细表中质保期</w:t>
      </w:r>
      <w:r>
        <w:rPr>
          <w:rFonts w:hint="eastAsia" w:ascii="仿宋" w:hAnsi="仿宋" w:eastAsia="仿宋" w:cs="仿宋"/>
          <w:sz w:val="28"/>
          <w:szCs w:val="28"/>
        </w:rPr>
        <w:t>为准；生产厂家提供的质保期长于</w:t>
      </w:r>
      <w:r>
        <w:rPr>
          <w:rFonts w:hint="eastAsia" w:ascii="仿宋" w:hAnsi="仿宋" w:eastAsia="仿宋" w:cs="仿宋"/>
          <w:sz w:val="28"/>
          <w:szCs w:val="28"/>
          <w:u w:val="none"/>
          <w:lang w:val="en-US" w:eastAsia="zh-CN"/>
        </w:rPr>
        <w:t>明细表中</w:t>
      </w:r>
      <w:r>
        <w:rPr>
          <w:rFonts w:hint="eastAsia" w:ascii="仿宋" w:hAnsi="仿宋" w:eastAsia="仿宋" w:cs="仿宋"/>
          <w:sz w:val="28"/>
          <w:szCs w:val="28"/>
          <w:lang w:eastAsia="zh-CN"/>
        </w:rPr>
        <w:t>质保期的</w:t>
      </w:r>
      <w:r>
        <w:rPr>
          <w:rFonts w:hint="eastAsia" w:ascii="仿宋" w:hAnsi="仿宋" w:eastAsia="仿宋" w:cs="仿宋"/>
          <w:sz w:val="28"/>
          <w:szCs w:val="28"/>
        </w:rPr>
        <w:t>，以生产厂家提供的质保期为准。在质量保证期内，因产品质量出现问题，乙方负责免费维修或更换</w:t>
      </w:r>
      <w:r>
        <w:rPr>
          <w:rFonts w:hint="eastAsia" w:ascii="仿宋" w:hAnsi="仿宋" w:eastAsia="仿宋" w:cs="仿宋"/>
          <w:sz w:val="28"/>
          <w:szCs w:val="28"/>
          <w:lang w:val="en-US" w:eastAsia="zh-CN"/>
        </w:rPr>
        <w:t>新合同标的物</w:t>
      </w:r>
      <w:r>
        <w:rPr>
          <w:rFonts w:hint="eastAsia" w:ascii="仿宋" w:hAnsi="仿宋" w:eastAsia="仿宋" w:cs="仿宋"/>
          <w:sz w:val="28"/>
          <w:szCs w:val="28"/>
        </w:rPr>
        <w:t>，并承担与维修和更换相关的运费、安装、调试、保险等一切费用。超过质保期后只收取更换部件成本费用，不收取服务费。</w:t>
      </w:r>
    </w:p>
    <w:p w14:paraId="20DF5478">
      <w:pPr>
        <w:spacing w:line="560" w:lineRule="exact"/>
        <w:ind w:firstLine="560" w:firstLineChars="200"/>
        <w:rPr>
          <w:rFonts w:hint="eastAsia" w:ascii="仿宋" w:hAnsi="仿宋" w:eastAsia="仿宋" w:cs="仿宋"/>
          <w:sz w:val="28"/>
          <w:szCs w:val="28"/>
        </w:rPr>
      </w:pPr>
      <w:r>
        <w:rPr>
          <w:rFonts w:hint="eastAsia" w:ascii="仿宋" w:hAnsi="仿宋" w:eastAsia="仿宋" w:cs="仿宋"/>
          <w:b w:val="0"/>
          <w:bCs w:val="0"/>
          <w:sz w:val="28"/>
          <w:szCs w:val="28"/>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质保期自甲方书面验收合格之日起计算，</w:t>
      </w:r>
      <w:r>
        <w:rPr>
          <w:rFonts w:hint="eastAsia" w:ascii="仿宋" w:hAnsi="仿宋" w:eastAsia="仿宋" w:cs="仿宋"/>
          <w:sz w:val="28"/>
          <w:szCs w:val="28"/>
        </w:rPr>
        <w:t>质保期内，如</w:t>
      </w:r>
      <w:r>
        <w:rPr>
          <w:rFonts w:hint="eastAsia" w:ascii="仿宋" w:hAnsi="仿宋" w:eastAsia="仿宋" w:cs="仿宋"/>
          <w:sz w:val="28"/>
          <w:szCs w:val="28"/>
          <w:lang w:val="en-US" w:eastAsia="zh-CN"/>
        </w:rPr>
        <w:t>合同标的物</w:t>
      </w:r>
      <w:r>
        <w:rPr>
          <w:rFonts w:hint="eastAsia" w:ascii="仿宋" w:hAnsi="仿宋" w:eastAsia="仿宋" w:cs="仿宋"/>
          <w:sz w:val="28"/>
          <w:szCs w:val="28"/>
        </w:rPr>
        <w:t>发生质量问题，乙方应在</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rPr>
        <w:t>小时</w:t>
      </w:r>
      <w:r>
        <w:rPr>
          <w:rFonts w:hint="eastAsia" w:ascii="仿宋" w:hAnsi="仿宋" w:eastAsia="仿宋" w:cs="仿宋"/>
          <w:sz w:val="28"/>
          <w:szCs w:val="28"/>
        </w:rPr>
        <w:t>内到场进行维修。乙方接到甲方通知后未依照约定时间到场的，甲方有权另行聘请专业人员进行维修，产生的合理费用在剩余的合同总金额</w:t>
      </w:r>
      <w:r>
        <w:rPr>
          <w:rFonts w:hint="eastAsia" w:ascii="仿宋" w:hAnsi="仿宋" w:eastAsia="仿宋" w:cs="仿宋"/>
          <w:sz w:val="28"/>
          <w:szCs w:val="28"/>
          <w:lang w:eastAsia="zh-CN"/>
        </w:rPr>
        <w:t>的</w:t>
      </w:r>
      <w:r>
        <w:rPr>
          <w:rFonts w:hint="eastAsia" w:ascii="仿宋" w:hAnsi="仿宋" w:eastAsia="仿宋" w:cs="仿宋"/>
          <w:sz w:val="28"/>
          <w:szCs w:val="28"/>
        </w:rPr>
        <w:t>5%货款中予以扣除，不足部分，乙方应予以补足。</w:t>
      </w:r>
    </w:p>
    <w:p w14:paraId="351E8897">
      <w:pPr>
        <w:numPr>
          <w:ilvl w:val="0"/>
          <w:numId w:val="0"/>
        </w:numPr>
        <w:spacing w:line="560" w:lineRule="exact"/>
        <w:ind w:firstLine="560" w:firstLineChars="200"/>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七、技术资料</w:t>
      </w:r>
    </w:p>
    <w:p w14:paraId="058EA558">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乙方需向甲方提供下述资料：所供</w:t>
      </w:r>
      <w:r>
        <w:rPr>
          <w:rFonts w:hint="eastAsia" w:ascii="仿宋" w:hAnsi="仿宋" w:eastAsia="仿宋" w:cs="仿宋"/>
          <w:sz w:val="28"/>
          <w:szCs w:val="28"/>
          <w:lang w:eastAsia="zh-CN"/>
        </w:rPr>
        <w:t>合同标的物</w:t>
      </w:r>
      <w:r>
        <w:rPr>
          <w:rFonts w:hint="eastAsia" w:ascii="仿宋" w:hAnsi="仿宋" w:eastAsia="仿宋" w:cs="仿宋"/>
          <w:sz w:val="28"/>
          <w:szCs w:val="28"/>
        </w:rPr>
        <w:t>的型号、规格、数量及生产厂家的产品检验证书、出厂检验报告、使用说明书等。</w:t>
      </w:r>
    </w:p>
    <w:p w14:paraId="1205B7C2">
      <w:pPr>
        <w:numPr>
          <w:ilvl w:val="0"/>
          <w:numId w:val="0"/>
        </w:numPr>
        <w:spacing w:line="560" w:lineRule="exact"/>
        <w:ind w:firstLine="560" w:firstLineChars="200"/>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八、包装及验收</w:t>
      </w:r>
    </w:p>
    <w:p w14:paraId="5DEE0C62">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所提供</w:t>
      </w:r>
      <w:r>
        <w:rPr>
          <w:rFonts w:hint="eastAsia" w:ascii="仿宋" w:hAnsi="仿宋" w:eastAsia="仿宋" w:cs="仿宋"/>
          <w:sz w:val="28"/>
          <w:szCs w:val="28"/>
          <w:lang w:eastAsia="zh-CN"/>
        </w:rPr>
        <w:t>合同标的物</w:t>
      </w:r>
      <w:r>
        <w:rPr>
          <w:rFonts w:hint="eastAsia" w:ascii="仿宋" w:hAnsi="仿宋" w:eastAsia="仿宋" w:cs="仿宋"/>
          <w:sz w:val="28"/>
          <w:szCs w:val="28"/>
        </w:rPr>
        <w:t>必须进行</w:t>
      </w:r>
      <w:r>
        <w:rPr>
          <w:rFonts w:hint="eastAsia" w:ascii="仿宋" w:hAnsi="仿宋" w:eastAsia="仿宋" w:cs="仿宋"/>
          <w:sz w:val="28"/>
          <w:szCs w:val="28"/>
          <w:lang w:val="en-US" w:eastAsia="zh-CN"/>
        </w:rPr>
        <w:t>合理</w:t>
      </w:r>
      <w:r>
        <w:rPr>
          <w:rFonts w:hint="eastAsia" w:ascii="仿宋" w:hAnsi="仿宋" w:eastAsia="仿宋" w:cs="仿宋"/>
          <w:sz w:val="28"/>
          <w:szCs w:val="28"/>
        </w:rPr>
        <w:t>包装，免收包装费，包装物不回收。</w:t>
      </w:r>
    </w:p>
    <w:p w14:paraId="7A169F72">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eastAsia="zh-CN"/>
        </w:rPr>
        <w:t>.</w:t>
      </w:r>
      <w:r>
        <w:rPr>
          <w:rFonts w:hint="eastAsia" w:ascii="仿宋" w:hAnsi="仿宋" w:eastAsia="仿宋" w:cs="仿宋"/>
          <w:sz w:val="28"/>
          <w:szCs w:val="28"/>
        </w:rPr>
        <w:t>因包装原因造成</w:t>
      </w:r>
      <w:r>
        <w:rPr>
          <w:rFonts w:hint="eastAsia" w:ascii="仿宋" w:hAnsi="仿宋" w:eastAsia="仿宋" w:cs="仿宋"/>
          <w:sz w:val="28"/>
          <w:szCs w:val="28"/>
          <w:lang w:val="en-US" w:eastAsia="zh-CN"/>
        </w:rPr>
        <w:t>合同标的物</w:t>
      </w:r>
      <w:r>
        <w:rPr>
          <w:rFonts w:hint="eastAsia" w:ascii="仿宋" w:hAnsi="仿宋" w:eastAsia="仿宋" w:cs="仿宋"/>
          <w:sz w:val="28"/>
          <w:szCs w:val="28"/>
        </w:rPr>
        <w:t>在运输过程中丢失、损坏，乙方承担全部责任。</w:t>
      </w:r>
    </w:p>
    <w:p w14:paraId="38F6A4FD">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验收标准：按甲方规定的</w:t>
      </w:r>
      <w:r>
        <w:rPr>
          <w:rFonts w:hint="eastAsia" w:ascii="仿宋" w:hAnsi="仿宋" w:eastAsia="仿宋" w:cs="仿宋"/>
          <w:sz w:val="28"/>
          <w:szCs w:val="28"/>
          <w:highlight w:val="none"/>
          <w:lang w:val="en-US" w:eastAsia="zh-CN"/>
        </w:rPr>
        <w:t>名称、</w:t>
      </w:r>
      <w:r>
        <w:rPr>
          <w:rFonts w:hint="eastAsia" w:ascii="仿宋" w:hAnsi="仿宋" w:eastAsia="仿宋" w:cs="仿宋"/>
          <w:sz w:val="28"/>
          <w:szCs w:val="28"/>
          <w:highlight w:val="none"/>
        </w:rPr>
        <w:t>型号、技术参数</w:t>
      </w:r>
      <w:r>
        <w:rPr>
          <w:rFonts w:hint="eastAsia" w:ascii="仿宋" w:hAnsi="仿宋" w:eastAsia="仿宋" w:cs="仿宋"/>
          <w:sz w:val="28"/>
          <w:szCs w:val="28"/>
        </w:rPr>
        <w:t>、数量、</w:t>
      </w:r>
      <w:r>
        <w:rPr>
          <w:rFonts w:hint="eastAsia" w:ascii="仿宋" w:hAnsi="仿宋" w:eastAsia="仿宋" w:cs="仿宋"/>
          <w:sz w:val="28"/>
          <w:szCs w:val="28"/>
          <w:lang w:val="en-US" w:eastAsia="zh-CN"/>
        </w:rPr>
        <w:t>生产日期、</w:t>
      </w:r>
      <w:r>
        <w:rPr>
          <w:rFonts w:hint="eastAsia" w:ascii="仿宋" w:hAnsi="仿宋" w:eastAsia="仿宋" w:cs="仿宋"/>
          <w:sz w:val="28"/>
          <w:szCs w:val="28"/>
        </w:rPr>
        <w:t>产地，并根据制造商的《产品合格证》《出厂清单》《技术文件》</w:t>
      </w:r>
      <w:r>
        <w:rPr>
          <w:rFonts w:hint="eastAsia" w:ascii="仿宋" w:hAnsi="仿宋" w:eastAsia="仿宋" w:cs="仿宋"/>
          <w:sz w:val="28"/>
          <w:szCs w:val="28"/>
          <w:lang w:val="en-US" w:eastAsia="zh-CN"/>
        </w:rPr>
        <w:t>等</w:t>
      </w:r>
      <w:r>
        <w:rPr>
          <w:rFonts w:hint="eastAsia" w:ascii="仿宋" w:hAnsi="仿宋" w:eastAsia="仿宋" w:cs="仿宋"/>
          <w:sz w:val="28"/>
          <w:szCs w:val="28"/>
        </w:rPr>
        <w:t>进行现场验收，并由甲、乙双方签署验收报告。如有异议，各方应当在验收后七天内以书面形式通知对方。验收合格后由甲方提供</w:t>
      </w:r>
      <w:r>
        <w:rPr>
          <w:rFonts w:hint="eastAsia" w:ascii="仿宋" w:hAnsi="仿宋" w:eastAsia="仿宋" w:cs="仿宋"/>
          <w:sz w:val="28"/>
          <w:szCs w:val="28"/>
          <w:lang w:val="en-US" w:eastAsia="zh-CN"/>
        </w:rPr>
        <w:t>合同标的物</w:t>
      </w:r>
      <w:r>
        <w:rPr>
          <w:rFonts w:hint="eastAsia" w:ascii="仿宋" w:hAnsi="仿宋" w:eastAsia="仿宋" w:cs="仿宋"/>
          <w:sz w:val="28"/>
          <w:szCs w:val="28"/>
        </w:rPr>
        <w:t>存放地点，并负责</w:t>
      </w:r>
      <w:r>
        <w:rPr>
          <w:rFonts w:hint="eastAsia" w:ascii="仿宋" w:hAnsi="仿宋" w:eastAsia="仿宋" w:cs="仿宋"/>
          <w:sz w:val="28"/>
          <w:szCs w:val="28"/>
          <w:lang w:eastAsia="zh-CN"/>
        </w:rPr>
        <w:t>合同标的物</w:t>
      </w:r>
      <w:r>
        <w:rPr>
          <w:rFonts w:hint="eastAsia" w:ascii="仿宋" w:hAnsi="仿宋" w:eastAsia="仿宋" w:cs="仿宋"/>
          <w:sz w:val="28"/>
          <w:szCs w:val="28"/>
        </w:rPr>
        <w:t>的保管和安全。</w:t>
      </w:r>
    </w:p>
    <w:p w14:paraId="68539F68">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eastAsia="zh-CN"/>
        </w:rPr>
        <w:t>.</w:t>
      </w:r>
      <w:r>
        <w:rPr>
          <w:rFonts w:hint="eastAsia" w:ascii="仿宋" w:hAnsi="仿宋" w:eastAsia="仿宋" w:cs="仿宋"/>
          <w:sz w:val="28"/>
          <w:szCs w:val="28"/>
        </w:rPr>
        <w:t>验收期限：甲方需在乙方交货后</w:t>
      </w:r>
      <w:r>
        <w:rPr>
          <w:rFonts w:hint="eastAsia" w:ascii="仿宋" w:hAnsi="仿宋" w:eastAsia="仿宋" w:cs="仿宋"/>
          <w:sz w:val="28"/>
          <w:szCs w:val="28"/>
          <w:u w:val="single"/>
        </w:rPr>
        <w:t xml:space="preserve">    </w:t>
      </w:r>
      <w:r>
        <w:rPr>
          <w:rFonts w:hint="eastAsia" w:ascii="仿宋" w:hAnsi="仿宋" w:eastAsia="仿宋" w:cs="仿宋"/>
          <w:sz w:val="28"/>
          <w:szCs w:val="28"/>
        </w:rPr>
        <w:t>日内完成验收，如遇特殊情况，双方应另行协商</w:t>
      </w:r>
      <w:r>
        <w:rPr>
          <w:rFonts w:hint="eastAsia" w:ascii="仿宋" w:hAnsi="仿宋" w:eastAsia="仿宋" w:cs="仿宋"/>
          <w:sz w:val="28"/>
          <w:szCs w:val="28"/>
          <w:lang w:val="en-US" w:eastAsia="zh-CN"/>
        </w:rPr>
        <w:t>确定</w:t>
      </w:r>
      <w:r>
        <w:rPr>
          <w:rFonts w:hint="eastAsia" w:ascii="仿宋" w:hAnsi="仿宋" w:eastAsia="仿宋" w:cs="仿宋"/>
          <w:sz w:val="28"/>
          <w:szCs w:val="28"/>
        </w:rPr>
        <w:t>验收时间。</w:t>
      </w:r>
    </w:p>
    <w:p w14:paraId="6E8BE855">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.合同标的物</w:t>
      </w:r>
      <w:r>
        <w:rPr>
          <w:rFonts w:hint="eastAsia" w:ascii="仿宋" w:hAnsi="仿宋" w:eastAsia="仿宋" w:cs="仿宋"/>
          <w:sz w:val="28"/>
          <w:szCs w:val="28"/>
        </w:rPr>
        <w:t>风险自通过甲方书面验收并交付甲方之后转移。</w:t>
      </w:r>
    </w:p>
    <w:p w14:paraId="32DF221B">
      <w:pPr>
        <w:numPr>
          <w:ilvl w:val="0"/>
          <w:numId w:val="0"/>
        </w:numPr>
        <w:spacing w:line="560" w:lineRule="exact"/>
        <w:ind w:firstLine="560" w:firstLineChars="200"/>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九、甲、乙双方的权利及义务</w:t>
      </w:r>
    </w:p>
    <w:p w14:paraId="1CC14F3E">
      <w:pPr>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highlight w:val="none"/>
        </w:rPr>
        <w:t>若甲方对</w:t>
      </w:r>
      <w:r>
        <w:rPr>
          <w:rFonts w:hint="eastAsia" w:ascii="仿宋" w:hAnsi="仿宋" w:eastAsia="仿宋" w:cs="仿宋"/>
          <w:sz w:val="28"/>
          <w:szCs w:val="28"/>
          <w:highlight w:val="none"/>
          <w:lang w:eastAsia="zh-CN"/>
        </w:rPr>
        <w:t>合同标的物</w:t>
      </w:r>
      <w:r>
        <w:rPr>
          <w:rFonts w:hint="eastAsia" w:ascii="仿宋" w:hAnsi="仿宋" w:eastAsia="仿宋" w:cs="仿宋"/>
          <w:sz w:val="28"/>
          <w:szCs w:val="28"/>
          <w:highlight w:val="none"/>
        </w:rPr>
        <w:t>有任何更改，包括</w:t>
      </w:r>
      <w:r>
        <w:rPr>
          <w:rFonts w:hint="eastAsia" w:ascii="仿宋" w:hAnsi="仿宋" w:eastAsia="仿宋" w:cs="仿宋"/>
          <w:sz w:val="28"/>
          <w:szCs w:val="28"/>
          <w:highlight w:val="none"/>
          <w:lang w:eastAsia="zh-CN"/>
        </w:rPr>
        <w:t>合同标的物</w:t>
      </w:r>
      <w:r>
        <w:rPr>
          <w:rFonts w:hint="eastAsia" w:ascii="仿宋" w:hAnsi="仿宋" w:eastAsia="仿宋" w:cs="仿宋"/>
          <w:sz w:val="28"/>
          <w:szCs w:val="28"/>
          <w:highlight w:val="none"/>
          <w:lang w:val="en-US" w:eastAsia="zh-CN"/>
        </w:rPr>
        <w:t>名称、</w:t>
      </w:r>
      <w:r>
        <w:rPr>
          <w:rFonts w:hint="eastAsia" w:ascii="仿宋" w:hAnsi="仿宋" w:eastAsia="仿宋" w:cs="仿宋"/>
          <w:sz w:val="28"/>
          <w:szCs w:val="28"/>
          <w:highlight w:val="none"/>
        </w:rPr>
        <w:t>型号、品种、规格、数量、颜色、</w:t>
      </w:r>
      <w:r>
        <w:rPr>
          <w:rFonts w:hint="eastAsia" w:ascii="仿宋" w:hAnsi="仿宋" w:eastAsia="仿宋" w:cs="仿宋"/>
          <w:sz w:val="28"/>
          <w:szCs w:val="28"/>
          <w:highlight w:val="none"/>
          <w:lang w:val="en-US" w:eastAsia="zh-CN"/>
        </w:rPr>
        <w:t>交付时间</w:t>
      </w:r>
      <w:r>
        <w:rPr>
          <w:rFonts w:hint="eastAsia" w:ascii="仿宋" w:hAnsi="仿宋" w:eastAsia="仿宋" w:cs="仿宋"/>
          <w:sz w:val="28"/>
          <w:szCs w:val="28"/>
          <w:highlight w:val="none"/>
        </w:rPr>
        <w:t>等事宜，应书面通知乙方，</w:t>
      </w:r>
      <w:r>
        <w:rPr>
          <w:rFonts w:hint="eastAsia" w:ascii="仿宋" w:hAnsi="仿宋" w:eastAsia="仿宋" w:cs="仿宋"/>
          <w:sz w:val="28"/>
          <w:szCs w:val="28"/>
          <w:highlight w:val="none"/>
          <w:lang w:val="en-US" w:eastAsia="zh-CN"/>
        </w:rPr>
        <w:t>交付时间</w:t>
      </w:r>
      <w:r>
        <w:rPr>
          <w:rFonts w:hint="eastAsia" w:ascii="仿宋" w:hAnsi="仿宋" w:eastAsia="仿宋" w:cs="仿宋"/>
          <w:sz w:val="28"/>
          <w:szCs w:val="28"/>
          <w:highlight w:val="none"/>
        </w:rPr>
        <w:t>从变更之日起顺延。若乙方接到通知后不予更改，由此造成的甲方损失，由乙方承担。</w:t>
      </w:r>
    </w:p>
    <w:p w14:paraId="2BC49A0A">
      <w:pPr>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sz w:val="28"/>
          <w:szCs w:val="28"/>
          <w:highlight w:val="none"/>
        </w:rPr>
        <w:t>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若乙方在交</w:t>
      </w:r>
      <w:r>
        <w:rPr>
          <w:rFonts w:hint="eastAsia" w:ascii="仿宋" w:hAnsi="仿宋" w:eastAsia="仿宋" w:cs="仿宋"/>
          <w:sz w:val="28"/>
          <w:szCs w:val="28"/>
          <w:highlight w:val="none"/>
          <w:lang w:val="en-US" w:eastAsia="zh-CN"/>
        </w:rPr>
        <w:t>付</w:t>
      </w:r>
      <w:r>
        <w:rPr>
          <w:rFonts w:hint="eastAsia" w:ascii="仿宋" w:hAnsi="仿宋" w:eastAsia="仿宋" w:cs="仿宋"/>
          <w:sz w:val="28"/>
          <w:szCs w:val="28"/>
          <w:highlight w:val="none"/>
        </w:rPr>
        <w:t>时，由于甲方的原因或要求，不能及时将</w:t>
      </w:r>
      <w:r>
        <w:rPr>
          <w:rFonts w:hint="eastAsia" w:ascii="仿宋" w:hAnsi="仿宋" w:eastAsia="仿宋" w:cs="仿宋"/>
          <w:sz w:val="28"/>
          <w:szCs w:val="28"/>
          <w:highlight w:val="none"/>
          <w:lang w:eastAsia="zh-CN"/>
        </w:rPr>
        <w:t>合同标的物</w:t>
      </w:r>
      <w:r>
        <w:rPr>
          <w:rFonts w:hint="eastAsia" w:ascii="仿宋" w:hAnsi="仿宋" w:eastAsia="仿宋" w:cs="仿宋"/>
          <w:sz w:val="28"/>
          <w:szCs w:val="28"/>
          <w:highlight w:val="none"/>
        </w:rPr>
        <w:t>送达指定地点和验收时，</w:t>
      </w:r>
      <w:r>
        <w:rPr>
          <w:rFonts w:hint="eastAsia" w:ascii="仿宋" w:hAnsi="仿宋" w:eastAsia="仿宋" w:cs="仿宋"/>
          <w:color w:val="auto"/>
          <w:sz w:val="28"/>
          <w:szCs w:val="28"/>
          <w:highlight w:val="none"/>
        </w:rPr>
        <w:t>则</w:t>
      </w:r>
      <w:r>
        <w:rPr>
          <w:rFonts w:hint="eastAsia" w:ascii="仿宋" w:hAnsi="仿宋" w:eastAsia="仿宋" w:cs="仿宋"/>
          <w:color w:val="auto"/>
          <w:sz w:val="28"/>
          <w:szCs w:val="28"/>
          <w:highlight w:val="none"/>
          <w:lang w:val="en-US" w:eastAsia="zh-CN"/>
        </w:rPr>
        <w:t>乙</w:t>
      </w:r>
      <w:r>
        <w:rPr>
          <w:rFonts w:hint="eastAsia" w:ascii="仿宋" w:hAnsi="仿宋" w:eastAsia="仿宋" w:cs="仿宋"/>
          <w:color w:val="auto"/>
          <w:sz w:val="28"/>
          <w:szCs w:val="28"/>
          <w:highlight w:val="none"/>
        </w:rPr>
        <w:t>方</w:t>
      </w:r>
      <w:r>
        <w:rPr>
          <w:rFonts w:hint="eastAsia" w:ascii="仿宋" w:hAnsi="仿宋" w:eastAsia="仿宋" w:cs="仿宋"/>
          <w:color w:val="auto"/>
          <w:sz w:val="28"/>
          <w:szCs w:val="28"/>
          <w:highlight w:val="none"/>
          <w:lang w:val="en-US" w:eastAsia="zh-CN"/>
        </w:rPr>
        <w:t>可按甲方要求延期交货，甲方向乙方出具</w:t>
      </w:r>
      <w:r>
        <w:rPr>
          <w:rFonts w:hint="eastAsia" w:ascii="仿宋" w:hAnsi="仿宋" w:eastAsia="仿宋" w:cs="仿宋"/>
          <w:color w:val="auto"/>
          <w:sz w:val="28"/>
          <w:szCs w:val="28"/>
          <w:highlight w:val="none"/>
        </w:rPr>
        <w:t>书面确认书。</w:t>
      </w:r>
    </w:p>
    <w:p w14:paraId="4761D4CA">
      <w:pPr>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若甲方在验收后的质量保证期内，发现</w:t>
      </w:r>
      <w:r>
        <w:rPr>
          <w:rFonts w:hint="eastAsia" w:ascii="仿宋" w:hAnsi="仿宋" w:eastAsia="仿宋" w:cs="仿宋"/>
          <w:sz w:val="28"/>
          <w:szCs w:val="28"/>
          <w:highlight w:val="none"/>
          <w:lang w:eastAsia="zh-CN"/>
        </w:rPr>
        <w:t>合同标的物</w:t>
      </w:r>
      <w:r>
        <w:rPr>
          <w:rFonts w:hint="eastAsia" w:ascii="仿宋" w:hAnsi="仿宋" w:eastAsia="仿宋" w:cs="仿宋"/>
          <w:sz w:val="28"/>
          <w:szCs w:val="28"/>
          <w:highlight w:val="none"/>
          <w:lang w:val="en-US" w:eastAsia="zh-CN"/>
        </w:rPr>
        <w:t>出现</w:t>
      </w:r>
      <w:r>
        <w:rPr>
          <w:rFonts w:hint="eastAsia" w:ascii="仿宋" w:hAnsi="仿宋" w:eastAsia="仿宋" w:cs="仿宋"/>
          <w:sz w:val="28"/>
          <w:szCs w:val="28"/>
          <w:highlight w:val="none"/>
        </w:rPr>
        <w:t>质量问题，应及时通知乙方，若需要更换时，乙方应在接到通知后10天内给予更换。</w:t>
      </w:r>
    </w:p>
    <w:p w14:paraId="60F11BC9">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eastAsia="zh-CN"/>
        </w:rPr>
        <w:t>.</w:t>
      </w:r>
      <w:r>
        <w:rPr>
          <w:rFonts w:hint="eastAsia" w:ascii="仿宋" w:hAnsi="仿宋" w:eastAsia="仿宋" w:cs="仿宋"/>
          <w:sz w:val="28"/>
          <w:szCs w:val="28"/>
        </w:rPr>
        <w:t>合同标的物需安装调试的，乙方提供免费的安装调试。</w:t>
      </w:r>
    </w:p>
    <w:p w14:paraId="2833B73F">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cs="仿宋"/>
          <w:sz w:val="28"/>
          <w:szCs w:val="28"/>
          <w:lang w:eastAsia="zh-CN"/>
        </w:rPr>
        <w:t>.</w:t>
      </w:r>
      <w:r>
        <w:rPr>
          <w:rFonts w:hint="eastAsia" w:ascii="仿宋" w:hAnsi="仿宋" w:eastAsia="仿宋" w:cs="仿宋"/>
          <w:sz w:val="28"/>
          <w:szCs w:val="28"/>
        </w:rPr>
        <w:t>乙方对售予甲方的</w:t>
      </w:r>
      <w:r>
        <w:rPr>
          <w:rFonts w:hint="eastAsia" w:ascii="仿宋" w:hAnsi="仿宋" w:eastAsia="仿宋" w:cs="仿宋"/>
          <w:sz w:val="28"/>
          <w:szCs w:val="28"/>
          <w:lang w:eastAsia="zh-CN"/>
        </w:rPr>
        <w:t>合同标的物</w:t>
      </w:r>
      <w:r>
        <w:rPr>
          <w:rFonts w:hint="eastAsia" w:ascii="仿宋" w:hAnsi="仿宋" w:eastAsia="仿宋" w:cs="仿宋"/>
          <w:sz w:val="28"/>
          <w:szCs w:val="28"/>
        </w:rPr>
        <w:t>提供的质量保证期的质量保证范围，不包括意外事件、不可抗力原因及甲方的违规使用。</w:t>
      </w:r>
    </w:p>
    <w:p w14:paraId="232304FF">
      <w:pPr>
        <w:numPr>
          <w:ilvl w:val="0"/>
          <w:numId w:val="0"/>
        </w:numPr>
        <w:spacing w:line="560" w:lineRule="exact"/>
        <w:ind w:firstLine="560" w:firstLineChars="200"/>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十、合同变更、违约及其它</w:t>
      </w:r>
    </w:p>
    <w:p w14:paraId="2FF95812">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合同经甲、乙双方法定代表人或授权代理人签字（盖章）并加盖单位公章后立即生效。</w:t>
      </w:r>
    </w:p>
    <w:p w14:paraId="184C8088">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合同的变更需甲、乙双方协商一致签订补充协议，并由法定代表人或授权代理人签字（盖章）且加盖单位公章后立即生效。补充协议与本合同具有同等法律效力，补充协议与本合同内容不一致的，以补充协议为准。</w:t>
      </w:r>
    </w:p>
    <w:p w14:paraId="60B39DAA">
      <w:pPr>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乙方必须在本合同规定的时间内按时交货，否则由乙方负责承担全部责任。乙方逾期交货的，按日承担合同总额千分之五的违约金；逾期交货超过</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天的，甲方有权单方解除合同，乙方</w:t>
      </w:r>
      <w:r>
        <w:rPr>
          <w:rFonts w:hint="eastAsia" w:ascii="仿宋" w:hAnsi="仿宋" w:eastAsia="仿宋" w:cs="仿宋"/>
          <w:color w:val="auto"/>
          <w:sz w:val="28"/>
          <w:szCs w:val="28"/>
          <w:highlight w:val="none"/>
          <w:lang w:eastAsia="zh-CN"/>
        </w:rPr>
        <w:t>除退还</w:t>
      </w:r>
      <w:r>
        <w:rPr>
          <w:rFonts w:hint="eastAsia" w:ascii="仿宋" w:hAnsi="仿宋" w:eastAsia="仿宋" w:cs="仿宋"/>
          <w:color w:val="auto"/>
          <w:sz w:val="28"/>
          <w:szCs w:val="28"/>
          <w:highlight w:val="none"/>
          <w:lang w:val="en-US" w:eastAsia="zh-CN"/>
        </w:rPr>
        <w:t>全部货</w:t>
      </w:r>
      <w:r>
        <w:rPr>
          <w:rFonts w:hint="eastAsia" w:ascii="仿宋" w:hAnsi="仿宋" w:eastAsia="仿宋" w:cs="仿宋"/>
          <w:color w:val="auto"/>
          <w:sz w:val="28"/>
          <w:szCs w:val="28"/>
          <w:highlight w:val="none"/>
          <w:lang w:eastAsia="zh-CN"/>
        </w:rPr>
        <w:t>款（</w:t>
      </w:r>
      <w:r>
        <w:rPr>
          <w:rFonts w:hint="eastAsia" w:ascii="仿宋" w:hAnsi="仿宋" w:eastAsia="仿宋" w:cs="仿宋"/>
          <w:sz w:val="28"/>
          <w:szCs w:val="28"/>
          <w:highlight w:val="none"/>
          <w:lang w:val="en-US" w:eastAsia="zh-CN"/>
        </w:rPr>
        <w:t>包含预付款</w:t>
      </w:r>
      <w:r>
        <w:rPr>
          <w:rFonts w:hint="eastAsia" w:ascii="仿宋" w:hAnsi="仿宋" w:eastAsia="仿宋" w:cs="仿宋"/>
          <w:color w:val="auto"/>
          <w:sz w:val="28"/>
          <w:szCs w:val="28"/>
          <w:highlight w:val="none"/>
          <w:lang w:eastAsia="zh-CN"/>
        </w:rPr>
        <w:t>）外还应当</w:t>
      </w:r>
      <w:r>
        <w:rPr>
          <w:rFonts w:hint="eastAsia" w:ascii="仿宋" w:hAnsi="仿宋" w:eastAsia="仿宋" w:cs="仿宋"/>
          <w:color w:val="000000"/>
          <w:sz w:val="28"/>
          <w:szCs w:val="28"/>
          <w:highlight w:val="none"/>
        </w:rPr>
        <w:t>另行</w:t>
      </w:r>
      <w:r>
        <w:rPr>
          <w:rFonts w:hint="eastAsia" w:ascii="仿宋" w:hAnsi="仿宋" w:eastAsia="仿宋" w:cs="仿宋"/>
          <w:sz w:val="28"/>
          <w:szCs w:val="28"/>
          <w:highlight w:val="none"/>
        </w:rPr>
        <w:t>承担合同总额20%的违约金。</w:t>
      </w:r>
      <w:r>
        <w:rPr>
          <w:rFonts w:hint="eastAsia" w:ascii="仿宋" w:hAnsi="仿宋" w:eastAsia="仿宋" w:cs="仿宋"/>
          <w:color w:val="auto"/>
          <w:sz w:val="28"/>
          <w:szCs w:val="22"/>
          <w:highlight w:val="none"/>
        </w:rPr>
        <w:t>甲方选择要求重新供货的，乙方逾期送达的，按日承担合同金额千分之五的违约金；逾期超过</w:t>
      </w:r>
      <w:r>
        <w:rPr>
          <w:rFonts w:hint="eastAsia" w:ascii="仿宋" w:hAnsi="仿宋" w:eastAsia="仿宋" w:cs="仿宋"/>
          <w:color w:val="auto"/>
          <w:sz w:val="28"/>
          <w:szCs w:val="22"/>
          <w:highlight w:val="none"/>
          <w:lang w:val="en-US" w:eastAsia="zh-CN"/>
        </w:rPr>
        <w:t>7</w:t>
      </w:r>
      <w:r>
        <w:rPr>
          <w:rFonts w:hint="eastAsia" w:ascii="仿宋" w:hAnsi="仿宋" w:eastAsia="仿宋" w:cs="仿宋"/>
          <w:color w:val="auto"/>
          <w:sz w:val="28"/>
          <w:szCs w:val="22"/>
          <w:highlight w:val="none"/>
        </w:rPr>
        <w:t>天的，甲方有权单方面解除合同；甲方选择单方解除合同的，乙方</w:t>
      </w:r>
      <w:r>
        <w:rPr>
          <w:rFonts w:hint="eastAsia" w:ascii="仿宋" w:hAnsi="仿宋" w:eastAsia="仿宋" w:cs="仿宋"/>
          <w:color w:val="auto"/>
          <w:sz w:val="28"/>
          <w:szCs w:val="28"/>
          <w:highlight w:val="none"/>
          <w:lang w:eastAsia="zh-CN"/>
        </w:rPr>
        <w:t>除退还</w:t>
      </w:r>
      <w:r>
        <w:rPr>
          <w:rFonts w:hint="eastAsia" w:ascii="仿宋" w:hAnsi="仿宋" w:eastAsia="仿宋" w:cs="仿宋"/>
          <w:color w:val="auto"/>
          <w:sz w:val="28"/>
          <w:szCs w:val="28"/>
          <w:highlight w:val="none"/>
          <w:lang w:val="en-US" w:eastAsia="zh-CN"/>
        </w:rPr>
        <w:t>全部货</w:t>
      </w:r>
      <w:r>
        <w:rPr>
          <w:rFonts w:hint="eastAsia" w:ascii="仿宋" w:hAnsi="仿宋" w:eastAsia="仿宋" w:cs="仿宋"/>
          <w:color w:val="auto"/>
          <w:sz w:val="28"/>
          <w:szCs w:val="28"/>
          <w:highlight w:val="none"/>
          <w:lang w:eastAsia="zh-CN"/>
        </w:rPr>
        <w:t>款（</w:t>
      </w:r>
      <w:r>
        <w:rPr>
          <w:rFonts w:hint="eastAsia" w:ascii="仿宋" w:hAnsi="仿宋" w:eastAsia="仿宋" w:cs="仿宋"/>
          <w:sz w:val="28"/>
          <w:szCs w:val="28"/>
          <w:highlight w:val="none"/>
          <w:lang w:val="en-US" w:eastAsia="zh-CN"/>
        </w:rPr>
        <w:t>包含预付款</w:t>
      </w:r>
      <w:r>
        <w:rPr>
          <w:rFonts w:hint="eastAsia" w:ascii="仿宋" w:hAnsi="仿宋" w:eastAsia="仿宋" w:cs="仿宋"/>
          <w:color w:val="auto"/>
          <w:sz w:val="28"/>
          <w:szCs w:val="28"/>
          <w:highlight w:val="none"/>
          <w:lang w:eastAsia="zh-CN"/>
        </w:rPr>
        <w:t>）外还应当</w:t>
      </w:r>
      <w:r>
        <w:rPr>
          <w:rFonts w:hint="eastAsia" w:ascii="仿宋" w:hAnsi="仿宋" w:eastAsia="仿宋" w:cs="仿宋"/>
          <w:color w:val="auto"/>
          <w:sz w:val="28"/>
          <w:szCs w:val="22"/>
          <w:highlight w:val="none"/>
        </w:rPr>
        <w:t>另行承担合同总额</w:t>
      </w:r>
      <w:r>
        <w:rPr>
          <w:rFonts w:hint="eastAsia" w:ascii="仿宋" w:hAnsi="仿宋" w:eastAsia="仿宋" w:cs="仿宋"/>
          <w:color w:val="auto"/>
          <w:sz w:val="28"/>
          <w:szCs w:val="22"/>
          <w:highlight w:val="none"/>
          <w:lang w:val="en-US" w:eastAsia="zh-CN"/>
        </w:rPr>
        <w:t>2</w:t>
      </w:r>
      <w:r>
        <w:rPr>
          <w:rFonts w:hint="eastAsia" w:ascii="仿宋" w:hAnsi="仿宋" w:eastAsia="仿宋" w:cs="仿宋"/>
          <w:color w:val="auto"/>
          <w:sz w:val="28"/>
          <w:szCs w:val="22"/>
          <w:highlight w:val="none"/>
        </w:rPr>
        <w:t>0%的违约金。</w:t>
      </w:r>
    </w:p>
    <w:p w14:paraId="12C5BAC7">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eastAsia="zh-CN"/>
        </w:rPr>
        <w:t>.</w:t>
      </w:r>
      <w:r>
        <w:rPr>
          <w:rFonts w:hint="eastAsia" w:ascii="仿宋" w:hAnsi="仿宋" w:eastAsia="仿宋" w:cs="仿宋"/>
          <w:sz w:val="28"/>
          <w:szCs w:val="28"/>
        </w:rPr>
        <w:t>乙方提供的产品或服务不符合合同约定的，甲方有权选择要求乙方重新供货或单方解除合同。甲方选择要求重新供货的，乙方逾期送达的，按照本条上一款承担违约责任；甲方选择单方解除合同的，按照本条上一款承担违约责任。合同生效后，乙方中途废止合同（不可抗力原因除外），应按给甲方造成的损失向甲方支付赔偿金，并向甲方支付合同总金额20%的违约金；甲方中途废止合同（不可抗力原因除外），应按实际损失向乙方支付赔偿金，向乙方支付合同总金额10%的违约金。</w:t>
      </w:r>
    </w:p>
    <w:p w14:paraId="709EBBDA">
      <w:pPr>
        <w:widowControl w:val="0"/>
        <w:autoSpaceDE w:val="0"/>
        <w:autoSpaceDN w:val="0"/>
        <w:adjustRightInd w:val="0"/>
        <w:spacing w:line="560" w:lineRule="exact"/>
        <w:ind w:firstLine="560" w:firstLineChars="200"/>
        <w:rPr>
          <w:rFonts w:hint="eastAsia" w:ascii="仿宋" w:hAnsi="仿宋" w:eastAsia="仿宋" w:cs="仿宋"/>
          <w:color w:val="000000"/>
          <w:sz w:val="28"/>
          <w:szCs w:val="28"/>
          <w:lang w:val="en-US" w:eastAsia="zh-CN" w:bidi="ar-SA"/>
        </w:rPr>
      </w:pPr>
      <w:r>
        <w:rPr>
          <w:rFonts w:hint="eastAsia" w:ascii="仿宋" w:hAnsi="仿宋" w:eastAsia="仿宋" w:cs="仿宋"/>
          <w:color w:val="000000"/>
          <w:sz w:val="28"/>
          <w:szCs w:val="28"/>
          <w:lang w:val="en-US" w:eastAsia="zh-CN" w:bidi="ar-SA"/>
        </w:rPr>
        <w:t>4.除不可抗力及乙方违约外，如果甲方没有按照本合同约定的付款方式付款，应事先告知乙方，并征得乙方同意，否则甲方应向乙方支付违约金，每迟延付款一日，违约金就应付未付款按全国银行间同业拆借中心公布的贷款市场报价利率计算，</w:t>
      </w:r>
      <w:r>
        <w:rPr>
          <w:rFonts w:hint="eastAsia" w:ascii="仿宋" w:hAnsi="仿宋" w:eastAsia="仿宋" w:cs="仿宋"/>
          <w:color w:val="auto"/>
          <w:sz w:val="28"/>
          <w:szCs w:val="22"/>
          <w:lang w:val="en-US" w:eastAsia="zh-CN" w:bidi="ar-SA"/>
        </w:rPr>
        <w:t>违约金数额不得超过应付未付金额的10%</w:t>
      </w:r>
      <w:r>
        <w:rPr>
          <w:rFonts w:hint="eastAsia" w:ascii="仿宋" w:hAnsi="仿宋" w:eastAsia="仿宋" w:cs="仿宋"/>
          <w:color w:val="000000"/>
          <w:sz w:val="28"/>
          <w:szCs w:val="28"/>
          <w:lang w:val="en-US" w:eastAsia="zh-CN" w:bidi="ar-SA"/>
        </w:rPr>
        <w:t>。</w:t>
      </w:r>
    </w:p>
    <w:p w14:paraId="718B5964">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合同文本不得涂改，如需修改应在合同附件中注明。经甲、乙双方协商达成一致修改意见，需经甲、乙双方代表共同签署此附件，方能生效。</w:t>
      </w:r>
    </w:p>
    <w:p w14:paraId="2901C389">
      <w:pPr>
        <w:spacing w:line="56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w:t>
      </w:r>
      <w:r>
        <w:rPr>
          <w:rFonts w:hint="eastAsia" w:ascii="仿宋" w:hAnsi="仿宋" w:eastAsia="仿宋" w:cs="仿宋"/>
          <w:color w:val="auto"/>
          <w:sz w:val="28"/>
          <w:szCs w:val="22"/>
        </w:rPr>
        <w:t>本合同根据</w:t>
      </w:r>
      <w:r>
        <w:rPr>
          <w:rFonts w:hint="eastAsia" w:ascii="仿宋" w:hAnsi="仿宋" w:eastAsia="仿宋" w:cs="仿宋"/>
          <w:color w:val="000000"/>
          <w:sz w:val="28"/>
          <w:szCs w:val="22"/>
          <w:u w:val="none"/>
        </w:rPr>
        <w:t xml:space="preserve">20  年  月   日由         </w:t>
      </w:r>
      <w:r>
        <w:rPr>
          <w:rFonts w:hint="eastAsia" w:ascii="仿宋" w:hAnsi="仿宋" w:eastAsia="仿宋" w:cs="仿宋"/>
          <w:color w:val="000000"/>
          <w:sz w:val="28"/>
          <w:szCs w:val="22"/>
        </w:rPr>
        <w:t>组织的招标文件编号为</w:t>
      </w:r>
      <w:r>
        <w:rPr>
          <w:rFonts w:hint="eastAsia" w:ascii="仿宋" w:hAnsi="仿宋" w:eastAsia="仿宋" w:cs="仿宋"/>
          <w:color w:val="000000"/>
          <w:sz w:val="28"/>
          <w:szCs w:val="22"/>
          <w:u w:val="none"/>
        </w:rPr>
        <w:t xml:space="preserve">         招</w:t>
      </w:r>
      <w:r>
        <w:rPr>
          <w:rFonts w:hint="eastAsia" w:ascii="仿宋" w:hAnsi="仿宋" w:eastAsia="仿宋" w:cs="仿宋"/>
          <w:color w:val="000000"/>
          <w:sz w:val="28"/>
          <w:szCs w:val="22"/>
        </w:rPr>
        <w:t>标会的招投标结</w:t>
      </w:r>
      <w:r>
        <w:rPr>
          <w:rFonts w:hint="eastAsia" w:ascii="仿宋" w:hAnsi="仿宋" w:eastAsia="仿宋" w:cs="仿宋"/>
          <w:color w:val="auto"/>
          <w:sz w:val="28"/>
          <w:szCs w:val="22"/>
        </w:rPr>
        <w:t>果签订。招标文件、投标文件、询价文件、报价文件及谈判会议上的答疑记录等均作为合同的附件，是本合同不可分割的组成部分，均与本合同具有同等法律效力</w:t>
      </w:r>
      <w:r>
        <w:rPr>
          <w:rFonts w:hint="eastAsia" w:ascii="仿宋" w:hAnsi="仿宋" w:eastAsia="仿宋" w:cs="仿宋"/>
          <w:color w:val="auto"/>
          <w:sz w:val="28"/>
          <w:szCs w:val="22"/>
          <w:lang w:eastAsia="zh-CN"/>
        </w:rPr>
        <w:t>，</w:t>
      </w:r>
      <w:r>
        <w:rPr>
          <w:rFonts w:hint="eastAsia" w:ascii="仿宋" w:hAnsi="仿宋" w:eastAsia="仿宋" w:cs="仿宋"/>
          <w:color w:val="auto"/>
          <w:sz w:val="28"/>
          <w:szCs w:val="22"/>
        </w:rPr>
        <w:t>本合同未述及和不详之处，以附件为准</w:t>
      </w:r>
      <w:r>
        <w:rPr>
          <w:rFonts w:hint="eastAsia" w:ascii="仿宋" w:hAnsi="仿宋" w:eastAsia="仿宋" w:cs="仿宋"/>
          <w:color w:val="auto"/>
          <w:sz w:val="28"/>
          <w:szCs w:val="22"/>
          <w:lang w:eastAsia="zh-CN"/>
        </w:rPr>
        <w:t>。</w:t>
      </w:r>
    </w:p>
    <w:p w14:paraId="0A6E5640">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lang w:eastAsia="zh-CN"/>
        </w:rPr>
        <w:t>.</w:t>
      </w:r>
      <w:r>
        <w:rPr>
          <w:rFonts w:hint="eastAsia" w:ascii="仿宋" w:hAnsi="仿宋" w:eastAsia="仿宋" w:cs="仿宋"/>
          <w:sz w:val="28"/>
          <w:szCs w:val="28"/>
        </w:rPr>
        <w:t>甲、乙双方发生争议时，应先协商解决，经协商不能达成</w:t>
      </w:r>
      <w:r>
        <w:rPr>
          <w:rFonts w:hint="eastAsia" w:ascii="仿宋" w:hAnsi="仿宋" w:eastAsia="仿宋" w:cs="仿宋"/>
          <w:sz w:val="28"/>
          <w:szCs w:val="28"/>
          <w:lang w:val="en-US" w:eastAsia="zh-CN"/>
        </w:rPr>
        <w:t>一致</w:t>
      </w:r>
      <w:r>
        <w:rPr>
          <w:rFonts w:hint="eastAsia" w:ascii="仿宋" w:hAnsi="仿宋" w:eastAsia="仿宋" w:cs="仿宋"/>
          <w:sz w:val="28"/>
          <w:szCs w:val="28"/>
        </w:rPr>
        <w:t>时，任何一方均可向</w:t>
      </w:r>
      <w:r>
        <w:rPr>
          <w:rFonts w:hint="eastAsia" w:ascii="仿宋" w:hAnsi="仿宋" w:eastAsia="仿宋" w:cs="仿宋"/>
          <w:sz w:val="28"/>
          <w:szCs w:val="28"/>
          <w:u w:val="none"/>
        </w:rPr>
        <w:t>甲方所在地</w:t>
      </w:r>
      <w:r>
        <w:rPr>
          <w:rFonts w:hint="eastAsia" w:ascii="仿宋" w:hAnsi="仿宋" w:eastAsia="仿宋" w:cs="仿宋"/>
          <w:sz w:val="28"/>
          <w:szCs w:val="28"/>
        </w:rPr>
        <w:t>人民法院提起诉讼。</w:t>
      </w:r>
    </w:p>
    <w:p w14:paraId="123DB860">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合同一式陆份，甲方执叁份，乙方执叁份。</w:t>
      </w:r>
    </w:p>
    <w:p w14:paraId="5A59AE81">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乙方向甲方提供专业的售后服务工程师并提供专人长期驻扎甲方（发生的所有相关费用均由乙方自行承担），保证第一时间解决问题。</w:t>
      </w:r>
    </w:p>
    <w:p w14:paraId="0DBB136B">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0.</w:t>
      </w:r>
      <w:r>
        <w:rPr>
          <w:rFonts w:hint="eastAsia" w:ascii="仿宋" w:hAnsi="仿宋" w:eastAsia="仿宋" w:cs="仿宋"/>
          <w:sz w:val="28"/>
          <w:szCs w:val="28"/>
        </w:rPr>
        <w:t>一方违约，还应赔偿守约方因此遭受的其他损失，包括为主张权益所支付的律师费、交通费、公证费、</w:t>
      </w:r>
      <w:r>
        <w:rPr>
          <w:rFonts w:hint="eastAsia" w:ascii="仿宋" w:hAnsi="仿宋" w:eastAsia="仿宋" w:cs="仿宋"/>
          <w:sz w:val="28"/>
          <w:szCs w:val="28"/>
          <w:lang w:val="en-US" w:eastAsia="zh-CN"/>
        </w:rPr>
        <w:t>保全费、</w:t>
      </w:r>
      <w:r>
        <w:rPr>
          <w:rFonts w:hint="eastAsia" w:ascii="仿宋" w:hAnsi="仿宋" w:eastAsia="仿宋" w:cs="仿宋"/>
          <w:sz w:val="28"/>
          <w:szCs w:val="28"/>
        </w:rPr>
        <w:t>保全保险费、鉴定费、评估费等全部费用。</w:t>
      </w:r>
    </w:p>
    <w:p w14:paraId="451B6B0E">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1.</w:t>
      </w:r>
      <w:r>
        <w:rPr>
          <w:rFonts w:hint="eastAsia" w:ascii="仿宋" w:hAnsi="仿宋" w:eastAsia="仿宋" w:cs="仿宋"/>
          <w:sz w:val="28"/>
          <w:szCs w:val="28"/>
        </w:rPr>
        <w:t>乙方违约的，甲方有权将相应违约金从应给乙方支付的货款中直接予以扣除。</w:t>
      </w:r>
    </w:p>
    <w:p w14:paraId="50C6339E">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2.</w:t>
      </w:r>
      <w:r>
        <w:rPr>
          <w:rFonts w:hint="eastAsia" w:ascii="仿宋" w:hAnsi="仿宋" w:eastAsia="仿宋" w:cs="仿宋"/>
          <w:sz w:val="28"/>
          <w:szCs w:val="28"/>
        </w:rPr>
        <w:t>本合同尾部载明的双方地址、电话等信息，系双方有效联系方式，如发生变更，应提前书面通知另一方，否则依该联系方式送达相关文书的，视为送达成功。</w:t>
      </w:r>
    </w:p>
    <w:p w14:paraId="5392AA36">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3.</w:t>
      </w:r>
      <w:r>
        <w:rPr>
          <w:rFonts w:hint="eastAsia" w:ascii="仿宋" w:hAnsi="仿宋" w:eastAsia="仿宋" w:cs="仿宋"/>
          <w:sz w:val="28"/>
          <w:szCs w:val="28"/>
        </w:rPr>
        <w:t>本协议中所载的书面通知方式仅指当事人亲自送达、挂号信、EMS方式。一方采取当事人亲自送达方式的，另一方有积极配合签收的义务。如一方拒绝签收而使另一方变更送达方式的，由此所</w:t>
      </w:r>
      <w:r>
        <w:rPr>
          <w:rFonts w:hint="eastAsia" w:ascii="仿宋" w:hAnsi="仿宋" w:eastAsia="仿宋" w:cs="仿宋"/>
          <w:color w:val="FF0000"/>
          <w:sz w:val="28"/>
          <w:szCs w:val="28"/>
          <w:lang w:val="en-US" w:eastAsia="zh-CN"/>
        </w:rPr>
        <w:t>产</w:t>
      </w:r>
      <w:r>
        <w:rPr>
          <w:rFonts w:hint="eastAsia" w:ascii="仿宋" w:hAnsi="仿宋" w:eastAsia="仿宋" w:cs="仿宋"/>
          <w:sz w:val="28"/>
          <w:szCs w:val="28"/>
        </w:rPr>
        <w:t>生的费用应当由违约方承担；如以EMS或快递方式寄送的，如无相反证据证明，自寄送之日起的第三日为送达之日。</w:t>
      </w:r>
    </w:p>
    <w:p w14:paraId="69A7DB19">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4.</w:t>
      </w:r>
      <w:r>
        <w:rPr>
          <w:rFonts w:hint="eastAsia" w:ascii="仿宋" w:hAnsi="仿宋" w:eastAsia="仿宋" w:cs="仿宋"/>
          <w:sz w:val="28"/>
          <w:szCs w:val="28"/>
        </w:rPr>
        <w:t>未经另外一方的事先书面同意，任何一方均不得向第三方或其关联企业转让本协议项下的权利义务。</w:t>
      </w:r>
    </w:p>
    <w:tbl>
      <w:tblPr>
        <w:tblStyle w:val="31"/>
        <w:tblW w:w="10431" w:type="dxa"/>
        <w:jc w:val="center"/>
        <w:tblLayout w:type="fixed"/>
        <w:tblCellMar>
          <w:top w:w="0" w:type="dxa"/>
          <w:left w:w="108" w:type="dxa"/>
          <w:bottom w:w="0" w:type="dxa"/>
          <w:right w:w="108" w:type="dxa"/>
        </w:tblCellMar>
      </w:tblPr>
      <w:tblGrid>
        <w:gridCol w:w="1504"/>
        <w:gridCol w:w="3112"/>
        <w:gridCol w:w="1665"/>
        <w:gridCol w:w="4150"/>
      </w:tblGrid>
      <w:tr w14:paraId="668DB39E">
        <w:tblPrEx>
          <w:tblCellMar>
            <w:top w:w="0" w:type="dxa"/>
            <w:left w:w="108" w:type="dxa"/>
            <w:bottom w:w="0" w:type="dxa"/>
            <w:right w:w="108" w:type="dxa"/>
          </w:tblCellMar>
        </w:tblPrEx>
        <w:trPr>
          <w:trHeight w:val="590" w:hRule="atLeast"/>
          <w:jc w:val="center"/>
        </w:trPr>
        <w:tc>
          <w:tcPr>
            <w:tcW w:w="1504" w:type="dxa"/>
            <w:noWrap w:val="0"/>
            <w:vAlign w:val="center"/>
          </w:tcPr>
          <w:p w14:paraId="6B6C9656">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甲方：</w:t>
            </w:r>
          </w:p>
        </w:tc>
        <w:tc>
          <w:tcPr>
            <w:tcW w:w="3112" w:type="dxa"/>
            <w:noWrap w:val="0"/>
            <w:vAlign w:val="center"/>
          </w:tcPr>
          <w:p w14:paraId="77A418F5">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w:t>
            </w:r>
          </w:p>
        </w:tc>
        <w:tc>
          <w:tcPr>
            <w:tcW w:w="1665" w:type="dxa"/>
            <w:noWrap w:val="0"/>
            <w:vAlign w:val="center"/>
          </w:tcPr>
          <w:p w14:paraId="68795304">
            <w:pPr>
              <w:widowControl w:val="0"/>
              <w:autoSpaceDE w:val="0"/>
              <w:autoSpaceDN w:val="0"/>
              <w:adjustRightInd w:val="0"/>
              <w:spacing w:line="560" w:lineRule="exact"/>
              <w:ind w:firstLine="560" w:firstLineChars="200"/>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乙方:</w:t>
            </w:r>
          </w:p>
        </w:tc>
        <w:tc>
          <w:tcPr>
            <w:tcW w:w="4150" w:type="dxa"/>
            <w:noWrap w:val="0"/>
            <w:vAlign w:val="center"/>
          </w:tcPr>
          <w:p w14:paraId="5876D5A4">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p>
        </w:tc>
      </w:tr>
      <w:tr w14:paraId="53C96883">
        <w:tblPrEx>
          <w:tblCellMar>
            <w:top w:w="0" w:type="dxa"/>
            <w:left w:w="108" w:type="dxa"/>
            <w:bottom w:w="0" w:type="dxa"/>
            <w:right w:w="108" w:type="dxa"/>
          </w:tblCellMar>
        </w:tblPrEx>
        <w:trPr>
          <w:jc w:val="center"/>
        </w:trPr>
        <w:tc>
          <w:tcPr>
            <w:tcW w:w="1504" w:type="dxa"/>
            <w:noWrap w:val="0"/>
            <w:vAlign w:val="center"/>
          </w:tcPr>
          <w:p w14:paraId="29A419EA">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单位名称：</w:t>
            </w:r>
          </w:p>
          <w:p w14:paraId="1715E8CF">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p>
        </w:tc>
        <w:tc>
          <w:tcPr>
            <w:tcW w:w="3112" w:type="dxa"/>
            <w:noWrap w:val="0"/>
            <w:vAlign w:val="center"/>
          </w:tcPr>
          <w:p w14:paraId="72EF3182">
            <w:pPr>
              <w:widowControl w:val="0"/>
              <w:autoSpaceDE w:val="0"/>
              <w:autoSpaceDN w:val="0"/>
              <w:adjustRightInd w:val="0"/>
              <w:spacing w:line="560" w:lineRule="exact"/>
              <w:ind w:right="-260" w:rightChars="-124"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新疆大学</w:t>
            </w:r>
          </w:p>
        </w:tc>
        <w:tc>
          <w:tcPr>
            <w:tcW w:w="1665" w:type="dxa"/>
            <w:noWrap w:val="0"/>
            <w:vAlign w:val="center"/>
          </w:tcPr>
          <w:p w14:paraId="27766C73">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单位名称:</w:t>
            </w:r>
          </w:p>
          <w:p w14:paraId="516ED0E6">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w:t>
            </w:r>
          </w:p>
        </w:tc>
        <w:tc>
          <w:tcPr>
            <w:tcW w:w="4150" w:type="dxa"/>
            <w:noWrap w:val="0"/>
            <w:vAlign w:val="center"/>
          </w:tcPr>
          <w:p w14:paraId="744F476D">
            <w:pPr>
              <w:widowControl w:val="0"/>
              <w:autoSpaceDE w:val="0"/>
              <w:autoSpaceDN w:val="0"/>
              <w:adjustRightInd w:val="0"/>
              <w:spacing w:line="560" w:lineRule="exact"/>
              <w:ind w:right="-260" w:rightChars="-124"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w:t>
            </w:r>
          </w:p>
        </w:tc>
      </w:tr>
      <w:tr w14:paraId="5DC7AC26">
        <w:tblPrEx>
          <w:tblCellMar>
            <w:top w:w="0" w:type="dxa"/>
            <w:left w:w="108" w:type="dxa"/>
            <w:bottom w:w="0" w:type="dxa"/>
            <w:right w:w="108" w:type="dxa"/>
          </w:tblCellMar>
        </w:tblPrEx>
        <w:trPr>
          <w:jc w:val="center"/>
        </w:trPr>
        <w:tc>
          <w:tcPr>
            <w:tcW w:w="1504" w:type="dxa"/>
            <w:noWrap w:val="0"/>
            <w:vAlign w:val="center"/>
          </w:tcPr>
          <w:p w14:paraId="3000FC5D">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公  章：</w:t>
            </w:r>
          </w:p>
        </w:tc>
        <w:tc>
          <w:tcPr>
            <w:tcW w:w="3112" w:type="dxa"/>
            <w:noWrap w:val="0"/>
            <w:vAlign w:val="center"/>
          </w:tcPr>
          <w:p w14:paraId="23615C7A">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p>
        </w:tc>
        <w:tc>
          <w:tcPr>
            <w:tcW w:w="1665" w:type="dxa"/>
            <w:noWrap w:val="0"/>
            <w:vAlign w:val="center"/>
          </w:tcPr>
          <w:p w14:paraId="6AF6455F">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公 章:</w:t>
            </w:r>
          </w:p>
        </w:tc>
        <w:tc>
          <w:tcPr>
            <w:tcW w:w="4150" w:type="dxa"/>
            <w:noWrap w:val="0"/>
            <w:vAlign w:val="center"/>
          </w:tcPr>
          <w:p w14:paraId="1F2F9C49">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p>
        </w:tc>
      </w:tr>
      <w:tr w14:paraId="65BA359A">
        <w:tblPrEx>
          <w:tblCellMar>
            <w:top w:w="0" w:type="dxa"/>
            <w:left w:w="108" w:type="dxa"/>
            <w:bottom w:w="0" w:type="dxa"/>
            <w:right w:w="108" w:type="dxa"/>
          </w:tblCellMar>
        </w:tblPrEx>
        <w:trPr>
          <w:jc w:val="center"/>
        </w:trPr>
        <w:tc>
          <w:tcPr>
            <w:tcW w:w="4616" w:type="dxa"/>
            <w:gridSpan w:val="2"/>
            <w:noWrap w:val="0"/>
            <w:vAlign w:val="center"/>
          </w:tcPr>
          <w:p w14:paraId="136EC252">
            <w:pPr>
              <w:widowControl w:val="0"/>
              <w:autoSpaceDE w:val="0"/>
              <w:autoSpaceDN w:val="0"/>
              <w:adjustRightInd w:val="0"/>
              <w:spacing w:line="560" w:lineRule="exact"/>
              <w:rPr>
                <w:rFonts w:hint="eastAsia" w:ascii="仿宋" w:hAnsi="仿宋" w:eastAsia="仿宋" w:cs="仿宋"/>
                <w:color w:val="auto"/>
                <w:sz w:val="28"/>
                <w:szCs w:val="28"/>
                <w:lang w:val="en-US" w:eastAsia="zh-CN" w:bidi="ar-SA"/>
              </w:rPr>
            </w:pPr>
            <w:r>
              <w:rPr>
                <w:rFonts w:hint="eastAsia" w:ascii="仿宋" w:hAnsi="仿宋" w:eastAsia="仿宋" w:cs="仿宋"/>
                <w:color w:val="000000"/>
                <w:sz w:val="28"/>
                <w:szCs w:val="28"/>
                <w:lang w:val="en-US" w:eastAsia="zh-CN" w:bidi="ar-SA"/>
              </w:rPr>
              <w:t>法定代表人或授权代理人签字：</w:t>
            </w:r>
          </w:p>
        </w:tc>
        <w:tc>
          <w:tcPr>
            <w:tcW w:w="5815" w:type="dxa"/>
            <w:gridSpan w:val="2"/>
            <w:noWrap w:val="0"/>
            <w:vAlign w:val="center"/>
          </w:tcPr>
          <w:p w14:paraId="5A30F164">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000000"/>
                <w:sz w:val="28"/>
                <w:szCs w:val="28"/>
                <w:lang w:val="en-US" w:eastAsia="zh-CN" w:bidi="ar-SA"/>
              </w:rPr>
              <w:t>法定代表人或授权代理人签字：</w:t>
            </w:r>
            <w:r>
              <w:rPr>
                <w:rFonts w:hint="eastAsia" w:ascii="仿宋" w:hAnsi="仿宋" w:eastAsia="仿宋" w:cs="仿宋"/>
                <w:color w:val="auto"/>
                <w:sz w:val="28"/>
                <w:szCs w:val="28"/>
                <w:lang w:val="en-US" w:eastAsia="zh-CN" w:bidi="ar-SA"/>
              </w:rPr>
              <w:t xml:space="preserve">    </w:t>
            </w:r>
          </w:p>
        </w:tc>
      </w:tr>
      <w:tr w14:paraId="49F027DD">
        <w:tblPrEx>
          <w:tblCellMar>
            <w:top w:w="0" w:type="dxa"/>
            <w:left w:w="108" w:type="dxa"/>
            <w:bottom w:w="0" w:type="dxa"/>
            <w:right w:w="108" w:type="dxa"/>
          </w:tblCellMar>
        </w:tblPrEx>
        <w:trPr>
          <w:jc w:val="center"/>
        </w:trPr>
        <w:tc>
          <w:tcPr>
            <w:tcW w:w="1504" w:type="dxa"/>
            <w:noWrap w:val="0"/>
            <w:vAlign w:val="center"/>
          </w:tcPr>
          <w:p w14:paraId="40F18510">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电   话：</w:t>
            </w:r>
          </w:p>
        </w:tc>
        <w:tc>
          <w:tcPr>
            <w:tcW w:w="3112" w:type="dxa"/>
            <w:noWrap w:val="0"/>
            <w:vAlign w:val="center"/>
          </w:tcPr>
          <w:p w14:paraId="764A6038">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w:t>
            </w:r>
          </w:p>
        </w:tc>
        <w:tc>
          <w:tcPr>
            <w:tcW w:w="1665" w:type="dxa"/>
            <w:noWrap w:val="0"/>
            <w:vAlign w:val="center"/>
          </w:tcPr>
          <w:p w14:paraId="6997CC01">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电 话:</w:t>
            </w:r>
          </w:p>
        </w:tc>
        <w:tc>
          <w:tcPr>
            <w:tcW w:w="4150" w:type="dxa"/>
            <w:noWrap w:val="0"/>
            <w:vAlign w:val="top"/>
          </w:tcPr>
          <w:p w14:paraId="3416ABDA">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w:t>
            </w:r>
          </w:p>
        </w:tc>
      </w:tr>
      <w:tr w14:paraId="00011784">
        <w:tblPrEx>
          <w:tblCellMar>
            <w:top w:w="0" w:type="dxa"/>
            <w:left w:w="108" w:type="dxa"/>
            <w:bottom w:w="0" w:type="dxa"/>
            <w:right w:w="108" w:type="dxa"/>
          </w:tblCellMar>
        </w:tblPrEx>
        <w:trPr>
          <w:jc w:val="center"/>
        </w:trPr>
        <w:tc>
          <w:tcPr>
            <w:tcW w:w="1504" w:type="dxa"/>
            <w:noWrap w:val="0"/>
            <w:vAlign w:val="center"/>
          </w:tcPr>
          <w:p w14:paraId="34135CAB">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传  真：</w:t>
            </w:r>
          </w:p>
        </w:tc>
        <w:tc>
          <w:tcPr>
            <w:tcW w:w="3112" w:type="dxa"/>
            <w:noWrap w:val="0"/>
            <w:vAlign w:val="center"/>
          </w:tcPr>
          <w:p w14:paraId="066ACF72">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w:t>
            </w:r>
          </w:p>
        </w:tc>
        <w:tc>
          <w:tcPr>
            <w:tcW w:w="1665" w:type="dxa"/>
            <w:noWrap w:val="0"/>
            <w:vAlign w:val="center"/>
          </w:tcPr>
          <w:p w14:paraId="73A2CAB7">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传 真:</w:t>
            </w:r>
          </w:p>
        </w:tc>
        <w:tc>
          <w:tcPr>
            <w:tcW w:w="4150" w:type="dxa"/>
            <w:noWrap w:val="0"/>
            <w:vAlign w:val="top"/>
          </w:tcPr>
          <w:p w14:paraId="3A783A45">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w:t>
            </w:r>
          </w:p>
        </w:tc>
      </w:tr>
      <w:tr w14:paraId="54B70926">
        <w:tblPrEx>
          <w:tblCellMar>
            <w:top w:w="0" w:type="dxa"/>
            <w:left w:w="108" w:type="dxa"/>
            <w:bottom w:w="0" w:type="dxa"/>
            <w:right w:w="108" w:type="dxa"/>
          </w:tblCellMar>
        </w:tblPrEx>
        <w:trPr>
          <w:jc w:val="center"/>
        </w:trPr>
        <w:tc>
          <w:tcPr>
            <w:tcW w:w="1504" w:type="dxa"/>
            <w:noWrap w:val="0"/>
            <w:vAlign w:val="center"/>
          </w:tcPr>
          <w:p w14:paraId="20352EEE">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联系人：</w:t>
            </w:r>
          </w:p>
        </w:tc>
        <w:tc>
          <w:tcPr>
            <w:tcW w:w="3112" w:type="dxa"/>
            <w:noWrap w:val="0"/>
            <w:vAlign w:val="center"/>
          </w:tcPr>
          <w:p w14:paraId="0448B7CF">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w:t>
            </w:r>
          </w:p>
        </w:tc>
        <w:tc>
          <w:tcPr>
            <w:tcW w:w="1665" w:type="dxa"/>
            <w:noWrap w:val="0"/>
            <w:vAlign w:val="center"/>
          </w:tcPr>
          <w:p w14:paraId="140699B7">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联系人: </w:t>
            </w:r>
          </w:p>
        </w:tc>
        <w:tc>
          <w:tcPr>
            <w:tcW w:w="4150" w:type="dxa"/>
            <w:noWrap w:val="0"/>
            <w:vAlign w:val="center"/>
          </w:tcPr>
          <w:p w14:paraId="445771B9">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w:t>
            </w:r>
          </w:p>
        </w:tc>
      </w:tr>
      <w:tr w14:paraId="30F54F7E">
        <w:tblPrEx>
          <w:tblCellMar>
            <w:top w:w="0" w:type="dxa"/>
            <w:left w:w="108" w:type="dxa"/>
            <w:bottom w:w="0" w:type="dxa"/>
            <w:right w:w="108" w:type="dxa"/>
          </w:tblCellMar>
        </w:tblPrEx>
        <w:trPr>
          <w:jc w:val="center"/>
        </w:trPr>
        <w:tc>
          <w:tcPr>
            <w:tcW w:w="1504" w:type="dxa"/>
            <w:noWrap w:val="0"/>
            <w:vAlign w:val="center"/>
          </w:tcPr>
          <w:p w14:paraId="72AF4111">
            <w:pPr>
              <w:widowControl w:val="0"/>
              <w:autoSpaceDE w:val="0"/>
              <w:autoSpaceDN w:val="0"/>
              <w:adjustRightInd w:val="0"/>
              <w:spacing w:line="560" w:lineRule="exact"/>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通讯地址:    </w:t>
            </w:r>
          </w:p>
        </w:tc>
        <w:tc>
          <w:tcPr>
            <w:tcW w:w="3112" w:type="dxa"/>
            <w:noWrap w:val="0"/>
            <w:vAlign w:val="center"/>
          </w:tcPr>
          <w:p w14:paraId="126338B4">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新疆乌鲁木齐市天山区胜利路666号新疆大学</w:t>
            </w:r>
          </w:p>
        </w:tc>
        <w:tc>
          <w:tcPr>
            <w:tcW w:w="1665" w:type="dxa"/>
            <w:noWrap w:val="0"/>
            <w:vAlign w:val="center"/>
          </w:tcPr>
          <w:p w14:paraId="39412A45">
            <w:pPr>
              <w:widowControl w:val="0"/>
              <w:autoSpaceDE w:val="0"/>
              <w:autoSpaceDN w:val="0"/>
              <w:adjustRightInd w:val="0"/>
              <w:spacing w:line="560" w:lineRule="exact"/>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通讯地址:</w:t>
            </w:r>
          </w:p>
        </w:tc>
        <w:tc>
          <w:tcPr>
            <w:tcW w:w="4150" w:type="dxa"/>
            <w:noWrap w:val="0"/>
            <w:vAlign w:val="top"/>
          </w:tcPr>
          <w:p w14:paraId="3BE297C4">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w:t>
            </w:r>
          </w:p>
        </w:tc>
      </w:tr>
      <w:tr w14:paraId="1B2D1034">
        <w:tblPrEx>
          <w:tblCellMar>
            <w:top w:w="0" w:type="dxa"/>
            <w:left w:w="108" w:type="dxa"/>
            <w:bottom w:w="0" w:type="dxa"/>
            <w:right w:w="108" w:type="dxa"/>
          </w:tblCellMar>
        </w:tblPrEx>
        <w:trPr>
          <w:jc w:val="center"/>
        </w:trPr>
        <w:tc>
          <w:tcPr>
            <w:tcW w:w="1504" w:type="dxa"/>
            <w:noWrap w:val="0"/>
            <w:vAlign w:val="center"/>
          </w:tcPr>
          <w:p w14:paraId="07B34D13">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开户银行:                  </w:t>
            </w:r>
          </w:p>
        </w:tc>
        <w:tc>
          <w:tcPr>
            <w:tcW w:w="3112" w:type="dxa"/>
            <w:noWrap w:val="0"/>
            <w:vAlign w:val="center"/>
          </w:tcPr>
          <w:p w14:paraId="00105D25">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中国农业银行乌鲁木齐胜利路（兵团）支行</w:t>
            </w:r>
          </w:p>
        </w:tc>
        <w:tc>
          <w:tcPr>
            <w:tcW w:w="1665" w:type="dxa"/>
            <w:noWrap w:val="0"/>
            <w:vAlign w:val="center"/>
          </w:tcPr>
          <w:p w14:paraId="25BBBBB2">
            <w:pPr>
              <w:widowControl w:val="0"/>
              <w:autoSpaceDE w:val="0"/>
              <w:autoSpaceDN w:val="0"/>
              <w:adjustRightInd w:val="0"/>
              <w:spacing w:line="560" w:lineRule="exact"/>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开户银行:</w:t>
            </w:r>
          </w:p>
        </w:tc>
        <w:tc>
          <w:tcPr>
            <w:tcW w:w="4150" w:type="dxa"/>
            <w:noWrap w:val="0"/>
            <w:vAlign w:val="center"/>
          </w:tcPr>
          <w:p w14:paraId="63D1C885">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w:t>
            </w:r>
          </w:p>
        </w:tc>
      </w:tr>
      <w:tr w14:paraId="6F6D1750">
        <w:tblPrEx>
          <w:tblCellMar>
            <w:top w:w="0" w:type="dxa"/>
            <w:left w:w="108" w:type="dxa"/>
            <w:bottom w:w="0" w:type="dxa"/>
            <w:right w:w="108" w:type="dxa"/>
          </w:tblCellMar>
        </w:tblPrEx>
        <w:trPr>
          <w:jc w:val="center"/>
        </w:trPr>
        <w:tc>
          <w:tcPr>
            <w:tcW w:w="1504" w:type="dxa"/>
            <w:noWrap w:val="0"/>
            <w:vAlign w:val="center"/>
          </w:tcPr>
          <w:p w14:paraId="65A05A48">
            <w:pPr>
              <w:widowControl w:val="0"/>
              <w:autoSpaceDE w:val="0"/>
              <w:autoSpaceDN w:val="0"/>
              <w:adjustRightInd w:val="0"/>
              <w:spacing w:line="560" w:lineRule="exact"/>
              <w:jc w:val="distribute"/>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账  号：            </w:t>
            </w:r>
          </w:p>
        </w:tc>
        <w:tc>
          <w:tcPr>
            <w:tcW w:w="3112" w:type="dxa"/>
            <w:noWrap w:val="0"/>
            <w:vAlign w:val="center"/>
          </w:tcPr>
          <w:p w14:paraId="0E005FE6">
            <w:pPr>
              <w:widowControl w:val="0"/>
              <w:autoSpaceDE w:val="0"/>
              <w:autoSpaceDN w:val="0"/>
              <w:adjustRightInd w:val="0"/>
              <w:spacing w:line="560" w:lineRule="exact"/>
              <w:rPr>
                <w:rFonts w:hint="eastAsia" w:ascii="仿宋" w:hAnsi="仿宋" w:eastAsia="仿宋" w:cs="仿宋"/>
                <w:color w:val="000000"/>
                <w:sz w:val="28"/>
                <w:szCs w:val="28"/>
                <w:lang w:val="en-US" w:eastAsia="zh-CN" w:bidi="ar-SA"/>
              </w:rPr>
            </w:pPr>
            <w:r>
              <w:rPr>
                <w:rFonts w:hint="eastAsia" w:ascii="仿宋" w:hAnsi="仿宋" w:eastAsia="仿宋" w:cs="仿宋"/>
                <w:color w:val="000000"/>
                <w:sz w:val="28"/>
                <w:szCs w:val="28"/>
                <w:lang w:val="en-US" w:eastAsia="zh-CN" w:bidi="ar-SA"/>
              </w:rPr>
              <w:t xml:space="preserve">30704301040002348 </w:t>
            </w:r>
          </w:p>
        </w:tc>
        <w:tc>
          <w:tcPr>
            <w:tcW w:w="1665" w:type="dxa"/>
            <w:noWrap w:val="0"/>
            <w:vAlign w:val="center"/>
          </w:tcPr>
          <w:p w14:paraId="1E2A4378">
            <w:pPr>
              <w:widowControl w:val="0"/>
              <w:autoSpaceDE w:val="0"/>
              <w:autoSpaceDN w:val="0"/>
              <w:adjustRightInd w:val="0"/>
              <w:spacing w:line="560" w:lineRule="exact"/>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账    号：</w:t>
            </w:r>
          </w:p>
        </w:tc>
        <w:tc>
          <w:tcPr>
            <w:tcW w:w="4150" w:type="dxa"/>
            <w:noWrap w:val="0"/>
            <w:vAlign w:val="center"/>
          </w:tcPr>
          <w:p w14:paraId="47145F77">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w:t>
            </w:r>
          </w:p>
        </w:tc>
      </w:tr>
    </w:tbl>
    <w:p w14:paraId="3AAC8A61">
      <w:pPr>
        <w:widowControl w:val="0"/>
        <w:autoSpaceDE w:val="0"/>
        <w:autoSpaceDN w:val="0"/>
        <w:adjustRightInd w:val="0"/>
        <w:spacing w:line="560" w:lineRule="exact"/>
        <w:ind w:firstLine="560" w:firstLineChars="200"/>
        <w:rPr>
          <w:rFonts w:hint="eastAsia" w:ascii="仿宋" w:hAnsi="仿宋" w:eastAsia="仿宋" w:cs="仿宋"/>
          <w:color w:val="auto"/>
          <w:sz w:val="28"/>
          <w:szCs w:val="28"/>
          <w:lang w:val="en-US" w:eastAsia="zh-CN" w:bidi="ar-SA"/>
        </w:rPr>
      </w:pPr>
    </w:p>
    <w:p w14:paraId="51605668">
      <w:pPr>
        <w:spacing w:line="560" w:lineRule="exact"/>
        <w:rPr>
          <w:rFonts w:hint="eastAsia" w:ascii="仿宋" w:hAnsi="仿宋" w:eastAsia="仿宋" w:cs="仿宋"/>
          <w:color w:val="000000"/>
          <w:sz w:val="28"/>
          <w:szCs w:val="28"/>
        </w:rPr>
      </w:pPr>
    </w:p>
    <w:p w14:paraId="632C44F1">
      <w:pPr>
        <w:spacing w:line="560" w:lineRule="exact"/>
        <w:ind w:right="-105" w:firstLine="4480" w:firstLineChars="1600"/>
        <w:jc w:val="both"/>
        <w:rPr>
          <w:rFonts w:hint="eastAsia" w:ascii="仿宋" w:hAnsi="仿宋" w:eastAsia="仿宋" w:cs="仿宋"/>
          <w:color w:val="000000"/>
          <w:sz w:val="28"/>
          <w:szCs w:val="28"/>
        </w:rPr>
      </w:pPr>
      <w:bookmarkStart w:id="25" w:name="OLE_LINK1"/>
      <w:r>
        <w:rPr>
          <w:rFonts w:hint="eastAsia" w:ascii="仿宋" w:hAnsi="仿宋" w:eastAsia="仿宋" w:cs="仿宋"/>
          <w:color w:val="000000"/>
          <w:sz w:val="28"/>
          <w:szCs w:val="28"/>
          <w:lang w:val="en-US" w:eastAsia="zh-CN"/>
        </w:rPr>
        <w:t>二〇</w:t>
      </w:r>
      <w:r>
        <w:rPr>
          <w:rFonts w:hint="eastAsia" w:ascii="仿宋" w:hAnsi="仿宋" w:eastAsia="仿宋" w:cs="仿宋"/>
          <w:color w:val="000000"/>
          <w:sz w:val="28"/>
          <w:szCs w:val="28"/>
        </w:rPr>
        <w:t xml:space="preserve">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 xml:space="preserve"> 年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 xml:space="preserve"> 月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 xml:space="preserve">  日</w:t>
      </w:r>
    </w:p>
    <w:p w14:paraId="161149F6">
      <w:pPr>
        <w:spacing w:line="560" w:lineRule="exact"/>
        <w:ind w:right="-105"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合同签订地点：新疆乌鲁木齐市天山区胜利路666号新疆大学</w:t>
      </w:r>
    </w:p>
    <w:bookmarkEnd w:id="25"/>
    <w:p w14:paraId="4C416E40">
      <w:pPr>
        <w:spacing w:line="560" w:lineRule="exact"/>
        <w:ind w:left="-105" w:right="-105" w:firstLine="562" w:firstLineChars="200"/>
        <w:jc w:val="center"/>
        <w:rPr>
          <w:rFonts w:hint="eastAsia" w:ascii="仿宋" w:hAnsi="仿宋" w:eastAsia="仿宋" w:cs="仿宋"/>
          <w:b/>
          <w:color w:val="000000"/>
          <w:sz w:val="28"/>
          <w:szCs w:val="28"/>
        </w:rPr>
      </w:pPr>
    </w:p>
    <w:p w14:paraId="2B0DBCFE">
      <w:pPr>
        <w:widowControl/>
        <w:spacing w:line="560" w:lineRule="exact"/>
        <w:ind w:firstLine="560" w:firstLineChars="200"/>
        <w:jc w:val="left"/>
        <w:rPr>
          <w:rFonts w:hint="eastAsia" w:ascii="仿宋" w:hAnsi="仿宋" w:eastAsia="仿宋" w:cs="仿宋"/>
          <w:b/>
          <w:bCs/>
          <w:color w:val="FF0000"/>
          <w:sz w:val="28"/>
          <w:szCs w:val="28"/>
        </w:rPr>
      </w:pPr>
      <w:r>
        <w:rPr>
          <w:rFonts w:hint="eastAsia" w:ascii="仿宋" w:hAnsi="仿宋" w:eastAsia="仿宋" w:cs="仿宋"/>
          <w:color w:val="000000"/>
          <w:sz w:val="28"/>
          <w:szCs w:val="28"/>
        </w:rPr>
        <w:t xml:space="preserve"> </w:t>
      </w:r>
    </w:p>
    <w:p w14:paraId="1CB25EFB">
      <w:pPr>
        <w:rPr>
          <w:rFonts w:hint="eastAsia" w:ascii="仿宋" w:hAnsi="仿宋" w:eastAsia="仿宋" w:cs="仿宋"/>
          <w:color w:val="FF0000"/>
          <w:sz w:val="28"/>
          <w:szCs w:val="28"/>
        </w:rPr>
      </w:pPr>
      <w:r>
        <w:rPr>
          <w:rFonts w:hint="eastAsia" w:ascii="仿宋" w:hAnsi="仿宋" w:eastAsia="仿宋" w:cs="仿宋"/>
          <w:color w:val="FF0000"/>
          <w:sz w:val="28"/>
          <w:szCs w:val="28"/>
        </w:rPr>
        <w:br w:type="page"/>
      </w:r>
    </w:p>
    <w:p w14:paraId="14C2D450">
      <w:pPr>
        <w:spacing w:line="560" w:lineRule="exact"/>
        <w:ind w:firstLine="560" w:firstLineChars="200"/>
        <w:rPr>
          <w:rFonts w:hint="eastAsia" w:ascii="仿宋" w:hAnsi="仿宋" w:eastAsia="仿宋" w:cs="仿宋"/>
          <w:color w:val="FF0000"/>
          <w:sz w:val="28"/>
          <w:szCs w:val="28"/>
        </w:rPr>
      </w:pPr>
      <w:r>
        <w:rPr>
          <w:rFonts w:hint="eastAsia" w:ascii="仿宋" w:hAnsi="仿宋" w:eastAsia="仿宋" w:cs="仿宋"/>
          <w:color w:val="FF0000"/>
          <w:sz w:val="28"/>
          <w:szCs w:val="28"/>
        </w:rPr>
        <w:t>附件：开票信息</w:t>
      </w:r>
    </w:p>
    <w:p w14:paraId="7CD9EB53">
      <w:pPr>
        <w:spacing w:line="560" w:lineRule="exact"/>
        <w:ind w:firstLine="560" w:firstLineChars="200"/>
        <w:jc w:val="center"/>
        <w:rPr>
          <w:rFonts w:hint="eastAsia" w:ascii="仿宋" w:hAnsi="仿宋" w:eastAsia="仿宋" w:cs="仿宋"/>
          <w:color w:val="FF0000"/>
          <w:sz w:val="28"/>
          <w:szCs w:val="28"/>
        </w:rPr>
      </w:pPr>
    </w:p>
    <w:p w14:paraId="33C4B82A">
      <w:pPr>
        <w:jc w:val="center"/>
        <w:rPr>
          <w:rFonts w:hint="eastAsia" w:ascii="仿宋" w:hAnsi="仿宋" w:eastAsia="仿宋" w:cs="仿宋"/>
          <w:color w:val="FF0000"/>
          <w:sz w:val="28"/>
          <w:szCs w:val="28"/>
          <w:lang w:eastAsia="zh-CN"/>
        </w:rPr>
      </w:pPr>
      <w:r>
        <w:rPr>
          <w:rFonts w:hint="eastAsia" w:ascii="仿宋" w:hAnsi="仿宋" w:eastAsia="仿宋" w:cs="仿宋"/>
          <w:color w:val="FF0000"/>
          <w:sz w:val="28"/>
          <w:szCs w:val="28"/>
          <w:lang w:eastAsia="zh-CN"/>
        </w:rPr>
        <w:drawing>
          <wp:inline distT="0" distB="0" distL="114300" distR="114300">
            <wp:extent cx="5377815" cy="3875405"/>
            <wp:effectExtent l="0" t="0" r="6985" b="10795"/>
            <wp:docPr id="2" name="图片 1" descr="微信图片_202111091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11109110043"/>
                    <pic:cNvPicPr>
                      <a:picLocks noChangeAspect="1"/>
                    </pic:cNvPicPr>
                  </pic:nvPicPr>
                  <pic:blipFill>
                    <a:blip r:embed="rId7"/>
                    <a:stretch>
                      <a:fillRect/>
                    </a:stretch>
                  </pic:blipFill>
                  <pic:spPr>
                    <a:xfrm>
                      <a:off x="0" y="0"/>
                      <a:ext cx="5377815" cy="3875405"/>
                    </a:xfrm>
                    <a:prstGeom prst="rect">
                      <a:avLst/>
                    </a:prstGeom>
                    <a:noFill/>
                    <a:ln>
                      <a:noFill/>
                    </a:ln>
                  </pic:spPr>
                </pic:pic>
              </a:graphicData>
            </a:graphic>
          </wp:inline>
        </w:drawing>
      </w:r>
    </w:p>
    <w:p w14:paraId="189C2482">
      <w:pPr>
        <w:rPr>
          <w:rFonts w:hint="eastAsia" w:ascii="仿宋" w:hAnsi="仿宋" w:eastAsia="仿宋" w:cs="仿宋"/>
          <w:color w:val="FF0000"/>
          <w:sz w:val="28"/>
          <w:szCs w:val="28"/>
        </w:rPr>
      </w:pPr>
    </w:p>
    <w:p w14:paraId="09BE234F">
      <w:pPr>
        <w:rPr>
          <w:rFonts w:hint="eastAsia" w:ascii="仿宋" w:hAnsi="仿宋" w:eastAsia="仿宋" w:cs="仿宋"/>
          <w:color w:val="FF0000"/>
          <w:sz w:val="28"/>
          <w:szCs w:val="28"/>
        </w:rPr>
      </w:pPr>
    </w:p>
    <w:p w14:paraId="60821633">
      <w:pPr>
        <w:rPr>
          <w:rFonts w:hint="eastAsia" w:ascii="仿宋" w:hAnsi="仿宋" w:eastAsia="仿宋" w:cs="仿宋"/>
          <w:color w:val="FF0000"/>
          <w:sz w:val="28"/>
          <w:szCs w:val="28"/>
        </w:rPr>
      </w:pPr>
    </w:p>
    <w:p w14:paraId="6028BE5B">
      <w:pPr>
        <w:rPr>
          <w:rFonts w:hint="eastAsia" w:ascii="仿宋" w:hAnsi="仿宋" w:eastAsia="仿宋" w:cs="仿宋"/>
          <w:color w:val="FF0000"/>
          <w:sz w:val="28"/>
          <w:szCs w:val="28"/>
        </w:rPr>
      </w:pPr>
    </w:p>
    <w:p w14:paraId="78C4E6DE">
      <w:pPr>
        <w:rPr>
          <w:rFonts w:hint="eastAsia" w:ascii="仿宋" w:hAnsi="仿宋" w:eastAsia="仿宋" w:cs="仿宋"/>
          <w:color w:val="FF0000"/>
          <w:sz w:val="28"/>
          <w:szCs w:val="28"/>
        </w:rPr>
      </w:pPr>
    </w:p>
    <w:p w14:paraId="48327014">
      <w:pPr>
        <w:spacing w:line="360" w:lineRule="auto"/>
        <w:ind w:right="-105"/>
        <w:jc w:val="both"/>
        <w:rPr>
          <w:rFonts w:hint="eastAsia" w:ascii="仿宋" w:hAnsi="仿宋" w:eastAsia="仿宋" w:cs="仿宋"/>
          <w:sz w:val="28"/>
          <w:szCs w:val="28"/>
        </w:rPr>
      </w:pPr>
    </w:p>
    <w:p w14:paraId="60AF1182">
      <w:pPr>
        <w:rPr>
          <w:rFonts w:hint="eastAsia" w:ascii="仿宋" w:hAnsi="仿宋" w:eastAsia="仿宋" w:cs="仿宋"/>
          <w:b/>
          <w:color w:val="000000"/>
          <w:sz w:val="28"/>
          <w:szCs w:val="28"/>
        </w:rPr>
      </w:pPr>
      <w:r>
        <w:rPr>
          <w:rFonts w:hint="eastAsia" w:ascii="仿宋" w:hAnsi="仿宋" w:eastAsia="仿宋" w:cs="仿宋"/>
          <w:b/>
          <w:color w:val="000000"/>
          <w:sz w:val="28"/>
          <w:szCs w:val="28"/>
        </w:rPr>
        <w:br w:type="page"/>
      </w:r>
    </w:p>
    <w:p w14:paraId="4436B2F6">
      <w:pPr>
        <w:spacing w:line="360" w:lineRule="auto"/>
        <w:ind w:left="-2" w:leftChars="-1" w:right="-105" w:firstLine="1"/>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详细参数</w:t>
      </w:r>
    </w:p>
    <w:p w14:paraId="3A85403F">
      <w:pPr>
        <w:spacing w:line="360" w:lineRule="auto"/>
        <w:ind w:left="-105" w:right="-105" w:firstLine="420" w:firstLineChars="150"/>
        <w:rPr>
          <w:rFonts w:hint="eastAsia" w:ascii="仿宋" w:hAnsi="仿宋" w:eastAsia="仿宋" w:cs="仿宋"/>
          <w:color w:val="000000"/>
          <w:sz w:val="28"/>
          <w:szCs w:val="28"/>
        </w:rPr>
      </w:pPr>
    </w:p>
    <w:p w14:paraId="54517010">
      <w:pPr>
        <w:spacing w:line="360" w:lineRule="auto"/>
        <w:ind w:left="-105" w:right="-105" w:firstLine="420" w:firstLineChars="150"/>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 xml:space="preserve">    </w:t>
      </w:r>
    </w:p>
    <w:p w14:paraId="6CA149E5">
      <w:pPr>
        <w:spacing w:line="360" w:lineRule="auto"/>
        <w:ind w:left="-105" w:right="-105" w:firstLine="420" w:firstLineChars="150"/>
        <w:rPr>
          <w:rFonts w:hint="eastAsia" w:ascii="仿宋" w:hAnsi="仿宋" w:eastAsia="仿宋" w:cs="仿宋"/>
          <w:color w:val="000000"/>
          <w:sz w:val="28"/>
          <w:szCs w:val="28"/>
        </w:rPr>
      </w:pPr>
    </w:p>
    <w:p w14:paraId="0365B00D">
      <w:pPr>
        <w:spacing w:line="360" w:lineRule="auto"/>
        <w:ind w:left="-105" w:right="-105" w:firstLine="420" w:firstLineChars="150"/>
        <w:rPr>
          <w:rFonts w:hint="eastAsia" w:ascii="仿宋" w:hAnsi="仿宋" w:eastAsia="仿宋" w:cs="仿宋"/>
          <w:color w:val="000000"/>
          <w:sz w:val="28"/>
          <w:szCs w:val="28"/>
        </w:rPr>
      </w:pPr>
    </w:p>
    <w:p w14:paraId="2FB8045B">
      <w:pPr>
        <w:spacing w:line="360" w:lineRule="auto"/>
        <w:ind w:left="-105" w:right="-105" w:firstLine="420" w:firstLineChars="150"/>
        <w:rPr>
          <w:rFonts w:hint="eastAsia" w:ascii="仿宋" w:hAnsi="仿宋" w:eastAsia="仿宋" w:cs="仿宋"/>
          <w:color w:val="000000"/>
          <w:sz w:val="28"/>
          <w:szCs w:val="28"/>
        </w:rPr>
      </w:pPr>
    </w:p>
    <w:p w14:paraId="0DB7E769">
      <w:pPr>
        <w:spacing w:line="360" w:lineRule="auto"/>
        <w:ind w:left="-105" w:right="-105" w:firstLine="420" w:firstLineChars="150"/>
        <w:rPr>
          <w:rFonts w:hint="eastAsia" w:ascii="仿宋" w:hAnsi="仿宋" w:eastAsia="仿宋" w:cs="仿宋"/>
          <w:color w:val="000000"/>
          <w:sz w:val="28"/>
          <w:szCs w:val="28"/>
        </w:rPr>
      </w:pPr>
    </w:p>
    <w:p w14:paraId="5382EFEB">
      <w:pPr>
        <w:spacing w:line="360" w:lineRule="auto"/>
        <w:ind w:left="-105" w:right="-105" w:firstLine="420" w:firstLineChars="150"/>
        <w:rPr>
          <w:rFonts w:hint="eastAsia" w:ascii="仿宋" w:hAnsi="仿宋" w:eastAsia="仿宋" w:cs="仿宋"/>
          <w:color w:val="000000"/>
          <w:sz w:val="28"/>
          <w:szCs w:val="28"/>
        </w:rPr>
      </w:pPr>
    </w:p>
    <w:p w14:paraId="777DBA16">
      <w:pPr>
        <w:spacing w:line="360" w:lineRule="auto"/>
        <w:ind w:left="-105" w:right="-105" w:firstLine="420" w:firstLineChars="150"/>
        <w:rPr>
          <w:rFonts w:hint="eastAsia" w:ascii="仿宋" w:hAnsi="仿宋" w:eastAsia="仿宋" w:cs="仿宋"/>
          <w:color w:val="000000"/>
          <w:sz w:val="28"/>
          <w:szCs w:val="28"/>
        </w:rPr>
      </w:pPr>
    </w:p>
    <w:p w14:paraId="72AB7813">
      <w:pPr>
        <w:spacing w:line="360" w:lineRule="auto"/>
        <w:ind w:left="-105" w:right="-105" w:firstLine="420" w:firstLineChars="150"/>
        <w:rPr>
          <w:rFonts w:hint="eastAsia" w:ascii="仿宋" w:hAnsi="仿宋" w:eastAsia="仿宋" w:cs="仿宋"/>
          <w:color w:val="000000"/>
          <w:sz w:val="28"/>
          <w:szCs w:val="28"/>
        </w:rPr>
      </w:pPr>
    </w:p>
    <w:p w14:paraId="4AC94097">
      <w:pPr>
        <w:spacing w:line="360" w:lineRule="auto"/>
        <w:ind w:left="-105" w:right="-105" w:firstLine="420" w:firstLineChars="150"/>
        <w:rPr>
          <w:rFonts w:hint="eastAsia" w:ascii="仿宋" w:hAnsi="仿宋" w:eastAsia="仿宋" w:cs="仿宋"/>
          <w:color w:val="000000"/>
          <w:sz w:val="28"/>
          <w:szCs w:val="28"/>
        </w:rPr>
      </w:pPr>
    </w:p>
    <w:p w14:paraId="4A05148D">
      <w:pPr>
        <w:spacing w:line="360" w:lineRule="auto"/>
        <w:ind w:left="-105" w:right="-105" w:firstLine="420" w:firstLineChars="150"/>
        <w:rPr>
          <w:rFonts w:hint="eastAsia" w:ascii="仿宋" w:hAnsi="仿宋" w:eastAsia="仿宋" w:cs="仿宋"/>
          <w:color w:val="000000"/>
          <w:sz w:val="28"/>
          <w:szCs w:val="28"/>
        </w:rPr>
      </w:pPr>
    </w:p>
    <w:p w14:paraId="6031AE12">
      <w:pPr>
        <w:spacing w:line="360" w:lineRule="auto"/>
        <w:ind w:left="-105" w:right="-105" w:firstLine="420" w:firstLineChars="150"/>
        <w:rPr>
          <w:rFonts w:hint="eastAsia" w:ascii="仿宋" w:hAnsi="仿宋" w:eastAsia="仿宋" w:cs="仿宋"/>
          <w:color w:val="000000"/>
          <w:sz w:val="28"/>
          <w:szCs w:val="28"/>
        </w:rPr>
      </w:pPr>
    </w:p>
    <w:p w14:paraId="4146B5E6">
      <w:pPr>
        <w:spacing w:line="360" w:lineRule="auto"/>
        <w:ind w:left="-105" w:right="-105" w:firstLine="420" w:firstLineChars="150"/>
        <w:rPr>
          <w:rFonts w:hint="eastAsia" w:ascii="仿宋" w:hAnsi="仿宋" w:eastAsia="仿宋" w:cs="仿宋"/>
          <w:color w:val="000000"/>
          <w:sz w:val="28"/>
          <w:szCs w:val="28"/>
        </w:rPr>
      </w:pPr>
    </w:p>
    <w:p w14:paraId="70822EF3">
      <w:pPr>
        <w:spacing w:line="360" w:lineRule="auto"/>
        <w:ind w:left="-105" w:right="-105" w:firstLine="420" w:firstLineChars="150"/>
        <w:rPr>
          <w:rFonts w:hint="eastAsia" w:ascii="仿宋" w:hAnsi="仿宋" w:eastAsia="仿宋" w:cs="仿宋"/>
          <w:color w:val="000000"/>
          <w:sz w:val="28"/>
          <w:szCs w:val="28"/>
        </w:rPr>
      </w:pPr>
    </w:p>
    <w:p w14:paraId="375CDB20">
      <w:pPr>
        <w:spacing w:line="360" w:lineRule="auto"/>
        <w:ind w:left="-105" w:right="-105" w:firstLine="420" w:firstLineChars="150"/>
        <w:rPr>
          <w:rFonts w:hint="eastAsia" w:ascii="仿宋" w:hAnsi="仿宋" w:eastAsia="仿宋" w:cs="仿宋"/>
          <w:color w:val="000000"/>
          <w:sz w:val="28"/>
          <w:szCs w:val="28"/>
        </w:rPr>
      </w:pPr>
    </w:p>
    <w:p w14:paraId="7F08CC3F">
      <w:pPr>
        <w:spacing w:line="360" w:lineRule="auto"/>
        <w:ind w:left="-105" w:right="-105" w:firstLine="420" w:firstLineChars="150"/>
        <w:rPr>
          <w:rFonts w:hint="eastAsia" w:ascii="仿宋" w:hAnsi="仿宋" w:eastAsia="仿宋" w:cs="仿宋"/>
          <w:color w:val="000000"/>
          <w:sz w:val="28"/>
          <w:szCs w:val="28"/>
        </w:rPr>
      </w:pPr>
    </w:p>
    <w:p w14:paraId="24FDB644">
      <w:pPr>
        <w:spacing w:line="360" w:lineRule="auto"/>
        <w:ind w:left="-105" w:right="-105" w:firstLine="420" w:firstLineChars="150"/>
        <w:rPr>
          <w:rFonts w:hint="eastAsia" w:ascii="仿宋" w:hAnsi="仿宋" w:eastAsia="仿宋" w:cs="仿宋"/>
          <w:color w:val="000000"/>
          <w:sz w:val="28"/>
          <w:szCs w:val="28"/>
        </w:rPr>
      </w:pPr>
    </w:p>
    <w:p w14:paraId="39FE056A">
      <w:pPr>
        <w:spacing w:line="360" w:lineRule="auto"/>
        <w:ind w:left="-105" w:right="-105" w:firstLine="420" w:firstLineChars="150"/>
        <w:rPr>
          <w:rFonts w:hint="eastAsia" w:ascii="仿宋" w:hAnsi="仿宋" w:eastAsia="仿宋" w:cs="仿宋"/>
          <w:color w:val="000000"/>
          <w:sz w:val="28"/>
          <w:szCs w:val="28"/>
        </w:rPr>
      </w:pPr>
    </w:p>
    <w:p w14:paraId="22226284">
      <w:pPr>
        <w:spacing w:line="360" w:lineRule="auto"/>
        <w:ind w:left="94" w:right="-105" w:hanging="109" w:hangingChars="39"/>
        <w:rPr>
          <w:rFonts w:hint="eastAsia" w:ascii="仿宋" w:hAnsi="仿宋" w:eastAsia="仿宋" w:cs="仿宋"/>
          <w:color w:val="000000"/>
          <w:sz w:val="28"/>
          <w:szCs w:val="28"/>
        </w:rPr>
      </w:pPr>
      <w:r>
        <w:rPr>
          <w:rFonts w:hint="eastAsia" w:ascii="仿宋" w:hAnsi="仿宋" w:eastAsia="仿宋" w:cs="仿宋"/>
          <w:color w:val="000000"/>
          <w:sz w:val="28"/>
          <w:szCs w:val="28"/>
        </w:rPr>
        <w:t>以下空白    以下空白    以下空白    以下空白    以下空白    以下空白</w:t>
      </w:r>
    </w:p>
    <w:p w14:paraId="0EC55FA5">
      <w:pP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005C1616">
      <w:pPr>
        <w:adjustRightInd w:val="0"/>
        <w:snapToGrid w:val="0"/>
        <w:spacing w:line="360" w:lineRule="auto"/>
        <w:jc w:val="center"/>
        <w:outlineLvl w:val="0"/>
        <w:rPr>
          <w:rFonts w:hint="eastAsia" w:ascii="仿宋" w:hAnsi="仿宋" w:eastAsia="仿宋" w:cs="仿宋"/>
          <w:b/>
          <w:bCs/>
          <w:color w:val="auto"/>
          <w:sz w:val="32"/>
          <w:szCs w:val="32"/>
          <w:highlight w:val="none"/>
        </w:rPr>
      </w:pPr>
      <w:bookmarkStart w:id="26" w:name="_Toc29851"/>
      <w:r>
        <w:rPr>
          <w:rFonts w:hint="eastAsia" w:ascii="仿宋" w:hAnsi="仿宋" w:eastAsia="仿宋" w:cs="仿宋"/>
          <w:b/>
          <w:bCs/>
          <w:color w:val="auto"/>
          <w:sz w:val="32"/>
          <w:szCs w:val="32"/>
          <w:highlight w:val="none"/>
        </w:rPr>
        <w:t>第五章  采购需求</w:t>
      </w:r>
      <w:bookmarkEnd w:id="26"/>
    </w:p>
    <w:p w14:paraId="13E8EBCF">
      <w:pPr>
        <w:pStyle w:val="80"/>
        <w:snapToGri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1、本采购需求中中如出现设备品牌（参考品牌）或指向某个品牌，仅作为参考该设备所需达到的具体技术要求，不作为该设备的品牌要求。投标人可以选用替代品牌，但这些替代品牌要实质上满足或超过招标文件的要求。标“★”为实质性参数，其他条款要求为重要参数。</w:t>
      </w:r>
    </w:p>
    <w:p w14:paraId="0C87609E">
      <w:pPr>
        <w:pStyle w:val="80"/>
        <w:snapToGri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本项目为交钥匙工程，产品须满足甲方最终正常使用要求，甲方不再支付额外任何额外费用。项目所需运输费、保险、税费、安装调试费、培训费等一切费用均包含在单台货物或服务（设备）的报价中，不得单列。投标人在填报投标报价明细表（或分项报价表）时上述运输、保险、安装、税费、伴随服务等所有费用须包含在货物（或设备）单价中，不得将运输、保险、安装、税费、伴随服务等相关费用单独填报。</w:t>
      </w:r>
    </w:p>
    <w:p w14:paraId="6B0513FE">
      <w:pPr>
        <w:pStyle w:val="80"/>
        <w:snapToGri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3、如存在某个产品质保期或供货期存在上下表述不一致之处，以有利于采购人的表述为准，即：以质保期时限长的为准、供货期短的为准。</w:t>
      </w:r>
    </w:p>
    <w:p w14:paraId="76BF5F75">
      <w:pPr>
        <w:pStyle w:val="80"/>
        <w:snapToGri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4、投标单位所投产品，虽满足负偏离要求，但综合由于负偏离参数使得所供产品或服务无法满足甲方正常使用要求（满足不了教学科研等任务），可属于甲方不能接受的条件情形，投标单位作无效标处理。</w:t>
      </w:r>
    </w:p>
    <w:p w14:paraId="0FF5935A">
      <w:pPr>
        <w:pStyle w:val="80"/>
        <w:snapToGri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5、投标产品涉及预装操作系统的须预装正版操作系统并提供授权书或投标单位承诺函（承诺产品内预装系统均为正版操作系统），如本包内不涉及预装操作系统的可不提供，但涉及服务器、台式计算机、笔记本、平板电脑等须预装正版操作系统的产品必须提供。</w:t>
      </w:r>
    </w:p>
    <w:p w14:paraId="49E38FB7">
      <w:pPr>
        <w:pStyle w:val="80"/>
        <w:snapToGrid w:val="0"/>
        <w:spacing w:line="360" w:lineRule="auto"/>
        <w:rPr>
          <w:rFonts w:hint="eastAsia" w:ascii="仿宋" w:hAnsi="仿宋" w:eastAsia="仿宋" w:cs="仿宋"/>
          <w:b/>
          <w:bCs/>
          <w:color w:val="auto"/>
          <w:sz w:val="24"/>
          <w:szCs w:val="24"/>
          <w:highlight w:val="none"/>
        </w:rPr>
      </w:pPr>
    </w:p>
    <w:p w14:paraId="4EDE65F9">
      <w:pPr>
        <w:pStyle w:val="21"/>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一、采购需实现的目标，以及为落实政府采购政策需满足的要求：</w:t>
      </w:r>
    </w:p>
    <w:p w14:paraId="6A4360CC">
      <w:pPr>
        <w:pStyle w:val="21"/>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1、采购需实现的目标 </w:t>
      </w:r>
    </w:p>
    <w:p w14:paraId="59952C15">
      <w:pPr>
        <w:pStyle w:val="21"/>
        <w:spacing w:line="360" w:lineRule="auto"/>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投标人应根据招标文件所提出的设备技术规格和服务要求，综合考虑设备的适用性，选择需要最佳性能价格比的设备前来投标。投标人应以技术先进的设备、优良的服务和优惠的价格，充分显示自己的竞争实力。</w:t>
      </w:r>
    </w:p>
    <w:p w14:paraId="6F31B313">
      <w:pPr>
        <w:pStyle w:val="21"/>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2、为落实政府采购政策需满足的要求</w:t>
      </w:r>
    </w:p>
    <w:p w14:paraId="7B2DC91B">
      <w:pPr>
        <w:pStyle w:val="21"/>
        <w:spacing w:line="360" w:lineRule="auto"/>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2.1 促进中小企业发展政策：</w:t>
      </w:r>
      <w:r>
        <w:rPr>
          <w:rFonts w:hint="eastAsia" w:ascii="仿宋" w:hAnsi="仿宋" w:eastAsia="仿宋" w:cs="仿宋"/>
          <w:color w:val="auto"/>
          <w:sz w:val="24"/>
          <w:szCs w:val="24"/>
          <w:highlight w:val="none"/>
        </w:rPr>
        <w:t>根据《政府采购促进中小企业发展管理办法》财库财库〔2020〕46号文件规定，本项目投标人为小型或微型企业且所投产品为小型或微型企业生产的，投标人应出具财库〔2020〕46号文件要求的《中小企业声明函》给予证明，否则评标时不予认可。投标人应对提交的中小企业声明函的真实性负责，提交的中小企业声明函不真实的，应承担相应的法律责任。中标、成交供应商为小型或微型企业的，采购代理机构将随中标结果同时公告其《中小企业声明函》，接受社会监督。</w:t>
      </w:r>
    </w:p>
    <w:p w14:paraId="0431A068">
      <w:pPr>
        <w:pStyle w:val="21"/>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2.2 监狱企业扶持政策：</w:t>
      </w:r>
      <w:r>
        <w:rPr>
          <w:rFonts w:hint="eastAsia" w:ascii="仿宋" w:hAnsi="仿宋" w:eastAsia="仿宋" w:cs="仿宋"/>
          <w:color w:val="auto"/>
          <w:sz w:val="24"/>
          <w:szCs w:val="24"/>
          <w:highlight w:val="none"/>
        </w:rPr>
        <w:t>投标人如为监狱企业将视同为小型或微型企业，且所投产品为监狱企业生产的，应提供由省级以上监狱管理局、戒毒管理局（含新疆生产建设兵团）出具的属于监狱企业的证明文件。投标人应对提交的属于监狱企业的证明文件的真实性负责，提交的监狱企业的证明文件不真实的，应承担相应的法律责任。</w:t>
      </w:r>
    </w:p>
    <w:p w14:paraId="7A5AFE27">
      <w:pPr>
        <w:pStyle w:val="21"/>
        <w:spacing w:line="360" w:lineRule="auto"/>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2.3 促进残疾人就业政府采购政策：</w:t>
      </w:r>
      <w:r>
        <w:rPr>
          <w:rFonts w:hint="eastAsia" w:ascii="仿宋" w:hAnsi="仿宋" w:eastAsia="仿宋" w:cs="仿宋"/>
          <w:color w:val="auto"/>
          <w:sz w:val="24"/>
          <w:szCs w:val="24"/>
          <w:highlight w:val="none"/>
        </w:rPr>
        <w:t>根据《三部门联合发布关于促进残疾人就业政府采购政策的通知》（财库〔2017〕141 号）规定，符合条件的残疾人福利性单位在参加本项目政府采购活动时，投标人应出具《三部门联合发布关于促进残疾人就业政府采购政策的通知》（财库〔2017〕141 号）要求的《残疾人福利性单位声明函》，否则评标时不予认可，投标人应对提交的残疾人福利性单位声明函的真实性承担法律责任。中标、成交供应商为残疾人福利性单位的，采购代理机构将随中标结果同时公告其《残疾人福利性单位声明函》，接受社会监督。残疾人福利性单位视同小型、微型企业。</w:t>
      </w:r>
    </w:p>
    <w:p w14:paraId="263B3E60">
      <w:pPr>
        <w:pStyle w:val="21"/>
        <w:spacing w:line="360" w:lineRule="auto"/>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2.4 鼓励节能政策：</w:t>
      </w:r>
      <w:r>
        <w:rPr>
          <w:rFonts w:hint="eastAsia" w:ascii="仿宋" w:hAnsi="仿宋" w:eastAsia="仿宋" w:cs="仿宋"/>
          <w:color w:val="auto"/>
          <w:sz w:val="24"/>
          <w:szCs w:val="24"/>
          <w:highlight w:val="none"/>
        </w:rPr>
        <w:t>投标人的投标产品属于财政部、发展改革委公布的“节能产品政府采购品目清单”范围的，投标人需提供国家确定的认证机构出具的、处于有效期之内的节能产品认证证书。国家确定的认证机构和节能产品获证产品信息可从市场监管总局组建的节能产品、环境标志产品认证结果信息发布平台或中国政府采购网建立的认证结果信息发布平台链接中查询下载。</w:t>
      </w:r>
    </w:p>
    <w:p w14:paraId="5FB8B03B">
      <w:pPr>
        <w:pStyle w:val="21"/>
        <w:spacing w:line="360" w:lineRule="auto"/>
        <w:jc w:val="both"/>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2.5 鼓励环保政策：</w:t>
      </w:r>
      <w:r>
        <w:rPr>
          <w:rFonts w:hint="eastAsia" w:ascii="仿宋" w:hAnsi="仿宋" w:eastAsia="仿宋" w:cs="仿宋"/>
          <w:color w:val="auto"/>
          <w:sz w:val="24"/>
          <w:szCs w:val="24"/>
          <w:highlight w:val="none"/>
        </w:rPr>
        <w:t>投标人的投标产品属于财政部、生态环境部公布的“环境标志产品政府采购品目清单”范围的，投标人需提供国家确定的认证机构出具的、处于有效期之内的环境标志产品认证证书。国家确定的认证机构和环境标志产品获证产品信息可从市场监管总局组建的节能产品、环境标志产品认证结果信息发布平台或中国政府采购网建立的认证结果信息发布平台链接中查询下载。</w:t>
      </w:r>
    </w:p>
    <w:p w14:paraId="2697AEA7">
      <w:pPr>
        <w:pStyle w:val="21"/>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二、采购标的需执行的国家相关标准、行业标准、地方标准或者其他标准、规范：</w:t>
      </w:r>
    </w:p>
    <w:p w14:paraId="041989FE">
      <w:pPr>
        <w:pStyle w:val="21"/>
        <w:spacing w:line="360" w:lineRule="auto"/>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投标产品及制造商应符合国家有关部门规定的相应技术、计量、节能、安全和环保法规及标准，如国家有关部门对投标产品或其制造商有强制性规定或要求的，投标产品或其制造商必须符合相应规定或要求。</w:t>
      </w:r>
    </w:p>
    <w:p w14:paraId="0269356E">
      <w:pPr>
        <w:pStyle w:val="21"/>
        <w:spacing w:line="360" w:lineRule="auto"/>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投标产品的包装应符合《财政部等三部门联合印发商品包装和快递包装政府采购需求标准（试行）》（财办库〔2020〕123号）的规定。</w:t>
      </w:r>
    </w:p>
    <w:p w14:paraId="6F598EEB">
      <w:pPr>
        <w:pStyle w:val="21"/>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三、采购标的的数量、采购项目交付或者实施的时间和地点及付款方式：</w:t>
      </w:r>
    </w:p>
    <w:p w14:paraId="19DE49EA">
      <w:pPr>
        <w:pStyle w:val="21"/>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 采购标的的数量、质保期限、交货日期</w:t>
      </w:r>
    </w:p>
    <w:p w14:paraId="4D1D51A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标项1</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2188"/>
        <w:gridCol w:w="978"/>
        <w:gridCol w:w="1697"/>
        <w:gridCol w:w="2797"/>
      </w:tblGrid>
      <w:tr w14:paraId="2111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tcBorders>
              <w:top w:val="single" w:color="auto" w:sz="4" w:space="0"/>
              <w:left w:val="single" w:color="auto" w:sz="4" w:space="0"/>
              <w:bottom w:val="single" w:color="auto" w:sz="4" w:space="0"/>
              <w:right w:val="single" w:color="auto" w:sz="4" w:space="0"/>
            </w:tcBorders>
            <w:noWrap w:val="0"/>
            <w:vAlign w:val="center"/>
          </w:tcPr>
          <w:p w14:paraId="230F835E">
            <w:pPr>
              <w:pStyle w:val="81"/>
              <w:spacing w:line="36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1284" w:type="pct"/>
            <w:tcBorders>
              <w:top w:val="single" w:color="auto" w:sz="4" w:space="0"/>
              <w:left w:val="single" w:color="auto" w:sz="4" w:space="0"/>
              <w:bottom w:val="single" w:color="auto" w:sz="4" w:space="0"/>
              <w:right w:val="single" w:color="auto" w:sz="4" w:space="0"/>
            </w:tcBorders>
            <w:noWrap w:val="0"/>
            <w:vAlign w:val="center"/>
          </w:tcPr>
          <w:p w14:paraId="510D2946">
            <w:pPr>
              <w:pStyle w:val="81"/>
              <w:spacing w:line="360" w:lineRule="auto"/>
              <w:jc w:val="center"/>
              <w:rPr>
                <w:rFonts w:hint="eastAsia" w:ascii="仿宋" w:hAnsi="仿宋" w:eastAsia="仿宋" w:cs="仿宋"/>
                <w:sz w:val="24"/>
                <w:szCs w:val="24"/>
              </w:rPr>
            </w:pPr>
            <w:r>
              <w:rPr>
                <w:rFonts w:hint="eastAsia" w:ascii="仿宋" w:hAnsi="仿宋" w:eastAsia="仿宋" w:cs="仿宋"/>
                <w:sz w:val="24"/>
                <w:szCs w:val="24"/>
              </w:rPr>
              <w:t>设备名称</w:t>
            </w:r>
          </w:p>
        </w:tc>
        <w:tc>
          <w:tcPr>
            <w:tcW w:w="574" w:type="pct"/>
            <w:tcBorders>
              <w:top w:val="single" w:color="auto" w:sz="4" w:space="0"/>
              <w:left w:val="single" w:color="auto" w:sz="4" w:space="0"/>
              <w:bottom w:val="single" w:color="auto" w:sz="4" w:space="0"/>
              <w:right w:val="single" w:color="auto" w:sz="4" w:space="0"/>
            </w:tcBorders>
            <w:noWrap w:val="0"/>
            <w:vAlign w:val="center"/>
          </w:tcPr>
          <w:p w14:paraId="784D8109">
            <w:pPr>
              <w:pStyle w:val="81"/>
              <w:spacing w:line="360" w:lineRule="auto"/>
              <w:jc w:val="center"/>
              <w:rPr>
                <w:rFonts w:hint="eastAsia" w:ascii="仿宋" w:hAnsi="仿宋" w:eastAsia="仿宋" w:cs="仿宋"/>
                <w:color w:val="000000"/>
                <w:sz w:val="24"/>
                <w:szCs w:val="24"/>
                <w:lang w:val="en-US" w:eastAsia="zh-CN" w:bidi="ar-SA"/>
              </w:rPr>
            </w:pPr>
            <w:r>
              <w:rPr>
                <w:rFonts w:hint="eastAsia" w:ascii="仿宋" w:hAnsi="仿宋" w:eastAsia="仿宋" w:cs="仿宋"/>
                <w:sz w:val="24"/>
                <w:szCs w:val="24"/>
              </w:rPr>
              <w:t>数量</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439CD805">
            <w:pPr>
              <w:pStyle w:val="81"/>
              <w:spacing w:line="360" w:lineRule="auto"/>
              <w:jc w:val="center"/>
              <w:rPr>
                <w:rFonts w:hint="eastAsia" w:ascii="仿宋" w:hAnsi="仿宋" w:eastAsia="仿宋" w:cs="仿宋"/>
                <w:color w:val="000000"/>
                <w:sz w:val="24"/>
                <w:szCs w:val="24"/>
                <w:lang w:val="en-US" w:eastAsia="zh-CN" w:bidi="ar-SA"/>
              </w:rPr>
            </w:pPr>
            <w:r>
              <w:rPr>
                <w:rFonts w:hint="eastAsia" w:ascii="仿宋" w:hAnsi="仿宋" w:eastAsia="仿宋" w:cs="仿宋"/>
                <w:sz w:val="24"/>
                <w:szCs w:val="24"/>
              </w:rPr>
              <w:t>质保期限</w:t>
            </w:r>
          </w:p>
        </w:tc>
        <w:tc>
          <w:tcPr>
            <w:tcW w:w="1641" w:type="pct"/>
            <w:tcBorders>
              <w:top w:val="single" w:color="auto" w:sz="4" w:space="0"/>
              <w:left w:val="single" w:color="auto" w:sz="4" w:space="0"/>
              <w:bottom w:val="single" w:color="auto" w:sz="4" w:space="0"/>
              <w:right w:val="single" w:color="auto" w:sz="4" w:space="0"/>
            </w:tcBorders>
            <w:noWrap w:val="0"/>
            <w:vAlign w:val="center"/>
          </w:tcPr>
          <w:p w14:paraId="5F5FBCA4">
            <w:pPr>
              <w:pStyle w:val="81"/>
              <w:spacing w:line="360" w:lineRule="auto"/>
              <w:jc w:val="center"/>
              <w:rPr>
                <w:rFonts w:hint="eastAsia" w:ascii="仿宋" w:hAnsi="仿宋" w:eastAsia="仿宋" w:cs="仿宋"/>
                <w:color w:val="000000"/>
                <w:sz w:val="24"/>
                <w:szCs w:val="24"/>
                <w:lang w:val="en-US" w:eastAsia="zh-CN" w:bidi="ar-SA"/>
              </w:rPr>
            </w:pPr>
            <w:r>
              <w:rPr>
                <w:rFonts w:hint="eastAsia" w:ascii="仿宋" w:hAnsi="仿宋" w:eastAsia="仿宋" w:cs="仿宋"/>
                <w:sz w:val="24"/>
                <w:szCs w:val="24"/>
              </w:rPr>
              <w:t>交货日期</w:t>
            </w:r>
          </w:p>
        </w:tc>
      </w:tr>
      <w:tr w14:paraId="589B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tcBorders>
              <w:top w:val="single" w:color="auto" w:sz="4" w:space="0"/>
              <w:left w:val="single" w:color="auto" w:sz="4" w:space="0"/>
              <w:bottom w:val="single" w:color="auto" w:sz="4" w:space="0"/>
              <w:right w:val="single" w:color="auto" w:sz="4" w:space="0"/>
            </w:tcBorders>
            <w:noWrap w:val="0"/>
            <w:vAlign w:val="center"/>
          </w:tcPr>
          <w:p w14:paraId="305C0AB3">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284" w:type="pct"/>
            <w:tcBorders>
              <w:top w:val="single" w:color="auto" w:sz="4" w:space="0"/>
              <w:left w:val="single" w:color="auto" w:sz="4" w:space="0"/>
              <w:bottom w:val="single" w:color="auto" w:sz="4" w:space="0"/>
              <w:right w:val="single" w:color="auto" w:sz="4" w:space="0"/>
            </w:tcBorders>
            <w:noWrap w:val="0"/>
            <w:vAlign w:val="center"/>
          </w:tcPr>
          <w:p w14:paraId="3130065D">
            <w:pPr>
              <w:keepNext w:val="0"/>
              <w:keepLines w:val="0"/>
              <w:widowControl/>
              <w:suppressLineNumbers w:val="0"/>
              <w:spacing w:line="360" w:lineRule="auto"/>
              <w:jc w:val="center"/>
              <w:textAlignment w:val="center"/>
              <w:rPr>
                <w:rFonts w:hint="eastAsia" w:ascii="仿宋" w:hAnsi="仿宋" w:eastAsia="仿宋" w:cs="仿宋"/>
                <w:color w:val="000000"/>
                <w:sz w:val="24"/>
                <w:szCs w:val="24"/>
              </w:rPr>
            </w:pPr>
            <w:r>
              <w:rPr>
                <w:rFonts w:hint="eastAsia" w:ascii="仿宋" w:hAnsi="仿宋" w:eastAsia="仿宋" w:cs="仿宋"/>
                <w:color w:val="000000"/>
                <w:sz w:val="24"/>
                <w:szCs w:val="24"/>
              </w:rPr>
              <w:t>其他信息化设备</w:t>
            </w:r>
          </w:p>
        </w:tc>
        <w:tc>
          <w:tcPr>
            <w:tcW w:w="574" w:type="pct"/>
            <w:tcBorders>
              <w:top w:val="single" w:color="auto" w:sz="4" w:space="0"/>
              <w:left w:val="single" w:color="auto" w:sz="4" w:space="0"/>
              <w:bottom w:val="single" w:color="auto" w:sz="4" w:space="0"/>
              <w:right w:val="single" w:color="auto" w:sz="4" w:space="0"/>
            </w:tcBorders>
            <w:noWrap w:val="0"/>
            <w:vAlign w:val="center"/>
          </w:tcPr>
          <w:p w14:paraId="57F1B966">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仿宋" w:hAnsi="仿宋" w:eastAsia="仿宋" w:cs="仿宋"/>
                <w:color w:val="000000"/>
                <w:sz w:val="24"/>
                <w:szCs w:val="24"/>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套</w:t>
            </w:r>
          </w:p>
        </w:tc>
        <w:tc>
          <w:tcPr>
            <w:tcW w:w="996" w:type="pct"/>
            <w:tcBorders>
              <w:top w:val="single" w:color="auto" w:sz="4" w:space="0"/>
              <w:left w:val="single" w:color="auto" w:sz="4" w:space="0"/>
              <w:bottom w:val="single" w:color="auto" w:sz="4" w:space="0"/>
              <w:right w:val="single" w:color="auto" w:sz="4" w:space="0"/>
            </w:tcBorders>
            <w:noWrap w:val="0"/>
            <w:vAlign w:val="center"/>
          </w:tcPr>
          <w:p w14:paraId="31943385">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仿宋" w:hAnsi="仿宋" w:eastAsia="仿宋" w:cs="仿宋"/>
                <w:color w:val="000000"/>
                <w:sz w:val="24"/>
                <w:szCs w:val="24"/>
                <w:lang w:val="en-US" w:eastAsia="zh-CN"/>
              </w:rPr>
            </w:pPr>
            <w:r>
              <w:rPr>
                <w:rFonts w:hint="eastAsia" w:ascii="宋体" w:hAnsi="宋体" w:cs="宋体"/>
                <w:b w:val="0"/>
                <w:bCs w:val="0"/>
                <w:color w:val="auto"/>
                <w:sz w:val="24"/>
                <w:szCs w:val="24"/>
                <w:highlight w:val="none"/>
                <w:vertAlign w:val="baseline"/>
                <w:lang w:val="en-US" w:eastAsia="zh-CN"/>
              </w:rPr>
              <w:t>3年</w:t>
            </w:r>
          </w:p>
        </w:tc>
        <w:tc>
          <w:tcPr>
            <w:tcW w:w="1641" w:type="pct"/>
            <w:tcBorders>
              <w:top w:val="single" w:color="auto" w:sz="4" w:space="0"/>
              <w:left w:val="single" w:color="auto" w:sz="4" w:space="0"/>
              <w:bottom w:val="single" w:color="auto" w:sz="4" w:space="0"/>
              <w:right w:val="single" w:color="auto" w:sz="4" w:space="0"/>
            </w:tcBorders>
            <w:noWrap w:val="0"/>
            <w:vAlign w:val="center"/>
          </w:tcPr>
          <w:p w14:paraId="6CDAA1F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仿宋" w:hAnsi="仿宋" w:eastAsia="仿宋" w:cs="仿宋"/>
                <w:color w:val="000000"/>
                <w:kern w:val="0"/>
                <w:sz w:val="24"/>
                <w:szCs w:val="24"/>
                <w:lang w:val="en-US" w:eastAsia="zh-CN" w:bidi="ar-SA"/>
              </w:rPr>
            </w:pPr>
            <w:r>
              <w:rPr>
                <w:rFonts w:hint="eastAsia" w:ascii="宋体" w:hAnsi="宋体" w:cs="宋体"/>
                <w:b w:val="0"/>
                <w:bCs w:val="0"/>
                <w:color w:val="auto"/>
                <w:sz w:val="24"/>
                <w:szCs w:val="24"/>
                <w:highlight w:val="none"/>
                <w:vertAlign w:val="baseline"/>
                <w:lang w:val="en-US" w:eastAsia="zh-CN"/>
              </w:rPr>
              <w:t>60天</w:t>
            </w:r>
          </w:p>
        </w:tc>
      </w:tr>
      <w:tr w14:paraId="2EAA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tcBorders>
              <w:top w:val="single" w:color="auto" w:sz="4" w:space="0"/>
              <w:left w:val="single" w:color="auto" w:sz="4" w:space="0"/>
              <w:bottom w:val="single" w:color="auto" w:sz="4" w:space="0"/>
              <w:right w:val="single" w:color="auto" w:sz="4" w:space="0"/>
            </w:tcBorders>
            <w:noWrap w:val="0"/>
            <w:vAlign w:val="center"/>
          </w:tcPr>
          <w:p w14:paraId="67AE5B33">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w:t>
            </w:r>
          </w:p>
        </w:tc>
        <w:tc>
          <w:tcPr>
            <w:tcW w:w="1284" w:type="pct"/>
            <w:tcBorders>
              <w:top w:val="single" w:color="auto" w:sz="4" w:space="0"/>
              <w:left w:val="single" w:color="auto" w:sz="4" w:space="0"/>
              <w:bottom w:val="single" w:color="auto" w:sz="4" w:space="0"/>
              <w:right w:val="single" w:color="auto" w:sz="4" w:space="0"/>
            </w:tcBorders>
            <w:noWrap w:val="0"/>
            <w:vAlign w:val="center"/>
          </w:tcPr>
          <w:p w14:paraId="50DE2A53">
            <w:pPr>
              <w:keepNext w:val="0"/>
              <w:keepLines w:val="0"/>
              <w:widowControl/>
              <w:suppressLineNumbers w:val="0"/>
              <w:spacing w:line="360" w:lineRule="auto"/>
              <w:jc w:val="center"/>
              <w:textAlignment w:val="center"/>
              <w:rPr>
                <w:rFonts w:hint="eastAsia" w:ascii="仿宋" w:hAnsi="仿宋" w:eastAsia="仿宋" w:cs="仿宋"/>
                <w:color w:val="000000"/>
                <w:sz w:val="24"/>
                <w:szCs w:val="24"/>
              </w:rPr>
            </w:pPr>
            <w:r>
              <w:rPr>
                <w:rFonts w:hint="eastAsia" w:ascii="仿宋" w:hAnsi="仿宋" w:eastAsia="仿宋" w:cs="仿宋"/>
                <w:b w:val="0"/>
                <w:bCs w:val="0"/>
                <w:i w:val="0"/>
                <w:iCs w:val="0"/>
                <w:color w:val="000000"/>
                <w:kern w:val="2"/>
                <w:sz w:val="24"/>
                <w:szCs w:val="24"/>
                <w:u w:val="none"/>
                <w:lang w:val="en-US" w:eastAsia="zh-CN" w:bidi="ar"/>
              </w:rPr>
              <w:t>智慧教学设备</w:t>
            </w:r>
          </w:p>
        </w:tc>
        <w:tc>
          <w:tcPr>
            <w:tcW w:w="57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D24103">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rPr>
              <w:t>1套</w:t>
            </w:r>
          </w:p>
        </w:tc>
        <w:tc>
          <w:tcPr>
            <w:tcW w:w="99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9AA461">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仿宋" w:hAnsi="仿宋" w:eastAsia="仿宋" w:cs="仿宋"/>
                <w:color w:val="000000"/>
                <w:kern w:val="2"/>
                <w:sz w:val="24"/>
                <w:szCs w:val="24"/>
                <w:lang w:val="en-US" w:eastAsia="zh-CN" w:bidi="ar-SA"/>
              </w:rPr>
            </w:pPr>
            <w:r>
              <w:rPr>
                <w:rFonts w:hint="eastAsia" w:ascii="宋体" w:hAnsi="宋体" w:cs="宋体"/>
                <w:b w:val="0"/>
                <w:bCs w:val="0"/>
                <w:color w:val="auto"/>
                <w:sz w:val="24"/>
                <w:szCs w:val="24"/>
                <w:highlight w:val="none"/>
                <w:vertAlign w:val="baseline"/>
                <w:lang w:val="en-US" w:eastAsia="zh-CN"/>
              </w:rPr>
              <w:t>3年</w:t>
            </w:r>
          </w:p>
        </w:tc>
        <w:tc>
          <w:tcPr>
            <w:tcW w:w="164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D4DCC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仿宋" w:hAnsi="仿宋" w:eastAsia="仿宋" w:cs="仿宋"/>
                <w:color w:val="000000"/>
                <w:kern w:val="0"/>
                <w:sz w:val="24"/>
                <w:szCs w:val="24"/>
                <w:lang w:val="en-US" w:eastAsia="zh-CN" w:bidi="ar-SA"/>
              </w:rPr>
            </w:pPr>
            <w:r>
              <w:rPr>
                <w:rFonts w:hint="eastAsia" w:ascii="宋体" w:hAnsi="宋体" w:cs="宋体"/>
                <w:b w:val="0"/>
                <w:bCs w:val="0"/>
                <w:color w:val="auto"/>
                <w:sz w:val="24"/>
                <w:szCs w:val="24"/>
                <w:highlight w:val="none"/>
                <w:vertAlign w:val="baseline"/>
                <w:lang w:val="en-US" w:eastAsia="zh-CN"/>
              </w:rPr>
              <w:t>60天</w:t>
            </w:r>
          </w:p>
        </w:tc>
      </w:tr>
      <w:tr w14:paraId="6897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tcBorders>
              <w:top w:val="single" w:color="auto" w:sz="4" w:space="0"/>
              <w:left w:val="single" w:color="auto" w:sz="4" w:space="0"/>
              <w:bottom w:val="single" w:color="auto" w:sz="4" w:space="0"/>
              <w:right w:val="single" w:color="auto" w:sz="4" w:space="0"/>
            </w:tcBorders>
            <w:noWrap w:val="0"/>
            <w:vAlign w:val="center"/>
          </w:tcPr>
          <w:p w14:paraId="2B0BC66F">
            <w:pPr>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w:t>
            </w:r>
          </w:p>
        </w:tc>
        <w:tc>
          <w:tcPr>
            <w:tcW w:w="1284" w:type="pct"/>
            <w:tcBorders>
              <w:top w:val="single" w:color="auto" w:sz="4" w:space="0"/>
              <w:left w:val="single" w:color="auto" w:sz="4" w:space="0"/>
              <w:bottom w:val="single" w:color="auto" w:sz="4" w:space="0"/>
              <w:right w:val="single" w:color="auto" w:sz="4" w:space="0"/>
            </w:tcBorders>
            <w:noWrap w:val="0"/>
            <w:vAlign w:val="center"/>
          </w:tcPr>
          <w:p w14:paraId="79B68372">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kern w:val="2"/>
                <w:sz w:val="24"/>
                <w:szCs w:val="24"/>
                <w:u w:val="none"/>
                <w:lang w:val="en-US" w:eastAsia="zh-CN" w:bidi="ar"/>
              </w:rPr>
            </w:pPr>
            <w:r>
              <w:rPr>
                <w:rFonts w:hint="eastAsia" w:ascii="仿宋" w:hAnsi="仿宋" w:eastAsia="仿宋" w:cs="仿宋"/>
                <w:b w:val="0"/>
                <w:bCs w:val="0"/>
                <w:i w:val="0"/>
                <w:iCs w:val="0"/>
                <w:color w:val="000000"/>
                <w:kern w:val="2"/>
                <w:sz w:val="24"/>
                <w:szCs w:val="24"/>
                <w:u w:val="none"/>
                <w:lang w:val="en-US" w:eastAsia="zh-CN" w:bidi="ar"/>
              </w:rPr>
              <w:t>调频广播发射机</w:t>
            </w:r>
          </w:p>
          <w:p w14:paraId="4B83D949">
            <w:pPr>
              <w:keepNext w:val="0"/>
              <w:keepLines w:val="0"/>
              <w:widowControl/>
              <w:suppressLineNumbers w:val="0"/>
              <w:spacing w:line="360" w:lineRule="auto"/>
              <w:jc w:val="center"/>
              <w:textAlignment w:val="center"/>
              <w:rPr>
                <w:rFonts w:hint="default" w:ascii="仿宋" w:hAnsi="仿宋" w:eastAsia="仿宋" w:cs="仿宋"/>
                <w:b w:val="0"/>
                <w:bCs w:val="0"/>
                <w:i w:val="0"/>
                <w:iCs w:val="0"/>
                <w:color w:val="000000"/>
                <w:kern w:val="2"/>
                <w:sz w:val="24"/>
                <w:szCs w:val="24"/>
                <w:u w:val="none"/>
                <w:lang w:val="en-US" w:eastAsia="zh-CN" w:bidi="ar"/>
              </w:rPr>
            </w:pPr>
            <w:r>
              <w:rPr>
                <w:rFonts w:hint="eastAsia" w:ascii="仿宋" w:hAnsi="仿宋" w:eastAsia="仿宋" w:cs="仿宋"/>
                <w:b w:val="0"/>
                <w:bCs w:val="0"/>
                <w:i w:val="0"/>
                <w:iCs w:val="0"/>
                <w:color w:val="000000"/>
                <w:kern w:val="2"/>
                <w:sz w:val="24"/>
                <w:szCs w:val="24"/>
                <w:u w:val="none"/>
                <w:lang w:val="en-US" w:eastAsia="zh-CN" w:bidi="ar"/>
              </w:rPr>
              <w:t>（核心产品）</w:t>
            </w:r>
          </w:p>
        </w:tc>
        <w:tc>
          <w:tcPr>
            <w:tcW w:w="57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FF4167">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rPr>
              <w:t>2套</w:t>
            </w:r>
          </w:p>
        </w:tc>
        <w:tc>
          <w:tcPr>
            <w:tcW w:w="99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2CEF7C">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仿宋" w:hAnsi="仿宋" w:eastAsia="仿宋" w:cs="仿宋"/>
                <w:color w:val="000000"/>
                <w:kern w:val="2"/>
                <w:sz w:val="24"/>
                <w:szCs w:val="24"/>
                <w:lang w:val="en-US" w:eastAsia="zh-CN" w:bidi="ar-SA"/>
              </w:rPr>
            </w:pPr>
            <w:r>
              <w:rPr>
                <w:rFonts w:hint="eastAsia" w:ascii="宋体" w:hAnsi="宋体" w:cs="宋体"/>
                <w:b w:val="0"/>
                <w:bCs w:val="0"/>
                <w:color w:val="auto"/>
                <w:sz w:val="24"/>
                <w:szCs w:val="24"/>
                <w:highlight w:val="none"/>
                <w:vertAlign w:val="baseline"/>
                <w:lang w:val="en-US" w:eastAsia="zh-CN"/>
              </w:rPr>
              <w:t>3年</w:t>
            </w:r>
          </w:p>
        </w:tc>
        <w:tc>
          <w:tcPr>
            <w:tcW w:w="164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C14B7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仿宋" w:hAnsi="仿宋" w:eastAsia="仿宋" w:cs="仿宋"/>
                <w:color w:val="000000"/>
                <w:kern w:val="0"/>
                <w:sz w:val="24"/>
                <w:szCs w:val="24"/>
                <w:lang w:val="en-US" w:eastAsia="zh-CN" w:bidi="ar-SA"/>
              </w:rPr>
            </w:pPr>
            <w:r>
              <w:rPr>
                <w:rFonts w:hint="eastAsia" w:ascii="宋体" w:hAnsi="宋体" w:cs="宋体"/>
                <w:b w:val="0"/>
                <w:bCs w:val="0"/>
                <w:color w:val="auto"/>
                <w:sz w:val="24"/>
                <w:szCs w:val="24"/>
                <w:highlight w:val="none"/>
                <w:vertAlign w:val="baseline"/>
                <w:lang w:val="en-US" w:eastAsia="zh-CN"/>
              </w:rPr>
              <w:t>60天</w:t>
            </w:r>
          </w:p>
        </w:tc>
      </w:tr>
      <w:tr w14:paraId="0F78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4" w:type="pct"/>
            <w:tcBorders>
              <w:top w:val="single" w:color="auto" w:sz="4" w:space="0"/>
              <w:left w:val="single" w:color="auto" w:sz="4" w:space="0"/>
              <w:bottom w:val="single" w:color="auto" w:sz="4" w:space="0"/>
              <w:right w:val="single" w:color="auto" w:sz="4" w:space="0"/>
            </w:tcBorders>
            <w:noWrap w:val="0"/>
            <w:vAlign w:val="center"/>
          </w:tcPr>
          <w:p w14:paraId="1DDE8884">
            <w:pPr>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w:t>
            </w:r>
          </w:p>
        </w:tc>
        <w:tc>
          <w:tcPr>
            <w:tcW w:w="1284" w:type="pct"/>
            <w:tcBorders>
              <w:top w:val="single" w:color="auto" w:sz="4" w:space="0"/>
              <w:left w:val="single" w:color="auto" w:sz="4" w:space="0"/>
              <w:bottom w:val="single" w:color="auto" w:sz="4" w:space="0"/>
              <w:right w:val="single" w:color="auto" w:sz="4" w:space="0"/>
            </w:tcBorders>
            <w:noWrap w:val="0"/>
            <w:vAlign w:val="center"/>
          </w:tcPr>
          <w:p w14:paraId="6DEB949E">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kern w:val="2"/>
                <w:sz w:val="24"/>
                <w:szCs w:val="24"/>
                <w:u w:val="none"/>
                <w:lang w:val="en-US" w:eastAsia="zh-CN" w:bidi="ar"/>
              </w:rPr>
            </w:pPr>
            <w:r>
              <w:rPr>
                <w:rFonts w:hint="eastAsia" w:ascii="仿宋" w:hAnsi="仿宋" w:eastAsia="仿宋" w:cs="仿宋"/>
                <w:b w:val="0"/>
                <w:bCs w:val="0"/>
                <w:i w:val="0"/>
                <w:iCs w:val="0"/>
                <w:color w:val="000000"/>
                <w:kern w:val="2"/>
                <w:sz w:val="24"/>
                <w:szCs w:val="24"/>
                <w:u w:val="none"/>
                <w:lang w:val="en-US" w:eastAsia="zh-CN" w:bidi="ar"/>
              </w:rPr>
              <w:t>无线听力设备</w:t>
            </w:r>
          </w:p>
        </w:tc>
        <w:tc>
          <w:tcPr>
            <w:tcW w:w="57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C9EA627">
            <w:pPr>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rPr>
              <w:t>1套</w:t>
            </w:r>
          </w:p>
        </w:tc>
        <w:tc>
          <w:tcPr>
            <w:tcW w:w="99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EB2788">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仿宋" w:hAnsi="仿宋" w:eastAsia="仿宋" w:cs="仿宋"/>
                <w:color w:val="000000"/>
                <w:kern w:val="2"/>
                <w:sz w:val="24"/>
                <w:szCs w:val="24"/>
                <w:lang w:val="en-US" w:eastAsia="zh-CN" w:bidi="ar-SA"/>
              </w:rPr>
            </w:pPr>
            <w:r>
              <w:rPr>
                <w:rFonts w:hint="eastAsia" w:ascii="宋体" w:hAnsi="宋体" w:cs="宋体"/>
                <w:b w:val="0"/>
                <w:bCs w:val="0"/>
                <w:color w:val="auto"/>
                <w:sz w:val="24"/>
                <w:szCs w:val="24"/>
                <w:highlight w:val="none"/>
                <w:vertAlign w:val="baseline"/>
                <w:lang w:val="en-US" w:eastAsia="zh-CN"/>
              </w:rPr>
              <w:t>3年</w:t>
            </w:r>
          </w:p>
        </w:tc>
        <w:tc>
          <w:tcPr>
            <w:tcW w:w="164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95379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仿宋" w:hAnsi="仿宋" w:eastAsia="仿宋" w:cs="仿宋"/>
                <w:color w:val="000000"/>
                <w:kern w:val="0"/>
                <w:sz w:val="24"/>
                <w:szCs w:val="24"/>
                <w:lang w:val="en-US" w:eastAsia="zh-CN" w:bidi="ar-SA"/>
              </w:rPr>
            </w:pPr>
            <w:r>
              <w:rPr>
                <w:rFonts w:hint="eastAsia" w:ascii="宋体" w:hAnsi="宋体" w:cs="宋体"/>
                <w:b w:val="0"/>
                <w:bCs w:val="0"/>
                <w:color w:val="auto"/>
                <w:sz w:val="24"/>
                <w:szCs w:val="24"/>
                <w:highlight w:val="none"/>
                <w:vertAlign w:val="baseline"/>
                <w:lang w:val="en-US" w:eastAsia="zh-CN"/>
              </w:rPr>
              <w:t>60天</w:t>
            </w:r>
          </w:p>
        </w:tc>
      </w:tr>
      <w:tr w14:paraId="6797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58" w:type="pct"/>
            <w:gridSpan w:val="4"/>
            <w:tcBorders>
              <w:top w:val="single" w:color="auto" w:sz="4" w:space="0"/>
              <w:left w:val="single" w:color="auto" w:sz="4" w:space="0"/>
              <w:bottom w:val="single" w:color="auto" w:sz="4" w:space="0"/>
              <w:right w:val="single" w:color="auto" w:sz="4" w:space="0"/>
            </w:tcBorders>
            <w:noWrap w:val="0"/>
            <w:vAlign w:val="center"/>
          </w:tcPr>
          <w:p w14:paraId="0C37393A">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宋体" w:hAnsi="宋体" w:cs="宋体"/>
                <w:b w:val="0"/>
                <w:bCs w:val="0"/>
                <w:color w:val="auto"/>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预算金额合计</w:t>
            </w:r>
            <w:r>
              <w:rPr>
                <w:rFonts w:hint="eastAsia" w:ascii="仿宋" w:hAnsi="仿宋" w:eastAsia="仿宋" w:cs="仿宋"/>
                <w:sz w:val="24"/>
                <w:szCs w:val="24"/>
                <w:highlight w:val="none"/>
              </w:rPr>
              <w:t>(万元)</w:t>
            </w:r>
          </w:p>
        </w:tc>
        <w:tc>
          <w:tcPr>
            <w:tcW w:w="164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18C0B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eastAsia"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shd w:val="clear" w:fill="FFFFFF" w:themeFill="background1"/>
                <w:vertAlign w:val="baseline"/>
                <w:lang w:val="en-US" w:eastAsia="zh-CN"/>
              </w:rPr>
              <w:t>191.515</w:t>
            </w:r>
          </w:p>
        </w:tc>
      </w:tr>
    </w:tbl>
    <w:p w14:paraId="6C80FA38">
      <w:pPr>
        <w:pStyle w:val="21"/>
        <w:spacing w:line="360" w:lineRule="auto"/>
        <w:jc w:val="both"/>
        <w:rPr>
          <w:rFonts w:hint="eastAsia" w:ascii="仿宋" w:hAnsi="仿宋" w:eastAsia="仿宋" w:cs="仿宋"/>
          <w:b/>
          <w:bCs/>
          <w:color w:val="auto"/>
          <w:sz w:val="24"/>
          <w:szCs w:val="24"/>
          <w:highlight w:val="none"/>
        </w:rPr>
      </w:pPr>
    </w:p>
    <w:p w14:paraId="2BD58D55">
      <w:pPr>
        <w:pStyle w:val="21"/>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3.2 采购项目交付或者实施的时间和地点</w:t>
      </w:r>
    </w:p>
    <w:p w14:paraId="70A304B8">
      <w:pPr>
        <w:pStyle w:val="21"/>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（1）采购项目（标的）交付的时间：详见“第五章采购需求3.1”</w:t>
      </w:r>
    </w:p>
    <w:p w14:paraId="49CFC10D">
      <w:pPr>
        <w:pStyle w:val="21"/>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（2）采购项目（标的）交付的地点：采购人指定地点</w:t>
      </w:r>
    </w:p>
    <w:p w14:paraId="5E362FF3">
      <w:pPr>
        <w:pStyle w:val="21"/>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3.3 付款方式</w:t>
      </w:r>
    </w:p>
    <w:p w14:paraId="4E1484DA">
      <w:pPr>
        <w:pStyle w:val="82"/>
        <w:snapToGrid w:val="0"/>
        <w:spacing w:line="360" w:lineRule="auto"/>
        <w:rPr>
          <w:rFonts w:hint="eastAsia" w:ascii="仿宋" w:hAnsi="仿宋" w:eastAsia="仿宋" w:cs="仿宋"/>
          <w:bCs/>
          <w:color w:val="auto"/>
          <w:kern w:val="0"/>
          <w:sz w:val="24"/>
          <w:szCs w:val="24"/>
          <w:highlight w:val="none"/>
        </w:rPr>
      </w:pPr>
      <w:r>
        <w:rPr>
          <w:rFonts w:hint="eastAsia" w:ascii="仿宋" w:hAnsi="仿宋" w:eastAsia="仿宋" w:cs="仿宋"/>
          <w:color w:val="auto"/>
          <w:sz w:val="24"/>
          <w:szCs w:val="24"/>
          <w:highlight w:val="none"/>
        </w:rPr>
        <w:t>3.3.1 付款方式：详见第四章政府采购合同</w:t>
      </w:r>
    </w:p>
    <w:p w14:paraId="2D88AA73">
      <w:pPr>
        <w:widowControl/>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3.3.2 报价要求：本项目为交钥匙工程，项目所需合理的运输费、保险、税费、安装调试费、培训费等均包含在单台货物（设备）的报价中，不得单列。投标人在填报投标报价明细表（或分项报价表）时上述运输、保险、安装、税费、伴随服务等相关费用须包含在货物（或设备）单价中，不得将运输、保险、安装、税费、伴随服务等相关费用单独填报。</w:t>
      </w:r>
    </w:p>
    <w:p w14:paraId="2CD4082C">
      <w:pPr>
        <w:pStyle w:val="21"/>
        <w:spacing w:line="360" w:lineRule="auto"/>
        <w:jc w:val="both"/>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四、</w:t>
      </w:r>
      <w:r>
        <w:rPr>
          <w:rFonts w:hint="eastAsia" w:ascii="仿宋" w:hAnsi="仿宋" w:eastAsia="仿宋" w:cs="仿宋"/>
          <w:b w:val="0"/>
          <w:bCs w:val="0"/>
          <w:color w:val="auto"/>
          <w:sz w:val="24"/>
          <w:szCs w:val="24"/>
          <w:highlight w:val="none"/>
        </w:rPr>
        <w:t>详细技术参数</w:t>
      </w:r>
    </w:p>
    <w:p w14:paraId="1BE50F78">
      <w:pPr>
        <w:pStyle w:val="2"/>
        <w:bidi w:val="0"/>
      </w:pPr>
      <w:r>
        <w:rPr>
          <w:rFonts w:hint="eastAsia"/>
          <w:sz w:val="24"/>
          <w:szCs w:val="24"/>
          <w:highlight w:val="none"/>
          <w:lang w:eastAsia="zh-CN"/>
        </w:rPr>
        <w:t>一、一般规定</w:t>
      </w:r>
    </w:p>
    <w:p w14:paraId="3FDB8F33">
      <w:pPr>
        <w:bidi w:val="0"/>
        <w:rPr>
          <w:rFonts w:hint="eastAsia"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本技术规范书中所有条款解释权属招标方所有。</w:t>
      </w:r>
    </w:p>
    <w:p w14:paraId="4EA6B25E">
      <w:pPr>
        <w:bidi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本项目为交钥匙工程，产品须满足采购方最终正常使用要求。项目所需运输费、保险费、税费、安装调试费、培训费等一切费用均包含在单台货物或服务（设备）的报价中，不得单列。投标人在填报投标报价明细表（或分项报价表）时上述运输、保险、安装、税费、伴随服务等所有费用须包含在货物（或设备）单价中，不得将运输、保险、安装、税费、伴随服务等相关费用单独填报。</w:t>
      </w:r>
    </w:p>
    <w:p w14:paraId="1AA4FFC3">
      <w:pPr>
        <w:bidi w:val="0"/>
        <w:rPr>
          <w:rFonts w:hint="eastAsia"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eastAsia="zh-CN"/>
        </w:rPr>
        <w:t>投标人应提供已注册品牌制造商原装、全新的、符合国家质量标准及采购方要求的设备。所有设备送至采购方指定地点，到货后，投标人即派出安装调试人员免费安装并调试，能确保设备在正常使用过程中安全、可靠，并达到有关规定的要求。</w:t>
      </w:r>
    </w:p>
    <w:p w14:paraId="056D226A">
      <w:pPr>
        <w:bidi w:val="0"/>
        <w:rPr>
          <w:rFonts w:hint="eastAsia"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eastAsia="zh-CN"/>
        </w:rPr>
        <w:t>投标人应对采购方需求书中的货物要求和技术指标在响应详细内容中列出具体数值或明确承诺，如果投标人只注明“正偏离”或“无偏离”，将被视为 “负偏离”。</w:t>
      </w:r>
      <w:r>
        <w:rPr>
          <w:rFonts w:hint="eastAsia" w:ascii="宋体" w:hAnsi="宋体" w:eastAsia="宋体" w:cs="宋体"/>
          <w:color w:val="auto"/>
          <w:sz w:val="24"/>
          <w:szCs w:val="24"/>
          <w:highlight w:val="none"/>
          <w:lang w:val="en-US"/>
        </w:rPr>
        <w:t xml:space="preserve"> </w:t>
      </w:r>
    </w:p>
    <w:p w14:paraId="1126B4A9">
      <w:pPr>
        <w:bidi w:val="0"/>
        <w:rPr>
          <w:rFonts w:hint="eastAsia"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eastAsia="zh-CN"/>
        </w:rPr>
        <w:t>不允许中标人转包、分包项目内容，如发现转包、分包，采购方有权终止合同，所造成的损失由中标人负责。</w:t>
      </w:r>
      <w:r>
        <w:rPr>
          <w:rFonts w:hint="eastAsia" w:ascii="宋体" w:hAnsi="宋体" w:eastAsia="宋体" w:cs="宋体"/>
          <w:color w:val="auto"/>
          <w:sz w:val="24"/>
          <w:szCs w:val="24"/>
          <w:highlight w:val="none"/>
          <w:lang w:val="en-US"/>
        </w:rPr>
        <w:t xml:space="preserve"> </w:t>
      </w:r>
    </w:p>
    <w:p w14:paraId="60D10EF0">
      <w:pPr>
        <w:bidi w:val="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eastAsia="zh-CN"/>
        </w:rPr>
        <w:t>投标</w:t>
      </w:r>
      <w:r>
        <w:rPr>
          <w:rFonts w:hint="eastAsia" w:ascii="宋体" w:hAnsi="宋体" w:cs="宋体"/>
          <w:color w:val="auto"/>
          <w:sz w:val="24"/>
          <w:szCs w:val="24"/>
          <w:highlight w:val="none"/>
          <w:lang w:val="en-US" w:eastAsia="zh-CN"/>
        </w:rPr>
        <w:t>人</w:t>
      </w:r>
      <w:r>
        <w:rPr>
          <w:rFonts w:hint="eastAsia" w:ascii="宋体" w:hAnsi="宋体" w:eastAsia="宋体" w:cs="宋体"/>
          <w:color w:val="auto"/>
          <w:sz w:val="24"/>
          <w:szCs w:val="24"/>
          <w:highlight w:val="none"/>
          <w:lang w:eastAsia="zh-CN"/>
        </w:rPr>
        <w:t>有责任对所投产品的功能、性能等各项指标进行甄别，投标时须出具加盖投标人公章的承诺书，承诺本次报价所有文件响应均为真实的，所提供的各种证明材料也是真实的，如有虚假，采购方将拒绝验收并追究虚假应标、合同违约及违反采购法的相关责任。为确保所有产品功能响应的真实性，中标后，投标人按采购方要求的时间、位置搭建测试环境，依据产品功能要求进行功能性完整测试，若发现所投产品不符合招标要求的，视为虚假应标，做废标处理。期间所发生的所有费用由中标方自行承担，采购方有权追究其法律责任，并上报信用中国。</w:t>
      </w:r>
    </w:p>
    <w:p w14:paraId="0F30A865">
      <w:pPr>
        <w:bidi w:val="0"/>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eastAsia="zh-CN"/>
        </w:rPr>
        <w:t>.本规范未尽事宜，由</w:t>
      </w:r>
      <w:r>
        <w:rPr>
          <w:rFonts w:hint="eastAsia" w:ascii="宋体" w:hAnsi="宋体" w:cs="宋体"/>
          <w:b w:val="0"/>
          <w:bCs w:val="0"/>
          <w:color w:val="auto"/>
          <w:sz w:val="24"/>
          <w:szCs w:val="24"/>
          <w:highlight w:val="none"/>
          <w:lang w:val="en-US" w:eastAsia="zh-CN"/>
        </w:rPr>
        <w:t>采购方</w:t>
      </w:r>
      <w:r>
        <w:rPr>
          <w:rFonts w:hint="eastAsia" w:ascii="宋体" w:hAnsi="宋体" w:eastAsia="宋体" w:cs="宋体"/>
          <w:b w:val="0"/>
          <w:bCs w:val="0"/>
          <w:color w:val="auto"/>
          <w:sz w:val="24"/>
          <w:szCs w:val="24"/>
          <w:highlight w:val="none"/>
          <w:lang w:val="en-US" w:eastAsia="zh-CN"/>
        </w:rPr>
        <w:t>和</w:t>
      </w:r>
      <w:r>
        <w:rPr>
          <w:rFonts w:hint="eastAsia" w:ascii="宋体" w:hAnsi="宋体" w:cs="宋体"/>
          <w:b w:val="0"/>
          <w:bCs w:val="0"/>
          <w:color w:val="auto"/>
          <w:sz w:val="24"/>
          <w:szCs w:val="24"/>
          <w:highlight w:val="none"/>
          <w:lang w:val="en-US" w:eastAsia="zh-CN"/>
        </w:rPr>
        <w:t>中标方</w:t>
      </w:r>
      <w:r>
        <w:rPr>
          <w:rFonts w:hint="eastAsia" w:ascii="宋体" w:hAnsi="宋体" w:eastAsia="宋体" w:cs="宋体"/>
          <w:b w:val="0"/>
          <w:bCs w:val="0"/>
          <w:color w:val="auto"/>
          <w:sz w:val="24"/>
          <w:szCs w:val="24"/>
          <w:highlight w:val="none"/>
          <w:lang w:val="en-US" w:eastAsia="zh-CN"/>
        </w:rPr>
        <w:t>在合同技术谈判时双方协商确定。</w:t>
      </w:r>
    </w:p>
    <w:p w14:paraId="6CE9F307">
      <w:pPr>
        <w:bidi w:val="0"/>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eastAsia="zh-CN"/>
        </w:rPr>
        <w:t>.供应方应仔细阅读并充分理解本规范的所有内容，并对本《技术规范》 逐条进行提供点对点应答；中标后作为签订《技术协议》的依据，由甲、乙双 方确认后，作为《采购合同》的附件，《采购合同》与《技术协议》一并签署， 具有同等的法律效力。</w:t>
      </w:r>
    </w:p>
    <w:p w14:paraId="732025B2">
      <w:pPr>
        <w:bidi w:val="0"/>
        <w:rPr>
          <w:rFonts w:hint="eastAsia"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投标单位所投产品，所供产品或服务无法满足</w:t>
      </w:r>
      <w:r>
        <w:rPr>
          <w:rFonts w:hint="eastAsia" w:ascii="宋体" w:hAnsi="宋体" w:cs="宋体"/>
          <w:color w:val="auto"/>
          <w:sz w:val="24"/>
          <w:szCs w:val="24"/>
          <w:highlight w:val="none"/>
          <w:lang w:eastAsia="zh-CN"/>
        </w:rPr>
        <w:t>采购方</w:t>
      </w:r>
      <w:r>
        <w:rPr>
          <w:rFonts w:hint="eastAsia" w:ascii="宋体" w:hAnsi="宋体" w:eastAsia="宋体" w:cs="宋体"/>
          <w:color w:val="auto"/>
          <w:sz w:val="24"/>
          <w:szCs w:val="24"/>
          <w:highlight w:val="none"/>
          <w:lang w:eastAsia="zh-CN"/>
        </w:rPr>
        <w:t>正常使用要求（满足不了教学科研等任务），可属于</w:t>
      </w:r>
      <w:r>
        <w:rPr>
          <w:rFonts w:hint="eastAsia" w:ascii="宋体" w:hAnsi="宋体" w:cs="宋体"/>
          <w:color w:val="auto"/>
          <w:sz w:val="24"/>
          <w:szCs w:val="24"/>
          <w:highlight w:val="none"/>
          <w:lang w:eastAsia="zh-CN"/>
        </w:rPr>
        <w:t>采购方</w:t>
      </w:r>
      <w:r>
        <w:rPr>
          <w:rFonts w:hint="eastAsia" w:ascii="宋体" w:hAnsi="宋体" w:eastAsia="宋体" w:cs="宋体"/>
          <w:color w:val="auto"/>
          <w:sz w:val="24"/>
          <w:szCs w:val="24"/>
          <w:highlight w:val="none"/>
          <w:lang w:eastAsia="zh-CN"/>
        </w:rPr>
        <w:t>不能接受的条件情形，投标单位作无效标处理。</w:t>
      </w:r>
    </w:p>
    <w:p w14:paraId="500C005B">
      <w:pPr>
        <w:bidi w:val="0"/>
        <w:outlineLvl w:val="9"/>
        <w:rPr>
          <w:rFonts w:hint="eastAsia"/>
          <w:sz w:val="24"/>
          <w:szCs w:val="24"/>
          <w:highlight w:val="none"/>
          <w:lang w:eastAsia="zh-CN"/>
        </w:rPr>
      </w:pPr>
    </w:p>
    <w:p w14:paraId="3F2B89B0">
      <w:pPr>
        <w:pStyle w:val="2"/>
        <w:bidi w:val="0"/>
        <w:rPr>
          <w:rFonts w:hint="eastAsia"/>
          <w:sz w:val="24"/>
          <w:szCs w:val="24"/>
          <w:highlight w:val="none"/>
          <w:lang w:val="en-US"/>
        </w:rPr>
      </w:pPr>
      <w:r>
        <w:rPr>
          <w:rFonts w:hint="eastAsia"/>
          <w:sz w:val="24"/>
          <w:szCs w:val="24"/>
          <w:highlight w:val="none"/>
          <w:lang w:eastAsia="zh-CN"/>
        </w:rPr>
        <w:t>二、商务条款</w:t>
      </w:r>
    </w:p>
    <w:p w14:paraId="46F38C8A">
      <w:pPr>
        <w:pStyle w:val="3"/>
        <w:bidi w:val="0"/>
        <w:rPr>
          <w:rFonts w:hint="eastAsia"/>
          <w:sz w:val="24"/>
          <w:szCs w:val="24"/>
          <w:highlight w:val="none"/>
          <w:lang w:val="en-US"/>
        </w:rPr>
      </w:pPr>
      <w:r>
        <w:rPr>
          <w:rFonts w:hint="eastAsia"/>
          <w:sz w:val="24"/>
          <w:szCs w:val="24"/>
          <w:highlight w:val="none"/>
          <w:lang w:val="en-US" w:eastAsia="zh-CN"/>
        </w:rPr>
        <w:t>（一）质保期、交付期、交付方式及交付地点</w:t>
      </w:r>
    </w:p>
    <w:p w14:paraId="130546A9">
      <w:pPr>
        <w:bidi w:val="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1.质保期</w:t>
      </w:r>
    </w:p>
    <w:p w14:paraId="3207968A">
      <w:pPr>
        <w:bidi w:val="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质保期自通过采购方验收合格之日起提供</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年质保。</w:t>
      </w:r>
    </w:p>
    <w:p w14:paraId="615CFA5F">
      <w:pPr>
        <w:bidi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2.交付期、交付方式及交付地点</w:t>
      </w:r>
    </w:p>
    <w:p w14:paraId="2C715F67">
      <w:pPr>
        <w:bidi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按照采购方要求签订合同后</w:t>
      </w:r>
      <w:r>
        <w:rPr>
          <w:rFonts w:hint="eastAsia" w:ascii="宋体" w:hAnsi="宋体" w:eastAsia="宋体" w:cs="宋体"/>
          <w:sz w:val="24"/>
          <w:szCs w:val="24"/>
          <w:highlight w:val="none"/>
          <w:lang w:val="en-US" w:eastAsia="zh-CN"/>
        </w:rPr>
        <w:t>60</w:t>
      </w:r>
      <w:r>
        <w:rPr>
          <w:rFonts w:hint="eastAsia" w:ascii="宋体" w:hAnsi="宋体" w:eastAsia="宋体" w:cs="宋体"/>
          <w:sz w:val="24"/>
          <w:szCs w:val="24"/>
          <w:highlight w:val="none"/>
          <w:lang w:eastAsia="zh-CN"/>
        </w:rPr>
        <w:t>个</w:t>
      </w:r>
      <w:r>
        <w:rPr>
          <w:rFonts w:hint="eastAsia" w:ascii="宋体" w:hAnsi="宋体" w:eastAsia="宋体" w:cs="宋体"/>
          <w:sz w:val="24"/>
          <w:szCs w:val="24"/>
          <w:highlight w:val="none"/>
          <w:lang w:val="en-US" w:eastAsia="zh-CN"/>
        </w:rPr>
        <w:t>工作日</w:t>
      </w:r>
      <w:r>
        <w:rPr>
          <w:rFonts w:hint="eastAsia" w:ascii="宋体" w:hAnsi="宋体" w:eastAsia="宋体" w:cs="宋体"/>
          <w:sz w:val="24"/>
          <w:szCs w:val="24"/>
          <w:highlight w:val="none"/>
          <w:lang w:eastAsia="zh-CN"/>
        </w:rPr>
        <w:t>保证所有</w:t>
      </w:r>
      <w:r>
        <w:rPr>
          <w:rFonts w:hint="eastAsia" w:ascii="宋体" w:hAnsi="宋体" w:eastAsia="宋体" w:cs="宋体"/>
          <w:sz w:val="24"/>
          <w:szCs w:val="24"/>
          <w:highlight w:val="none"/>
          <w:lang w:val="en-US" w:eastAsia="zh-CN"/>
        </w:rPr>
        <w:t>软硬件</w:t>
      </w:r>
      <w:r>
        <w:rPr>
          <w:rFonts w:hint="eastAsia" w:ascii="宋体" w:hAnsi="宋体" w:eastAsia="宋体" w:cs="宋体"/>
          <w:sz w:val="24"/>
          <w:szCs w:val="24"/>
          <w:highlight w:val="none"/>
          <w:lang w:eastAsia="zh-CN"/>
        </w:rPr>
        <w:t>上线运行，其中合同签订后</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lang w:eastAsia="zh-CN"/>
        </w:rPr>
        <w:t>个</w:t>
      </w:r>
      <w:r>
        <w:rPr>
          <w:rFonts w:hint="eastAsia" w:ascii="宋体" w:hAnsi="宋体" w:eastAsia="宋体" w:cs="宋体"/>
          <w:sz w:val="24"/>
          <w:szCs w:val="24"/>
          <w:highlight w:val="none"/>
          <w:lang w:val="en-US" w:eastAsia="zh-CN"/>
        </w:rPr>
        <w:t>工作日</w:t>
      </w:r>
      <w:r>
        <w:rPr>
          <w:rFonts w:hint="eastAsia" w:ascii="宋体" w:hAnsi="宋体" w:eastAsia="宋体" w:cs="宋体"/>
          <w:sz w:val="24"/>
          <w:szCs w:val="24"/>
          <w:highlight w:val="none"/>
          <w:lang w:eastAsia="zh-CN"/>
        </w:rPr>
        <w:t>内将设备运至采购方指定收货地址。中标方必须保证项目现场实施人员到场，合同签订时中标方提供详细的实施计划、</w:t>
      </w:r>
      <w:r>
        <w:rPr>
          <w:rFonts w:hint="eastAsia" w:ascii="宋体" w:hAnsi="宋体" w:cs="宋体"/>
          <w:sz w:val="24"/>
          <w:szCs w:val="24"/>
          <w:highlight w:val="none"/>
          <w:lang w:val="en-US" w:eastAsia="zh-CN"/>
        </w:rPr>
        <w:t>平台对接方案、</w:t>
      </w:r>
      <w:r>
        <w:rPr>
          <w:rFonts w:hint="eastAsia" w:ascii="宋体" w:hAnsi="宋体" w:eastAsia="宋体" w:cs="宋体"/>
          <w:sz w:val="24"/>
          <w:szCs w:val="24"/>
          <w:highlight w:val="none"/>
          <w:lang w:eastAsia="zh-CN"/>
        </w:rPr>
        <w:t>人员清单和进度安排，作为合同《技术规范书》的内容条款的组成部分。中标方根据项目进度完成项目实施整体规划、硬件、软件安装部署、调试上线、</w:t>
      </w:r>
      <w:r>
        <w:rPr>
          <w:rFonts w:hint="eastAsia" w:ascii="宋体" w:hAnsi="宋体" w:eastAsia="宋体" w:cs="宋体"/>
          <w:sz w:val="24"/>
          <w:szCs w:val="24"/>
          <w:highlight w:val="none"/>
          <w:lang w:val="en-US" w:eastAsia="zh-CN"/>
        </w:rPr>
        <w:t>系统对接</w:t>
      </w:r>
      <w:r>
        <w:rPr>
          <w:rFonts w:hint="eastAsia" w:ascii="宋体" w:hAnsi="宋体" w:eastAsia="宋体" w:cs="宋体"/>
          <w:sz w:val="24"/>
          <w:szCs w:val="24"/>
          <w:highlight w:val="none"/>
          <w:lang w:eastAsia="zh-CN"/>
        </w:rPr>
        <w:t>等工作。</w:t>
      </w:r>
    </w:p>
    <w:p w14:paraId="4E7D3FF0">
      <w:pPr>
        <w:bidi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交付地点：新疆大学</w:t>
      </w:r>
    </w:p>
    <w:p w14:paraId="6E6869F7">
      <w:pPr>
        <w:bidi w:val="0"/>
        <w:rPr>
          <w:rFonts w:hint="eastAsia" w:ascii="Arial" w:hAnsi="Arial" w:eastAsia="黑体" w:cs="Arial"/>
          <w:b/>
          <w:bCs/>
          <w:sz w:val="24"/>
          <w:szCs w:val="24"/>
          <w:highlight w:val="none"/>
          <w:lang w:val="en-US" w:eastAsia="zh-CN"/>
        </w:rPr>
      </w:pPr>
      <w:r>
        <w:rPr>
          <w:rFonts w:hint="eastAsia" w:ascii="Arial" w:hAnsi="Arial" w:eastAsia="黑体" w:cs="Arial"/>
          <w:b/>
          <w:bCs/>
          <w:sz w:val="24"/>
          <w:szCs w:val="24"/>
          <w:highlight w:val="none"/>
          <w:lang w:val="en-US" w:eastAsia="zh-CN"/>
        </w:rPr>
        <w:t>（二）.支付方式</w:t>
      </w:r>
    </w:p>
    <w:p w14:paraId="047A0B67">
      <w:pPr>
        <w:bidi w:val="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合同生效之日起30个工作日之内，乙方将项目清单中所有规定的硬件分批次到货，货物到达甲方指定地点后，甲方与乙方共同对货物进行清点、核对和检验，甲、乙双方签署出具《货物检验报告》，甲方收到乙方开具的含税发票后，在30个工作日内向乙方支付合同总额的</w:t>
      </w:r>
      <w:r>
        <w:rPr>
          <w:rFonts w:hint="eastAsia" w:ascii="宋体" w:hAnsi="宋体" w:cs="宋体"/>
          <w:sz w:val="24"/>
          <w:szCs w:val="24"/>
          <w:highlight w:val="none"/>
          <w:lang w:val="en-US" w:eastAsia="zh-CN"/>
        </w:rPr>
        <w:t>40</w:t>
      </w:r>
      <w:r>
        <w:rPr>
          <w:rFonts w:hint="eastAsia" w:ascii="宋体" w:hAnsi="宋体" w:eastAsia="宋体" w:cs="宋体"/>
          <w:sz w:val="24"/>
          <w:szCs w:val="24"/>
          <w:highlight w:val="none"/>
          <w:lang w:eastAsia="zh-CN"/>
        </w:rPr>
        <w:t>%，即人民币       元整，（小写：¥   元）。</w:t>
      </w:r>
    </w:p>
    <w:p w14:paraId="69F0AA51">
      <w:pPr>
        <w:bidi w:val="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项目所有内容建设完成，系统上线并试运行合格符合验收标准后，乙方以书面形式向甲方申请竣工验收，甲方在收到乙方验收申请后对项目进行竣工验收。甲方确认项目系统及设备运转正常、验收合格后，在30个工作日内，甲方支付项目总额的</w:t>
      </w:r>
      <w:r>
        <w:rPr>
          <w:rFonts w:hint="eastAsia" w:ascii="宋体" w:hAnsi="宋体" w:cs="宋体"/>
          <w:sz w:val="24"/>
          <w:szCs w:val="24"/>
          <w:highlight w:val="none"/>
          <w:lang w:val="en-US" w:eastAsia="zh-CN"/>
        </w:rPr>
        <w:t>55</w:t>
      </w:r>
      <w:r>
        <w:rPr>
          <w:rFonts w:hint="eastAsia" w:ascii="宋体" w:hAnsi="宋体" w:eastAsia="宋体" w:cs="宋体"/>
          <w:sz w:val="24"/>
          <w:szCs w:val="24"/>
          <w:highlight w:val="none"/>
          <w:lang w:eastAsia="zh-CN"/>
        </w:rPr>
        <w:t>%，即人民币       元整，（小写：¥    元）。</w:t>
      </w:r>
    </w:p>
    <w:p w14:paraId="21EBB91C">
      <w:pPr>
        <w:bidi w:val="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本合同总金额剩余（含税）的</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eastAsia="zh-CN"/>
        </w:rPr>
        <w:t>%，在项目通过竣工验收满3年后，在30个工作日内向乙方支付项目总额的</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eastAsia="zh-CN"/>
        </w:rPr>
        <w:t>%，即人民币       元整，（小写：¥   元）</w:t>
      </w:r>
    </w:p>
    <w:p w14:paraId="08B9FCC9">
      <w:pPr>
        <w:bidi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关于付款的特别说明：中标后中标单位在首次申请预付款支付时，应开具预付款</w:t>
      </w:r>
      <w:r>
        <w:rPr>
          <w:rFonts w:hint="eastAsia" w:ascii="宋体" w:hAnsi="宋体" w:eastAsia="宋体" w:cs="宋体"/>
          <w:sz w:val="24"/>
          <w:szCs w:val="24"/>
          <w:highlight w:val="none"/>
          <w:lang w:val="en-US" w:eastAsia="zh-CN"/>
        </w:rPr>
        <w:t>（发票）</w:t>
      </w:r>
      <w:r>
        <w:rPr>
          <w:rFonts w:hint="eastAsia" w:ascii="宋体" w:hAnsi="宋体" w:eastAsia="宋体" w:cs="宋体"/>
          <w:sz w:val="24"/>
          <w:szCs w:val="24"/>
          <w:highlight w:val="none"/>
          <w:lang w:eastAsia="zh-CN"/>
        </w:rPr>
        <w:t>，具体以新疆大学要求为准。</w:t>
      </w:r>
    </w:p>
    <w:p w14:paraId="782F7D37">
      <w:pPr>
        <w:bidi w:val="0"/>
        <w:rPr>
          <w:rFonts w:hint="eastAsia" w:ascii="宋体" w:hAnsi="宋体" w:eastAsia="宋体" w:cs="宋体"/>
          <w:sz w:val="24"/>
          <w:szCs w:val="24"/>
          <w:highlight w:val="none"/>
          <w:lang w:val="en-US"/>
        </w:rPr>
      </w:pPr>
    </w:p>
    <w:p w14:paraId="5EC622FE">
      <w:pPr>
        <w:pStyle w:val="3"/>
        <w:bidi w:val="0"/>
        <w:rPr>
          <w:rFonts w:hint="eastAsia"/>
          <w:highlight w:val="none"/>
          <w:lang w:val="en-US"/>
        </w:rPr>
      </w:pPr>
      <w:r>
        <w:rPr>
          <w:rFonts w:hint="eastAsia"/>
          <w:sz w:val="24"/>
          <w:szCs w:val="24"/>
          <w:highlight w:val="none"/>
          <w:lang w:val="en-US" w:eastAsia="zh-CN"/>
        </w:rPr>
        <w:t>（三）安装部署、系统调试、验收要求</w:t>
      </w:r>
    </w:p>
    <w:p w14:paraId="4D0DDAD0">
      <w:pPr>
        <w:bidi w:val="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w:t>
      </w:r>
      <w:r>
        <w:rPr>
          <w:rFonts w:hint="eastAsia" w:ascii="宋体" w:hAnsi="宋体" w:eastAsia="宋体" w:cs="宋体"/>
          <w:sz w:val="24"/>
          <w:szCs w:val="24"/>
          <w:highlight w:val="none"/>
          <w:lang w:val="en-US" w:eastAsia="zh-CN"/>
        </w:rPr>
        <w:t>项目的安装部署、系统调试工作由中标方负责，采购方配合。</w:t>
      </w:r>
      <w:r>
        <w:rPr>
          <w:rFonts w:hint="eastAsia" w:ascii="宋体" w:hAnsi="宋体" w:eastAsia="宋体" w:cs="宋体"/>
          <w:sz w:val="24"/>
          <w:szCs w:val="24"/>
          <w:highlight w:val="none"/>
          <w:lang w:val="en-US"/>
        </w:rPr>
        <w:t xml:space="preserve"> </w:t>
      </w:r>
    </w:p>
    <w:p w14:paraId="7628C48E">
      <w:pPr>
        <w:bidi w:val="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2.</w:t>
      </w:r>
      <w:r>
        <w:rPr>
          <w:rFonts w:hint="eastAsia" w:ascii="宋体" w:hAnsi="宋体" w:eastAsia="宋体" w:cs="宋体"/>
          <w:sz w:val="24"/>
          <w:szCs w:val="24"/>
          <w:highlight w:val="none"/>
          <w:lang w:val="en-US" w:eastAsia="zh-CN"/>
        </w:rPr>
        <w:t>项目的验收根据采购方要求的标准、规程规范进行。</w:t>
      </w:r>
      <w:r>
        <w:rPr>
          <w:rFonts w:hint="eastAsia" w:ascii="宋体" w:hAnsi="宋体" w:eastAsia="宋体" w:cs="宋体"/>
          <w:sz w:val="24"/>
          <w:szCs w:val="24"/>
          <w:highlight w:val="none"/>
          <w:lang w:val="en-US"/>
        </w:rPr>
        <w:t xml:space="preserve"> </w:t>
      </w:r>
    </w:p>
    <w:p w14:paraId="0169EE9B">
      <w:pPr>
        <w:bidi w:val="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3.</w:t>
      </w:r>
      <w:r>
        <w:rPr>
          <w:rFonts w:hint="eastAsia" w:ascii="宋体" w:hAnsi="宋体" w:eastAsia="宋体" w:cs="宋体"/>
          <w:sz w:val="24"/>
          <w:szCs w:val="24"/>
          <w:highlight w:val="none"/>
          <w:lang w:val="en-US" w:eastAsia="zh-CN"/>
        </w:rPr>
        <w:t>项目安装部署、系统调试等工作内容查验合格，项目提供的所有产品均已提供合同要求的授权和许可，经双方一致同意后方可进行验收。</w:t>
      </w:r>
      <w:r>
        <w:rPr>
          <w:rFonts w:hint="eastAsia" w:ascii="宋体" w:hAnsi="宋体" w:eastAsia="宋体" w:cs="宋体"/>
          <w:sz w:val="24"/>
          <w:szCs w:val="24"/>
          <w:highlight w:val="none"/>
          <w:lang w:val="en-US"/>
        </w:rPr>
        <w:t xml:space="preserve"> </w:t>
      </w:r>
    </w:p>
    <w:p w14:paraId="2B5860AF">
      <w:pPr>
        <w:bidi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rPr>
        <w:t>4.</w:t>
      </w:r>
      <w:r>
        <w:rPr>
          <w:rFonts w:hint="eastAsia" w:ascii="宋体" w:hAnsi="宋体" w:eastAsia="宋体" w:cs="宋体"/>
          <w:sz w:val="24"/>
          <w:szCs w:val="24"/>
          <w:highlight w:val="none"/>
          <w:lang w:val="en-US" w:eastAsia="zh-CN"/>
        </w:rPr>
        <w:t>项目安装部署、系统调试及维保期内发现技术指标一项或多项不能满足合同技术部分要求，双方共同分析原因，分清责任，如属中标方的原因，或涉及索赔部分，按招标或合同有关条款执行。</w:t>
      </w:r>
    </w:p>
    <w:p w14:paraId="275C5A11">
      <w:pPr>
        <w:bidi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5.设备安装、调试和性能试验合格后方可投入试运行。试运行后买卖双方应签署合同设备的验收证明书(试运行时间在合同谈判中商定)。该证明书共两份，双方各执一份。</w:t>
      </w:r>
    </w:p>
    <w:p w14:paraId="6546CEB4">
      <w:pPr>
        <w:bidi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6.项目实施完毕并通过初验后，由</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eastAsia="zh-CN"/>
        </w:rPr>
        <w:t>提出申请，</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同意后进入试运行期(试运行时间30天)，试运行期间系统运行无故障的，试运行期满后可安排进行验收；期间如发生故障，试运行期中断，自故障排除之日起重新计算。如试运行期中断两次的，</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有权终止合同，邀请第三方检测故障原因，如系产品原因的，</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eastAsia="zh-CN"/>
        </w:rPr>
        <w:t>予以免费更换全新合格产品，如系服务原因的，</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可指派其他单位负责系统集成与服务，由此引起的检测费、设备采购费、集成服务费及其他损失均由</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eastAsia="zh-CN"/>
        </w:rPr>
        <w:t>承担。</w:t>
      </w:r>
    </w:p>
    <w:p w14:paraId="6ABBE5B7">
      <w:pPr>
        <w:bidi w:val="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7.中标方在项目验收前必须</w:t>
      </w:r>
      <w:r>
        <w:rPr>
          <w:rFonts w:hint="eastAsia" w:ascii="宋体" w:hAnsi="宋体" w:cs="宋体"/>
          <w:sz w:val="24"/>
          <w:szCs w:val="24"/>
          <w:highlight w:val="none"/>
          <w:lang w:val="en-US" w:eastAsia="zh-CN"/>
        </w:rPr>
        <w:t>按新疆大学信息化项目验收标准提供相应验收资料</w:t>
      </w:r>
      <w:r>
        <w:rPr>
          <w:rFonts w:hint="eastAsia" w:ascii="宋体" w:hAnsi="宋体" w:eastAsia="宋体" w:cs="宋体"/>
          <w:sz w:val="24"/>
          <w:szCs w:val="24"/>
          <w:highlight w:val="none"/>
          <w:lang w:val="en-US" w:eastAsia="zh-CN"/>
        </w:rPr>
        <w:t xml:space="preserve">，资料不限于文字、图表、数据文件等；资料不全或者不清晰不予验收；竣工资料中应包含商务本和技术本。 </w:t>
      </w:r>
    </w:p>
    <w:p w14:paraId="346EE4AA">
      <w:pPr>
        <w:bidi w:val="0"/>
        <w:rPr>
          <w:rFonts w:hint="eastAsia"/>
          <w:highlight w:val="none"/>
          <w:lang w:val="en-US" w:eastAsia="zh-CN"/>
        </w:rPr>
      </w:pPr>
    </w:p>
    <w:p w14:paraId="76BCB825">
      <w:pPr>
        <w:pStyle w:val="3"/>
        <w:bidi w:val="0"/>
        <w:rPr>
          <w:rFonts w:hint="eastAsia"/>
          <w:sz w:val="24"/>
          <w:szCs w:val="24"/>
          <w:highlight w:val="none"/>
          <w:lang w:val="en-US" w:eastAsia="zh-CN"/>
        </w:rPr>
      </w:pPr>
      <w:r>
        <w:rPr>
          <w:rFonts w:hint="eastAsia"/>
          <w:sz w:val="24"/>
          <w:szCs w:val="24"/>
          <w:highlight w:val="none"/>
          <w:lang w:val="en-US" w:eastAsia="zh-CN"/>
        </w:rPr>
        <w:t>（四）总体要求</w:t>
      </w:r>
    </w:p>
    <w:p w14:paraId="7CC04122">
      <w:pPr>
        <w:bidi w:val="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val="en-US"/>
        </w:rPr>
        <w:t>本技术规范书要求仅为项目建设的基本要求，无论</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rPr>
        <w:t>有无提及的技术要求，</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rPr>
        <w:t>必须按照国家标准进行施工，所有因</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rPr>
        <w:t>疏忽或对本技术要求理解偏差造成的错误或漏项，均视为</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rPr>
        <w:t>免费提供。</w:t>
      </w:r>
    </w:p>
    <w:p w14:paraId="762481F8">
      <w:pPr>
        <w:bidi w:val="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rPr>
        <w:t>对所提供的硬件、软件、技术服务、工程服务、技术培训、系统集成、包装运输、开箱检验、安装、现场测试、整套系统运行等各个环节负有完全责任。</w:t>
      </w:r>
    </w:p>
    <w:p w14:paraId="6ABF2E16">
      <w:pPr>
        <w:bidi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val="en-US"/>
        </w:rPr>
        <w:t>本技术规范书所涉及到的各系统的运行安全是至关重要的，</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rPr>
        <w:t>在整套系统的集成、施工上要充分考虑系统的稳定性、可靠性、兼容性，并详细说明保证系统安全的各项措施。</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rPr>
        <w:t>最终提供给</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rPr>
        <w:t>一套可直接使用并达到全部功能要求的完整系统。</w:t>
      </w:r>
    </w:p>
    <w:p w14:paraId="63EC9CFA">
      <w:pPr>
        <w:bidi w:val="0"/>
        <w:rPr>
          <w:rFonts w:hint="default"/>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.在建设过程中，对线路、网络、应用等全方面的梳理，提供的最终梳理资料必须满足</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的要求。</w:t>
      </w:r>
      <w:r>
        <w:rPr>
          <w:rFonts w:hint="eastAsia" w:ascii="宋体" w:hAnsi="宋体" w:cs="宋体"/>
          <w:sz w:val="24"/>
          <w:szCs w:val="24"/>
          <w:highlight w:val="none"/>
          <w:lang w:val="en-US" w:eastAsia="zh-CN"/>
        </w:rPr>
        <w:t>保证采购方在后期的维护中能够直接使用。</w:t>
      </w:r>
    </w:p>
    <w:p w14:paraId="6B61B63D">
      <w:pPr>
        <w:pStyle w:val="3"/>
        <w:bidi w:val="0"/>
        <w:rPr>
          <w:rFonts w:hint="eastAsia"/>
          <w:highlight w:val="none"/>
          <w:lang w:val="en-US" w:eastAsia="zh-CN"/>
        </w:rPr>
      </w:pPr>
      <w:r>
        <w:rPr>
          <w:rFonts w:hint="eastAsia"/>
          <w:sz w:val="24"/>
          <w:szCs w:val="24"/>
          <w:highlight w:val="none"/>
          <w:lang w:val="en-US" w:eastAsia="zh-CN"/>
        </w:rPr>
        <w:t>（五）项目建设内容</w:t>
      </w:r>
    </w:p>
    <w:p w14:paraId="2C8ADB0F">
      <w:pPr>
        <w:bidi w:val="0"/>
        <w:rPr>
          <w:rFonts w:hint="eastAsia"/>
          <w:sz w:val="24"/>
          <w:szCs w:val="24"/>
          <w:highlight w:val="none"/>
          <w:lang w:val="en-US" w:eastAsia="zh-CN"/>
        </w:rPr>
      </w:pPr>
      <w:r>
        <w:rPr>
          <w:rFonts w:hint="eastAsia"/>
          <w:sz w:val="24"/>
          <w:szCs w:val="24"/>
          <w:highlight w:val="none"/>
          <w:lang w:val="en-US" w:eastAsia="zh-CN"/>
        </w:rPr>
        <w:t>制定并实施项目方案，核心目标为：满足智慧教学教学需求、提升全校智慧教学设备运维水平、通过现代技术实现全校智慧教学设备终端设备统一管控及维护，同时完成无线听力系统配套建设，确保整体系统稳定适配教学与考试场景。</w:t>
      </w:r>
    </w:p>
    <w:p w14:paraId="01FB740A">
      <w:pPr>
        <w:ind w:left="0" w:leftChars="0" w:firstLine="0" w:firstLineChars="0"/>
        <w:rPr>
          <w:rFonts w:hint="eastAsia"/>
          <w:lang w:val="en-US" w:eastAsia="zh-CN"/>
        </w:rPr>
      </w:pPr>
    </w:p>
    <w:p w14:paraId="34CA66CE">
      <w:pPr>
        <w:pStyle w:val="3"/>
        <w:bidi w:val="0"/>
        <w:rPr>
          <w:rFonts w:hint="eastAsia"/>
          <w:highlight w:val="none"/>
          <w:lang w:val="en-US" w:eastAsia="zh-CN"/>
        </w:rPr>
      </w:pPr>
      <w:r>
        <w:rPr>
          <w:rFonts w:hint="eastAsia"/>
          <w:sz w:val="24"/>
          <w:szCs w:val="24"/>
          <w:highlight w:val="none"/>
          <w:lang w:val="en-US" w:eastAsia="zh-CN"/>
        </w:rPr>
        <w:t>（六）现场实施人员要求</w:t>
      </w:r>
    </w:p>
    <w:p w14:paraId="31D9EA6C">
      <w:pPr>
        <w:pStyle w:val="11"/>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人员配置：项目实施期间，</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eastAsia="zh-CN"/>
        </w:rPr>
        <w:t>配置至少 5 名现场实施人员，包括 1 名专职项目经理、至少 2 名工程师，其余人员为技术工人；若</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根据工期要求增加人员，</w:t>
      </w:r>
      <w:r>
        <w:rPr>
          <w:rFonts w:hint="eastAsia" w:ascii="宋体" w:hAnsi="宋体" w:eastAsia="宋体" w:cs="宋体"/>
          <w:sz w:val="24"/>
          <w:szCs w:val="24"/>
          <w:highlight w:val="none"/>
          <w:lang w:eastAsia="zh-CN"/>
        </w:rPr>
        <w:t>中标</w:t>
      </w:r>
      <w:r>
        <w:rPr>
          <w:rFonts w:hint="eastAsia" w:ascii="宋体" w:hAnsi="宋体" w:cs="宋体"/>
          <w:sz w:val="24"/>
          <w:szCs w:val="24"/>
          <w:highlight w:val="none"/>
          <w:lang w:val="en-US" w:eastAsia="zh-CN"/>
        </w:rPr>
        <w:t>方</w:t>
      </w:r>
      <w:r>
        <w:rPr>
          <w:rFonts w:hint="eastAsia" w:ascii="宋体" w:hAnsi="宋体" w:eastAsia="宋体" w:cs="宋体"/>
          <w:sz w:val="24"/>
          <w:szCs w:val="24"/>
          <w:highlight w:val="none"/>
          <w:lang w:eastAsia="zh-CN"/>
        </w:rPr>
        <w:t>应增加现场实施人员</w:t>
      </w:r>
      <w:r>
        <w:rPr>
          <w:rFonts w:hint="eastAsia" w:ascii="宋体" w:hAnsi="宋体" w:eastAsia="宋体" w:cs="宋体"/>
          <w:sz w:val="24"/>
          <w:szCs w:val="24"/>
          <w:highlight w:val="none"/>
          <w:lang w:val="en-US" w:eastAsia="zh-CN"/>
        </w:rPr>
        <w:t>。</w:t>
      </w:r>
    </w:p>
    <w:p w14:paraId="70353DBF">
      <w:pPr>
        <w:bidi w:val="0"/>
        <w:ind w:firstLine="420"/>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人员稳定性：现场实施人员在项目验收合格前不得随意更换；若需更换，提前 5 个工作日向</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提交书面申请，说明更换原因，经</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书面同意后方可更换。</w:t>
      </w:r>
    </w:p>
    <w:p w14:paraId="2574EF27">
      <w:pPr>
        <w:bidi w:val="0"/>
        <w:ind w:firstLine="420"/>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人员管理：现场实施人员需服从</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统一管理，佩戴</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发放的施工证件；施工期间需保持现场整洁，不得影响校园正常教学、生活秩序。</w:t>
      </w:r>
    </w:p>
    <w:p w14:paraId="5393A9D6">
      <w:pPr>
        <w:bidi w:val="0"/>
        <w:ind w:firstLine="420"/>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劳动用工责任：</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eastAsia="zh-CN"/>
        </w:rPr>
        <w:t>现场实施人员及其他关联人员与</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无劳动关系，若合同履行过程中出现劳动用工纠纷、工伤 / 工亡事故，由</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eastAsia="zh-CN"/>
        </w:rPr>
        <w:t>自行承担全部责任，不得影响</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正常工作；若因</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eastAsia="zh-CN"/>
        </w:rPr>
        <w:t>原因导致</w:t>
      </w:r>
      <w:r>
        <w:rPr>
          <w:rFonts w:hint="eastAsia" w:ascii="宋体" w:hAnsi="宋体" w:cs="宋体"/>
          <w:sz w:val="24"/>
          <w:szCs w:val="24"/>
          <w:highlight w:val="none"/>
          <w:lang w:val="en-US" w:eastAsia="zh-CN"/>
        </w:rPr>
        <w:t>采购方</w:t>
      </w:r>
      <w:r>
        <w:rPr>
          <w:rFonts w:hint="eastAsia" w:ascii="宋体" w:hAnsi="宋体" w:eastAsia="宋体" w:cs="宋体"/>
          <w:sz w:val="24"/>
          <w:szCs w:val="24"/>
          <w:highlight w:val="none"/>
          <w:lang w:val="en-US" w:eastAsia="zh-CN"/>
        </w:rPr>
        <w:t>遭受损失，</w:t>
      </w:r>
      <w:r>
        <w:rPr>
          <w:rFonts w:hint="eastAsia" w:ascii="宋体" w:hAnsi="宋体" w:cs="宋体"/>
          <w:sz w:val="24"/>
          <w:szCs w:val="24"/>
          <w:highlight w:val="none"/>
          <w:lang w:val="en-US" w:eastAsia="zh-CN"/>
        </w:rPr>
        <w:t>中标方</w:t>
      </w:r>
      <w:r>
        <w:rPr>
          <w:rFonts w:hint="eastAsia" w:ascii="宋体" w:hAnsi="宋体" w:eastAsia="宋体" w:cs="宋体"/>
          <w:sz w:val="24"/>
          <w:szCs w:val="24"/>
          <w:highlight w:val="none"/>
          <w:lang w:val="en-US" w:eastAsia="zh-CN"/>
        </w:rPr>
        <w:t>承担全部赔偿责任。</w:t>
      </w:r>
    </w:p>
    <w:p w14:paraId="29F37AF3">
      <w:pPr>
        <w:rPr>
          <w:rFonts w:hint="eastAsia"/>
          <w:highlight w:val="none"/>
          <w:lang w:val="en-US" w:eastAsia="zh-CN"/>
        </w:rPr>
      </w:pPr>
    </w:p>
    <w:p w14:paraId="46262EEA">
      <w:pPr>
        <w:pStyle w:val="3"/>
        <w:bidi w:val="0"/>
        <w:rPr>
          <w:sz w:val="24"/>
          <w:szCs w:val="24"/>
          <w:highlight w:val="none"/>
        </w:rPr>
      </w:pPr>
      <w:r>
        <w:rPr>
          <w:rFonts w:hint="eastAsia"/>
          <w:sz w:val="24"/>
          <w:szCs w:val="24"/>
          <w:highlight w:val="none"/>
          <w:lang w:val="en-US" w:eastAsia="zh-CN"/>
        </w:rPr>
        <w:t xml:space="preserve">（七）知识产权要求 </w:t>
      </w:r>
    </w:p>
    <w:p w14:paraId="183E96DA">
      <w:pPr>
        <w:bidi w:val="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 xml:space="preserve"> 本次项目开发不得采用任何未经我校许可的未包含全部源代码的第三方软件； </w:t>
      </w:r>
    </w:p>
    <w:p w14:paraId="73108C40">
      <w:pPr>
        <w:bidi w:val="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该项目产生的技术成果和知识产权（包括著作权）归</w:t>
      </w:r>
      <w:r>
        <w:rPr>
          <w:rFonts w:hint="eastAsia" w:ascii="宋体" w:hAnsi="宋体" w:cs="宋体"/>
          <w:sz w:val="24"/>
          <w:szCs w:val="24"/>
          <w:highlight w:val="none"/>
          <w:lang w:eastAsia="zh-CN"/>
        </w:rPr>
        <w:t>采购方</w:t>
      </w:r>
      <w:r>
        <w:rPr>
          <w:rFonts w:hint="eastAsia" w:ascii="宋体" w:hAnsi="宋体" w:eastAsia="宋体" w:cs="宋体"/>
          <w:sz w:val="24"/>
          <w:szCs w:val="24"/>
          <w:highlight w:val="none"/>
        </w:rPr>
        <w:t xml:space="preserve">所有。 </w:t>
      </w:r>
    </w:p>
    <w:p w14:paraId="011FADF1">
      <w:pPr>
        <w:bidi w:val="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须提供本项目正常运转所必须的全部系统软件、中间件、插件等，确保 系统正常稳定运行。产品中采用的第三方软件由投标人自行购买安装，如出现 软件侵权行为，由投标人负责</w:t>
      </w:r>
      <w:r>
        <w:rPr>
          <w:rFonts w:hint="eastAsia" w:ascii="宋体" w:hAnsi="宋体" w:eastAsia="宋体" w:cs="宋体"/>
          <w:sz w:val="24"/>
          <w:szCs w:val="24"/>
          <w:highlight w:val="none"/>
          <w:lang w:eastAsia="zh-CN"/>
        </w:rPr>
        <w:t>。</w:t>
      </w:r>
    </w:p>
    <w:p w14:paraId="0F454923">
      <w:pPr>
        <w:bidi w:val="0"/>
        <w:ind w:left="0" w:leftChars="0" w:firstLine="0" w:firstLineChars="0"/>
        <w:rPr>
          <w:rFonts w:hint="eastAsia"/>
          <w:highlight w:val="none"/>
          <w:lang w:val="en-US" w:eastAsia="zh-CN"/>
        </w:rPr>
      </w:pPr>
    </w:p>
    <w:p w14:paraId="0B66CE48">
      <w:pPr>
        <w:pStyle w:val="3"/>
        <w:bidi w:val="0"/>
        <w:rPr>
          <w:rFonts w:hint="eastAsia"/>
          <w:sz w:val="24"/>
          <w:szCs w:val="24"/>
          <w:highlight w:val="none"/>
          <w:lang w:val="en-US" w:eastAsia="zh-CN"/>
        </w:rPr>
      </w:pPr>
      <w:r>
        <w:rPr>
          <w:rFonts w:hint="eastAsia"/>
          <w:sz w:val="24"/>
          <w:szCs w:val="24"/>
          <w:highlight w:val="none"/>
          <w:lang w:val="en-US" w:eastAsia="zh-CN"/>
        </w:rPr>
        <w:t>（八）售后服务要求</w:t>
      </w:r>
    </w:p>
    <w:p w14:paraId="5E72EC95">
      <w:pPr>
        <w:bidi w:val="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eastAsia="zh-CN"/>
        </w:rPr>
        <w:t>提供以下售后服务所需费用应包含在投标总价中。要求中标方提供产品的标准服务，即与投标产品生产厂家中国总部对外公众网站上公布的服务标准相一致。在标准服务基础上，中标方还应达到以下标准：</w:t>
      </w:r>
    </w:p>
    <w:p w14:paraId="242F45FF">
      <w:pPr>
        <w:bidi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rPr>
        <w:t>1.</w:t>
      </w:r>
      <w:r>
        <w:rPr>
          <w:rFonts w:hint="eastAsia" w:ascii="宋体" w:hAnsi="宋体" w:eastAsia="宋体" w:cs="宋体"/>
          <w:sz w:val="24"/>
          <w:szCs w:val="24"/>
          <w:highlight w:val="none"/>
          <w:lang w:val="en-US" w:eastAsia="zh-CN"/>
        </w:rPr>
        <w:t>本项目中所有软硬件产品维保期不少于三年。</w:t>
      </w:r>
    </w:p>
    <w:p w14:paraId="3A3C15D6">
      <w:pPr>
        <w:bidi w:val="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rPr>
        <w:t>升级后若出现音频效果、AI 运维、远程管控功能不达标，中标方需24 小时内到场重新优化升级，直至完全符合本技术规范书要求。</w:t>
      </w:r>
    </w:p>
    <w:p w14:paraId="197A8153">
      <w:pPr>
        <w:bidi w:val="0"/>
        <w:rPr>
          <w:rFonts w:hint="eastAsia" w:ascii="宋体" w:hAnsi="宋体" w:eastAsia="宋体" w:cs="宋体"/>
          <w:sz w:val="24"/>
          <w:szCs w:val="24"/>
          <w:highlight w:val="none"/>
          <w:lang w:val="en-US"/>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rPr>
        <w:t>.</w:t>
      </w:r>
      <w:r>
        <w:rPr>
          <w:rFonts w:hint="eastAsia" w:ascii="宋体" w:hAnsi="宋体" w:eastAsia="宋体" w:cs="宋体"/>
          <w:sz w:val="24"/>
          <w:szCs w:val="24"/>
          <w:highlight w:val="none"/>
          <w:lang w:eastAsia="zh-CN"/>
        </w:rPr>
        <w:t>在产品维保期内中标方必须为采购方提供技术服务热线（</w:t>
      </w:r>
      <w:r>
        <w:rPr>
          <w:rFonts w:hint="eastAsia" w:ascii="宋体" w:hAnsi="宋体" w:eastAsia="宋体" w:cs="宋体"/>
          <w:sz w:val="24"/>
          <w:szCs w:val="24"/>
          <w:highlight w:val="none"/>
          <w:lang w:val="en-US"/>
        </w:rPr>
        <w:t>7*24</w:t>
      </w:r>
      <w:r>
        <w:rPr>
          <w:rFonts w:hint="eastAsia" w:ascii="宋体" w:hAnsi="宋体" w:eastAsia="宋体" w:cs="宋体"/>
          <w:sz w:val="24"/>
          <w:szCs w:val="24"/>
          <w:highlight w:val="none"/>
          <w:lang w:eastAsia="zh-CN"/>
        </w:rPr>
        <w:t>小时），负责解答采购方在设备使用中遇到的问题，并及时提出解决问题的建议和操作方法。</w:t>
      </w:r>
    </w:p>
    <w:p w14:paraId="741BC8DE">
      <w:pPr>
        <w:bidi w:val="0"/>
        <w:rPr>
          <w:rFonts w:hint="eastAsia" w:ascii="宋体" w:hAnsi="宋体" w:eastAsia="宋体" w:cs="宋体"/>
          <w:sz w:val="24"/>
          <w:szCs w:val="24"/>
          <w:highlight w:val="none"/>
          <w:lang w:val="en-US"/>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rPr>
        <w:t>.</w:t>
      </w:r>
      <w:r>
        <w:rPr>
          <w:rFonts w:hint="eastAsia" w:ascii="宋体" w:hAnsi="宋体" w:eastAsia="宋体" w:cs="宋体"/>
          <w:sz w:val="24"/>
          <w:szCs w:val="24"/>
          <w:highlight w:val="none"/>
          <w:lang w:eastAsia="zh-CN"/>
        </w:rPr>
        <w:t>在维保期内</w:t>
      </w:r>
      <w:r>
        <w:rPr>
          <w:rFonts w:hint="eastAsia" w:ascii="宋体" w:hAnsi="宋体" w:eastAsia="宋体" w:cs="宋体"/>
          <w:sz w:val="24"/>
          <w:szCs w:val="24"/>
          <w:highlight w:val="none"/>
          <w:lang w:val="en-US"/>
        </w:rPr>
        <w:t>,</w:t>
      </w:r>
      <w:r>
        <w:rPr>
          <w:rFonts w:hint="eastAsia" w:ascii="宋体" w:hAnsi="宋体" w:eastAsia="宋体" w:cs="宋体"/>
          <w:sz w:val="24"/>
          <w:szCs w:val="24"/>
          <w:highlight w:val="none"/>
          <w:lang w:eastAsia="zh-CN"/>
        </w:rPr>
        <w:t>中标方提供</w:t>
      </w:r>
      <w:r>
        <w:rPr>
          <w:rFonts w:hint="eastAsia" w:ascii="宋体" w:hAnsi="宋体" w:eastAsia="宋体" w:cs="宋体"/>
          <w:sz w:val="24"/>
          <w:szCs w:val="24"/>
          <w:highlight w:val="none"/>
          <w:lang w:val="en-US"/>
        </w:rPr>
        <w:t xml:space="preserve"> 7*24</w:t>
      </w:r>
      <w:r>
        <w:rPr>
          <w:rFonts w:hint="eastAsia" w:ascii="宋体" w:hAnsi="宋体" w:eastAsia="宋体" w:cs="宋体"/>
          <w:sz w:val="24"/>
          <w:szCs w:val="24"/>
          <w:highlight w:val="none"/>
          <w:lang w:eastAsia="zh-CN"/>
        </w:rPr>
        <w:t>小时服务响应</w:t>
      </w:r>
      <w:r>
        <w:rPr>
          <w:rFonts w:hint="eastAsia" w:ascii="宋体" w:hAnsi="宋体" w:eastAsia="宋体" w:cs="宋体"/>
          <w:sz w:val="24"/>
          <w:szCs w:val="24"/>
          <w:highlight w:val="none"/>
          <w:lang w:val="en-US"/>
        </w:rPr>
        <w:t>(30</w:t>
      </w:r>
      <w:r>
        <w:rPr>
          <w:rFonts w:hint="eastAsia" w:ascii="宋体" w:hAnsi="宋体" w:eastAsia="宋体" w:cs="宋体"/>
          <w:sz w:val="24"/>
          <w:szCs w:val="24"/>
          <w:highlight w:val="none"/>
          <w:lang w:eastAsia="zh-CN"/>
        </w:rPr>
        <w:t>分钟内电话响应</w:t>
      </w:r>
      <w:r>
        <w:rPr>
          <w:rFonts w:hint="eastAsia" w:ascii="宋体" w:hAnsi="宋体" w:eastAsia="宋体" w:cs="宋体"/>
          <w:sz w:val="24"/>
          <w:szCs w:val="24"/>
          <w:highlight w:val="none"/>
          <w:lang w:val="en-US"/>
        </w:rPr>
        <w:t>)</w:t>
      </w:r>
      <w:r>
        <w:rPr>
          <w:rFonts w:hint="eastAsia" w:ascii="宋体" w:hAnsi="宋体" w:eastAsia="宋体" w:cs="宋体"/>
          <w:sz w:val="24"/>
          <w:szCs w:val="24"/>
          <w:highlight w:val="none"/>
          <w:lang w:eastAsia="zh-CN"/>
        </w:rPr>
        <w:t>。在远程操作难以满足服务要求时</w:t>
      </w:r>
      <w:r>
        <w:rPr>
          <w:rFonts w:hint="eastAsia" w:ascii="宋体" w:hAnsi="宋体" w:cs="宋体"/>
          <w:sz w:val="24"/>
          <w:szCs w:val="24"/>
          <w:highlight w:val="none"/>
          <w:lang w:eastAsia="zh-CN"/>
        </w:rPr>
        <w:t>，</w:t>
      </w:r>
      <w:r>
        <w:rPr>
          <w:rFonts w:hint="eastAsia" w:ascii="宋体" w:hAnsi="宋体" w:eastAsia="宋体" w:cs="宋体"/>
          <w:sz w:val="24"/>
          <w:szCs w:val="24"/>
          <w:highlight w:val="none"/>
          <w:lang w:val="en-US"/>
        </w:rPr>
        <w:t>2</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eastAsia="zh-CN"/>
        </w:rPr>
        <w:t>小时内到达现场提供技术支持</w:t>
      </w:r>
      <w:r>
        <w:rPr>
          <w:rFonts w:hint="eastAsia" w:ascii="宋体" w:hAnsi="宋体" w:eastAsia="宋体" w:cs="宋体"/>
          <w:sz w:val="24"/>
          <w:szCs w:val="24"/>
          <w:highlight w:val="none"/>
          <w:lang w:val="en-US"/>
        </w:rPr>
        <w:t>,</w:t>
      </w:r>
      <w:r>
        <w:rPr>
          <w:rFonts w:hint="eastAsia" w:ascii="宋体" w:hAnsi="宋体" w:eastAsia="宋体" w:cs="宋体"/>
          <w:sz w:val="24"/>
          <w:szCs w:val="24"/>
          <w:highlight w:val="none"/>
          <w:lang w:eastAsia="zh-CN"/>
        </w:rPr>
        <w:t>查找原因</w:t>
      </w:r>
      <w:r>
        <w:rPr>
          <w:rFonts w:hint="eastAsia" w:ascii="宋体" w:hAnsi="宋体" w:eastAsia="宋体" w:cs="宋体"/>
          <w:sz w:val="24"/>
          <w:szCs w:val="24"/>
          <w:highlight w:val="none"/>
          <w:lang w:val="en-US"/>
        </w:rPr>
        <w:t>,</w:t>
      </w:r>
      <w:r>
        <w:rPr>
          <w:rFonts w:hint="eastAsia" w:ascii="宋体" w:hAnsi="宋体" w:eastAsia="宋体" w:cs="宋体"/>
          <w:sz w:val="24"/>
          <w:szCs w:val="24"/>
          <w:highlight w:val="none"/>
          <w:lang w:eastAsia="zh-CN"/>
        </w:rPr>
        <w:t>提出解决方案</w:t>
      </w:r>
      <w:r>
        <w:rPr>
          <w:rFonts w:hint="eastAsia" w:ascii="宋体" w:hAnsi="宋体" w:eastAsia="宋体" w:cs="宋体"/>
          <w:sz w:val="24"/>
          <w:szCs w:val="24"/>
          <w:highlight w:val="none"/>
          <w:lang w:val="en-US"/>
        </w:rPr>
        <w:t>,</w:t>
      </w:r>
      <w:r>
        <w:rPr>
          <w:rFonts w:hint="eastAsia" w:ascii="宋体" w:hAnsi="宋体" w:eastAsia="宋体" w:cs="宋体"/>
          <w:sz w:val="24"/>
          <w:szCs w:val="24"/>
          <w:highlight w:val="none"/>
          <w:lang w:eastAsia="zh-CN"/>
        </w:rPr>
        <w:t>直至故障完全恢复为止。如无法解决</w:t>
      </w:r>
      <w:r>
        <w:rPr>
          <w:rFonts w:hint="eastAsia" w:ascii="宋体" w:hAnsi="宋体" w:eastAsia="宋体" w:cs="宋体"/>
          <w:sz w:val="24"/>
          <w:szCs w:val="24"/>
          <w:highlight w:val="none"/>
          <w:lang w:val="en-US"/>
        </w:rPr>
        <w:t>,</w:t>
      </w:r>
      <w:r>
        <w:rPr>
          <w:rFonts w:hint="eastAsia" w:ascii="宋体" w:hAnsi="宋体" w:eastAsia="宋体" w:cs="宋体"/>
          <w:sz w:val="24"/>
          <w:szCs w:val="24"/>
          <w:highlight w:val="none"/>
          <w:lang w:eastAsia="zh-CN"/>
        </w:rPr>
        <w:t>在当天提供同档次的设备予以代用，中标方应当在七日内将补充或者更换的产品运抵发生故障的产品所在地，由此产生的一切相关费用由中标方负担。维保期内因不能排除的故障而影响工作的情况每发生一次，其维保期相应延长</w:t>
      </w:r>
      <w:r>
        <w:rPr>
          <w:rFonts w:hint="eastAsia" w:ascii="宋体" w:hAnsi="宋体" w:eastAsia="宋体" w:cs="宋体"/>
          <w:sz w:val="24"/>
          <w:szCs w:val="24"/>
          <w:highlight w:val="none"/>
          <w:lang w:val="en-US"/>
        </w:rPr>
        <w:t>60</w:t>
      </w:r>
      <w:r>
        <w:rPr>
          <w:rFonts w:hint="eastAsia" w:ascii="宋体" w:hAnsi="宋体" w:eastAsia="宋体" w:cs="宋体"/>
          <w:sz w:val="24"/>
          <w:szCs w:val="24"/>
          <w:highlight w:val="none"/>
          <w:lang w:eastAsia="zh-CN"/>
        </w:rPr>
        <w:t>天。</w:t>
      </w:r>
    </w:p>
    <w:p w14:paraId="21B0400D">
      <w:pPr>
        <w:bidi w:val="0"/>
        <w:rPr>
          <w:rFonts w:hint="eastAsia" w:ascii="宋体" w:hAnsi="宋体" w:eastAsia="宋体" w:cs="宋体"/>
          <w:sz w:val="24"/>
          <w:szCs w:val="24"/>
          <w:highlight w:val="none"/>
          <w:lang w:val="en-US"/>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rPr>
        <w:t>.</w:t>
      </w:r>
      <w:r>
        <w:rPr>
          <w:rFonts w:hint="eastAsia" w:ascii="宋体" w:hAnsi="宋体" w:eastAsia="宋体" w:cs="宋体"/>
          <w:sz w:val="24"/>
          <w:szCs w:val="24"/>
          <w:highlight w:val="none"/>
          <w:lang w:eastAsia="zh-CN"/>
        </w:rPr>
        <w:t>维保期内所有因更换或修理货物或部件而导致产品停止运行的时间应从其产品维保期内扣除。</w:t>
      </w:r>
    </w:p>
    <w:p w14:paraId="2188FDE2">
      <w:pPr>
        <w:bidi w:val="0"/>
        <w:rPr>
          <w:rFonts w:hint="eastAsia" w:ascii="宋体" w:hAnsi="宋体" w:eastAsia="宋体" w:cs="宋体"/>
          <w:sz w:val="24"/>
          <w:szCs w:val="24"/>
          <w:highlight w:val="none"/>
          <w:lang w:val="en-US"/>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rPr>
        <w:t>.</w:t>
      </w:r>
      <w:r>
        <w:rPr>
          <w:rFonts w:hint="eastAsia" w:ascii="宋体" w:hAnsi="宋体" w:eastAsia="宋体" w:cs="宋体"/>
          <w:sz w:val="24"/>
          <w:szCs w:val="24"/>
          <w:highlight w:val="none"/>
          <w:lang w:eastAsia="zh-CN"/>
        </w:rPr>
        <w:t>中标方在产品维保期内安装的任何零配件，必须是其标的物生产厂家原厂配件或是经原厂家及采购方单位认可的零配件。</w:t>
      </w:r>
    </w:p>
    <w:p w14:paraId="68A798B0">
      <w:pPr>
        <w:bidi w:val="0"/>
        <w:rPr>
          <w:rFonts w:hint="eastAsia" w:ascii="宋体" w:hAnsi="宋体" w:eastAsia="宋体" w:cs="宋体"/>
          <w:sz w:val="24"/>
          <w:szCs w:val="24"/>
          <w:highlight w:val="none"/>
          <w:lang w:val="en-US"/>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rPr>
        <w:t>.</w:t>
      </w:r>
      <w:r>
        <w:rPr>
          <w:rFonts w:hint="eastAsia" w:ascii="宋体" w:hAnsi="宋体" w:eastAsia="宋体" w:cs="宋体"/>
          <w:sz w:val="24"/>
          <w:szCs w:val="24"/>
          <w:highlight w:val="none"/>
          <w:lang w:eastAsia="zh-CN"/>
        </w:rPr>
        <w:t>在产品维保期内，中标方有责任解决所提供的投标产品和软件系统的任何问题，在产品维保期满后，中标方仍须对因投标产品本身的固有缺陷和瑕疵承担责任。</w:t>
      </w:r>
    </w:p>
    <w:p w14:paraId="7C557460">
      <w:pPr>
        <w:bidi w:val="0"/>
        <w:rPr>
          <w:rFonts w:hint="eastAsia" w:ascii="宋体" w:hAnsi="宋体" w:eastAsia="宋体" w:cs="宋体"/>
          <w:sz w:val="24"/>
          <w:szCs w:val="24"/>
          <w:highlight w:val="none"/>
          <w:lang w:val="en-US"/>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en-US"/>
        </w:rPr>
        <w:t>.</w:t>
      </w:r>
      <w:r>
        <w:rPr>
          <w:rFonts w:hint="eastAsia" w:ascii="宋体" w:hAnsi="宋体" w:eastAsia="宋体" w:cs="宋体"/>
          <w:sz w:val="24"/>
          <w:szCs w:val="24"/>
          <w:highlight w:val="none"/>
          <w:lang w:eastAsia="zh-CN"/>
        </w:rPr>
        <w:t>对产品服务要求的有效响应将被视为中标方对其所投标产品的服务承诺，如果中标，采购方将服务承诺视为合同产品服务条款的一部分。</w:t>
      </w:r>
    </w:p>
    <w:p w14:paraId="31E09721">
      <w:pPr>
        <w:bidi w:val="0"/>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rPr>
        <w:t>.</w:t>
      </w:r>
      <w:r>
        <w:rPr>
          <w:rFonts w:hint="eastAsia" w:ascii="宋体" w:hAnsi="宋体" w:eastAsia="宋体" w:cs="宋体"/>
          <w:sz w:val="24"/>
          <w:szCs w:val="24"/>
          <w:highlight w:val="none"/>
          <w:lang w:eastAsia="zh-CN"/>
        </w:rPr>
        <w:t>中标方应提供此次投标的服务策略和服务计划（售后服务内容、等级、相关服务指标、售后服务组织机构及人员安排情况及其联络信息）。</w:t>
      </w:r>
    </w:p>
    <w:p w14:paraId="49F36428">
      <w:pPr>
        <w:bidi w:val="0"/>
        <w:rPr>
          <w:rFonts w:hint="eastAsia"/>
          <w:highlight w:val="none"/>
          <w:lang w:val="en-US" w:eastAsia="zh-CN"/>
        </w:rPr>
      </w:pP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系统安装交付后，在</w:t>
      </w:r>
      <w:r>
        <w:rPr>
          <w:rFonts w:hint="eastAsia" w:ascii="宋体" w:hAnsi="宋体" w:cs="宋体"/>
          <w:sz w:val="24"/>
          <w:szCs w:val="24"/>
          <w:highlight w:val="none"/>
          <w:lang w:val="en-US" w:eastAsia="zh-CN"/>
        </w:rPr>
        <w:t>三</w:t>
      </w:r>
      <w:r>
        <w:rPr>
          <w:rFonts w:hint="eastAsia" w:ascii="宋体" w:hAnsi="宋体" w:eastAsia="宋体" w:cs="宋体"/>
          <w:sz w:val="24"/>
          <w:szCs w:val="24"/>
          <w:highlight w:val="none"/>
        </w:rPr>
        <w:t>年的免费服务期限之内，为学校免费提供各种技术服务，包括现场技术支持、在线答疑、定期回访、软件更新、适应性修改、 增量性修改、版本升级与技术培训</w:t>
      </w:r>
      <w:r>
        <w:rPr>
          <w:rFonts w:hint="eastAsia" w:ascii="宋体" w:hAnsi="宋体" w:eastAsia="宋体" w:cs="宋体"/>
          <w:sz w:val="24"/>
          <w:szCs w:val="24"/>
          <w:highlight w:val="none"/>
          <w:lang w:eastAsia="zh-CN"/>
        </w:rPr>
        <w:t>。</w:t>
      </w:r>
    </w:p>
    <w:p w14:paraId="62105B46">
      <w:pPr>
        <w:pStyle w:val="3"/>
        <w:bidi w:val="0"/>
        <w:rPr>
          <w:rFonts w:hint="eastAsia"/>
          <w:sz w:val="24"/>
          <w:szCs w:val="24"/>
          <w:highlight w:val="none"/>
          <w:lang w:val="en-US" w:eastAsia="zh-CN"/>
        </w:rPr>
      </w:pPr>
      <w:r>
        <w:rPr>
          <w:rFonts w:hint="eastAsia"/>
          <w:sz w:val="24"/>
          <w:szCs w:val="24"/>
          <w:highlight w:val="none"/>
          <w:lang w:val="en-US" w:eastAsia="zh-CN"/>
        </w:rPr>
        <w:t>（九）培训要求</w:t>
      </w:r>
    </w:p>
    <w:p w14:paraId="2D19C8AA">
      <w:pPr>
        <w:bidi w:val="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1.中标方负责培训的人员应具有同类产品的操作、维修经验，中标方应提供相应的培训计划，技术培训涉及的费用应包含在投标总价中。培训内容包括系统部署实施培训、系统工作流程、操作培训和系统运行基本维护培训等。培训的时间、内容、人员、期次等具体内容在具体执行过程中需根据使用单位意见进行调整。培训方式：包括课堂讲解、上机操作等。</w:t>
      </w:r>
    </w:p>
    <w:p w14:paraId="7A82B738">
      <w:pPr>
        <w:bidi w:val="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2.现场培训，中标方在整个项目实施过程中对采购方进行现场培训，培训内容包括项目所涉及软件系统及硬件设备的日常操作及注意事项。此培训主要目的是解决日常维护工作中可能会出现的问题。</w:t>
      </w:r>
    </w:p>
    <w:p w14:paraId="27A193CE">
      <w:pPr>
        <w:bidi w:val="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rPr>
        <w:t>3.</w:t>
      </w:r>
      <w:r>
        <w:rPr>
          <w:rFonts w:hint="eastAsia" w:ascii="宋体" w:hAnsi="宋体" w:eastAsia="宋体" w:cs="宋体"/>
          <w:sz w:val="24"/>
          <w:szCs w:val="24"/>
          <w:highlight w:val="none"/>
          <w:lang w:eastAsia="zh-CN"/>
        </w:rPr>
        <w:t>集中培训，中标方在项目实施完毕后，安排技术专家做技术培训，培训课程的主要内容包括所有软件系统及硬件设备的产品技术性能特点、使用方法、注意事项等内容，通过现场实验使采购方掌握相关产品的使用和故障解决。需根据项目情况提供具体的培训课程。</w:t>
      </w:r>
    </w:p>
    <w:p w14:paraId="1EF83A1F">
      <w:pPr>
        <w:pStyle w:val="21"/>
        <w:spacing w:line="360" w:lineRule="auto"/>
        <w:jc w:val="both"/>
        <w:rPr>
          <w:rFonts w:hint="eastAsia" w:ascii="仿宋" w:hAnsi="仿宋" w:eastAsia="仿宋" w:cs="仿宋"/>
          <w:b/>
          <w:bCs/>
          <w:color w:val="auto"/>
          <w:sz w:val="24"/>
          <w:szCs w:val="24"/>
          <w:highlight w:val="none"/>
        </w:rPr>
      </w:pPr>
    </w:p>
    <w:p w14:paraId="2AE1FDD4">
      <w:pPr>
        <w:pStyle w:val="21"/>
        <w:spacing w:line="360" w:lineRule="auto"/>
        <w:jc w:val="both"/>
        <w:rPr>
          <w:rFonts w:hint="eastAsia" w:ascii="仿宋" w:hAnsi="仿宋" w:eastAsia="仿宋" w:cs="仿宋"/>
          <w:b/>
          <w:bCs/>
          <w:color w:val="auto"/>
          <w:sz w:val="24"/>
          <w:szCs w:val="24"/>
          <w:highlight w:val="none"/>
        </w:rPr>
      </w:pPr>
    </w:p>
    <w:p w14:paraId="013B6387">
      <w:pPr>
        <w:pStyle w:val="21"/>
        <w:spacing w:line="360" w:lineRule="auto"/>
        <w:jc w:val="both"/>
        <w:rPr>
          <w:rFonts w:hint="eastAsia" w:ascii="仿宋" w:hAnsi="仿宋" w:eastAsia="仿宋" w:cs="仿宋"/>
          <w:b/>
          <w:bCs/>
          <w:color w:val="auto"/>
          <w:sz w:val="24"/>
          <w:szCs w:val="24"/>
          <w:highlight w:val="none"/>
        </w:rPr>
        <w:sectPr>
          <w:footerReference r:id="rId3" w:type="default"/>
          <w:pgSz w:w="11906" w:h="16838"/>
          <w:pgMar w:top="1440" w:right="1800" w:bottom="1441" w:left="1800" w:header="851" w:footer="992" w:gutter="0"/>
          <w:pgNumType w:start="1"/>
          <w:cols w:space="720" w:num="1"/>
          <w:docGrid w:type="lines" w:linePitch="312" w:charSpace="0"/>
        </w:sectPr>
      </w:pPr>
    </w:p>
    <w:p w14:paraId="19D8C4FA">
      <w:pPr>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400" w:lineRule="exact"/>
        <w:ind w:left="0" w:leftChars="0" w:right="0" w:rightChars="0" w:firstLine="0" w:firstLineChars="0"/>
        <w:jc w:val="both"/>
        <w:textAlignment w:val="auto"/>
        <w:outlineLvl w:val="1"/>
        <w:rPr>
          <w:rFonts w:hint="eastAsia" w:ascii="方正仿宋_GBK" w:hAnsi="方正仿宋_GBK" w:eastAsia="方正仿宋_GBK" w:cs="方正仿宋_GBK"/>
          <w:b/>
          <w:bCs/>
          <w:kern w:val="2"/>
          <w:sz w:val="32"/>
          <w:szCs w:val="32"/>
          <w:highlight w:val="none"/>
          <w:lang w:val="en-US" w:eastAsia="zh-CN" w:bidi="ar"/>
        </w:rPr>
      </w:pPr>
      <w:r>
        <w:rPr>
          <w:rFonts w:hint="eastAsia" w:ascii="宋体" w:hAnsi="宋体" w:eastAsia="宋体" w:cs="宋体"/>
          <w:b/>
          <w:bCs/>
          <w:kern w:val="2"/>
          <w:sz w:val="24"/>
          <w:szCs w:val="24"/>
          <w:highlight w:val="none"/>
          <w:lang w:val="en-US" w:eastAsia="zh-CN" w:bidi="ar"/>
        </w:rPr>
        <w:t>（九）</w:t>
      </w:r>
      <w:r>
        <w:rPr>
          <w:rFonts w:hint="eastAsia" w:ascii="宋体" w:hAnsi="宋体" w:cs="宋体"/>
          <w:b/>
          <w:bCs/>
          <w:kern w:val="2"/>
          <w:sz w:val="24"/>
          <w:szCs w:val="24"/>
          <w:highlight w:val="none"/>
          <w:lang w:val="en-US" w:eastAsia="zh-CN" w:bidi="ar"/>
        </w:rPr>
        <w:t>新疆大学智慧教学空间系统升级扩容项目</w:t>
      </w:r>
      <w:r>
        <w:rPr>
          <w:rFonts w:hint="eastAsia" w:ascii="宋体" w:hAnsi="宋体" w:eastAsia="宋体" w:cs="宋体"/>
          <w:b/>
          <w:bCs/>
          <w:kern w:val="2"/>
          <w:sz w:val="24"/>
          <w:szCs w:val="24"/>
          <w:highlight w:val="none"/>
          <w:lang w:val="en-US" w:eastAsia="zh-CN" w:bidi="ar"/>
        </w:rPr>
        <w:t>采购清单参数</w:t>
      </w:r>
    </w:p>
    <w:p w14:paraId="0C6F971E">
      <w:pPr>
        <w:bidi w:val="0"/>
        <w:spacing w:line="240" w:lineRule="auto"/>
        <w:ind w:firstLine="0" w:firstLineChars="0"/>
        <w:outlineLvl w:val="9"/>
        <w:rPr>
          <w:rFonts w:hint="eastAsia"/>
          <w:highlight w:val="none"/>
          <w:lang w:val="en-US" w:eastAsia="zh-CN"/>
        </w:rPr>
      </w:pPr>
    </w:p>
    <w:tbl>
      <w:tblPr>
        <w:tblStyle w:val="31"/>
        <w:tblW w:w="14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50"/>
        <w:gridCol w:w="1247"/>
        <w:gridCol w:w="10205"/>
        <w:gridCol w:w="850"/>
        <w:gridCol w:w="850"/>
      </w:tblGrid>
      <w:tr w14:paraId="4BC5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50" w:type="dxa"/>
            <w:shd w:val="clear" w:color="auto" w:fill="auto"/>
            <w:vAlign w:val="center"/>
          </w:tcPr>
          <w:p w14:paraId="003F8F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eastAsia" w:asciiTheme="minorEastAsia" w:hAnsiTheme="minorEastAsia" w:eastAsiaTheme="minorEastAsia" w:cstheme="minorEastAsia"/>
                <w:b w:val="0"/>
                <w:bCs w:val="0"/>
                <w:i w:val="0"/>
                <w:iCs w:val="0"/>
                <w:color w:val="000000"/>
                <w:sz w:val="24"/>
                <w:szCs w:val="24"/>
                <w:highlight w:val="none"/>
                <w:u w:val="none"/>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序号</w:t>
            </w:r>
          </w:p>
        </w:tc>
        <w:tc>
          <w:tcPr>
            <w:tcW w:w="1247" w:type="dxa"/>
            <w:shd w:val="clear" w:color="auto" w:fill="auto"/>
            <w:vAlign w:val="center"/>
          </w:tcPr>
          <w:p w14:paraId="1C25BB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eastAsia" w:asciiTheme="minorEastAsia" w:hAnsiTheme="minorEastAsia" w:eastAsiaTheme="minorEastAsia" w:cstheme="minorEastAsia"/>
                <w:b w:val="0"/>
                <w:bCs w:val="0"/>
                <w:i w:val="0"/>
                <w:iCs w:val="0"/>
                <w:color w:val="000000"/>
                <w:sz w:val="24"/>
                <w:szCs w:val="24"/>
                <w:highlight w:val="none"/>
                <w:u w:val="none"/>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设备名称</w:t>
            </w:r>
          </w:p>
        </w:tc>
        <w:tc>
          <w:tcPr>
            <w:tcW w:w="10205" w:type="dxa"/>
            <w:shd w:val="clear" w:color="auto" w:fill="auto"/>
            <w:vAlign w:val="center"/>
          </w:tcPr>
          <w:p w14:paraId="4956C2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eastAsia" w:asciiTheme="minorEastAsia" w:hAnsiTheme="minorEastAsia" w:eastAsiaTheme="minorEastAsia" w:cstheme="minorEastAsia"/>
                <w:b w:val="0"/>
                <w:bCs w:val="0"/>
                <w:i w:val="0"/>
                <w:iCs w:val="0"/>
                <w:color w:val="000000"/>
                <w:sz w:val="24"/>
                <w:szCs w:val="24"/>
                <w:highlight w:val="none"/>
                <w:u w:val="none"/>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招标文件要求</w:t>
            </w:r>
          </w:p>
        </w:tc>
        <w:tc>
          <w:tcPr>
            <w:tcW w:w="850" w:type="dxa"/>
            <w:shd w:val="clear" w:color="auto" w:fill="auto"/>
            <w:vAlign w:val="center"/>
          </w:tcPr>
          <w:p w14:paraId="5B584F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eastAsia" w:asciiTheme="minorEastAsia" w:hAnsiTheme="minorEastAsia" w:eastAsiaTheme="minorEastAsia" w:cstheme="minorEastAsia"/>
                <w:b w:val="0"/>
                <w:bCs w:val="0"/>
                <w:i w:val="0"/>
                <w:iCs w:val="0"/>
                <w:color w:val="000000"/>
                <w:sz w:val="24"/>
                <w:szCs w:val="24"/>
                <w:highlight w:val="none"/>
                <w:u w:val="none"/>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数量</w:t>
            </w:r>
          </w:p>
        </w:tc>
        <w:tc>
          <w:tcPr>
            <w:tcW w:w="850" w:type="dxa"/>
            <w:shd w:val="clear" w:color="auto" w:fill="auto"/>
            <w:vAlign w:val="center"/>
          </w:tcPr>
          <w:p w14:paraId="5EFBE1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eastAsia" w:asciiTheme="minorEastAsia" w:hAnsiTheme="minorEastAsia" w:eastAsiaTheme="minorEastAsia" w:cstheme="minorEastAsia"/>
                <w:b w:val="0"/>
                <w:bCs w:val="0"/>
                <w:i w:val="0"/>
                <w:iCs w:val="0"/>
                <w:color w:val="000000"/>
                <w:sz w:val="24"/>
                <w:szCs w:val="24"/>
                <w:highlight w:val="none"/>
                <w:u w:val="none"/>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单位</w:t>
            </w:r>
          </w:p>
        </w:tc>
      </w:tr>
      <w:tr w14:paraId="7E07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50" w:type="dxa"/>
            <w:shd w:val="clear" w:color="auto" w:fill="auto"/>
            <w:vAlign w:val="center"/>
          </w:tcPr>
          <w:p w14:paraId="33B125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default"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1</w:t>
            </w:r>
          </w:p>
        </w:tc>
        <w:tc>
          <w:tcPr>
            <w:tcW w:w="1247" w:type="dxa"/>
            <w:shd w:val="clear" w:color="auto" w:fill="auto"/>
            <w:vAlign w:val="center"/>
          </w:tcPr>
          <w:p w14:paraId="34291B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default"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其他信息化设备</w:t>
            </w:r>
          </w:p>
        </w:tc>
        <w:tc>
          <w:tcPr>
            <w:tcW w:w="10205" w:type="dxa"/>
            <w:shd w:val="clear" w:color="auto" w:fill="auto"/>
            <w:vAlign w:val="center"/>
          </w:tcPr>
          <w:p w14:paraId="4D8367F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一、升级要求</w:t>
            </w:r>
          </w:p>
          <w:p w14:paraId="0B734D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1、完成577 套智慧教学设备深度迭代升级及校级智慧教学管理平台全域智慧化升级，</w:t>
            </w:r>
            <w:r>
              <w:rPr>
                <w:rFonts w:hint="eastAsia" w:asciiTheme="minorEastAsia" w:hAnsiTheme="minorEastAsia" w:eastAsiaTheme="minorEastAsia" w:cstheme="minorEastAsia"/>
                <w:color w:val="000000"/>
                <w:kern w:val="0"/>
                <w:sz w:val="24"/>
                <w:highlight w:val="none"/>
                <w:u w:val="none"/>
                <w:lang w:val="en-US" w:eastAsia="zh-CN" w:bidi="ar"/>
              </w:rPr>
              <w:t>要求</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错峰施工、静默升级，全程不中断正常课堂教学与校园办公秩序。</w:t>
            </w:r>
          </w:p>
          <w:p w14:paraId="557275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2、升级后的智慧教学设备与扩容的 60 套智慧教学设备在功能、性能、管控权限、数据传输、操作界面、运维标准完全统一对齐，实现全校智慧教学设备一体化管理、无差异化使用。</w:t>
            </w:r>
          </w:p>
          <w:p w14:paraId="68AC61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二、智慧教学设备版本升级</w:t>
            </w:r>
          </w:p>
          <w:p w14:paraId="2727F6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1、升级对象：对音频处理器底层固件、AI 音频算法引擎、吊麦全景拾音采集模块、室内声场空间处理模块、功放驱动控制模块进行全链路底层版本升级，覆盖硬件驱动、软件算法全维度更新。</w:t>
            </w:r>
          </w:p>
          <w:p w14:paraId="453AFA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2、升级算法：</w:t>
            </w:r>
            <w:r>
              <w:rPr>
                <w:rFonts w:hint="eastAsia" w:asciiTheme="minorEastAsia" w:hAnsiTheme="minorEastAsia" w:eastAsiaTheme="minorEastAsia" w:cstheme="minorEastAsia"/>
                <w:color w:val="000000"/>
                <w:kern w:val="0"/>
                <w:sz w:val="24"/>
                <w:highlight w:val="none"/>
                <w:u w:val="none"/>
                <w:lang w:val="en-US" w:eastAsia="zh-CN" w:bidi="ar"/>
              </w:rPr>
              <w:t>对现有教室扩声、拾音效果进行升级，并稳定运行，升级方案允许定制或等效方案。</w:t>
            </w:r>
          </w:p>
          <w:p w14:paraId="77A0C5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3、性能指标：</w:t>
            </w:r>
          </w:p>
          <w:p w14:paraId="501A9D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（1）拾音覆盖：实现教学空间全域无死角拾音，教室内任意位置讲话均可高保真、无失真、无丢字还原，语音清晰。</w:t>
            </w:r>
          </w:p>
          <w:p w14:paraId="146285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（2）防啸叫控制：高级自适应防啸叫算法，传声增益提升，彻底消除声反馈啸叫、金属尾音、电流杂音等失真现象，室内再生混响时间严格≤1 秒。</w:t>
            </w:r>
          </w:p>
          <w:p w14:paraId="722759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（3）噪声抑制：AI 深度学习算法，环境噪声抑制深度，智能滤除空调运行声、书页翻动声、桌椅挪动声、风扇声、外界环境噪音等所有课堂干扰杂音，语音传输链路纯净无杂质。</w:t>
            </w:r>
          </w:p>
          <w:p w14:paraId="7382E9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（4）声像定位：精准声源定位，确保音箱附近学生听到的教师声源与实际位置完全一致，彻底消除 “声像偏移”、声源错位、听觉异位、多路径传播重音干扰，提升课堂听音专注度。</w:t>
            </w:r>
          </w:p>
          <w:p w14:paraId="72C4F9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（5）系统兼容：升级后与扩容吊麦、音箱、中控、投影等设备完美兼容，无驱动冲突、无功能缺失、无音质衰减。</w:t>
            </w:r>
          </w:p>
          <w:p w14:paraId="19A46C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三、智慧教学管理平台专项升级</w:t>
            </w:r>
          </w:p>
          <w:p w14:paraId="05B87B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1、升级模块：对学校现有校级智慧教学管理平台进行AI化升级改造。</w:t>
            </w:r>
          </w:p>
          <w:p w14:paraId="626704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2、升级后核心功能指标：</w:t>
            </w:r>
          </w:p>
          <w:p w14:paraId="29B33E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default"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（1）精细化管控：实现就坐人数、就坐率、低头人数和低头率的AI分析，并进行展示。</w:t>
            </w:r>
          </w:p>
          <w:p w14:paraId="257A50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（2）AI 智能运维：增加AI自检功能（可设置自检频率）和AI分析智能节能功能（根据分析的人数实现智能灯光控制）。</w:t>
            </w:r>
          </w:p>
          <w:p w14:paraId="2A7770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（3）远程监听对讲：通过AI分析对讲语音内容，实现对讲内容的语音文字转换、录音、故障工单自动生成。</w:t>
            </w:r>
          </w:p>
          <w:p w14:paraId="4ED4AC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（4）分析能力:平台可同时分析637套智慧教学设备的数据，实现权限联动及数据互通，确保与校内已建系统兼容。</w:t>
            </w:r>
          </w:p>
          <w:p w14:paraId="0B6A62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color w:val="000000"/>
                <w:kern w:val="0"/>
                <w:sz w:val="24"/>
                <w:highlight w:val="none"/>
                <w:u w:val="none"/>
                <w:lang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（5）迭代保障：质保期内免费提供平台功能迭代、算法升级、安全更新，确保平台持续适配智慧教学最新需求。</w:t>
            </w:r>
          </w:p>
          <w:p w14:paraId="63202DFA">
            <w:pPr>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center"/>
              <w:rPr>
                <w:rFonts w:hint="default"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color w:val="000000"/>
                <w:kern w:val="0"/>
                <w:sz w:val="24"/>
                <w:szCs w:val="24"/>
                <w:highlight w:val="none"/>
                <w:u w:val="none"/>
                <w:lang w:val="en-US" w:eastAsia="zh-CN" w:bidi="ar"/>
              </w:rPr>
              <w:t>（6）平台升级允许等效替代方案。</w:t>
            </w:r>
          </w:p>
        </w:tc>
        <w:tc>
          <w:tcPr>
            <w:tcW w:w="850" w:type="dxa"/>
            <w:shd w:val="clear" w:color="auto" w:fill="auto"/>
            <w:vAlign w:val="center"/>
          </w:tcPr>
          <w:p w14:paraId="7C72A2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1</w:t>
            </w:r>
          </w:p>
        </w:tc>
        <w:tc>
          <w:tcPr>
            <w:tcW w:w="850" w:type="dxa"/>
            <w:shd w:val="clear" w:color="auto" w:fill="auto"/>
            <w:vAlign w:val="center"/>
          </w:tcPr>
          <w:p w14:paraId="62EE0E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套</w:t>
            </w:r>
          </w:p>
        </w:tc>
      </w:tr>
      <w:tr w14:paraId="3779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76" w:hRule="atLeast"/>
          <w:jc w:val="center"/>
        </w:trPr>
        <w:tc>
          <w:tcPr>
            <w:tcW w:w="850" w:type="dxa"/>
            <w:shd w:val="clear" w:color="auto" w:fill="auto"/>
            <w:vAlign w:val="center"/>
          </w:tcPr>
          <w:p w14:paraId="7F2046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default"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2</w:t>
            </w:r>
          </w:p>
        </w:tc>
        <w:tc>
          <w:tcPr>
            <w:tcW w:w="1247" w:type="dxa"/>
            <w:shd w:val="clear" w:color="auto" w:fill="auto"/>
            <w:vAlign w:val="center"/>
          </w:tcPr>
          <w:p w14:paraId="1AEE170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智慧教学设备</w:t>
            </w:r>
          </w:p>
          <w:p w14:paraId="683B32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p>
        </w:tc>
        <w:tc>
          <w:tcPr>
            <w:tcW w:w="10205" w:type="dxa"/>
            <w:shd w:val="clear" w:color="auto" w:fill="auto"/>
            <w:vAlign w:val="center"/>
          </w:tcPr>
          <w:p w14:paraId="5DA3FF9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一、智慧教学融合终端（数量：60套）</w:t>
            </w:r>
          </w:p>
          <w:p w14:paraId="584EE68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1</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、采用多功能高集成度设备。</w:t>
            </w:r>
          </w:p>
          <w:p w14:paraId="4983B29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2</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、考虑到大型教室接入多块辅助显示屏和投影机，设备集成高清视频矩阵功能，支持≥4路HDMI输入接口，≥6路HDMI输出接口，≥1路HDBaseT输出接口</w:t>
            </w:r>
          </w:p>
          <w:p w14:paraId="1C5F52B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w:t>
            </w:r>
            <w:r>
              <w:rPr>
                <w:rFonts w:hint="default" w:asciiTheme="minorEastAsia" w:hAnsiTheme="minorEastAsia" w:eastAsiaTheme="minorEastAsia" w:cstheme="minorEastAsia"/>
                <w:b w:val="0"/>
                <w:bCs w:val="0"/>
                <w:i w:val="0"/>
                <w:iCs w:val="0"/>
                <w:color w:val="000000"/>
                <w:kern w:val="0"/>
                <w:sz w:val="24"/>
                <w:szCs w:val="24"/>
                <w:lang w:val="en-US" w:eastAsia="zh-CN" w:bidi="ar"/>
              </w:rPr>
              <w:t>3</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、≥6路USB接口，其中≥2个大屏USB控制信号的输入，支持 KVM功能。（投标人提供承诺函并加盖公章）</w:t>
            </w:r>
          </w:p>
          <w:p w14:paraId="4FB9793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4</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、≥1路USB声卡接口，支持与电脑直通，具备≥2路音频输入，≥3路音频输出。</w:t>
            </w:r>
          </w:p>
          <w:p w14:paraId="652664A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5</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、集成强电开关控制模块，提供≥3路功率为10A/250VAC交流供电输出。为避免误接和脱落，电源输出接口采用防脱插头，并具有防呆设计</w:t>
            </w:r>
          </w:p>
          <w:p w14:paraId="6617EA5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6</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、集成≥3路的弱电IO扩展接口，支持≥3路RS-232，≥2路RS-485。</w:t>
            </w:r>
          </w:p>
          <w:p w14:paraId="2904DC4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7</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、提供控制面板独立接口，采用RJ45接口，同时传输网络、电源。</w:t>
            </w:r>
          </w:p>
          <w:p w14:paraId="19B73D1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8</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、具有≥2路有线麦克输入，支持48V幻象供电。</w:t>
            </w:r>
          </w:p>
          <w:p w14:paraId="10A4BD8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9</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、阶梯教室配有无线麦，设备集成无线麦编解码功能，并具有≥1路专用无线麦输入接口，同时为保持讲台桌面简洁，能够使用一根网线即可同时传输音频、电源、控制信号。</w:t>
            </w:r>
          </w:p>
          <w:p w14:paraId="778E905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w:t>
            </w:r>
            <w:r>
              <w:rPr>
                <w:rFonts w:hint="default" w:asciiTheme="minorEastAsia" w:hAnsiTheme="minorEastAsia" w:eastAsiaTheme="minorEastAsia" w:cstheme="minorEastAsia"/>
                <w:b w:val="0"/>
                <w:bCs w:val="0"/>
                <w:i w:val="0"/>
                <w:iCs w:val="0"/>
                <w:color w:val="000000"/>
                <w:kern w:val="0"/>
                <w:sz w:val="24"/>
                <w:szCs w:val="24"/>
                <w:lang w:val="en-US" w:eastAsia="zh-CN" w:bidi="ar"/>
              </w:rPr>
              <w:t>10</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、集成功率放大器，输出功率：≥2*150W（支持定制，投标人提供承诺函并加盖公章）</w:t>
            </w:r>
          </w:p>
          <w:p w14:paraId="4522EF7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11</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w:t>
            </w:r>
            <w:r>
              <w:rPr>
                <w:rFonts w:hint="eastAsia" w:ascii="宋体" w:hAnsi="宋体" w:eastAsia="宋体" w:cs="宋体"/>
                <w:b w:val="0"/>
                <w:bCs w:val="0"/>
                <w:i w:val="0"/>
                <w:iCs w:val="0"/>
                <w:color w:val="000000"/>
                <w:kern w:val="0"/>
                <w:sz w:val="24"/>
                <w:szCs w:val="24"/>
                <w:highlight w:val="none"/>
                <w:u w:val="none"/>
                <w:lang w:val="en-US" w:eastAsia="zh-CN" w:bidi="ar"/>
              </w:rPr>
              <w:t>教室多种教学设备接入网络，同时为后期拓展使用，设备集成交换机功能，</w:t>
            </w:r>
            <w:r>
              <w:rPr>
                <w:rFonts w:hint="eastAsia" w:ascii="宋体" w:hAnsi="宋体" w:cs="宋体"/>
                <w:b w:val="0"/>
                <w:bCs w:val="0"/>
                <w:i w:val="0"/>
                <w:iCs w:val="0"/>
                <w:color w:val="000000"/>
                <w:kern w:val="0"/>
                <w:sz w:val="24"/>
                <w:szCs w:val="24"/>
                <w:highlight w:val="none"/>
                <w:u w:val="none"/>
                <w:lang w:val="en-US" w:eastAsia="zh-CN" w:bidi="ar"/>
              </w:rPr>
              <w:t>支持</w:t>
            </w:r>
            <w:r>
              <w:rPr>
                <w:rFonts w:hint="eastAsia" w:ascii="宋体" w:hAnsi="宋体" w:eastAsia="宋体" w:cs="宋体"/>
                <w:b w:val="0"/>
                <w:bCs w:val="0"/>
                <w:i w:val="0"/>
                <w:iCs w:val="0"/>
                <w:color w:val="000000"/>
                <w:kern w:val="0"/>
                <w:sz w:val="24"/>
                <w:szCs w:val="24"/>
                <w:highlight w:val="none"/>
                <w:u w:val="none"/>
                <w:lang w:val="en-US" w:eastAsia="zh-CN" w:bidi="ar"/>
              </w:rPr>
              <w:t>定制扩展为≥8个网络接入端口（1000Base-T/100Base-TX/10Base-Te）和≥1个SFP光口</w:t>
            </w:r>
            <w:r>
              <w:rPr>
                <w:rFonts w:hint="eastAsia"/>
                <w:highlight w:val="none"/>
                <w:u w:val="none"/>
                <w:lang w:eastAsia="zh-CN"/>
              </w:rPr>
              <w:t>。</w:t>
            </w:r>
          </w:p>
          <w:p w14:paraId="1FE15A4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w:t>
            </w:r>
            <w:r>
              <w:rPr>
                <w:rFonts w:hint="default" w:asciiTheme="minorEastAsia" w:hAnsiTheme="minorEastAsia" w:eastAsiaTheme="minorEastAsia" w:cstheme="minorEastAsia"/>
                <w:b w:val="0"/>
                <w:bCs w:val="0"/>
                <w:i w:val="0"/>
                <w:iCs w:val="0"/>
                <w:color w:val="000000"/>
                <w:kern w:val="0"/>
                <w:sz w:val="24"/>
                <w:szCs w:val="24"/>
                <w:lang w:val="en-US" w:eastAsia="zh-CN" w:bidi="ar"/>
              </w:rPr>
              <w:t>12</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、为保证单次调试后能够长期使用，不接受仅采用传统扫描啸叫点的音频处理算法，需支持动态跟踪声场变化功能。（投标人提供承诺函并加盖公章）</w:t>
            </w:r>
          </w:p>
          <w:p w14:paraId="44DA22D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13</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、反馈抑制（AFC）：传声增益提升幅度：≥15dB。</w:t>
            </w:r>
          </w:p>
          <w:p w14:paraId="55AADF3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14</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、具备噪声抑制、自动混响抑制、回声消除（AEC）、自动增益控制（AGC）等功能；</w:t>
            </w:r>
          </w:p>
          <w:p w14:paraId="14117D0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w:t>
            </w:r>
            <w:r>
              <w:rPr>
                <w:rFonts w:hint="default" w:asciiTheme="minorEastAsia" w:hAnsiTheme="minorEastAsia" w:eastAsiaTheme="minorEastAsia" w:cstheme="minorEastAsia"/>
                <w:b w:val="0"/>
                <w:bCs w:val="0"/>
                <w:i w:val="0"/>
                <w:iCs w:val="0"/>
                <w:color w:val="000000"/>
                <w:kern w:val="0"/>
                <w:sz w:val="24"/>
                <w:szCs w:val="24"/>
                <w:lang w:val="en-US" w:eastAsia="zh-CN" w:bidi="ar"/>
              </w:rPr>
              <w:t>15</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、设备支持通过单支吊装麦克风同时进行本地扩音和远程互动，效果相互不影响（投标人提供承诺函并加盖公章）。</w:t>
            </w:r>
          </w:p>
          <w:p w14:paraId="35E1826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sz w:val="24"/>
                <w:szCs w:val="24"/>
                <w:highlight w:val="none"/>
                <w:u w:val="none"/>
                <w:lang w:val="en-US" w:eastAsia="zh-CN"/>
              </w:rPr>
              <w:t>▲</w:t>
            </w:r>
            <w:r>
              <w:rPr>
                <w:rFonts w:hint="default" w:asciiTheme="minorEastAsia" w:hAnsiTheme="minorEastAsia" w:eastAsiaTheme="minorEastAsia" w:cstheme="minorEastAsia"/>
                <w:b w:val="0"/>
                <w:bCs w:val="0"/>
                <w:i w:val="0"/>
                <w:iCs w:val="0"/>
                <w:color w:val="000000"/>
                <w:kern w:val="0"/>
                <w:sz w:val="24"/>
                <w:szCs w:val="24"/>
                <w:lang w:val="en-US" w:eastAsia="zh-CN" w:bidi="ar"/>
              </w:rPr>
              <w:t>16</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、实现对讲功能，吊麦和教室音箱可直接与集控中心对话。（投标人提供承诺函并加盖公章）</w:t>
            </w:r>
          </w:p>
          <w:p w14:paraId="6C3F711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17</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、实现接入笔记本信号检测并自动切换音视频到输出通道。</w:t>
            </w:r>
          </w:p>
          <w:p w14:paraId="26F7946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sz w:val="24"/>
                <w:szCs w:val="24"/>
                <w:highlight w:val="none"/>
                <w:u w:val="none"/>
                <w:lang w:val="en-US" w:eastAsia="zh-CN"/>
              </w:rPr>
              <w:t>▲</w:t>
            </w:r>
            <w:r>
              <w:rPr>
                <w:rFonts w:hint="default" w:asciiTheme="minorEastAsia" w:hAnsiTheme="minorEastAsia" w:eastAsiaTheme="minorEastAsia" w:cstheme="minorEastAsia"/>
                <w:b w:val="0"/>
                <w:bCs w:val="0"/>
                <w:i w:val="0"/>
                <w:iCs w:val="0"/>
                <w:color w:val="000000"/>
                <w:kern w:val="0"/>
                <w:sz w:val="24"/>
                <w:szCs w:val="24"/>
                <w:lang w:val="en-US" w:eastAsia="zh-CN" w:bidi="ar"/>
              </w:rPr>
              <w:t>18</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、系统实现校园卡卡登录、二维码、人脸识别登录、主动扫码和被动扫码；（投标人提供承诺函并加盖公章）</w:t>
            </w:r>
          </w:p>
          <w:p w14:paraId="1B356DE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19</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、实现对接教务课表系统，实现定时开关功能，支持本地课表存储，可按课表自动执行系统开启和关闭，可脱网运行。</w:t>
            </w:r>
          </w:p>
          <w:p w14:paraId="04A9261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20</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、实现定时管理功能，可定时重启，支持本地升级和远程批量升级。</w:t>
            </w:r>
          </w:p>
          <w:p w14:paraId="0E05B01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default" w:asciiTheme="minorEastAsia" w:hAnsiTheme="minorEastAsia" w:eastAsiaTheme="minorEastAsia" w:cstheme="minorEastAsia"/>
                <w:b w:val="0"/>
                <w:bCs w:val="0"/>
                <w:i w:val="0"/>
                <w:iCs w:val="0"/>
                <w:color w:val="000000"/>
                <w:kern w:val="0"/>
                <w:sz w:val="24"/>
                <w:szCs w:val="24"/>
                <w:lang w:val="en-US" w:eastAsia="zh-CN" w:bidi="ar"/>
              </w:rPr>
              <w:t>21</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、支持物联控制功能，具有物联控制软件，实现教室物联设备统一控制。</w:t>
            </w:r>
          </w:p>
          <w:p w14:paraId="572152DE">
            <w:pPr>
              <w:keepNext w:val="0"/>
              <w:keepLines w:val="0"/>
              <w:widowControl/>
              <w:numPr>
                <w:ilvl w:val="0"/>
                <w:numId w:val="0"/>
              </w:numPr>
              <w:autoSpaceDE/>
              <w:autoSpaceDN/>
              <w:adjustRightInd w:val="0"/>
              <w:snapToGrid w:val="0"/>
              <w:spacing w:before="0" w:after="0" w:line="360" w:lineRule="auto"/>
              <w:ind w:left="0" w:firstLine="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w:t>
            </w:r>
            <w:r>
              <w:rPr>
                <w:rFonts w:hint="default" w:asciiTheme="minorEastAsia" w:hAnsiTheme="minorEastAsia" w:eastAsiaTheme="minorEastAsia" w:cstheme="minorEastAsia"/>
                <w:b w:val="0"/>
                <w:bCs w:val="0"/>
                <w:i w:val="0"/>
                <w:iCs w:val="0"/>
                <w:color w:val="000000"/>
                <w:kern w:val="0"/>
                <w:sz w:val="24"/>
                <w:szCs w:val="24"/>
                <w:lang w:val="en-US" w:eastAsia="zh-CN" w:bidi="ar"/>
              </w:rPr>
              <w:t>22</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、扩容的智慧教学设备纳入此次升级后的智慧教学管理平台进行统一管理，实现全功能对接、集中管控、数据互通、协议兼容、操作统一。（投标人提供承诺函并加盖公章）</w:t>
            </w:r>
          </w:p>
          <w:p w14:paraId="7095DAE9">
            <w:pPr>
              <w:keepNext w:val="0"/>
              <w:keepLines w:val="0"/>
              <w:widowControl/>
              <w:numPr>
                <w:ilvl w:val="0"/>
                <w:numId w:val="0"/>
              </w:numPr>
              <w:autoSpaceDE/>
              <w:autoSpaceDN/>
              <w:adjustRightInd w:val="0"/>
              <w:snapToGrid w:val="0"/>
              <w:spacing w:before="0" w:after="0" w:line="360" w:lineRule="auto"/>
              <w:ind w:left="0" w:firstLine="0"/>
              <w:jc w:val="left"/>
              <w:textAlignment w:val="auto"/>
              <w:rPr>
                <w:rFonts w:hint="eastAsia" w:asciiTheme="minorEastAsia" w:hAnsiTheme="minorEastAsia" w:eastAsiaTheme="minorEastAsia" w:cstheme="minorEastAsia"/>
                <w:b w:val="0"/>
                <w:color w:val="000000"/>
                <w:kern w:val="0"/>
                <w:sz w:val="24"/>
                <w:szCs w:val="24"/>
                <w:highlight w:val="none"/>
                <w:u w:val="none"/>
                <w:lang w:val="en-US" w:eastAsia="zh-CN" w:bidi="ar"/>
              </w:rPr>
            </w:pPr>
            <w:r>
              <w:rPr>
                <w:rFonts w:hint="default" w:asciiTheme="minorEastAsia" w:hAnsiTheme="minorEastAsia" w:eastAsiaTheme="minorEastAsia" w:cstheme="minorEastAsia"/>
                <w:b w:val="0"/>
                <w:color w:val="000000"/>
                <w:kern w:val="0"/>
                <w:sz w:val="24"/>
                <w:szCs w:val="24"/>
                <w:lang w:val="en-US" w:eastAsia="zh-CN" w:bidi="ar"/>
              </w:rPr>
              <w:t>2</w:t>
            </w:r>
            <w:r>
              <w:rPr>
                <w:rFonts w:hint="eastAsia" w:asciiTheme="minorEastAsia" w:hAnsiTheme="minorEastAsia" w:eastAsiaTheme="minorEastAsia" w:cstheme="minorEastAsia"/>
                <w:b w:val="0"/>
                <w:color w:val="000000"/>
                <w:kern w:val="0"/>
                <w:sz w:val="24"/>
                <w:szCs w:val="24"/>
                <w:lang w:val="en-US" w:eastAsia="zh-CN" w:bidi="ar"/>
              </w:rPr>
              <w:t>3</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w:t>
            </w:r>
            <w:r>
              <w:rPr>
                <w:rFonts w:hint="eastAsia" w:asciiTheme="minorEastAsia" w:hAnsiTheme="minorEastAsia" w:eastAsiaTheme="minorEastAsia" w:cstheme="minorEastAsia"/>
                <w:b w:val="0"/>
                <w:color w:val="000000"/>
                <w:kern w:val="0"/>
                <w:sz w:val="24"/>
                <w:szCs w:val="24"/>
                <w:highlight w:val="none"/>
                <w:u w:val="none"/>
                <w:lang w:val="en-US" w:eastAsia="zh-CN" w:bidi="ar"/>
              </w:rPr>
              <w:t>①CPU：≥16核24线程；内存：标配≥16G ，最大可扩展≥64GB；硬盘：标配PCIe 4.0 ≥512G M.2 SSD固态硬盘。（投标人提供承诺函并加盖公章）。</w:t>
            </w:r>
          </w:p>
          <w:p w14:paraId="365CEC5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color w:val="000000"/>
                <w:kern w:val="0"/>
                <w:sz w:val="24"/>
                <w:szCs w:val="24"/>
                <w:highlight w:val="none"/>
                <w:u w:val="none"/>
                <w:lang w:val="en-US" w:eastAsia="zh-CN" w:bidi="ar"/>
              </w:rPr>
              <w:t>②主板：实现单路供电，100%全固态电容，主板具备故障诊断模块，实现故障报警检测功能; 千兆网卡≥1个，USB接口≥8个，HDMI接口≥1个；USB键鼠≥1套；</w:t>
            </w:r>
          </w:p>
          <w:p w14:paraId="6614CB19">
            <w:pPr>
              <w:keepNext w:val="0"/>
              <w:keepLines w:val="0"/>
              <w:widowControl/>
              <w:numPr>
                <w:ilvl w:val="0"/>
                <w:numId w:val="0"/>
              </w:numPr>
              <w:autoSpaceDE/>
              <w:autoSpaceDN/>
              <w:adjustRightInd w:val="0"/>
              <w:snapToGrid w:val="0"/>
              <w:spacing w:before="0" w:after="0" w:line="360" w:lineRule="auto"/>
              <w:ind w:left="0" w:firstLine="0"/>
              <w:textAlignment w:val="auto"/>
              <w:rPr>
                <w:rFonts w:hint="default"/>
                <w:highlight w:val="none"/>
                <w:u w:val="none"/>
                <w:lang w:val="en-US" w:eastAsia="zh-CN"/>
              </w:rPr>
            </w:pPr>
            <w:r>
              <w:rPr>
                <w:rFonts w:hint="default" w:ascii="Calibri" w:hAnsi="Calibri" w:eastAsia="宋体" w:cs="宋体"/>
                <w:kern w:val="2"/>
                <w:sz w:val="21"/>
                <w:szCs w:val="24"/>
                <w:lang w:val="en-US" w:eastAsia="zh-CN" w:bidi="ar-SA"/>
              </w:rPr>
              <w:t>2</w:t>
            </w:r>
            <w:r>
              <w:rPr>
                <w:rFonts w:hint="eastAsia" w:cs="宋体"/>
                <w:kern w:val="2"/>
                <w:sz w:val="21"/>
                <w:szCs w:val="24"/>
                <w:lang w:val="en-US" w:eastAsia="zh-CN" w:bidi="ar-SA"/>
              </w:rPr>
              <w:t>4</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成像介质功能：电动升降拉线；显示比例：16:9；材质：玻纤材质；选用高亮度、增益大于2.4倍、有效散射角大于32度的材料，具备高分辨率，彩色还原性好，白昼成像清晰的优点；采用先进的加工工艺，物理参数稳定衰减小，绿色环保的材料无任何气味；外壳由金属板冲压机械加工成型，静电喷涂装饰。</w:t>
            </w: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（其中≥120英寸26套，≥150英寸34套）</w:t>
            </w:r>
          </w:p>
          <w:p w14:paraId="2D7777D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二、麦克风（数量：60支）</w:t>
            </w:r>
          </w:p>
          <w:p w14:paraId="2A2BB27F">
            <w:pPr>
              <w:keepNext w:val="0"/>
              <w:keepLines w:val="0"/>
              <w:widowControl/>
              <w:numPr>
                <w:ilvl w:val="0"/>
                <w:numId w:val="0"/>
              </w:numPr>
              <w:autoSpaceDE/>
              <w:autoSpaceDN/>
              <w:adjustRightInd w:val="0"/>
              <w:snapToGrid w:val="0"/>
              <w:spacing w:before="0" w:after="0" w:line="360" w:lineRule="auto"/>
              <w:textAlignment w:val="auto"/>
              <w:rPr>
                <w:rFonts w:hint="eastAsia"/>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▲1、</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频率范围:20Hz-20KHz；灵敏度:≥-35dB(18mV/Pa)；指向性:超心型；最大声压级:≥135dB；信噪比:≥75dB；供电电压:48V幻象电源供电；具备抗手机、电磁及高频干扰能力；有吊顶的教室使用吸顶麦克风拾音，没有吊顶的教室使用吊装麦克风，麦克风最低处离地面≥3.5米(根据教室层高自行调整)。（投标人提供承诺函并加盖公章）</w:t>
            </w:r>
          </w:p>
          <w:p w14:paraId="7FD5675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三、音箱（数量：158对）</w:t>
            </w:r>
          </w:p>
          <w:p w14:paraId="12B4A24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sz w:val="24"/>
                <w:szCs w:val="24"/>
                <w:highlight w:val="none"/>
                <w:u w:val="none"/>
                <w:lang w:val="en-US" w:eastAsia="zh-CN"/>
              </w:rPr>
              <w:t>▲1、</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频率响应：80Hz-18KHz（±3dB）；额定阻抗：≤8Ω；总谐波失真（120Hz-20KHz频率范围内）：≤3%；特性灵敏度：≥88dB；长期最大功率：≥60W。高音单元：≥1吋；低音单元：≥4吋。（投标人提供承诺函并加盖公章）</w:t>
            </w:r>
          </w:p>
          <w:p w14:paraId="73720D4F">
            <w:pPr>
              <w:keepNext w:val="0"/>
              <w:keepLines w:val="0"/>
              <w:widowControl/>
              <w:numPr>
                <w:ilvl w:val="0"/>
                <w:numId w:val="0"/>
              </w:numPr>
              <w:autoSpaceDE/>
              <w:autoSpaceDN/>
              <w:adjustRightInd w:val="0"/>
              <w:snapToGrid w:val="0"/>
              <w:spacing w:before="0" w:after="0" w:line="360" w:lineRule="auto"/>
              <w:textAlignment w:val="auto"/>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四、电子时钟（数量：60套）</w:t>
            </w:r>
          </w:p>
          <w:p w14:paraId="1110B791">
            <w:pPr>
              <w:keepNext w:val="0"/>
              <w:keepLines w:val="0"/>
              <w:widowControl/>
              <w:numPr>
                <w:ilvl w:val="0"/>
                <w:numId w:val="0"/>
              </w:numPr>
              <w:autoSpaceDE/>
              <w:autoSpaceDN/>
              <w:adjustRightInd w:val="0"/>
              <w:snapToGrid w:val="0"/>
              <w:spacing w:before="0" w:after="0" w:line="360" w:lineRule="auto"/>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1、尺寸：≥3英寸数码管；</w:t>
            </w:r>
          </w:p>
          <w:p w14:paraId="352CE27D">
            <w:pPr>
              <w:keepNext w:val="0"/>
              <w:keepLines w:val="0"/>
              <w:widowControl/>
              <w:numPr>
                <w:ilvl w:val="0"/>
                <w:numId w:val="0"/>
              </w:numPr>
              <w:autoSpaceDE/>
              <w:autoSpaceDN/>
              <w:adjustRightInd w:val="0"/>
              <w:snapToGrid w:val="0"/>
              <w:spacing w:before="0" w:after="0" w:line="360" w:lineRule="auto"/>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2、采用高级 U 型铝合金 LED 时钟专用铝型材；</w:t>
            </w:r>
          </w:p>
          <w:p w14:paraId="2EA46DB1">
            <w:pPr>
              <w:keepNext w:val="0"/>
              <w:keepLines w:val="0"/>
              <w:widowControl/>
              <w:numPr>
                <w:ilvl w:val="0"/>
                <w:numId w:val="0"/>
              </w:numPr>
              <w:autoSpaceDE/>
              <w:autoSpaceDN/>
              <w:adjustRightInd w:val="0"/>
              <w:snapToGrid w:val="0"/>
              <w:spacing w:before="0" w:after="0" w:line="360" w:lineRule="auto"/>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3、采用有线数传网络服务器授时；</w:t>
            </w:r>
          </w:p>
          <w:p w14:paraId="533F8634">
            <w:pPr>
              <w:keepNext w:val="0"/>
              <w:keepLines w:val="0"/>
              <w:widowControl/>
              <w:numPr>
                <w:ilvl w:val="0"/>
                <w:numId w:val="0"/>
              </w:numPr>
              <w:autoSpaceDE/>
              <w:autoSpaceDN/>
              <w:adjustRightInd w:val="0"/>
              <w:snapToGrid w:val="0"/>
              <w:spacing w:before="0" w:after="0" w:line="360" w:lineRule="auto"/>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4、实现自动获取时间与北京时间同步，显示时分；常年无累积时间误差；</w:t>
            </w:r>
          </w:p>
          <w:p w14:paraId="7F20C8C2">
            <w:pPr>
              <w:keepNext w:val="0"/>
              <w:keepLines w:val="0"/>
              <w:widowControl/>
              <w:numPr>
                <w:ilvl w:val="0"/>
                <w:numId w:val="0"/>
              </w:numPr>
              <w:autoSpaceDE/>
              <w:autoSpaceDN/>
              <w:adjustRightInd w:val="0"/>
              <w:snapToGrid w:val="0"/>
              <w:spacing w:before="0" w:after="0" w:line="360" w:lineRule="auto"/>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5、实现时钟掉电或通信故障期间，时钟均能自动准确走时；</w:t>
            </w:r>
          </w:p>
          <w:p w14:paraId="130DE2C3">
            <w:pPr>
              <w:keepNext w:val="0"/>
              <w:keepLines w:val="0"/>
              <w:widowControl/>
              <w:numPr>
                <w:ilvl w:val="0"/>
                <w:numId w:val="0"/>
              </w:numPr>
              <w:autoSpaceDE/>
              <w:autoSpaceDN/>
              <w:adjustRightInd w:val="0"/>
              <w:snapToGrid w:val="0"/>
              <w:spacing w:before="0" w:after="0" w:line="360" w:lineRule="auto"/>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 xml:space="preserve">6、无需任何按键操作； </w:t>
            </w:r>
          </w:p>
          <w:p w14:paraId="6F49B1A7">
            <w:pPr>
              <w:keepNext w:val="0"/>
              <w:keepLines w:val="0"/>
              <w:widowControl/>
              <w:numPr>
                <w:ilvl w:val="0"/>
                <w:numId w:val="0"/>
              </w:numPr>
              <w:autoSpaceDE/>
              <w:autoSpaceDN/>
              <w:adjustRightInd w:val="0"/>
              <w:snapToGrid w:val="0"/>
              <w:spacing w:before="0" w:after="0" w:line="360" w:lineRule="auto"/>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 xml:space="preserve">7、抗干扰能力强，整体功耗小，采用无风扇设计，运行可靠稳定； </w:t>
            </w:r>
          </w:p>
          <w:p w14:paraId="3DA2CCBE">
            <w:pPr>
              <w:keepNext w:val="0"/>
              <w:keepLines w:val="0"/>
              <w:widowControl/>
              <w:numPr>
                <w:ilvl w:val="0"/>
                <w:numId w:val="0"/>
              </w:numPr>
              <w:autoSpaceDE/>
              <w:autoSpaceDN/>
              <w:adjustRightInd w:val="0"/>
              <w:snapToGrid w:val="0"/>
              <w:spacing w:before="0" w:after="0" w:line="360" w:lineRule="auto"/>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8、功耗≤10W，实现壁挂安装或吊装安装方式；</w:t>
            </w:r>
          </w:p>
          <w:p w14:paraId="2C4F93F7">
            <w:pPr>
              <w:keepNext w:val="0"/>
              <w:keepLines w:val="0"/>
              <w:widowControl/>
              <w:numPr>
                <w:ilvl w:val="0"/>
                <w:numId w:val="0"/>
              </w:numPr>
              <w:autoSpaceDE/>
              <w:autoSpaceDN/>
              <w:adjustRightInd w:val="0"/>
              <w:snapToGrid w:val="0"/>
              <w:spacing w:before="0" w:after="0" w:line="360" w:lineRule="auto"/>
              <w:textAlignment w:val="auto"/>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9、实现DC12V/PoE供电</w:t>
            </w:r>
          </w:p>
          <w:p w14:paraId="2F0F7360">
            <w:pPr>
              <w:widowControl/>
              <w:adjustRightInd w:val="0"/>
              <w:snapToGrid w:val="0"/>
              <w:spacing w:line="360" w:lineRule="auto"/>
              <w:jc w:val="left"/>
              <w:textAlignment w:val="center"/>
              <w:rPr>
                <w:rFonts w:hint="eastAsia" w:asciiTheme="minorEastAsia" w:hAnsiTheme="minorEastAsia" w:eastAsiaTheme="minorEastAsia" w:cstheme="minorEastAsia"/>
                <w:b/>
                <w:bCs/>
                <w:color w:val="000000"/>
                <w:kern w:val="0"/>
                <w:sz w:val="24"/>
                <w:highlight w:val="none"/>
                <w:u w:val="none"/>
                <w:lang w:val="en-US" w:eastAsia="zh-CN" w:bidi="ar"/>
              </w:rPr>
            </w:pPr>
            <w:r>
              <w:rPr>
                <w:rFonts w:hint="eastAsia" w:asciiTheme="minorEastAsia" w:hAnsiTheme="minorEastAsia" w:eastAsiaTheme="minorEastAsia" w:cstheme="minorEastAsia"/>
                <w:b/>
                <w:bCs/>
                <w:color w:val="000000"/>
                <w:kern w:val="0"/>
                <w:sz w:val="24"/>
                <w:szCs w:val="24"/>
                <w:highlight w:val="none"/>
                <w:u w:val="none"/>
                <w:lang w:val="en-US" w:eastAsia="zh-CN" w:bidi="ar"/>
              </w:rPr>
              <w:t>五、</w:t>
            </w:r>
            <w:r>
              <w:rPr>
                <w:rFonts w:hint="eastAsia" w:asciiTheme="minorEastAsia" w:hAnsiTheme="minorEastAsia" w:eastAsiaTheme="minorEastAsia" w:cstheme="minorEastAsia"/>
                <w:b/>
                <w:bCs/>
                <w:color w:val="000000"/>
                <w:kern w:val="0"/>
                <w:sz w:val="24"/>
                <w:highlight w:val="none"/>
                <w:u w:val="none"/>
                <w:lang w:val="en-US" w:eastAsia="zh-CN" w:bidi="ar"/>
              </w:rPr>
              <w:t>手持麦（</w:t>
            </w: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数量：</w:t>
            </w:r>
            <w:r>
              <w:rPr>
                <w:rFonts w:hint="eastAsia" w:asciiTheme="minorEastAsia" w:hAnsiTheme="minorEastAsia" w:eastAsiaTheme="minorEastAsia" w:cstheme="minorEastAsia"/>
                <w:b/>
                <w:bCs/>
                <w:color w:val="000000"/>
                <w:kern w:val="0"/>
                <w:sz w:val="24"/>
                <w:highlight w:val="none"/>
                <w:u w:val="none"/>
                <w:lang w:val="en-US" w:eastAsia="zh-CN" w:bidi="ar"/>
              </w:rPr>
              <w:t>20套）</w:t>
            </w:r>
          </w:p>
          <w:p w14:paraId="11899534">
            <w:pPr>
              <w:numPr>
                <w:ilvl w:val="0"/>
                <w:numId w:val="0"/>
              </w:numPr>
              <w:adjustRightInd w:val="0"/>
              <w:snapToGrid w:val="0"/>
              <w:spacing w:line="360" w:lineRule="auto"/>
              <w:rPr>
                <w:rFonts w:hint="eastAsia" w:asciiTheme="minorEastAsia" w:hAnsiTheme="minorEastAsia" w:eastAsiaTheme="minorEastAsia" w:cstheme="minorEastAsia"/>
                <w:color w:val="000000"/>
                <w:kern w:val="0"/>
                <w:sz w:val="24"/>
                <w:highlight w:val="none"/>
                <w:u w:val="none"/>
                <w:lang w:val="en-US" w:eastAsia="zh-CN" w:bidi="ar"/>
              </w:rPr>
            </w:pPr>
            <w:r>
              <w:rPr>
                <w:rFonts w:hint="eastAsia" w:asciiTheme="minorEastAsia" w:hAnsiTheme="minorEastAsia" w:eastAsiaTheme="minorEastAsia" w:cstheme="minorEastAsia"/>
                <w:color w:val="000000"/>
                <w:kern w:val="0"/>
                <w:sz w:val="24"/>
                <w:highlight w:val="none"/>
                <w:u w:val="none"/>
                <w:lang w:val="en-US" w:eastAsia="zh-CN" w:bidi="ar"/>
              </w:rPr>
              <w:t>1、采用UHF数字调制和无线抗干扰编码技术;</w:t>
            </w:r>
          </w:p>
          <w:p w14:paraId="7FC3C533">
            <w:pPr>
              <w:numPr>
                <w:ilvl w:val="0"/>
                <w:numId w:val="0"/>
              </w:numPr>
              <w:adjustRightInd w:val="0"/>
              <w:snapToGrid w:val="0"/>
              <w:spacing w:line="360" w:lineRule="auto"/>
              <w:rPr>
                <w:rFonts w:hint="eastAsia" w:asciiTheme="minorEastAsia" w:hAnsiTheme="minorEastAsia" w:eastAsiaTheme="minorEastAsia" w:cstheme="minorEastAsia"/>
                <w:color w:val="000000"/>
                <w:kern w:val="0"/>
                <w:sz w:val="24"/>
                <w:highlight w:val="none"/>
                <w:u w:val="none"/>
                <w:lang w:val="en-US" w:eastAsia="zh-CN" w:bidi="ar"/>
              </w:rPr>
            </w:pPr>
            <w:r>
              <w:rPr>
                <w:rFonts w:hint="eastAsia" w:asciiTheme="minorEastAsia" w:hAnsiTheme="minorEastAsia" w:eastAsiaTheme="minorEastAsia" w:cstheme="minorEastAsia"/>
                <w:color w:val="000000"/>
                <w:kern w:val="0"/>
                <w:sz w:val="24"/>
                <w:highlight w:val="none"/>
                <w:u w:val="none"/>
                <w:lang w:val="en-US" w:eastAsia="zh-CN" w:bidi="ar"/>
              </w:rPr>
              <w:t>★2、充电底座需集成鹅颈麦克风功能，鹅颈麦克风话筒杆长度可选;（投标人提供承诺函并加盖公章）</w:t>
            </w:r>
          </w:p>
          <w:p w14:paraId="4E9474FB">
            <w:pPr>
              <w:numPr>
                <w:ilvl w:val="0"/>
                <w:numId w:val="0"/>
              </w:numPr>
              <w:adjustRightInd w:val="0"/>
              <w:snapToGrid w:val="0"/>
              <w:spacing w:line="360" w:lineRule="auto"/>
              <w:rPr>
                <w:rFonts w:hint="eastAsia" w:asciiTheme="minorEastAsia" w:hAnsiTheme="minorEastAsia" w:eastAsiaTheme="minorEastAsia" w:cstheme="minorEastAsia"/>
                <w:color w:val="000000"/>
                <w:kern w:val="0"/>
                <w:sz w:val="24"/>
                <w:highlight w:val="none"/>
                <w:u w:val="none"/>
                <w:lang w:val="en-US" w:eastAsia="zh-CN" w:bidi="ar"/>
              </w:rPr>
            </w:pPr>
            <w:r>
              <w:rPr>
                <w:rFonts w:hint="eastAsia" w:asciiTheme="minorEastAsia" w:hAnsiTheme="minorEastAsia" w:eastAsiaTheme="minorEastAsia" w:cstheme="minorEastAsia"/>
                <w:color w:val="000000"/>
                <w:kern w:val="0"/>
                <w:sz w:val="24"/>
                <w:highlight w:val="none"/>
                <w:u w:val="none"/>
                <w:lang w:val="en-US" w:eastAsia="zh-CN" w:bidi="ar"/>
              </w:rPr>
              <w:t>3、话筒插入充电座即可自动完成配对，开机即用。</w:t>
            </w:r>
          </w:p>
          <w:p w14:paraId="0A161758">
            <w:pPr>
              <w:numPr>
                <w:ilvl w:val="0"/>
                <w:numId w:val="0"/>
              </w:numPr>
              <w:adjustRightInd w:val="0"/>
              <w:snapToGrid w:val="0"/>
              <w:spacing w:line="360" w:lineRule="auto"/>
              <w:rPr>
                <w:rFonts w:hint="eastAsia" w:asciiTheme="minorEastAsia" w:hAnsiTheme="minorEastAsia" w:eastAsiaTheme="minorEastAsia" w:cstheme="minorEastAsia"/>
                <w:color w:val="000000"/>
                <w:kern w:val="0"/>
                <w:sz w:val="24"/>
                <w:highlight w:val="none"/>
                <w:u w:val="none"/>
                <w:lang w:val="en-US" w:eastAsia="zh-CN" w:bidi="ar"/>
              </w:rPr>
            </w:pPr>
            <w:r>
              <w:rPr>
                <w:rFonts w:hint="eastAsia" w:asciiTheme="minorEastAsia" w:hAnsiTheme="minorEastAsia" w:eastAsiaTheme="minorEastAsia" w:cstheme="minorEastAsia"/>
                <w:color w:val="000000"/>
                <w:kern w:val="0"/>
                <w:sz w:val="24"/>
                <w:highlight w:val="none"/>
                <w:u w:val="none"/>
                <w:lang w:val="en-US" w:eastAsia="zh-CN" w:bidi="ar"/>
              </w:rPr>
              <w:t>4、无线话筒具备翻页笔和激光笔功能。</w:t>
            </w:r>
          </w:p>
          <w:p w14:paraId="0D9BA64D">
            <w:pPr>
              <w:numPr>
                <w:ilvl w:val="0"/>
                <w:numId w:val="0"/>
              </w:numPr>
              <w:adjustRightInd w:val="0"/>
              <w:snapToGrid w:val="0"/>
              <w:spacing w:line="360" w:lineRule="auto"/>
              <w:rPr>
                <w:rFonts w:hint="eastAsia" w:asciiTheme="minorEastAsia" w:hAnsiTheme="minorEastAsia" w:eastAsiaTheme="minorEastAsia" w:cstheme="minorEastAsia"/>
                <w:color w:val="000000"/>
                <w:kern w:val="0"/>
                <w:sz w:val="24"/>
                <w:highlight w:val="none"/>
                <w:u w:val="none"/>
                <w:lang w:val="en-US" w:eastAsia="zh-CN" w:bidi="ar"/>
              </w:rPr>
            </w:pPr>
            <w:r>
              <w:rPr>
                <w:rFonts w:hint="eastAsia" w:asciiTheme="minorEastAsia" w:hAnsiTheme="minorEastAsia" w:eastAsiaTheme="minorEastAsia" w:cstheme="minorEastAsia"/>
                <w:color w:val="000000"/>
                <w:kern w:val="0"/>
                <w:sz w:val="24"/>
                <w:highlight w:val="none"/>
                <w:u w:val="none"/>
                <w:lang w:val="en-US" w:eastAsia="zh-CN" w:bidi="ar"/>
              </w:rPr>
              <w:t>▲5、充电底座具备物理解锁按键；下课后话筒插入底座自动锁死，防止话筒丢失(投标人提供承诺函并加盖公章）。</w:t>
            </w:r>
          </w:p>
          <w:p w14:paraId="2B4D8741">
            <w:pPr>
              <w:numPr>
                <w:ilvl w:val="0"/>
                <w:numId w:val="0"/>
              </w:numPr>
              <w:adjustRightInd w:val="0"/>
              <w:snapToGrid w:val="0"/>
              <w:spacing w:line="360" w:lineRule="auto"/>
              <w:rPr>
                <w:rFonts w:hint="eastAsia" w:asciiTheme="minorEastAsia" w:hAnsiTheme="minorEastAsia" w:eastAsiaTheme="minorEastAsia" w:cstheme="minorEastAsia"/>
                <w:color w:val="000000"/>
                <w:kern w:val="0"/>
                <w:sz w:val="24"/>
                <w:highlight w:val="none"/>
                <w:u w:val="none"/>
                <w:lang w:val="en-US" w:eastAsia="zh-CN" w:bidi="ar"/>
              </w:rPr>
            </w:pPr>
            <w:r>
              <w:rPr>
                <w:rFonts w:hint="eastAsia" w:asciiTheme="minorEastAsia" w:hAnsiTheme="minorEastAsia" w:eastAsiaTheme="minorEastAsia" w:cstheme="minorEastAsia"/>
                <w:color w:val="000000"/>
                <w:kern w:val="0"/>
                <w:sz w:val="24"/>
                <w:highlight w:val="none"/>
                <w:u w:val="none"/>
                <w:lang w:val="en-US" w:eastAsia="zh-CN" w:bidi="ar"/>
              </w:rPr>
              <w:t>6、具备归还语音提示功能，下课时老师未将无线麦克风插入底座可向功放设备输出归还提示语音;</w:t>
            </w:r>
          </w:p>
          <w:p w14:paraId="36C6B2E8">
            <w:pPr>
              <w:numPr>
                <w:ilvl w:val="0"/>
                <w:numId w:val="0"/>
              </w:numPr>
              <w:adjustRightInd w:val="0"/>
              <w:snapToGrid w:val="0"/>
              <w:spacing w:line="360" w:lineRule="auto"/>
              <w:rPr>
                <w:rFonts w:hint="eastAsia" w:asciiTheme="minorEastAsia" w:hAnsiTheme="minorEastAsia" w:eastAsiaTheme="minorEastAsia" w:cstheme="minorEastAsia"/>
                <w:color w:val="000000"/>
                <w:kern w:val="0"/>
                <w:sz w:val="24"/>
                <w:highlight w:val="none"/>
                <w:u w:val="none"/>
                <w:lang w:val="en-US" w:eastAsia="zh-CN" w:bidi="ar"/>
              </w:rPr>
            </w:pPr>
            <w:r>
              <w:rPr>
                <w:rFonts w:hint="eastAsia" w:asciiTheme="minorEastAsia" w:hAnsiTheme="minorEastAsia" w:eastAsiaTheme="minorEastAsia" w:cstheme="minorEastAsia"/>
                <w:color w:val="000000"/>
                <w:kern w:val="0"/>
                <w:sz w:val="24"/>
                <w:highlight w:val="none"/>
                <w:u w:val="none"/>
                <w:lang w:val="en-US" w:eastAsia="zh-CN" w:bidi="ar"/>
              </w:rPr>
              <w:t>7、支持上传充电状态、电池电量及未归还提醒等信息;</w:t>
            </w:r>
          </w:p>
          <w:p w14:paraId="5CD7E26A">
            <w:pPr>
              <w:numPr>
                <w:ilvl w:val="0"/>
                <w:numId w:val="0"/>
              </w:numPr>
              <w:adjustRightInd w:val="0"/>
              <w:snapToGrid w:val="0"/>
              <w:spacing w:line="360" w:lineRule="auto"/>
              <w:rPr>
                <w:rFonts w:hint="eastAsia" w:asciiTheme="minorEastAsia" w:hAnsiTheme="minorEastAsia" w:eastAsiaTheme="minorEastAsia" w:cstheme="minorEastAsia"/>
                <w:color w:val="000000"/>
                <w:kern w:val="0"/>
                <w:sz w:val="24"/>
                <w:highlight w:val="none"/>
                <w:u w:val="none"/>
                <w:lang w:val="en-US" w:eastAsia="zh-CN" w:bidi="ar"/>
              </w:rPr>
            </w:pPr>
            <w:r>
              <w:rPr>
                <w:rFonts w:hint="eastAsia" w:asciiTheme="minorEastAsia" w:hAnsiTheme="minorEastAsia" w:eastAsiaTheme="minorEastAsia" w:cstheme="minorEastAsia"/>
                <w:color w:val="000000"/>
                <w:kern w:val="0"/>
                <w:sz w:val="24"/>
                <w:highlight w:val="none"/>
                <w:u w:val="none"/>
                <w:lang w:val="en-US" w:eastAsia="zh-CN" w:bidi="ar"/>
              </w:rPr>
              <w:t>8、通过中控可以远程获知和管理话筒当前状态、电池电量及未归还提醒等功能;</w:t>
            </w:r>
          </w:p>
          <w:p w14:paraId="02AB04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color w:val="000000"/>
                <w:kern w:val="0"/>
                <w:sz w:val="24"/>
                <w:highlight w:val="none"/>
                <w:u w:val="none"/>
                <w:lang w:val="en-US" w:eastAsia="zh-CN" w:bidi="ar"/>
              </w:rPr>
            </w:pPr>
            <w:r>
              <w:rPr>
                <w:rFonts w:hint="eastAsia" w:asciiTheme="minorEastAsia" w:hAnsiTheme="minorEastAsia" w:eastAsiaTheme="minorEastAsia" w:cstheme="minorEastAsia"/>
                <w:color w:val="000000"/>
                <w:kern w:val="0"/>
                <w:sz w:val="24"/>
                <w:highlight w:val="none"/>
                <w:u w:val="none"/>
                <w:lang w:val="en-US" w:eastAsia="zh-CN" w:bidi="ar"/>
              </w:rPr>
              <w:t>▲9、为保证桌面整洁减少外露线缆，设备支持单线连接功放设备(投标人提供承诺函并加盖公章）</w:t>
            </w:r>
          </w:p>
          <w:p w14:paraId="37DDA8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六、配套辅材（数量：60套）</w:t>
            </w:r>
          </w:p>
          <w:p w14:paraId="59AB91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每间扩容智慧教学设备的安装施工，包含但不限于以下配套辅材：</w:t>
            </w:r>
          </w:p>
          <w:p w14:paraId="28DE29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default"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1、</w:t>
            </w:r>
            <w:r>
              <w:rPr>
                <w:rFonts w:hint="default" w:asciiTheme="minorEastAsia" w:hAnsiTheme="minorEastAsia" w:eastAsiaTheme="minorEastAsia" w:cstheme="minorEastAsia"/>
                <w:b w:val="0"/>
                <w:bCs w:val="0"/>
                <w:i w:val="0"/>
                <w:iCs w:val="0"/>
                <w:color w:val="auto"/>
                <w:kern w:val="0"/>
                <w:sz w:val="24"/>
                <w:szCs w:val="24"/>
                <w:highlight w:val="none"/>
                <w:u w:val="none"/>
                <w:lang w:val="en-US" w:eastAsia="zh-CN" w:bidi="ar"/>
              </w:rPr>
              <w:t>网络与电源管理：根据教室实际使用需求，配置8口POE交换机及机柜专用PDU电源插座。</w:t>
            </w:r>
          </w:p>
          <w:p w14:paraId="5788ED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2、</w:t>
            </w:r>
            <w:r>
              <w:rPr>
                <w:rFonts w:hint="default" w:asciiTheme="minorEastAsia" w:hAnsiTheme="minorEastAsia" w:eastAsiaTheme="minorEastAsia" w:cstheme="minorEastAsia"/>
                <w:b w:val="0"/>
                <w:bCs w:val="0"/>
                <w:i w:val="0"/>
                <w:iCs w:val="0"/>
                <w:color w:val="auto"/>
                <w:kern w:val="0"/>
                <w:sz w:val="24"/>
                <w:szCs w:val="24"/>
                <w:highlight w:val="none"/>
                <w:u w:val="none"/>
                <w:lang w:val="en-US" w:eastAsia="zh-CN" w:bidi="ar"/>
              </w:rPr>
              <w:t>线材与连接件</w:t>
            </w: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：安装支架、吊扣、水晶头、接线器、≥128编话筒线、≥2*200芯无氧铜音响线，音频线、网线、高清线、电源线等线材和接头。</w:t>
            </w:r>
          </w:p>
          <w:p w14:paraId="04FAD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default" w:asciiTheme="minorEastAsia" w:hAnsiTheme="minorEastAsia" w:eastAsiaTheme="minorEastAsia" w:cstheme="minorEastAsia"/>
                <w:b/>
                <w:bCs/>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bCs/>
                <w:i w:val="0"/>
                <w:iCs w:val="0"/>
                <w:color w:val="auto"/>
                <w:kern w:val="0"/>
                <w:sz w:val="24"/>
                <w:szCs w:val="24"/>
                <w:highlight w:val="none"/>
                <w:u w:val="none"/>
                <w:lang w:val="en-US" w:eastAsia="zh-CN" w:bidi="ar"/>
              </w:rPr>
              <w:t>七、施工要求</w:t>
            </w:r>
          </w:p>
          <w:p w14:paraId="2585BC6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t>★本项目智慧教学设备集成建设工作，除完成本包对应的集</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成建设工作外，同时须按照校方要求对校方现有的讲台改造施工，并确保讲台内部线路布设做到合理、美观、易维护。（投标人提供承诺函并加盖公章）</w:t>
            </w:r>
          </w:p>
        </w:tc>
        <w:tc>
          <w:tcPr>
            <w:tcW w:w="850" w:type="dxa"/>
            <w:shd w:val="clear" w:color="auto" w:fill="auto"/>
            <w:vAlign w:val="center"/>
          </w:tcPr>
          <w:p w14:paraId="022009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1</w:t>
            </w:r>
          </w:p>
        </w:tc>
        <w:tc>
          <w:tcPr>
            <w:tcW w:w="850" w:type="dxa"/>
            <w:shd w:val="clear" w:color="auto" w:fill="auto"/>
            <w:vAlign w:val="center"/>
          </w:tcPr>
          <w:p w14:paraId="2CCBD4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套</w:t>
            </w:r>
          </w:p>
        </w:tc>
      </w:tr>
      <w:tr w14:paraId="0FE7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13" w:hRule="atLeast"/>
          <w:jc w:val="center"/>
        </w:trPr>
        <w:tc>
          <w:tcPr>
            <w:tcW w:w="850" w:type="dxa"/>
            <w:shd w:val="clear" w:color="auto" w:fill="auto"/>
            <w:vAlign w:val="center"/>
          </w:tcPr>
          <w:p w14:paraId="33FDFF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3</w:t>
            </w:r>
          </w:p>
        </w:tc>
        <w:tc>
          <w:tcPr>
            <w:tcW w:w="1247" w:type="dxa"/>
            <w:shd w:val="clear" w:color="auto" w:fill="auto"/>
            <w:vAlign w:val="center"/>
          </w:tcPr>
          <w:p w14:paraId="1009D0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调频广播发射机（核心产品）</w:t>
            </w:r>
          </w:p>
        </w:tc>
        <w:tc>
          <w:tcPr>
            <w:tcW w:w="10205" w:type="dxa"/>
            <w:shd w:val="clear" w:color="auto" w:fill="auto"/>
            <w:vAlign w:val="center"/>
          </w:tcPr>
          <w:p w14:paraId="534E59B8">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1、▲发射功率：300W±10%；</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（投标人提供承诺函并加盖公章）</w:t>
            </w:r>
          </w:p>
          <w:p w14:paraId="20607701">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2、发射频率：70-90MHz(可定制）；供电电源：AC220V；频率容限±1000Hz；</w:t>
            </w:r>
          </w:p>
          <w:p w14:paraId="1B0680C3">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占用带宽：≤256kHz；杂散发射限值：≤-60dB；前后面板全中文标识，开机无延时；</w:t>
            </w:r>
          </w:p>
          <w:p w14:paraId="235C42BB">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3、▲前面板具备1路6.5MM音频输入接口，该接口具备优先执行功能。接入后，后面板音频输入端口自动断开。</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（投标人提供承诺函并加盖公章）</w:t>
            </w:r>
          </w:p>
          <w:p w14:paraId="2EC5B3C9">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4、具备1路6.5MM话筒输入接口，和话筒音量调节旋钮；须具备旋钮式功能调节按钮，可调节发射频率、发射功率、音量大小；具备过流、过压、过温、过功率、驻波比过大报警及保护功能；液晶显示屏，可显示发射功率、反射功率、频率、驻波、功放温度，音量大小等信息；采用铝合金散热器和静音风扇设计即提供良好散热又能降低机器噪音，方便考试监听；</w:t>
            </w:r>
          </w:p>
          <w:p w14:paraId="657602B5">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宋体" w:hAnsi="宋体" w:eastAsia="宋体" w:cs="宋体"/>
                <w:sz w:val="24"/>
                <w:szCs w:val="24"/>
                <w:highlight w:val="none"/>
                <w:u w:val="none"/>
                <w:lang w:val="en-US" w:eastAsia="zh-CN"/>
              </w:rPr>
            </w:pPr>
            <w:r>
              <w:rPr>
                <w:rFonts w:hint="eastAsia" w:ascii="宋体" w:hAnsi="宋体" w:eastAsia="宋体" w:cs="宋体"/>
                <w:sz w:val="24"/>
                <w:szCs w:val="24"/>
                <w:highlight w:val="none"/>
                <w:u w:val="none"/>
                <w:lang w:val="en-US" w:eastAsia="zh-CN"/>
              </w:rPr>
              <w:t>5、▲具备U盘接入口，和MP3格式文件播放功能；设有独立的U盘播放/暂停、上一曲、下一曲控制按键。</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（投标人提供承诺函并加盖公章）</w:t>
            </w:r>
          </w:p>
          <w:p w14:paraId="5DE398FC">
            <w:pPr>
              <w:pStyle w:val="11"/>
              <w:widowControl/>
              <w:autoSpaceDE/>
              <w:autoSpaceDN/>
              <w:snapToGrid w:val="0"/>
              <w:spacing w:line="360" w:lineRule="auto"/>
              <w:ind w:firstLine="0"/>
              <w:jc w:val="both"/>
              <w:textAlignment w:val="auto"/>
              <w:rPr>
                <w:rFonts w:hint="eastAsia" w:asciiTheme="minorEastAsia" w:hAnsiTheme="minorEastAsia" w:eastAsiaTheme="minorEastAsia" w:cstheme="minorEastAsia"/>
                <w:sz w:val="24"/>
                <w:szCs w:val="24"/>
                <w:highlight w:val="none"/>
                <w:u w:val="none"/>
                <w:lang w:val="en-US" w:eastAsia="zh-CN"/>
              </w:rPr>
            </w:pPr>
            <w:r>
              <w:rPr>
                <w:rFonts w:hint="eastAsia" w:ascii="宋体" w:hAnsi="宋体" w:eastAsia="宋体" w:cs="宋体"/>
                <w:sz w:val="24"/>
                <w:szCs w:val="24"/>
                <w:highlight w:val="none"/>
                <w:u w:val="none"/>
                <w:lang w:val="en-US" w:eastAsia="zh-CN"/>
              </w:rPr>
              <w:t>6、音频输入接口：≥1组RCA双莲花模拟音频输入接口；射频输出接口：N型</w:t>
            </w:r>
          </w:p>
        </w:tc>
        <w:tc>
          <w:tcPr>
            <w:tcW w:w="850" w:type="dxa"/>
            <w:shd w:val="clear" w:color="auto" w:fill="auto"/>
            <w:vAlign w:val="center"/>
          </w:tcPr>
          <w:p w14:paraId="28E238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default"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2</w:t>
            </w:r>
          </w:p>
        </w:tc>
        <w:tc>
          <w:tcPr>
            <w:tcW w:w="850" w:type="dxa"/>
            <w:shd w:val="clear" w:color="auto" w:fill="auto"/>
            <w:vAlign w:val="center"/>
          </w:tcPr>
          <w:p w14:paraId="63D922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default"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套</w:t>
            </w:r>
          </w:p>
        </w:tc>
      </w:tr>
      <w:tr w14:paraId="1833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13" w:hRule="atLeast"/>
          <w:jc w:val="center"/>
        </w:trPr>
        <w:tc>
          <w:tcPr>
            <w:tcW w:w="850" w:type="dxa"/>
            <w:shd w:val="clear" w:color="auto" w:fill="auto"/>
            <w:vAlign w:val="center"/>
          </w:tcPr>
          <w:p w14:paraId="47AEA3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default"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4</w:t>
            </w:r>
          </w:p>
        </w:tc>
        <w:tc>
          <w:tcPr>
            <w:tcW w:w="1247" w:type="dxa"/>
            <w:shd w:val="clear" w:color="auto" w:fill="auto"/>
            <w:vAlign w:val="center"/>
          </w:tcPr>
          <w:p w14:paraId="10D688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无线听力设备</w:t>
            </w:r>
          </w:p>
        </w:tc>
        <w:tc>
          <w:tcPr>
            <w:tcW w:w="10205" w:type="dxa"/>
            <w:shd w:val="clear" w:color="auto" w:fill="auto"/>
            <w:vAlign w:val="center"/>
          </w:tcPr>
          <w:p w14:paraId="7FAF25B5">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b/>
                <w:bCs/>
                <w:sz w:val="24"/>
                <w:szCs w:val="24"/>
                <w:highlight w:val="none"/>
                <w:u w:val="none"/>
                <w:lang w:val="en-US" w:eastAsia="zh-CN"/>
              </w:rPr>
            </w:pPr>
            <w:r>
              <w:rPr>
                <w:rFonts w:hint="eastAsia" w:asciiTheme="minorEastAsia" w:hAnsiTheme="minorEastAsia" w:eastAsiaTheme="minorEastAsia" w:cstheme="minorEastAsia"/>
                <w:b/>
                <w:bCs/>
                <w:sz w:val="24"/>
                <w:szCs w:val="24"/>
                <w:highlight w:val="none"/>
                <w:u w:val="none"/>
                <w:lang w:val="en-US" w:eastAsia="zh-CN"/>
              </w:rPr>
              <w:t>一、天线（数量：2根）</w:t>
            </w:r>
          </w:p>
          <w:p w14:paraId="141197E4">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1、天线主杆采用不小于50*50*1.2mm不锈钢方管，中空结构；</w:t>
            </w:r>
          </w:p>
          <w:p w14:paraId="45F534B2">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2、两端采用环氧板防水密封，天线尾部有防水帽沿结构。</w:t>
            </w:r>
          </w:p>
          <w:p w14:paraId="22A54CFC">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3、天线振子：采用直径不小于25mm，厚度不小于1.2mm不锈钢材质圆管制作，不锈钢螺母焊接，表面采用抗氧化处理，保证信号的高效发射。</w:t>
            </w:r>
          </w:p>
          <w:p w14:paraId="7A813322">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4、天线阻抗：50Ω±1%</w:t>
            </w:r>
          </w:p>
          <w:p w14:paraId="4D4F5E21">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b/>
                <w:bCs/>
                <w:sz w:val="24"/>
                <w:szCs w:val="24"/>
                <w:highlight w:val="none"/>
                <w:u w:val="none"/>
                <w:lang w:val="en-US" w:eastAsia="zh-CN"/>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二、</w:t>
            </w:r>
            <w:r>
              <w:rPr>
                <w:rFonts w:hint="eastAsia" w:asciiTheme="minorEastAsia" w:hAnsiTheme="minorEastAsia" w:eastAsiaTheme="minorEastAsia" w:cstheme="minorEastAsia"/>
                <w:b/>
                <w:bCs/>
                <w:sz w:val="24"/>
                <w:szCs w:val="24"/>
                <w:highlight w:val="none"/>
                <w:u w:val="none"/>
                <w:lang w:val="en-US" w:eastAsia="zh-CN"/>
              </w:rPr>
              <w:t>馈线（数量：2根）</w:t>
            </w:r>
          </w:p>
          <w:p w14:paraId="1E877344">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1、内导体规格mm：≥7根*直径0.95MM纯铜材质；绝缘外径mm：9.00±0.30；外导体编制密度：≥90%；护套外径mm：12.2±0.40；特性阻抗：50±2Ω；馈线长度：标配≥25米，根据实际所需配备，两端带N型连接头。</w:t>
            </w:r>
          </w:p>
          <w:p w14:paraId="4090EACB">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b/>
                <w:bCs/>
                <w:sz w:val="24"/>
                <w:szCs w:val="24"/>
                <w:highlight w:val="none"/>
                <w:u w:val="none"/>
                <w:lang w:val="en-US" w:eastAsia="zh-CN"/>
              </w:rPr>
            </w:pPr>
            <w:r>
              <w:rPr>
                <w:rFonts w:hint="eastAsia" w:asciiTheme="minorEastAsia" w:hAnsiTheme="minorEastAsia" w:eastAsiaTheme="minorEastAsia" w:cstheme="minorEastAsia"/>
                <w:b/>
                <w:bCs/>
                <w:sz w:val="24"/>
                <w:szCs w:val="24"/>
                <w:highlight w:val="none"/>
                <w:u w:val="none"/>
                <w:lang w:val="en-US" w:eastAsia="zh-CN"/>
              </w:rPr>
              <w:t>三、避雷针（数量：2根）</w:t>
            </w:r>
          </w:p>
          <w:p w14:paraId="4AE2ADDB">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1、避雷针高度:≥1.1m ；不锈钢管直径：≥32mm；避雷实心杆直径：≥16mm；避雷方式：被动避雷；天线桅杆高度：由四节镀锌圆管加限位螺杆组成，最长拉伸长度≥5.3米。</w:t>
            </w:r>
          </w:p>
          <w:p w14:paraId="204234F3">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b/>
                <w:bCs/>
                <w:sz w:val="24"/>
                <w:szCs w:val="24"/>
                <w:highlight w:val="none"/>
                <w:u w:val="none"/>
                <w:lang w:val="en-US" w:eastAsia="zh-CN"/>
              </w:rPr>
            </w:pPr>
            <w:r>
              <w:rPr>
                <w:rFonts w:hint="eastAsia" w:asciiTheme="minorEastAsia" w:hAnsiTheme="minorEastAsia" w:eastAsiaTheme="minorEastAsia" w:cstheme="minorEastAsia"/>
                <w:b/>
                <w:bCs/>
                <w:sz w:val="24"/>
                <w:szCs w:val="24"/>
                <w:highlight w:val="none"/>
                <w:u w:val="none"/>
                <w:lang w:val="en-US" w:eastAsia="zh-CN"/>
              </w:rPr>
              <w:t>四、应急切换机（数量：1台）</w:t>
            </w:r>
          </w:p>
          <w:p w14:paraId="78342E6A">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1、面板设有电源总开关，可一键断开所有接入设备电源；</w:t>
            </w:r>
          </w:p>
          <w:p w14:paraId="6369881C">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2、面板有3路音源切换按键和3路发射机电源选择按键，并保持只有一路音频输入和1路发射机电源输出，确保不会双音源播出，也不会同时开启2台发射机造成同频干扰</w:t>
            </w:r>
          </w:p>
          <w:p w14:paraId="0971D428">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3、面板有单独的1键音源输入全关按键和发射设备电源一键全关按键；</w:t>
            </w:r>
          </w:p>
          <w:p w14:paraId="48AB95EB">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4、▲面板具备主、备两组电路组件，和主备电源模块，并通过单刀双掷开关进行切换，当一组发生故障，可以一键切换到另一组控制，提高设备的可靠性。主、备电路组件均包含电源输出矩阵与音源输入矩阵，电源输出矩阵与电源输出接口连接，音源输入矩阵分别与音源接口和发射机的音源输入端连接；</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（投标人提供承诺函并加盖公章）</w:t>
            </w:r>
          </w:p>
          <w:p w14:paraId="33B9A86B">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5、面板各路音频输入按键和射频输入按键上方有各路工作状态指示灯；</w:t>
            </w:r>
          </w:p>
          <w:p w14:paraId="750791C3">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6、面板带有6路220V交流电插座，每路电源插座可同时接入1个3项和1个2项插头，其中3路是持续供电，3路为受控供电；</w:t>
            </w:r>
          </w:p>
          <w:p w14:paraId="4D32B460">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7、面板带有3路RCA左右声道音源输入插孔和3路RCA左右声道音源输出插孔；</w:t>
            </w:r>
          </w:p>
          <w:p w14:paraId="510BF0FC">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8、各路控制按键带有记忆功能，断电开启后自动记忆上次关闭前的选择；</w:t>
            </w:r>
          </w:p>
          <w:p w14:paraId="52603E92">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sz w:val="24"/>
                <w:szCs w:val="24"/>
                <w:highlight w:val="none"/>
                <w:u w:val="none"/>
                <w:lang w:val="en-US" w:eastAsia="zh-CN"/>
              </w:rPr>
            </w:pPr>
            <w:r>
              <w:rPr>
                <w:rFonts w:hint="eastAsia" w:asciiTheme="minorEastAsia" w:hAnsiTheme="minorEastAsia" w:eastAsiaTheme="minorEastAsia" w:cstheme="minorEastAsia"/>
                <w:sz w:val="24"/>
                <w:szCs w:val="24"/>
                <w:highlight w:val="none"/>
                <w:u w:val="none"/>
                <w:lang w:val="en-US" w:eastAsia="zh-CN"/>
              </w:rPr>
              <w:t>9、电源：220V±10%；</w:t>
            </w:r>
          </w:p>
          <w:p w14:paraId="09756C01">
            <w:pPr>
              <w:pStyle w:val="11"/>
              <w:keepNext w:val="0"/>
              <w:keepLines w:val="0"/>
              <w:pageBreakBefore w:val="0"/>
              <w:kinsoku/>
              <w:wordWrap/>
              <w:overflowPunct/>
              <w:topLinePunct w:val="0"/>
              <w:autoSpaceDE/>
              <w:autoSpaceDN/>
              <w:bidi w:val="0"/>
              <w:adjustRightInd w:val="0"/>
              <w:snapToGrid w:val="0"/>
              <w:spacing w:line="360" w:lineRule="auto"/>
              <w:ind w:firstLine="0" w:firstLineChars="0"/>
              <w:jc w:val="both"/>
              <w:rPr>
                <w:rFonts w:hint="eastAsia" w:asciiTheme="minorEastAsia" w:hAnsiTheme="minorEastAsia" w:eastAsiaTheme="minorEastAsia" w:cstheme="minorEastAsia"/>
                <w:b/>
                <w:bCs/>
                <w:sz w:val="24"/>
                <w:szCs w:val="24"/>
                <w:highlight w:val="none"/>
                <w:u w:val="none"/>
                <w:lang w:val="en-US" w:eastAsia="zh-CN"/>
              </w:rPr>
            </w:pPr>
            <w:r>
              <w:rPr>
                <w:rFonts w:hint="eastAsia" w:asciiTheme="minorEastAsia" w:hAnsiTheme="minorEastAsia" w:eastAsiaTheme="minorEastAsia" w:cstheme="minorEastAsia"/>
                <w:b/>
                <w:bCs/>
                <w:sz w:val="24"/>
                <w:szCs w:val="24"/>
                <w:highlight w:val="none"/>
                <w:u w:val="none"/>
                <w:lang w:val="en-US" w:eastAsia="zh-CN"/>
              </w:rPr>
              <w:t>五、调频耳机（数量：200个）</w:t>
            </w:r>
          </w:p>
          <w:p w14:paraId="7FE14166">
            <w:pPr>
              <w:pStyle w:val="11"/>
              <w:widowControl/>
              <w:autoSpaceDE/>
              <w:autoSpaceDN/>
              <w:snapToGrid w:val="0"/>
              <w:spacing w:line="360" w:lineRule="auto"/>
              <w:ind w:firstLine="0"/>
              <w:jc w:val="both"/>
              <w:textAlignment w:val="auto"/>
              <w:rPr>
                <w:rFonts w:hint="eastAsia" w:asciiTheme="minorEastAsia" w:hAnsiTheme="minorEastAsia" w:eastAsiaTheme="minorEastAsia" w:cstheme="minorEastAsia"/>
                <w:b w:val="0"/>
                <w:bCs w:val="0"/>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sz w:val="24"/>
                <w:szCs w:val="24"/>
                <w:highlight w:val="none"/>
                <w:u w:val="none"/>
                <w:lang w:val="en-US" w:eastAsia="zh-CN"/>
              </w:rPr>
              <w:t>1、调频耳机参数：频率范围：FM65－108MHz ；整机谐波失真：≤10%；灵敏度：≤40μV；信噪比：≥34dB；额定输出功率 ：10mW；静态电流：≤10mA；最大输出功率：15mW；整机使用两节5号标准干电池；工作电压DC3V。</w:t>
            </w:r>
          </w:p>
        </w:tc>
        <w:tc>
          <w:tcPr>
            <w:tcW w:w="850" w:type="dxa"/>
            <w:shd w:val="clear" w:color="auto" w:fill="auto"/>
            <w:vAlign w:val="center"/>
          </w:tcPr>
          <w:p w14:paraId="3B38BA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default"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1</w:t>
            </w:r>
          </w:p>
        </w:tc>
        <w:tc>
          <w:tcPr>
            <w:tcW w:w="850" w:type="dxa"/>
            <w:shd w:val="clear" w:color="auto" w:fill="auto"/>
            <w:vAlign w:val="center"/>
          </w:tcPr>
          <w:p w14:paraId="194A22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rPr>
                <w:rFonts w:hint="default" w:asciiTheme="minorEastAsia" w:hAnsiTheme="minorEastAsia" w:eastAsiaTheme="minorEastAsia" w:cstheme="minorEastAsia"/>
                <w:b w:val="0"/>
                <w:bCs w:val="0"/>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套</w:t>
            </w:r>
          </w:p>
        </w:tc>
      </w:tr>
      <w:tr w14:paraId="3E67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jc w:val="center"/>
        </w:trPr>
        <w:tc>
          <w:tcPr>
            <w:tcW w:w="14002" w:type="dxa"/>
            <w:gridSpan w:val="5"/>
            <w:shd w:val="clear" w:color="auto" w:fill="auto"/>
            <w:vAlign w:val="center"/>
          </w:tcPr>
          <w:p w14:paraId="5E39A5DD">
            <w:pPr>
              <w:keepNext w:val="0"/>
              <w:keepLines w:val="0"/>
              <w:widowControl/>
              <w:suppressLineNumbers w:val="0"/>
              <w:adjustRightInd w:val="0"/>
              <w:snapToGrid w:val="0"/>
              <w:spacing w:before="0" w:beforeAutospacing="0" w:after="0" w:afterAutospacing="0" w:line="360" w:lineRule="auto"/>
              <w:ind w:left="0" w:leftChars="0" w:right="0" w:firstLine="0" w:firstLineChars="0"/>
              <w:jc w:val="left"/>
              <w:textAlignment w:val="center"/>
              <w:rPr>
                <w:rFonts w:hint="eastAsia" w:ascii="宋体" w:hAnsi="宋体" w:eastAsia="宋体" w:cs="宋体"/>
                <w:b w:val="0"/>
                <w:bCs w:val="0"/>
                <w:color w:val="000000"/>
                <w:kern w:val="0"/>
                <w:sz w:val="24"/>
                <w:szCs w:val="24"/>
                <w:highlight w:val="none"/>
                <w:u w:val="none"/>
                <w:lang w:val="en-US" w:eastAsia="zh-CN" w:bidi="ar"/>
              </w:rPr>
            </w:pPr>
            <w:r>
              <w:rPr>
                <w:rFonts w:hint="eastAsia" w:ascii="宋体" w:hAnsi="宋体" w:eastAsia="宋体" w:cs="宋体"/>
                <w:b w:val="0"/>
                <w:bCs w:val="0"/>
                <w:color w:val="000000"/>
                <w:kern w:val="0"/>
                <w:sz w:val="24"/>
                <w:szCs w:val="24"/>
                <w:highlight w:val="none"/>
                <w:u w:val="none"/>
                <w:lang w:val="en-US" w:eastAsia="zh-CN" w:bidi="ar"/>
              </w:rPr>
              <w:t xml:space="preserve">1.施工完成后，房屋地面必须平整、光洁，不能妨碍设备和器材的搬运;锁具和钥匙必须齐全。 </w:t>
            </w:r>
          </w:p>
          <w:p w14:paraId="34D2FD10">
            <w:pPr>
              <w:keepNext w:val="0"/>
              <w:keepLines w:val="0"/>
              <w:widowControl/>
              <w:suppressLineNumbers w:val="0"/>
              <w:adjustRightInd w:val="0"/>
              <w:snapToGrid w:val="0"/>
              <w:spacing w:before="0" w:beforeAutospacing="0" w:after="0" w:afterAutospacing="0" w:line="360" w:lineRule="auto"/>
              <w:ind w:left="0" w:leftChars="0" w:right="0" w:firstLine="0" w:firstLineChars="0"/>
              <w:jc w:val="left"/>
              <w:textAlignment w:val="center"/>
              <w:rPr>
                <w:rFonts w:hint="eastAsia" w:ascii="宋体" w:hAnsi="宋体" w:eastAsia="宋体" w:cs="宋体"/>
                <w:b w:val="0"/>
                <w:bCs w:val="0"/>
                <w:color w:val="000000"/>
                <w:kern w:val="0"/>
                <w:sz w:val="24"/>
                <w:szCs w:val="24"/>
                <w:highlight w:val="none"/>
                <w:u w:val="none"/>
                <w:lang w:val="en-US" w:eastAsia="zh-CN" w:bidi="ar"/>
              </w:rPr>
            </w:pPr>
            <w:r>
              <w:rPr>
                <w:rFonts w:hint="eastAsia" w:ascii="宋体" w:hAnsi="宋体" w:eastAsia="宋体" w:cs="宋体"/>
                <w:b w:val="0"/>
                <w:bCs w:val="0"/>
                <w:color w:val="000000"/>
                <w:kern w:val="0"/>
                <w:sz w:val="24"/>
                <w:szCs w:val="24"/>
                <w:highlight w:val="none"/>
                <w:u w:val="none"/>
                <w:lang w:val="en-US" w:eastAsia="zh-CN" w:bidi="ar"/>
              </w:rPr>
              <w:t>2.房屋预埋地槽、暗管及孔洞和竖井的位置、数量、尺寸必须均符合设计要求</w:t>
            </w:r>
            <w:r>
              <w:rPr>
                <w:rFonts w:hint="eastAsia" w:ascii="宋体" w:hAnsi="宋体" w:cs="宋体"/>
                <w:b w:val="0"/>
                <w:bCs w:val="0"/>
                <w:color w:val="000000"/>
                <w:kern w:val="0"/>
                <w:sz w:val="24"/>
                <w:szCs w:val="24"/>
                <w:highlight w:val="none"/>
                <w:u w:val="none"/>
                <w:lang w:val="en-US" w:eastAsia="zh-CN" w:bidi="ar"/>
              </w:rPr>
              <w:t>。</w:t>
            </w:r>
            <w:r>
              <w:rPr>
                <w:rFonts w:hint="eastAsia" w:ascii="宋体" w:hAnsi="宋体" w:eastAsia="宋体" w:cs="宋体"/>
                <w:b w:val="0"/>
                <w:bCs w:val="0"/>
                <w:color w:val="000000"/>
                <w:kern w:val="0"/>
                <w:sz w:val="24"/>
                <w:szCs w:val="24"/>
                <w:highlight w:val="none"/>
                <w:u w:val="none"/>
                <w:lang w:val="en-US" w:eastAsia="zh-CN" w:bidi="ar"/>
              </w:rPr>
              <w:t xml:space="preserve"> </w:t>
            </w:r>
          </w:p>
          <w:p w14:paraId="28508A1E">
            <w:pPr>
              <w:keepNext w:val="0"/>
              <w:keepLines w:val="0"/>
              <w:widowControl/>
              <w:suppressLineNumbers w:val="0"/>
              <w:adjustRightInd w:val="0"/>
              <w:snapToGrid w:val="0"/>
              <w:spacing w:before="0" w:beforeAutospacing="0" w:after="0" w:afterAutospacing="0" w:line="360" w:lineRule="auto"/>
              <w:ind w:left="0" w:leftChars="0" w:right="0" w:firstLine="0" w:firstLineChars="0"/>
              <w:jc w:val="left"/>
              <w:textAlignment w:val="center"/>
              <w:rPr>
                <w:rFonts w:hint="eastAsia" w:ascii="宋体" w:hAnsi="宋体" w:eastAsia="宋体" w:cs="宋体"/>
                <w:b w:val="0"/>
                <w:bCs w:val="0"/>
                <w:color w:val="000000"/>
                <w:kern w:val="0"/>
                <w:sz w:val="24"/>
                <w:szCs w:val="24"/>
                <w:highlight w:val="none"/>
                <w:u w:val="none"/>
                <w:lang w:val="en-US" w:eastAsia="zh-CN" w:bidi="ar"/>
              </w:rPr>
            </w:pPr>
            <w:r>
              <w:rPr>
                <w:rFonts w:hint="eastAsia" w:ascii="宋体" w:hAnsi="宋体" w:eastAsia="宋体" w:cs="宋体"/>
                <w:b w:val="0"/>
                <w:bCs w:val="0"/>
                <w:color w:val="000000"/>
                <w:kern w:val="0"/>
                <w:sz w:val="24"/>
                <w:szCs w:val="24"/>
                <w:highlight w:val="none"/>
                <w:u w:val="none"/>
                <w:lang w:val="en-US" w:eastAsia="zh-CN" w:bidi="ar"/>
              </w:rPr>
              <w:t xml:space="preserve">3.提供可靠的接地装置，设置接地体时，接地电阻值及接地装置必须符合设计要求。 </w:t>
            </w:r>
          </w:p>
          <w:p w14:paraId="48EAD176">
            <w:pPr>
              <w:keepNext w:val="0"/>
              <w:keepLines w:val="0"/>
              <w:widowControl/>
              <w:suppressLineNumbers w:val="0"/>
              <w:adjustRightInd w:val="0"/>
              <w:snapToGrid w:val="0"/>
              <w:spacing w:before="0" w:beforeAutospacing="0" w:after="0" w:afterAutospacing="0" w:line="360" w:lineRule="auto"/>
              <w:ind w:left="0" w:leftChars="0" w:right="0" w:firstLine="0" w:firstLineChars="0"/>
              <w:jc w:val="left"/>
              <w:textAlignment w:val="center"/>
              <w:rPr>
                <w:rFonts w:hint="eastAsia" w:ascii="宋体" w:hAnsi="宋体" w:eastAsia="宋体" w:cs="宋体"/>
                <w:b w:val="0"/>
                <w:bCs w:val="0"/>
                <w:color w:val="000000"/>
                <w:kern w:val="0"/>
                <w:sz w:val="24"/>
                <w:szCs w:val="24"/>
                <w:highlight w:val="none"/>
                <w:u w:val="none"/>
                <w:lang w:val="en-US" w:eastAsia="zh-CN" w:bidi="ar"/>
              </w:rPr>
            </w:pPr>
            <w:r>
              <w:rPr>
                <w:rFonts w:hint="eastAsia" w:ascii="宋体" w:hAnsi="宋体" w:eastAsia="宋体" w:cs="宋体"/>
                <w:b w:val="0"/>
                <w:bCs w:val="0"/>
                <w:color w:val="000000"/>
                <w:kern w:val="0"/>
                <w:sz w:val="24"/>
                <w:szCs w:val="24"/>
                <w:highlight w:val="none"/>
                <w:u w:val="none"/>
                <w:lang w:val="en-US" w:eastAsia="zh-CN" w:bidi="ar"/>
              </w:rPr>
              <w:t xml:space="preserve">4.工程中使用的缆线、器材应与订货合同的要求相符或与封存的产品在规格、型号、等级上相符。无出厂检验证明的材料不得在工程中使用。 </w:t>
            </w:r>
          </w:p>
          <w:p w14:paraId="773C9A70">
            <w:pPr>
              <w:keepNext w:val="0"/>
              <w:keepLines w:val="0"/>
              <w:widowControl/>
              <w:suppressLineNumbers w:val="0"/>
              <w:adjustRightInd w:val="0"/>
              <w:snapToGrid w:val="0"/>
              <w:spacing w:before="0" w:beforeAutospacing="0" w:after="0" w:afterAutospacing="0" w:line="360" w:lineRule="auto"/>
              <w:ind w:left="0" w:leftChars="0" w:right="0" w:firstLine="0" w:firstLineChars="0"/>
              <w:jc w:val="left"/>
              <w:textAlignment w:val="center"/>
              <w:rPr>
                <w:rFonts w:hint="eastAsia" w:ascii="宋体" w:hAnsi="宋体" w:eastAsia="宋体" w:cs="宋体"/>
                <w:b w:val="0"/>
                <w:bCs w:val="0"/>
                <w:color w:val="000000"/>
                <w:kern w:val="0"/>
                <w:sz w:val="24"/>
                <w:szCs w:val="24"/>
                <w:highlight w:val="none"/>
                <w:u w:val="none"/>
                <w:lang w:val="en-US" w:eastAsia="zh-CN" w:bidi="ar"/>
              </w:rPr>
            </w:pPr>
            <w:r>
              <w:rPr>
                <w:rFonts w:hint="eastAsia" w:ascii="宋体" w:hAnsi="宋体" w:eastAsia="宋体" w:cs="宋体"/>
                <w:b w:val="0"/>
                <w:bCs w:val="0"/>
                <w:color w:val="000000"/>
                <w:kern w:val="0"/>
                <w:sz w:val="24"/>
                <w:szCs w:val="24"/>
                <w:highlight w:val="none"/>
                <w:u w:val="none"/>
                <w:lang w:val="en-US" w:eastAsia="zh-CN" w:bidi="ar"/>
              </w:rPr>
              <w:t xml:space="preserve">5.各种型材的材质、规格、型号应符合设计文件的规定，表面应光滑、平整，不得变形、断裂。管材采用钢管、硬质聚氯 乙烯管时，其管身应光滑、无伤痕，管孔无变形，孔径、壁厚 应符合设计要求，不得有歪斜、扭曲、飞刺、断裂或破损等现象。 </w:t>
            </w:r>
          </w:p>
          <w:p w14:paraId="1D41E13B">
            <w:pPr>
              <w:keepNext w:val="0"/>
              <w:keepLines w:val="0"/>
              <w:widowControl/>
              <w:suppressLineNumbers w:val="0"/>
              <w:adjustRightInd w:val="0"/>
              <w:snapToGrid w:val="0"/>
              <w:spacing w:before="0" w:beforeAutospacing="0" w:after="0" w:afterAutospacing="0" w:line="360" w:lineRule="auto"/>
              <w:ind w:left="0" w:leftChars="0" w:right="0" w:firstLine="0" w:firstLineChars="0"/>
              <w:jc w:val="left"/>
              <w:textAlignment w:val="center"/>
              <w:rPr>
                <w:rFonts w:hint="eastAsia" w:ascii="宋体" w:hAnsi="宋体" w:eastAsia="宋体" w:cs="宋体"/>
                <w:b w:val="0"/>
                <w:bCs w:val="0"/>
                <w:color w:val="000000"/>
                <w:kern w:val="0"/>
                <w:sz w:val="24"/>
                <w:szCs w:val="24"/>
                <w:highlight w:val="none"/>
                <w:u w:val="none"/>
                <w:lang w:val="en-US" w:eastAsia="zh-CN" w:bidi="ar"/>
              </w:rPr>
            </w:pPr>
            <w:r>
              <w:rPr>
                <w:rFonts w:hint="eastAsia" w:ascii="宋体" w:hAnsi="宋体" w:eastAsia="宋体" w:cs="宋体"/>
                <w:b w:val="0"/>
                <w:bCs w:val="0"/>
                <w:color w:val="000000"/>
                <w:kern w:val="0"/>
                <w:sz w:val="24"/>
                <w:szCs w:val="24"/>
                <w:highlight w:val="none"/>
                <w:u w:val="none"/>
                <w:lang w:val="en-US" w:eastAsia="zh-CN" w:bidi="ar"/>
              </w:rPr>
              <w:t xml:space="preserve">6.缆线的布放应自然平直，不得产生扭绞、打圈、接头等现象，不应受外力的挤压和损伤。 </w:t>
            </w:r>
          </w:p>
          <w:p w14:paraId="6FB906FD">
            <w:pPr>
              <w:keepNext w:val="0"/>
              <w:keepLines w:val="0"/>
              <w:widowControl/>
              <w:suppressLineNumbers w:val="0"/>
              <w:adjustRightInd w:val="0"/>
              <w:snapToGrid w:val="0"/>
              <w:spacing w:before="0" w:beforeAutospacing="0" w:after="0" w:afterAutospacing="0" w:line="360" w:lineRule="auto"/>
              <w:ind w:left="0" w:leftChars="0" w:right="0" w:firstLine="0" w:firstLineChars="0"/>
              <w:jc w:val="left"/>
              <w:textAlignment w:val="center"/>
              <w:rPr>
                <w:rFonts w:hint="eastAsia" w:ascii="宋体" w:hAnsi="宋体" w:eastAsia="宋体" w:cs="宋体"/>
                <w:b w:val="0"/>
                <w:bCs w:val="0"/>
                <w:color w:val="000000"/>
                <w:kern w:val="0"/>
                <w:sz w:val="24"/>
                <w:szCs w:val="24"/>
                <w:highlight w:val="none"/>
                <w:u w:val="none"/>
                <w:lang w:val="en-US" w:eastAsia="zh-CN" w:bidi="ar"/>
              </w:rPr>
            </w:pPr>
            <w:r>
              <w:rPr>
                <w:rFonts w:hint="eastAsia" w:ascii="宋体" w:hAnsi="宋体" w:eastAsia="宋体" w:cs="宋体"/>
                <w:b w:val="0"/>
                <w:bCs w:val="0"/>
                <w:color w:val="000000"/>
                <w:kern w:val="0"/>
                <w:sz w:val="24"/>
                <w:szCs w:val="24"/>
                <w:highlight w:val="none"/>
                <w:u w:val="none"/>
                <w:lang w:val="en-US" w:eastAsia="zh-CN" w:bidi="ar"/>
              </w:rPr>
              <w:t xml:space="preserve">7.线两端应贴有标签，应标明编号，标签书写应清晰、端正、正确，标签应选用不易损坏的材料。缆线终接后应有余量。交接间、设备间对绞电缆预留长度宜为 0.5～1.0m，工作区宜为 10～30mm;光缆布放宜留 长度为 3～5m，有特殊要求的应按设计要求预留长度。 </w:t>
            </w:r>
          </w:p>
          <w:p w14:paraId="5A9AFB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center"/>
              <w:rPr>
                <w:rFonts w:hint="eastAsia" w:ascii="宋体" w:hAnsi="宋体" w:eastAsia="宋体" w:cs="宋体"/>
                <w:b w:val="0"/>
                <w:bCs w:val="0"/>
                <w:color w:val="000000"/>
                <w:kern w:val="0"/>
                <w:sz w:val="24"/>
                <w:szCs w:val="24"/>
                <w:highlight w:val="none"/>
                <w:u w:val="none"/>
                <w:lang w:val="en-US" w:eastAsia="zh-CN" w:bidi="ar"/>
              </w:rPr>
            </w:pPr>
            <w:r>
              <w:rPr>
                <w:rFonts w:hint="eastAsia" w:ascii="宋体" w:hAnsi="宋体" w:eastAsia="宋体" w:cs="宋体"/>
                <w:b w:val="0"/>
                <w:bCs w:val="0"/>
                <w:color w:val="000000"/>
                <w:kern w:val="0"/>
                <w:sz w:val="24"/>
                <w:szCs w:val="24"/>
                <w:highlight w:val="none"/>
                <w:u w:val="none"/>
                <w:lang w:val="en-US" w:eastAsia="zh-CN" w:bidi="ar"/>
              </w:rPr>
              <w:t>8.线材采用国标线材，附属材料结实耐用。</w:t>
            </w:r>
          </w:p>
          <w:p w14:paraId="5D7E5210">
            <w:pPr>
              <w:keepNext w:val="0"/>
              <w:keepLines w:val="0"/>
              <w:widowControl/>
              <w:autoSpaceDE/>
              <w:autoSpaceDN/>
              <w:adjustRightInd w:val="0"/>
              <w:snapToGrid w:val="0"/>
              <w:spacing w:before="0" w:after="0" w:line="360" w:lineRule="auto"/>
              <w:textAlignment w:val="center"/>
              <w:rPr>
                <w:rFonts w:hint="default" w:asciiTheme="minorEastAsia" w:hAnsiTheme="minorEastAsia" w:eastAsiaTheme="minorEastAsia" w:cstheme="minorEastAsia"/>
                <w:b w:val="0"/>
                <w:color w:val="000000"/>
                <w:kern w:val="0"/>
                <w:sz w:val="24"/>
                <w:szCs w:val="24"/>
                <w:highlight w:val="none"/>
                <w:u w:val="none"/>
                <w:lang w:val="en-US" w:eastAsia="zh-CN" w:bidi="ar"/>
              </w:rPr>
            </w:pPr>
            <w:r>
              <w:rPr>
                <w:rFonts w:hint="eastAsia" w:asciiTheme="minorEastAsia" w:hAnsiTheme="minorEastAsia" w:eastAsiaTheme="minorEastAsia" w:cstheme="minorEastAsia"/>
                <w:b w:val="0"/>
                <w:color w:val="000000"/>
                <w:kern w:val="0"/>
                <w:sz w:val="24"/>
                <w:szCs w:val="24"/>
                <w:highlight w:val="none"/>
                <w:u w:val="none"/>
                <w:lang w:val="en-US" w:eastAsia="zh-CN" w:bidi="ar"/>
              </w:rPr>
              <w:t>9.由校方提供已有智慧教学设备及</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智慧教学管理</w:t>
            </w:r>
            <w:r>
              <w:rPr>
                <w:rFonts w:hint="eastAsia" w:asciiTheme="minorEastAsia" w:hAnsiTheme="minorEastAsia" w:eastAsiaTheme="minorEastAsia" w:cstheme="minorEastAsia"/>
                <w:b w:val="0"/>
                <w:color w:val="000000"/>
                <w:kern w:val="0"/>
                <w:sz w:val="24"/>
                <w:szCs w:val="24"/>
                <w:highlight w:val="none"/>
                <w:u w:val="none"/>
                <w:lang w:val="en-US" w:eastAsia="zh-CN" w:bidi="ar"/>
              </w:rPr>
              <w:t>平台的接口信息，投标人可通过相关人员领取（校方联系人：赵老师，联系电话：0991-8582855）。</w:t>
            </w:r>
          </w:p>
        </w:tc>
      </w:tr>
    </w:tbl>
    <w:p w14:paraId="4C09E7D2">
      <w:pPr>
        <w:pStyle w:val="21"/>
        <w:spacing w:line="360" w:lineRule="auto"/>
        <w:jc w:val="both"/>
        <w:rPr>
          <w:rFonts w:hint="eastAsia" w:ascii="仿宋" w:hAnsi="仿宋" w:eastAsia="仿宋" w:cs="仿宋"/>
          <w:b/>
          <w:bCs/>
          <w:color w:val="auto"/>
          <w:sz w:val="24"/>
          <w:szCs w:val="24"/>
          <w:highlight w:val="none"/>
        </w:rPr>
        <w:sectPr>
          <w:pgSz w:w="16838" w:h="11906" w:orient="landscape"/>
          <w:pgMar w:top="1800" w:right="1440" w:bottom="1800" w:left="1441" w:header="851" w:footer="992" w:gutter="0"/>
          <w:pgNumType w:start="1"/>
          <w:cols w:space="720" w:num="1"/>
          <w:docGrid w:type="lines" w:linePitch="312" w:charSpace="0"/>
        </w:sectPr>
      </w:pPr>
    </w:p>
    <w:p w14:paraId="26AEE971">
      <w:pPr>
        <w:pStyle w:val="21"/>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五、采购标的的其他技术、服务等要求</w:t>
      </w:r>
    </w:p>
    <w:p w14:paraId="636FD6EC">
      <w:pPr>
        <w:pStyle w:val="21"/>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需要提供投标产品技术支持资料（或证明材料），并需要同时加盖投标人电子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中标注“★”号的技术参数，投标人须在投标文件中按照招标文件技术规格的要求提供技术应答的证明材料，如技术规格中无特殊要求则应提交本条款规定的技术支持资料。对于投标人提供的投标文件技术应答未按本条款要求提供投标产品技术支持资料（或证明材料）的，或提供的投标产品技术支持资料（或证明材料）未按本条款要求同时加盖投标人电子公章的，评标委员会可不予承认，并可认为该技术应答不符合招标文件要求。由此产生的评标风险，由投标人承担。</w:t>
      </w:r>
    </w:p>
    <w:p w14:paraId="28978589">
      <w:pPr>
        <w:pStyle w:val="21"/>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所供货物为全新未使用且具有产品质量合格证明文件的合格产品，免费培训并提供相关培训资料（使用/操作手册）及维修手册和维修密码（如果有）。3、工作条件：除了在技术规格中另有规定外，投标人提供的一切仪器、设备和系统，应符合下列条件：</w:t>
      </w:r>
    </w:p>
    <w:p w14:paraId="1A2D71ED">
      <w:pPr>
        <w:pStyle w:val="21"/>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（1）仪器设备的插头要符合中国电工标准。如不符合，则应提供适合仪器插头的插座，必须要有接地。</w:t>
      </w:r>
    </w:p>
    <w:p w14:paraId="6A445307">
      <w:pPr>
        <w:pStyle w:val="21"/>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（2）如果仪器设备需特殊的工作条件（如：水、电源、磁场强度、特殊温度、湿度、震动强度等），投标人应在有关投标文件中加以说明。</w:t>
      </w:r>
    </w:p>
    <w:p w14:paraId="4DB4B7B7">
      <w:pPr>
        <w:pStyle w:val="21"/>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标人所提供的产品技术规格应符合招标文件的要求。如所供产品存在技术偏离，投标人应如实填写技术要求偏离表。若采购人掌握了确切事实说明某投标人没有如实填写技术规格偏离表或有欺诈行为，该投标文件将按无效投标处理。5、投标人发运货物时，每台设备要提供一整套中文的技术资料，包括安装、操作手册、使用说明、维修保养手册、电路图、零配件清单等，这些资料费应包括在投标报价内。如果采购人确认投标人提供的技术资料不完整或在运输过程中丢失，投标人需保证在收到采</w:t>
      </w:r>
      <w:bookmarkStart w:id="27" w:name="_Toc24298_WPSOffice_Level1"/>
      <w:r>
        <w:rPr>
          <w:rFonts w:hint="eastAsia" w:ascii="仿宋" w:hAnsi="仿宋" w:eastAsia="仿宋" w:cs="仿宋"/>
          <w:color w:val="auto"/>
          <w:sz w:val="24"/>
          <w:szCs w:val="24"/>
          <w:highlight w:val="none"/>
        </w:rPr>
        <w:t>购人通</w:t>
      </w:r>
      <w:bookmarkEnd w:id="27"/>
      <w:r>
        <w:rPr>
          <w:rFonts w:hint="eastAsia" w:ascii="仿宋" w:hAnsi="仿宋" w:eastAsia="仿宋" w:cs="仿宋"/>
          <w:color w:val="auto"/>
          <w:sz w:val="24"/>
          <w:szCs w:val="24"/>
          <w:highlight w:val="none"/>
        </w:rPr>
        <w:t>知后3天内将这些资料免费寄给采购人。</w:t>
      </w:r>
    </w:p>
    <w:p w14:paraId="1B57186A">
      <w:pPr>
        <w:pStyle w:val="21"/>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6、投标人所提供的部件之间及设备之间的连线或接插件均视为设备内部部件，应包含在相应的配置中。达到用户使用功能所必须的各类线材（包含但不限于电线、网线、音视频线等）、辅材（包含但不限于开关、插座、漏电保护器、托架、铁线槽、螺丝钉、涨塞、固定件、线路护套、绑扎带、绝缘胶布等）应包含在相应的配置中，上述费用须包含在投标报价中。</w:t>
      </w:r>
    </w:p>
    <w:p w14:paraId="6472EAB7">
      <w:pPr>
        <w:pStyle w:val="21"/>
        <w:spacing w:line="360" w:lineRule="auto"/>
        <w:jc w:val="both"/>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zh-TW"/>
        </w:rPr>
        <w:t>随机的必备品、配件、工具数量及供应办法：按生产厂家标准执行。</w:t>
      </w:r>
    </w:p>
    <w:p w14:paraId="59D6E076">
      <w:pPr>
        <w:pStyle w:val="21"/>
        <w:spacing w:line="360" w:lineRule="auto"/>
        <w:rPr>
          <w:rFonts w:hint="eastAsia" w:ascii="仿宋" w:hAnsi="仿宋" w:eastAsia="仿宋" w:cs="仿宋"/>
          <w:b/>
          <w:color w:val="auto"/>
          <w:sz w:val="24"/>
          <w:szCs w:val="24"/>
          <w:highlight w:val="none"/>
          <w:lang w:val="zh-TW"/>
        </w:rPr>
      </w:pPr>
      <w:r>
        <w:rPr>
          <w:rFonts w:hint="eastAsia" w:ascii="仿宋" w:hAnsi="仿宋" w:eastAsia="仿宋" w:cs="仿宋"/>
          <w:b/>
          <w:color w:val="auto"/>
          <w:sz w:val="24"/>
          <w:szCs w:val="24"/>
          <w:highlight w:val="none"/>
          <w:lang w:val="zh-TW"/>
        </w:rPr>
        <w:t>注：1、以上“项目采购需求”中参数出现的品牌型号仅作为参考可选用相当质量产品，不作为约束性要求；</w:t>
      </w:r>
    </w:p>
    <w:p w14:paraId="55668E85">
      <w:pPr>
        <w:pStyle w:val="21"/>
        <w:spacing w:line="360" w:lineRule="auto"/>
        <w:rPr>
          <w:rFonts w:hint="eastAsia" w:ascii="仿宋" w:hAnsi="仿宋" w:eastAsia="仿宋" w:cs="仿宋"/>
          <w:b/>
          <w:color w:val="auto"/>
          <w:sz w:val="24"/>
          <w:szCs w:val="24"/>
          <w:highlight w:val="none"/>
          <w:lang w:val="zh-TW"/>
        </w:rPr>
      </w:pPr>
      <w:r>
        <w:rPr>
          <w:rFonts w:hint="eastAsia" w:ascii="仿宋" w:hAnsi="仿宋" w:eastAsia="仿宋" w:cs="仿宋"/>
          <w:b/>
          <w:color w:val="auto"/>
          <w:sz w:val="24"/>
          <w:szCs w:val="24"/>
          <w:highlight w:val="none"/>
          <w:lang w:val="zh-TW"/>
        </w:rPr>
        <w:t>2、标注国产设备的产品若用进口的产品部件参与投标，不享受免税补贴政策。</w:t>
      </w:r>
    </w:p>
    <w:p w14:paraId="292239F2">
      <w:pPr>
        <w:pStyle w:val="21"/>
        <w:spacing w:line="360" w:lineRule="auto"/>
        <w:jc w:val="both"/>
        <w:rPr>
          <w:rFonts w:hint="eastAsia" w:ascii="仿宋" w:hAnsi="仿宋" w:eastAsia="仿宋" w:cs="仿宋"/>
          <w:b/>
          <w:color w:val="auto"/>
          <w:sz w:val="24"/>
          <w:szCs w:val="24"/>
          <w:highlight w:val="none"/>
          <w:lang w:val="zh-TW"/>
        </w:rPr>
      </w:pPr>
      <w:r>
        <w:rPr>
          <w:rFonts w:hint="eastAsia" w:ascii="仿宋" w:hAnsi="仿宋" w:eastAsia="仿宋" w:cs="仿宋"/>
          <w:b/>
          <w:color w:val="auto"/>
          <w:sz w:val="24"/>
          <w:szCs w:val="24"/>
          <w:highlight w:val="none"/>
          <w:lang w:val="zh-TW"/>
        </w:rPr>
        <w:t>3、如产品质保期和供货期存在上下表述不一致之处，以有利于采购人的表述为准，即：质保期时限长的有利、供货期短的有利。</w:t>
      </w:r>
    </w:p>
    <w:p w14:paraId="10F8BB84">
      <w:pPr>
        <w:pStyle w:val="21"/>
        <w:snapToGrid/>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六、采购标的需满足的服务标准、期限、效率等要求</w:t>
      </w:r>
    </w:p>
    <w:p w14:paraId="7C344DC8">
      <w:pPr>
        <w:pStyle w:val="21"/>
        <w:snapToGrid/>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1、采购标的需满足的服务标准、效率要求</w:t>
      </w:r>
    </w:p>
    <w:p w14:paraId="4CE0E309">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应有能力做好售后服务工作和提供技术保障。投标人或投标产品制造商应设有专业的售后服务维修机构，有充足的零件储备和能力相当的技术服务人员，并保证投标产品至少十年的零配件供应及维修、保养。投标时须提供有关其投标产品新疆地区或西北地区或中国境内专业的售后服务（维修站）的信息，包括售后服务机构名称、服务人员的数量和水平、联系人和联系方式、零备件的储备等。质量保证期内的免费售后维修及服务包括所有投标产品及配件，并含第三方产品，同时投标人应每年定期对所有投标产品提供维护保养服务。</w:t>
      </w:r>
    </w:p>
    <w:p w14:paraId="5EAE9E12">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应在保证在接到采购人通知的一周内，自付费用在采购人指定所在地对设备进行安装、调试和试运行，直到该产品的技术指标完全符合合同要求为止。投标人技术人员的费用，如：差旅费、住宿费等应计入投标报价。投标人安装人员应自备必要的专用工具、量具及调试用的材料等。</w:t>
      </w:r>
    </w:p>
    <w:p w14:paraId="4B1C180B">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（3）投标人应负责投标货物质量保证期内的免费维修和配件供应，投标人售后服务维修机构应备有所购货物及时维修所需的关键零部件。</w:t>
      </w:r>
    </w:p>
    <w:p w14:paraId="41219BE8">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（4）投标人应保证在质量保证期内提供投标货物专用的软件、软件产品和相应数据库资料的免费升级服务。如果是软件系统安全漏洞或程序 BUG成交供应商须提供软件终生的免费升级和维护。</w:t>
      </w:r>
    </w:p>
    <w:p w14:paraId="588707C8">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在合同执行期和质量保证期内，设备出现故障后，投标人应保证完全满足技术参数中品目号的具体要求响应。质保期内如内无法排除故障修复，投标人应保证免费提供同类备用设备，供采购人使用。质保期内如出现现场无法修复的故障，供应商负责提供备用设备并将产品运回厂家修理，由维修产生的一切费用由卖方负担。</w:t>
      </w:r>
    </w:p>
    <w:p w14:paraId="5472E9B6">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培训要求：培训是指涉及产品基本原理、安装、调试、操作使用和保养维修等有关内容的学习。投标人应保证在采购人指定交货地点对每包所有产品最终用户设备操作人员提供不少于1天的免费培训，至用户设备操作人员可独立操作为止。投标人投标时应提供详细的培训方案。培训教员的差旅费、食宿费、培训教材等费用，应计入投标报价。</w:t>
      </w:r>
    </w:p>
    <w:p w14:paraId="7EB94019">
      <w:pPr>
        <w:pStyle w:val="21"/>
        <w:snapToGrid/>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2、采购标的需满足的服务期限要求</w:t>
      </w:r>
    </w:p>
    <w:p w14:paraId="01568A6D">
      <w:pPr>
        <w:pStyle w:val="21"/>
        <w:snapToGrid/>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b/>
          <w:bCs/>
          <w:color w:val="auto"/>
          <w:sz w:val="24"/>
          <w:szCs w:val="24"/>
          <w:highlight w:val="none"/>
        </w:rPr>
        <w:t>本项目质保要求：</w:t>
      </w:r>
      <w:r>
        <w:rPr>
          <w:rFonts w:hint="eastAsia" w:ascii="仿宋" w:hAnsi="仿宋" w:eastAsia="仿宋" w:cs="仿宋"/>
          <w:color w:val="auto"/>
          <w:sz w:val="24"/>
          <w:szCs w:val="24"/>
          <w:highlight w:val="none"/>
        </w:rPr>
        <w:t>详见“第五章采购需求 3.1”</w:t>
      </w:r>
    </w:p>
    <w:p w14:paraId="60BF5E9E">
      <w:pPr>
        <w:pStyle w:val="21"/>
        <w:snapToGrid/>
        <w:spacing w:line="360"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证期内由于设备本身原因而引起的零配件的更换，其费用由厂家承担，对损坏所更换的零部件，自更换之日起保修延长3个月。保修范围应包括提供的所有设备（含第三方设备或配件）和安装调试服务。在质量保证期内应提供维修和技术咨询服务，矫正和免费更换有缺陷的设备或部件、排除系统出现的故障。质量保证期内，投标人应对由于设计、工艺或材料的缺陷而发生的任何不足或故障负责，费用由投标人负担。</w:t>
      </w:r>
    </w:p>
    <w:p w14:paraId="60944C7A">
      <w:pPr>
        <w:pStyle w:val="21"/>
        <w:numPr>
          <w:ilvl w:val="0"/>
          <w:numId w:val="3"/>
        </w:numPr>
        <w:snapToGrid/>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质保期内</w:t>
      </w:r>
      <w:r>
        <w:rPr>
          <w:rFonts w:hint="eastAsia" w:ascii="仿宋" w:hAnsi="仿宋" w:eastAsia="仿宋" w:cs="仿宋"/>
          <w:color w:val="auto"/>
          <w:sz w:val="24"/>
          <w:szCs w:val="24"/>
          <w:highlight w:val="none"/>
          <w:lang w:val="zh-TW"/>
        </w:rPr>
        <w:t>，</w:t>
      </w:r>
      <w:r>
        <w:rPr>
          <w:rFonts w:hint="eastAsia" w:ascii="仿宋" w:hAnsi="仿宋" w:eastAsia="仿宋" w:cs="仿宋"/>
          <w:color w:val="auto"/>
          <w:sz w:val="24"/>
          <w:szCs w:val="24"/>
          <w:highlight w:val="none"/>
        </w:rPr>
        <w:t>软件免费提供升级、维护，硬件设备质保期内免费提供定期维护、保养、设备搬迁重装、故障解决处理、配件损坏更换等服务；质量保证期满后，投标人仍应负责提供终身免费维修服务，硬件设备只能收取零配件费（零部件应保证按采购人设备安装地市场最低价供应），免人工费、交通费等。软件产品市场最低价收费，免人工费、交通费等。</w:t>
      </w:r>
    </w:p>
    <w:p w14:paraId="7B1278AF">
      <w:pPr>
        <w:pStyle w:val="21"/>
        <w:snapToGrid/>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七、采购标的的验收标准</w:t>
      </w:r>
    </w:p>
    <w:p w14:paraId="09DFF356">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1、投标人应保证在出厂前对货物的质量、规格、性能和数量等进行准确而全面的检验，并出具出厂合格证书。</w:t>
      </w:r>
    </w:p>
    <w:p w14:paraId="12797938">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货物运抵采购项目交付的地点并安装、调试完成后，采购人将组织验收，由采购人组织验收小组，对货物的数量、外观、质量、安全、功能及性能等进行验收，项目验收依据为采购合同、招标文件、投标文件和国家或行业相关验收规范。经验收小组测试验收合格的，双方签署质量验收报告，视为产品验收合格，验收合格时间以质量验收报告上记载的时间为准。如验收时需要测试样品、验收专用仪器或工具的,由中标人提供并承担相关费用。</w:t>
      </w:r>
    </w:p>
    <w:p w14:paraId="300012DF">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3、投标人应负责使所供计量仪器通过计量部门的验收，并承担相关费用（包括运费）。</w:t>
      </w:r>
    </w:p>
    <w:p w14:paraId="487FE2D5">
      <w:pPr>
        <w:widowControl/>
        <w:spacing w:line="360" w:lineRule="auto"/>
        <w:jc w:val="left"/>
        <w:rPr>
          <w:rFonts w:hint="eastAsia" w:ascii="仿宋" w:hAnsi="仿宋" w:eastAsia="仿宋" w:cs="仿宋"/>
          <w:color w:val="auto"/>
          <w:sz w:val="24"/>
          <w:szCs w:val="24"/>
          <w:highlight w:val="none"/>
        </w:rPr>
      </w:pPr>
    </w:p>
    <w:p w14:paraId="113B2E18">
      <w:pPr>
        <w:adjustRightInd w:val="0"/>
        <w:snapToGrid w:val="0"/>
        <w:spacing w:line="360" w:lineRule="auto"/>
        <w:rPr>
          <w:rFonts w:hint="eastAsia" w:ascii="仿宋" w:hAnsi="仿宋" w:eastAsia="仿宋" w:cs="仿宋"/>
          <w:color w:val="auto"/>
          <w:sz w:val="24"/>
          <w:szCs w:val="24"/>
          <w:highlight w:val="none"/>
        </w:rPr>
      </w:pPr>
    </w:p>
    <w:p w14:paraId="7606AC46">
      <w:pPr>
        <w:rPr>
          <w:rFonts w:hint="eastAsia" w:ascii="仿宋" w:hAnsi="仿宋" w:eastAsia="仿宋" w:cs="仿宋"/>
          <w:b/>
          <w:bCs/>
          <w:color w:val="auto"/>
          <w:sz w:val="32"/>
          <w:szCs w:val="32"/>
          <w:highlight w:val="none"/>
        </w:rPr>
      </w:pPr>
      <w:bookmarkStart w:id="28" w:name="_Toc23302"/>
      <w:r>
        <w:rPr>
          <w:rFonts w:hint="eastAsia" w:ascii="仿宋" w:hAnsi="仿宋" w:eastAsia="仿宋" w:cs="仿宋"/>
          <w:b/>
          <w:bCs/>
          <w:color w:val="auto"/>
          <w:sz w:val="32"/>
          <w:szCs w:val="32"/>
          <w:highlight w:val="none"/>
        </w:rPr>
        <w:br w:type="page"/>
      </w:r>
    </w:p>
    <w:p w14:paraId="0DAC4ACB">
      <w:pPr>
        <w:spacing w:line="360" w:lineRule="auto"/>
        <w:jc w:val="center"/>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第六章  评标方法和标准</w:t>
      </w:r>
      <w:bookmarkEnd w:id="28"/>
    </w:p>
    <w:p w14:paraId="2F88FEC4">
      <w:pPr>
        <w:pStyle w:val="65"/>
        <w:spacing w:line="360" w:lineRule="auto"/>
        <w:ind w:right="199" w:rightChars="95"/>
        <w:jc w:val="both"/>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一、评标方法</w:t>
      </w:r>
    </w:p>
    <w:p w14:paraId="361CC2DF">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本项目采用综合评分法是指投标文件满足招标文件全部实质性要求，且按照评审因素的量化指标评审得分最高的投标人为中标候选人的评标方法。</w:t>
      </w:r>
    </w:p>
    <w:p w14:paraId="5CE12820">
      <w:pPr>
        <w:pStyle w:val="65"/>
        <w:spacing w:line="360" w:lineRule="auto"/>
        <w:rPr>
          <w:rFonts w:hint="eastAsia" w:ascii="仿宋" w:hAnsi="仿宋" w:eastAsia="仿宋" w:cs="仿宋"/>
          <w:b/>
          <w:color w:val="auto"/>
          <w:spacing w:val="0"/>
          <w:kern w:val="2"/>
          <w:sz w:val="24"/>
          <w:szCs w:val="24"/>
          <w:highlight w:val="none"/>
        </w:rPr>
      </w:pPr>
      <w:bookmarkStart w:id="29" w:name="_Toc386"/>
      <w:bookmarkStart w:id="30" w:name="_Toc22445"/>
      <w:bookmarkStart w:id="31" w:name="_Toc26426"/>
      <w:bookmarkStart w:id="32" w:name="_Toc509318020"/>
      <w:bookmarkStart w:id="33" w:name="_Toc492286392"/>
      <w:bookmarkStart w:id="34" w:name="_Toc19513"/>
      <w:r>
        <w:rPr>
          <w:rFonts w:hint="eastAsia" w:ascii="仿宋" w:hAnsi="仿宋" w:eastAsia="仿宋" w:cs="仿宋"/>
          <w:b/>
          <w:color w:val="auto"/>
          <w:spacing w:val="0"/>
          <w:kern w:val="2"/>
          <w:sz w:val="24"/>
          <w:szCs w:val="24"/>
          <w:highlight w:val="none"/>
        </w:rPr>
        <w:t>二、资格审查</w:t>
      </w:r>
      <w:bookmarkEnd w:id="29"/>
      <w:bookmarkEnd w:id="30"/>
      <w:bookmarkEnd w:id="31"/>
      <w:bookmarkEnd w:id="32"/>
      <w:bookmarkEnd w:id="33"/>
      <w:bookmarkEnd w:id="34"/>
    </w:p>
    <w:p w14:paraId="01B9D9A8">
      <w:pPr>
        <w:pStyle w:val="65"/>
        <w:spacing w:line="360" w:lineRule="auto"/>
        <w:ind w:firstLine="480" w:firstLineChars="200"/>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采购人或采购代理机构依据招标文件，对投标文件中的资格证明文件进行审查，以确定投标人是否具备投标资格，未通过资格审查的投标不进入符合性审查。审查内容如下：</w:t>
      </w:r>
    </w:p>
    <w:tbl>
      <w:tblPr>
        <w:tblStyle w:val="31"/>
        <w:tblpPr w:leftFromText="180" w:rightFromText="180" w:vertAnchor="text" w:horzAnchor="page" w:tblpX="1815" w:tblpY="465"/>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456"/>
        <w:gridCol w:w="4418"/>
      </w:tblGrid>
      <w:tr w14:paraId="5254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center"/>
          </w:tcPr>
          <w:p w14:paraId="706578F4">
            <w:pPr>
              <w:pStyle w:val="65"/>
              <w:spacing w:line="360" w:lineRule="auto"/>
              <w:jc w:val="center"/>
              <w:rPr>
                <w:rFonts w:hint="eastAsia" w:ascii="仿宋" w:hAnsi="仿宋" w:eastAsia="仿宋" w:cs="仿宋"/>
                <w:b/>
                <w:color w:val="auto"/>
                <w:spacing w:val="0"/>
                <w:kern w:val="2"/>
                <w:highlight w:val="none"/>
              </w:rPr>
            </w:pPr>
            <w:r>
              <w:rPr>
                <w:rFonts w:hint="eastAsia" w:ascii="仿宋" w:hAnsi="仿宋" w:eastAsia="仿宋" w:cs="仿宋"/>
                <w:b/>
                <w:color w:val="auto"/>
                <w:spacing w:val="0"/>
                <w:kern w:val="2"/>
                <w:highlight w:val="none"/>
              </w:rPr>
              <w:t>序号</w:t>
            </w:r>
          </w:p>
        </w:tc>
        <w:tc>
          <w:tcPr>
            <w:tcW w:w="3456" w:type="dxa"/>
            <w:noWrap w:val="0"/>
            <w:vAlign w:val="center"/>
          </w:tcPr>
          <w:p w14:paraId="2E77DB0B">
            <w:pPr>
              <w:pStyle w:val="65"/>
              <w:spacing w:line="360" w:lineRule="auto"/>
              <w:jc w:val="center"/>
              <w:rPr>
                <w:rFonts w:hint="eastAsia" w:ascii="仿宋" w:hAnsi="仿宋" w:eastAsia="仿宋" w:cs="仿宋"/>
                <w:b/>
                <w:color w:val="auto"/>
                <w:spacing w:val="0"/>
                <w:kern w:val="2"/>
                <w:highlight w:val="none"/>
              </w:rPr>
            </w:pPr>
            <w:r>
              <w:rPr>
                <w:rFonts w:hint="eastAsia" w:ascii="仿宋" w:hAnsi="仿宋" w:eastAsia="仿宋" w:cs="仿宋"/>
                <w:b/>
                <w:color w:val="auto"/>
                <w:highlight w:val="none"/>
              </w:rPr>
              <w:t>资格条件</w:t>
            </w:r>
          </w:p>
        </w:tc>
        <w:tc>
          <w:tcPr>
            <w:tcW w:w="4418" w:type="dxa"/>
            <w:noWrap w:val="0"/>
            <w:vAlign w:val="center"/>
          </w:tcPr>
          <w:p w14:paraId="0763C32C">
            <w:pPr>
              <w:pStyle w:val="65"/>
              <w:spacing w:line="360" w:lineRule="auto"/>
              <w:jc w:val="center"/>
              <w:rPr>
                <w:rFonts w:hint="eastAsia" w:ascii="仿宋" w:hAnsi="仿宋" w:eastAsia="仿宋" w:cs="仿宋"/>
                <w:b/>
                <w:color w:val="auto"/>
                <w:spacing w:val="0"/>
                <w:kern w:val="2"/>
                <w:highlight w:val="none"/>
              </w:rPr>
            </w:pPr>
            <w:r>
              <w:rPr>
                <w:rFonts w:hint="eastAsia" w:ascii="仿宋" w:hAnsi="仿宋" w:eastAsia="仿宋" w:cs="仿宋"/>
                <w:b/>
                <w:color w:val="auto"/>
                <w:highlight w:val="none"/>
              </w:rPr>
              <w:t>审查内容和审查标准</w:t>
            </w:r>
          </w:p>
        </w:tc>
      </w:tr>
      <w:tr w14:paraId="7B8B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center"/>
          </w:tcPr>
          <w:p w14:paraId="36717D42">
            <w:pPr>
              <w:pStyle w:val="65"/>
              <w:spacing w:line="360" w:lineRule="auto"/>
              <w:jc w:val="center"/>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1</w:t>
            </w:r>
          </w:p>
        </w:tc>
        <w:tc>
          <w:tcPr>
            <w:tcW w:w="3456" w:type="dxa"/>
            <w:noWrap w:val="0"/>
            <w:vAlign w:val="center"/>
          </w:tcPr>
          <w:p w14:paraId="1627FC5E">
            <w:pPr>
              <w:pStyle w:val="65"/>
              <w:spacing w:line="360" w:lineRule="auto"/>
              <w:jc w:val="both"/>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具有独立承担民事责任的能力</w:t>
            </w:r>
          </w:p>
        </w:tc>
        <w:tc>
          <w:tcPr>
            <w:tcW w:w="4418" w:type="dxa"/>
            <w:noWrap w:val="0"/>
            <w:vAlign w:val="center"/>
          </w:tcPr>
          <w:p w14:paraId="2758153F">
            <w:pPr>
              <w:pStyle w:val="65"/>
              <w:spacing w:line="360" w:lineRule="auto"/>
              <w:jc w:val="both"/>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须提供在中华人民共和国境内注册的法人或其他组织或自然人的营业执照副本或事业法人登记证或执业许可证或身份证等相关证明扫描件（除身份证外其余证件须加盖电子公章）</w:t>
            </w:r>
          </w:p>
        </w:tc>
      </w:tr>
      <w:tr w14:paraId="63B7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center"/>
          </w:tcPr>
          <w:p w14:paraId="3E526A8C">
            <w:pPr>
              <w:pStyle w:val="65"/>
              <w:spacing w:line="360" w:lineRule="auto"/>
              <w:jc w:val="center"/>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2</w:t>
            </w:r>
          </w:p>
        </w:tc>
        <w:tc>
          <w:tcPr>
            <w:tcW w:w="3456" w:type="dxa"/>
            <w:noWrap w:val="0"/>
            <w:vAlign w:val="center"/>
          </w:tcPr>
          <w:p w14:paraId="12DB2212">
            <w:pPr>
              <w:pStyle w:val="65"/>
              <w:spacing w:line="360" w:lineRule="auto"/>
              <w:jc w:val="both"/>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具有良好的商业信誉和健全的财务会计制度</w:t>
            </w:r>
          </w:p>
        </w:tc>
        <w:tc>
          <w:tcPr>
            <w:tcW w:w="4418" w:type="dxa"/>
            <w:noWrap w:val="0"/>
            <w:vAlign w:val="center"/>
          </w:tcPr>
          <w:p w14:paraId="0BDC6386">
            <w:pPr>
              <w:pStyle w:val="65"/>
              <w:spacing w:line="360" w:lineRule="auto"/>
              <w:jc w:val="both"/>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须提供本单位上一年度由会计师事务所出具的财务审计报告（当上一年度审计报告未出来时，可提供前一年度审计报告），审计报告须包括资产负债表、利润表、现金流量表、所有者权益变动（如有）及其附注（扫描件并加盖本单位电子公章）。如投标人无法提供上年度审计报告，则需提供开标日前三个月内银行出具的资信证明。银行资信证明可提供原件扫描件加盖电子公章。</w:t>
            </w:r>
          </w:p>
        </w:tc>
      </w:tr>
      <w:tr w14:paraId="01F4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center"/>
          </w:tcPr>
          <w:p w14:paraId="60F6FCBB">
            <w:pPr>
              <w:pStyle w:val="65"/>
              <w:spacing w:line="360" w:lineRule="auto"/>
              <w:jc w:val="center"/>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3</w:t>
            </w:r>
          </w:p>
        </w:tc>
        <w:tc>
          <w:tcPr>
            <w:tcW w:w="3456" w:type="dxa"/>
            <w:noWrap w:val="0"/>
            <w:vAlign w:val="center"/>
          </w:tcPr>
          <w:p w14:paraId="63E53E0D">
            <w:pPr>
              <w:pStyle w:val="65"/>
              <w:spacing w:line="360" w:lineRule="auto"/>
              <w:jc w:val="both"/>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具有履行合同所必需的设备和专业技术能力</w:t>
            </w:r>
          </w:p>
        </w:tc>
        <w:tc>
          <w:tcPr>
            <w:tcW w:w="4418" w:type="dxa"/>
            <w:noWrap w:val="0"/>
            <w:vAlign w:val="center"/>
          </w:tcPr>
          <w:p w14:paraId="0AB7F479">
            <w:pPr>
              <w:pStyle w:val="65"/>
              <w:spacing w:line="360" w:lineRule="auto"/>
              <w:jc w:val="both"/>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须提供具备履行合同所必需的设备和专业技术能力的证明材料或书面声明原件扫描件</w:t>
            </w:r>
          </w:p>
        </w:tc>
      </w:tr>
      <w:tr w14:paraId="0AF0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center"/>
          </w:tcPr>
          <w:p w14:paraId="3D7B672B">
            <w:pPr>
              <w:pStyle w:val="65"/>
              <w:spacing w:line="360" w:lineRule="auto"/>
              <w:jc w:val="center"/>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4</w:t>
            </w:r>
          </w:p>
        </w:tc>
        <w:tc>
          <w:tcPr>
            <w:tcW w:w="3456" w:type="dxa"/>
            <w:noWrap w:val="0"/>
            <w:vAlign w:val="center"/>
          </w:tcPr>
          <w:p w14:paraId="730D91C4">
            <w:pPr>
              <w:pStyle w:val="65"/>
              <w:spacing w:line="360" w:lineRule="auto"/>
              <w:jc w:val="both"/>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有依法缴纳税收和依法缴纳社会保障资金的记录</w:t>
            </w:r>
          </w:p>
        </w:tc>
        <w:tc>
          <w:tcPr>
            <w:tcW w:w="4418" w:type="dxa"/>
            <w:noWrap w:val="0"/>
            <w:vAlign w:val="center"/>
          </w:tcPr>
          <w:p w14:paraId="5EA60A29">
            <w:pPr>
              <w:pStyle w:val="65"/>
              <w:spacing w:line="360" w:lineRule="auto"/>
              <w:jc w:val="both"/>
              <w:rPr>
                <w:rFonts w:hint="eastAsia" w:ascii="仿宋" w:hAnsi="仿宋" w:eastAsia="仿宋" w:cs="仿宋"/>
                <w:color w:val="auto"/>
                <w:highlight w:val="none"/>
              </w:rPr>
            </w:pPr>
            <w:r>
              <w:rPr>
                <w:rFonts w:hint="eastAsia" w:ascii="仿宋" w:hAnsi="仿宋" w:eastAsia="仿宋" w:cs="仿宋"/>
                <w:color w:val="auto"/>
                <w:highlight w:val="none"/>
              </w:rPr>
              <w:t>须提供响应文件递交截止日期之前六个月内任何一期的纳税记录或证明文件原件扫描件加盖电子公章（依法免税的应提供相应文件说明）</w:t>
            </w:r>
          </w:p>
          <w:p w14:paraId="1F98EE14">
            <w:pPr>
              <w:pStyle w:val="65"/>
              <w:spacing w:line="360" w:lineRule="auto"/>
              <w:jc w:val="both"/>
              <w:rPr>
                <w:rFonts w:hint="eastAsia" w:ascii="仿宋" w:hAnsi="仿宋" w:eastAsia="仿宋" w:cs="仿宋"/>
                <w:color w:val="auto"/>
                <w:highlight w:val="none"/>
              </w:rPr>
            </w:pPr>
            <w:r>
              <w:rPr>
                <w:rFonts w:hint="eastAsia" w:ascii="仿宋" w:hAnsi="仿宋" w:eastAsia="仿宋" w:cs="仿宋"/>
                <w:color w:val="auto"/>
                <w:highlight w:val="none"/>
              </w:rPr>
              <w:t>须提供响应文件递交截止日期之前六个月内为员工缴纳社会保障资金的证明材料原件扫描件加盖电子公章（任意一个月即可），证明材料是社会保险登记证和缴纳社会保险的凭据（专用收据或社会保险缴纳清单）（依法不需要缴纳社会保障资金的应提供相应文件说明）</w:t>
            </w:r>
          </w:p>
        </w:tc>
      </w:tr>
      <w:tr w14:paraId="09FC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center"/>
          </w:tcPr>
          <w:p w14:paraId="4B0EA4DD">
            <w:pPr>
              <w:pStyle w:val="65"/>
              <w:spacing w:line="360" w:lineRule="auto"/>
              <w:jc w:val="center"/>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5</w:t>
            </w:r>
          </w:p>
        </w:tc>
        <w:tc>
          <w:tcPr>
            <w:tcW w:w="3456" w:type="dxa"/>
            <w:noWrap w:val="0"/>
            <w:vAlign w:val="center"/>
          </w:tcPr>
          <w:p w14:paraId="5ECE34B5">
            <w:pPr>
              <w:pStyle w:val="65"/>
              <w:spacing w:line="360" w:lineRule="auto"/>
              <w:jc w:val="both"/>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参加政府采购活动前三年内，在经营活动中没有重大违法记录</w:t>
            </w:r>
          </w:p>
        </w:tc>
        <w:tc>
          <w:tcPr>
            <w:tcW w:w="4418" w:type="dxa"/>
            <w:noWrap w:val="0"/>
            <w:vAlign w:val="center"/>
          </w:tcPr>
          <w:p w14:paraId="28C54A37">
            <w:pPr>
              <w:pStyle w:val="65"/>
              <w:spacing w:line="360" w:lineRule="auto"/>
              <w:jc w:val="both"/>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须提供声明函原件扫描件</w:t>
            </w:r>
          </w:p>
        </w:tc>
      </w:tr>
      <w:tr w14:paraId="42C3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center"/>
          </w:tcPr>
          <w:p w14:paraId="53ECAEF0">
            <w:pPr>
              <w:pStyle w:val="65"/>
              <w:spacing w:line="360" w:lineRule="auto"/>
              <w:jc w:val="center"/>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6</w:t>
            </w:r>
          </w:p>
        </w:tc>
        <w:tc>
          <w:tcPr>
            <w:tcW w:w="3456" w:type="dxa"/>
            <w:noWrap w:val="0"/>
            <w:vAlign w:val="center"/>
          </w:tcPr>
          <w:p w14:paraId="0B16ADC0">
            <w:pPr>
              <w:pStyle w:val="65"/>
              <w:keepNext w:val="0"/>
              <w:keepLines w:val="0"/>
              <w:pageBreakBefore w:val="0"/>
              <w:widowControl/>
              <w:kinsoku/>
              <w:wordWrap w:val="0"/>
              <w:overflowPunct/>
              <w:topLinePunct w:val="0"/>
              <w:autoSpaceDE/>
              <w:autoSpaceDN/>
              <w:bidi w:val="0"/>
              <w:adjustRightInd/>
              <w:snapToGrid/>
              <w:spacing w:line="360" w:lineRule="auto"/>
              <w:jc w:val="both"/>
              <w:textAlignment w:val="auto"/>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凡拟参加本次招标项目的供应商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新疆税务局失信惩戒企业名单。近三年政府采购合同履约过程中及其他经营活动履约过程中因围标串标、偷税漏税、制售假冒伪劣商品等行为被有关行政部门处罚（处理）记录的，本项目不认定其具有良好的商业信誉，将拒绝其参加本次招采活动；</w:t>
            </w:r>
          </w:p>
        </w:tc>
        <w:tc>
          <w:tcPr>
            <w:tcW w:w="4418" w:type="dxa"/>
            <w:noWrap w:val="0"/>
            <w:vAlign w:val="center"/>
          </w:tcPr>
          <w:p w14:paraId="6DDAB3C6">
            <w:pPr>
              <w:pStyle w:val="65"/>
              <w:spacing w:line="360" w:lineRule="auto"/>
              <w:jc w:val="both"/>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以采购代理机构在“信用中国”网站及“中国政府采购网”、新疆</w:t>
            </w:r>
            <w:r>
              <w:rPr>
                <w:rFonts w:hint="eastAsia" w:ascii="仿宋" w:hAnsi="仿宋" w:eastAsia="仿宋" w:cs="仿宋"/>
                <w:color w:val="auto"/>
                <w:highlight w:val="none"/>
              </w:rPr>
              <w:t>税务局失信惩戒企业名单截图</w:t>
            </w:r>
            <w:r>
              <w:rPr>
                <w:rFonts w:hint="eastAsia" w:ascii="仿宋" w:hAnsi="仿宋" w:eastAsia="仿宋" w:cs="仿宋"/>
                <w:bCs w:val="0"/>
                <w:color w:val="auto"/>
                <w:spacing w:val="0"/>
                <w:kern w:val="2"/>
                <w:highlight w:val="none"/>
              </w:rPr>
              <w:t>查询结果为准。</w:t>
            </w:r>
          </w:p>
        </w:tc>
      </w:tr>
      <w:tr w14:paraId="0D63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center"/>
          </w:tcPr>
          <w:p w14:paraId="12427A4B">
            <w:pPr>
              <w:pStyle w:val="65"/>
              <w:spacing w:line="360" w:lineRule="auto"/>
              <w:jc w:val="center"/>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7</w:t>
            </w:r>
          </w:p>
        </w:tc>
        <w:tc>
          <w:tcPr>
            <w:tcW w:w="3456" w:type="dxa"/>
            <w:noWrap w:val="0"/>
            <w:vAlign w:val="center"/>
          </w:tcPr>
          <w:p w14:paraId="56D17892">
            <w:pPr>
              <w:pStyle w:val="65"/>
              <w:spacing w:line="360" w:lineRule="auto"/>
              <w:jc w:val="both"/>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法定代表人授权委托书</w:t>
            </w:r>
          </w:p>
        </w:tc>
        <w:tc>
          <w:tcPr>
            <w:tcW w:w="4418" w:type="dxa"/>
            <w:noWrap w:val="0"/>
            <w:vAlign w:val="center"/>
          </w:tcPr>
          <w:p w14:paraId="1713DE0E">
            <w:pPr>
              <w:pStyle w:val="65"/>
              <w:spacing w:line="360" w:lineRule="auto"/>
              <w:jc w:val="both"/>
              <w:rPr>
                <w:rFonts w:hint="eastAsia" w:ascii="仿宋" w:hAnsi="仿宋" w:eastAsia="仿宋" w:cs="仿宋"/>
                <w:bCs w:val="0"/>
                <w:color w:val="auto"/>
                <w:spacing w:val="0"/>
                <w:kern w:val="2"/>
                <w:highlight w:val="none"/>
              </w:rPr>
            </w:pPr>
            <w:r>
              <w:rPr>
                <w:rFonts w:hint="eastAsia" w:ascii="仿宋" w:hAnsi="仿宋" w:eastAsia="仿宋" w:cs="仿宋"/>
                <w:bCs w:val="0"/>
                <w:color w:val="auto"/>
                <w:spacing w:val="0"/>
                <w:kern w:val="2"/>
                <w:highlight w:val="none"/>
              </w:rPr>
              <w:t>授权人代表签字的须提供法定代表人授权委托书原件扫描件及委托人身份证原件扫描件</w:t>
            </w:r>
          </w:p>
        </w:tc>
      </w:tr>
    </w:tbl>
    <w:p w14:paraId="64CD9B84">
      <w:pPr>
        <w:pStyle w:val="65"/>
        <w:spacing w:line="360" w:lineRule="auto"/>
        <w:rPr>
          <w:rFonts w:hint="eastAsia" w:ascii="仿宋" w:hAnsi="仿宋" w:eastAsia="仿宋" w:cs="仿宋"/>
          <w:b/>
          <w:color w:val="auto"/>
          <w:spacing w:val="0"/>
          <w:kern w:val="2"/>
          <w:sz w:val="24"/>
          <w:szCs w:val="24"/>
          <w:highlight w:val="none"/>
        </w:rPr>
      </w:pPr>
      <w:bookmarkStart w:id="35" w:name="_Toc492286395"/>
      <w:bookmarkStart w:id="36" w:name="_Toc31761"/>
      <w:bookmarkStart w:id="37" w:name="_Toc509318023"/>
      <w:r>
        <w:rPr>
          <w:rFonts w:hint="eastAsia" w:ascii="仿宋" w:hAnsi="仿宋" w:eastAsia="仿宋" w:cs="仿宋"/>
          <w:b/>
          <w:color w:val="auto"/>
          <w:spacing w:val="0"/>
          <w:kern w:val="2"/>
          <w:sz w:val="24"/>
          <w:szCs w:val="24"/>
          <w:highlight w:val="none"/>
        </w:rPr>
        <w:t>三、符合性审查</w:t>
      </w:r>
      <w:bookmarkEnd w:id="35"/>
      <w:bookmarkEnd w:id="36"/>
      <w:bookmarkEnd w:id="37"/>
    </w:p>
    <w:p w14:paraId="03BD48DF">
      <w:pPr>
        <w:pStyle w:val="65"/>
        <w:spacing w:line="360" w:lineRule="auto"/>
        <w:ind w:firstLine="480" w:firstLineChars="200"/>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评标委员会对通过资格审查的合格投标人的投标文件进行符合性审查，未通过符合性审查的投标不进入详细评审。符合性审查记录表如下：</w:t>
      </w:r>
    </w:p>
    <w:tbl>
      <w:tblPr>
        <w:tblStyle w:val="31"/>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398"/>
        <w:gridCol w:w="3386"/>
        <w:gridCol w:w="3310"/>
      </w:tblGrid>
      <w:tr w14:paraId="786D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329058FF">
            <w:pPr>
              <w:pStyle w:val="21"/>
              <w:spacing w:line="360" w:lineRule="auto"/>
              <w:ind w:right="-1"/>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序号</w:t>
            </w:r>
          </w:p>
        </w:tc>
        <w:tc>
          <w:tcPr>
            <w:tcW w:w="1398" w:type="dxa"/>
            <w:noWrap w:val="0"/>
            <w:vAlign w:val="center"/>
          </w:tcPr>
          <w:p w14:paraId="3799770D">
            <w:pPr>
              <w:pStyle w:val="21"/>
              <w:spacing w:line="360" w:lineRule="auto"/>
              <w:ind w:right="65" w:rightChars="31"/>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评审因素</w:t>
            </w:r>
          </w:p>
        </w:tc>
        <w:tc>
          <w:tcPr>
            <w:tcW w:w="3386" w:type="dxa"/>
            <w:noWrap w:val="0"/>
            <w:vAlign w:val="center"/>
          </w:tcPr>
          <w:p w14:paraId="5BF3339F">
            <w:pPr>
              <w:pStyle w:val="21"/>
              <w:spacing w:line="360" w:lineRule="auto"/>
              <w:ind w:right="-73" w:rightChars="-35"/>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审查内容和审查标准</w:t>
            </w:r>
          </w:p>
        </w:tc>
        <w:tc>
          <w:tcPr>
            <w:tcW w:w="3310" w:type="dxa"/>
            <w:noWrap w:val="0"/>
            <w:vAlign w:val="center"/>
          </w:tcPr>
          <w:p w14:paraId="173E8BC1">
            <w:pPr>
              <w:pStyle w:val="21"/>
              <w:spacing w:line="360" w:lineRule="auto"/>
              <w:ind w:right="-73" w:rightChars="-35"/>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合格标准</w:t>
            </w:r>
          </w:p>
        </w:tc>
      </w:tr>
      <w:tr w14:paraId="0383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67F4FF2B">
            <w:pPr>
              <w:pStyle w:val="21"/>
              <w:spacing w:line="360" w:lineRule="auto"/>
              <w:ind w:right="-71" w:rightChars="-34"/>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398" w:type="dxa"/>
            <w:noWrap w:val="0"/>
            <w:vAlign w:val="center"/>
          </w:tcPr>
          <w:p w14:paraId="0DD54F96">
            <w:pPr>
              <w:pStyle w:val="21"/>
              <w:spacing w:line="360" w:lineRule="auto"/>
              <w:ind w:right="65" w:rightChars="31"/>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投标文件签章</w:t>
            </w:r>
          </w:p>
        </w:tc>
        <w:tc>
          <w:tcPr>
            <w:tcW w:w="3386" w:type="dxa"/>
            <w:noWrap w:val="0"/>
            <w:vAlign w:val="center"/>
          </w:tcPr>
          <w:p w14:paraId="477CC3D7">
            <w:pPr>
              <w:pStyle w:val="21"/>
              <w:spacing w:line="360" w:lineRule="auto"/>
              <w:ind w:right="-73" w:rightChars="-3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是否按照规定在应由企业法人或法人授权代表在所有规定签字处逐一盖电子章或签字及加盖单位电子公章</w:t>
            </w:r>
          </w:p>
        </w:tc>
        <w:tc>
          <w:tcPr>
            <w:tcW w:w="3310" w:type="dxa"/>
            <w:noWrap w:val="0"/>
            <w:vAlign w:val="center"/>
          </w:tcPr>
          <w:p w14:paraId="0445C89F">
            <w:pPr>
              <w:pStyle w:val="21"/>
              <w:spacing w:line="360" w:lineRule="auto"/>
              <w:ind w:right="-73" w:rightChars="-3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按照规定在应由企业法人或法人授权代表在所有规定签字处逐一盖电子章或签字及加盖单位电子公章</w:t>
            </w:r>
          </w:p>
        </w:tc>
      </w:tr>
      <w:tr w14:paraId="2AAD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24121884">
            <w:pPr>
              <w:pStyle w:val="21"/>
              <w:spacing w:line="360" w:lineRule="auto"/>
              <w:ind w:right="-71" w:rightChars="-34"/>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398" w:type="dxa"/>
            <w:noWrap w:val="0"/>
            <w:vAlign w:val="center"/>
          </w:tcPr>
          <w:p w14:paraId="1EF03EF7">
            <w:pPr>
              <w:pStyle w:val="21"/>
              <w:spacing w:line="360" w:lineRule="auto"/>
              <w:ind w:right="65" w:rightChars="31"/>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报价</w:t>
            </w:r>
          </w:p>
        </w:tc>
        <w:tc>
          <w:tcPr>
            <w:tcW w:w="3386" w:type="dxa"/>
            <w:noWrap w:val="0"/>
            <w:vAlign w:val="center"/>
          </w:tcPr>
          <w:p w14:paraId="57B0AD71">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投标文件是否针对同一种货物出现了两个或两个以上的报价；报价是否超过项目预算或最高限价</w:t>
            </w:r>
            <w:r>
              <w:rPr>
                <w:rFonts w:hint="eastAsia" w:ascii="仿宋" w:hAnsi="仿宋" w:eastAsia="仿宋" w:cs="仿宋"/>
                <w:color w:val="auto"/>
                <w:sz w:val="21"/>
                <w:szCs w:val="21"/>
                <w:highlight w:val="none"/>
                <w:lang w:eastAsia="zh-CN"/>
              </w:rPr>
              <w:t>（投标人填报分项价格不得超过第五章采购需求中明确的“分项报价最高限价”）</w:t>
            </w:r>
            <w:r>
              <w:rPr>
                <w:rFonts w:hint="eastAsia" w:ascii="仿宋" w:hAnsi="仿宋" w:eastAsia="仿宋" w:cs="仿宋"/>
                <w:color w:val="auto"/>
                <w:sz w:val="21"/>
                <w:szCs w:val="21"/>
                <w:highlight w:val="none"/>
              </w:rPr>
              <w:t>或经评标委员会认定低于成本的</w:t>
            </w:r>
          </w:p>
        </w:tc>
        <w:tc>
          <w:tcPr>
            <w:tcW w:w="3310" w:type="dxa"/>
            <w:noWrap w:val="0"/>
            <w:vAlign w:val="center"/>
          </w:tcPr>
          <w:p w14:paraId="2368244E">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针对同一种货物未出现了两个或两个以上的报价；报价未超过项目预算或最高限价，经评标委员会认定报价未低于成本的</w:t>
            </w:r>
          </w:p>
        </w:tc>
      </w:tr>
      <w:tr w14:paraId="2C11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3FFF108D">
            <w:pPr>
              <w:pStyle w:val="21"/>
              <w:spacing w:line="360" w:lineRule="auto"/>
              <w:ind w:right="-71" w:rightChars="-34"/>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1398" w:type="dxa"/>
            <w:noWrap w:val="0"/>
            <w:vAlign w:val="center"/>
          </w:tcPr>
          <w:p w14:paraId="20919077">
            <w:pPr>
              <w:pStyle w:val="21"/>
              <w:spacing w:line="360" w:lineRule="auto"/>
              <w:ind w:right="65" w:rightChars="31"/>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投标文件内容</w:t>
            </w:r>
          </w:p>
        </w:tc>
        <w:tc>
          <w:tcPr>
            <w:tcW w:w="3386" w:type="dxa"/>
            <w:noWrap w:val="0"/>
            <w:vAlign w:val="center"/>
          </w:tcPr>
          <w:p w14:paraId="380FB3AC">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是否按照投标文件规定的内容填写</w:t>
            </w:r>
          </w:p>
        </w:tc>
        <w:tc>
          <w:tcPr>
            <w:tcW w:w="3310" w:type="dxa"/>
            <w:noWrap w:val="0"/>
            <w:vAlign w:val="center"/>
          </w:tcPr>
          <w:p w14:paraId="0967F9E2">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按照投标文件规定的内容填写</w:t>
            </w:r>
          </w:p>
        </w:tc>
      </w:tr>
      <w:tr w14:paraId="1662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3263C30C">
            <w:pPr>
              <w:pStyle w:val="21"/>
              <w:spacing w:line="360" w:lineRule="auto"/>
              <w:ind w:right="-71" w:rightChars="-34"/>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1398" w:type="dxa"/>
            <w:noWrap w:val="0"/>
            <w:vAlign w:val="center"/>
          </w:tcPr>
          <w:p w14:paraId="15E445D0">
            <w:pPr>
              <w:pStyle w:val="21"/>
              <w:spacing w:line="360" w:lineRule="auto"/>
              <w:ind w:right="65" w:rightChars="31"/>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投标保证金</w:t>
            </w:r>
          </w:p>
        </w:tc>
        <w:tc>
          <w:tcPr>
            <w:tcW w:w="3386" w:type="dxa"/>
            <w:noWrap w:val="0"/>
            <w:vAlign w:val="center"/>
          </w:tcPr>
          <w:p w14:paraId="3B17C926">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是否按招标文件规定递交保证金、保证金金额、保证金形式是否符合招标文件规定的</w:t>
            </w:r>
          </w:p>
        </w:tc>
        <w:tc>
          <w:tcPr>
            <w:tcW w:w="3310" w:type="dxa"/>
            <w:noWrap w:val="0"/>
            <w:vAlign w:val="center"/>
          </w:tcPr>
          <w:p w14:paraId="5BD6B2AC">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按招标文件规定递交保证金、保证金金额、保证金形式符合招标文件规定的</w:t>
            </w:r>
          </w:p>
        </w:tc>
      </w:tr>
      <w:tr w14:paraId="7F55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09C77BF6">
            <w:pPr>
              <w:pStyle w:val="21"/>
              <w:spacing w:line="360" w:lineRule="auto"/>
              <w:ind w:right="-71" w:rightChars="-34"/>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398" w:type="dxa"/>
            <w:noWrap w:val="0"/>
            <w:vAlign w:val="center"/>
          </w:tcPr>
          <w:p w14:paraId="15878A26">
            <w:pPr>
              <w:pStyle w:val="21"/>
              <w:spacing w:line="360" w:lineRule="auto"/>
              <w:ind w:right="65" w:rightChars="31"/>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w:t>
            </w:r>
          </w:p>
        </w:tc>
        <w:tc>
          <w:tcPr>
            <w:tcW w:w="3386" w:type="dxa"/>
            <w:noWrap w:val="0"/>
            <w:vAlign w:val="center"/>
          </w:tcPr>
          <w:p w14:paraId="015CD1F1">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投标有效期是否满足投标文件要求</w:t>
            </w:r>
          </w:p>
        </w:tc>
        <w:tc>
          <w:tcPr>
            <w:tcW w:w="3310" w:type="dxa"/>
            <w:noWrap w:val="0"/>
            <w:vAlign w:val="center"/>
          </w:tcPr>
          <w:p w14:paraId="3B0B6D61">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投标有效期满足投标文件要求</w:t>
            </w:r>
          </w:p>
        </w:tc>
      </w:tr>
      <w:tr w14:paraId="3509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6FE78E02">
            <w:pPr>
              <w:pStyle w:val="21"/>
              <w:spacing w:line="360" w:lineRule="auto"/>
              <w:ind w:right="-71" w:rightChars="-34"/>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398" w:type="dxa"/>
            <w:noWrap w:val="0"/>
            <w:vAlign w:val="center"/>
          </w:tcPr>
          <w:p w14:paraId="2214707C">
            <w:pPr>
              <w:pStyle w:val="21"/>
              <w:spacing w:line="360" w:lineRule="auto"/>
              <w:ind w:right="65" w:rightChars="31"/>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实质性响应</w:t>
            </w:r>
          </w:p>
        </w:tc>
        <w:tc>
          <w:tcPr>
            <w:tcW w:w="3386" w:type="dxa"/>
            <w:noWrap w:val="0"/>
            <w:vAlign w:val="center"/>
          </w:tcPr>
          <w:p w14:paraId="4174F78A">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投标文件是否满足招标文件中“★”实质性条款的要求和明确的商务要求（如，付款方式、质保、供货期）。</w:t>
            </w:r>
          </w:p>
        </w:tc>
        <w:tc>
          <w:tcPr>
            <w:tcW w:w="3310" w:type="dxa"/>
            <w:noWrap w:val="0"/>
            <w:vAlign w:val="center"/>
          </w:tcPr>
          <w:p w14:paraId="539DD530">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投标文件满足招标文件中“★”实质性条款的要求和明确的商务要求（如，付款方式、质保、供货期）。</w:t>
            </w:r>
          </w:p>
        </w:tc>
      </w:tr>
      <w:tr w14:paraId="2043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3BA53E48">
            <w:pPr>
              <w:pStyle w:val="21"/>
              <w:spacing w:line="360" w:lineRule="auto"/>
              <w:ind w:right="-71" w:rightChars="-34"/>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1398" w:type="dxa"/>
            <w:noWrap w:val="0"/>
            <w:vAlign w:val="center"/>
          </w:tcPr>
          <w:p w14:paraId="44721A6B">
            <w:pPr>
              <w:pStyle w:val="21"/>
              <w:spacing w:line="360" w:lineRule="auto"/>
              <w:ind w:right="65" w:rightChars="31"/>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参数响应</w:t>
            </w:r>
          </w:p>
        </w:tc>
        <w:tc>
          <w:tcPr>
            <w:tcW w:w="3386" w:type="dxa"/>
            <w:noWrap w:val="0"/>
            <w:vAlign w:val="center"/>
          </w:tcPr>
          <w:p w14:paraId="22643256">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对于</w:t>
            </w:r>
            <w:r>
              <w:rPr>
                <w:rFonts w:hint="eastAsia"/>
                <w:lang w:val="en-US" w:eastAsia="zh-CN"/>
              </w:rPr>
              <w:t>标</w:t>
            </w:r>
            <w:r>
              <w:rPr>
                <w:rFonts w:hint="eastAsia" w:ascii="宋体" w:hAnsi="宋体" w:eastAsia="宋体" w:cs="宋体"/>
                <w:szCs w:val="24"/>
                <w:highlight w:val="none"/>
                <w:u w:val="none"/>
              </w:rPr>
              <w:t>▲</w:t>
            </w:r>
            <w:r>
              <w:rPr>
                <w:rFonts w:hint="eastAsia" w:ascii="仿宋" w:hAnsi="仿宋" w:eastAsia="仿宋" w:cs="仿宋"/>
                <w:color w:val="auto"/>
                <w:sz w:val="21"/>
                <w:szCs w:val="21"/>
                <w:highlight w:val="none"/>
              </w:rPr>
              <w:t>允许负偏离参数</w:t>
            </w:r>
            <w:r>
              <w:rPr>
                <w:rFonts w:hint="eastAsia" w:ascii="仿宋" w:hAnsi="仿宋" w:eastAsia="仿宋" w:cs="仿宋"/>
                <w:color w:val="auto"/>
                <w:sz w:val="21"/>
                <w:szCs w:val="21"/>
                <w:highlight w:val="none"/>
                <w:lang w:eastAsia="zh-CN"/>
              </w:rPr>
              <w:t>小于等于</w:t>
            </w:r>
            <w:r>
              <w:rPr>
                <w:rFonts w:hint="eastAsia" w:ascii="仿宋" w:hAnsi="仿宋" w:eastAsia="仿宋" w:cs="仿宋"/>
                <w:color w:val="auto"/>
                <w:sz w:val="21"/>
                <w:szCs w:val="21"/>
                <w:highlight w:val="none"/>
              </w:rPr>
              <w:t>于</w:t>
            </w:r>
            <w:r>
              <w:rPr>
                <w:rFonts w:hint="eastAsia" w:ascii="仿宋" w:hAnsi="仿宋" w:eastAsia="仿宋" w:cs="仿宋"/>
                <w:color w:val="auto"/>
                <w:sz w:val="21"/>
                <w:szCs w:val="21"/>
                <w:highlight w:val="none"/>
                <w:lang w:val="en-US" w:eastAsia="zh-CN"/>
              </w:rPr>
              <w:t xml:space="preserve">  10  </w:t>
            </w:r>
            <w:r>
              <w:rPr>
                <w:rFonts w:hint="eastAsia" w:ascii="仿宋" w:hAnsi="仿宋" w:eastAsia="仿宋" w:cs="仿宋"/>
                <w:color w:val="auto"/>
                <w:sz w:val="21"/>
                <w:szCs w:val="21"/>
                <w:highlight w:val="none"/>
              </w:rPr>
              <w:t>项</w:t>
            </w:r>
            <w:r>
              <w:rPr>
                <w:rFonts w:hint="eastAsia" w:ascii="仿宋" w:hAnsi="仿宋" w:eastAsia="仿宋" w:cs="仿宋"/>
                <w:color w:val="auto"/>
                <w:sz w:val="21"/>
                <w:szCs w:val="21"/>
                <w:highlight w:val="none"/>
                <w:lang w:eastAsia="zh-CN"/>
              </w:rPr>
              <w:t>，接受其他参数负偏离小于等于</w:t>
            </w:r>
            <w:r>
              <w:rPr>
                <w:rFonts w:hint="eastAsia" w:ascii="仿宋" w:hAnsi="仿宋" w:eastAsia="仿宋" w:cs="仿宋"/>
                <w:color w:val="auto"/>
                <w:sz w:val="21"/>
                <w:szCs w:val="21"/>
                <w:highlight w:val="none"/>
                <w:lang w:val="en-US" w:eastAsia="zh-CN"/>
              </w:rPr>
              <w:t xml:space="preserve"> 10 项</w:t>
            </w:r>
          </w:p>
        </w:tc>
        <w:tc>
          <w:tcPr>
            <w:tcW w:w="3310" w:type="dxa"/>
            <w:noWrap w:val="0"/>
            <w:vAlign w:val="center"/>
          </w:tcPr>
          <w:p w14:paraId="58985C02">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对于</w:t>
            </w:r>
            <w:r>
              <w:rPr>
                <w:rFonts w:hint="eastAsia"/>
                <w:lang w:val="en-US" w:eastAsia="zh-CN"/>
              </w:rPr>
              <w:t>标</w:t>
            </w:r>
            <w:r>
              <w:rPr>
                <w:rFonts w:hint="eastAsia" w:ascii="宋体" w:hAnsi="宋体" w:eastAsia="宋体" w:cs="宋体"/>
                <w:szCs w:val="24"/>
                <w:highlight w:val="none"/>
                <w:u w:val="none"/>
              </w:rPr>
              <w:t>▲</w:t>
            </w:r>
            <w:r>
              <w:rPr>
                <w:rFonts w:hint="eastAsia" w:ascii="仿宋" w:hAnsi="仿宋" w:eastAsia="仿宋" w:cs="仿宋"/>
                <w:color w:val="auto"/>
                <w:sz w:val="21"/>
                <w:szCs w:val="21"/>
                <w:highlight w:val="none"/>
              </w:rPr>
              <w:t>允许负偏离参数</w:t>
            </w:r>
            <w:r>
              <w:rPr>
                <w:rFonts w:hint="eastAsia" w:ascii="仿宋" w:hAnsi="仿宋" w:eastAsia="仿宋" w:cs="仿宋"/>
                <w:color w:val="auto"/>
                <w:sz w:val="21"/>
                <w:szCs w:val="21"/>
                <w:highlight w:val="none"/>
                <w:lang w:eastAsia="zh-CN"/>
              </w:rPr>
              <w:t>小于等于</w:t>
            </w:r>
            <w:r>
              <w:rPr>
                <w:rFonts w:hint="eastAsia" w:ascii="仿宋" w:hAnsi="仿宋" w:eastAsia="仿宋" w:cs="仿宋"/>
                <w:color w:val="auto"/>
                <w:sz w:val="21"/>
                <w:szCs w:val="21"/>
                <w:highlight w:val="none"/>
              </w:rPr>
              <w:t>于</w:t>
            </w:r>
            <w:r>
              <w:rPr>
                <w:rFonts w:hint="eastAsia" w:ascii="仿宋" w:hAnsi="仿宋" w:eastAsia="仿宋" w:cs="仿宋"/>
                <w:color w:val="auto"/>
                <w:sz w:val="21"/>
                <w:szCs w:val="21"/>
                <w:highlight w:val="none"/>
                <w:lang w:val="en-US" w:eastAsia="zh-CN"/>
              </w:rPr>
              <w:t xml:space="preserve"> 10   </w:t>
            </w:r>
            <w:r>
              <w:rPr>
                <w:rFonts w:hint="eastAsia" w:ascii="仿宋" w:hAnsi="仿宋" w:eastAsia="仿宋" w:cs="仿宋"/>
                <w:color w:val="auto"/>
                <w:sz w:val="21"/>
                <w:szCs w:val="21"/>
                <w:highlight w:val="none"/>
              </w:rPr>
              <w:t>项</w:t>
            </w:r>
            <w:r>
              <w:rPr>
                <w:rFonts w:hint="eastAsia" w:ascii="仿宋" w:hAnsi="仿宋" w:eastAsia="仿宋" w:cs="仿宋"/>
                <w:color w:val="auto"/>
                <w:sz w:val="21"/>
                <w:szCs w:val="21"/>
                <w:highlight w:val="none"/>
                <w:lang w:eastAsia="zh-CN"/>
              </w:rPr>
              <w:t>，接受其他参数负偏离小于等于</w:t>
            </w:r>
            <w:r>
              <w:rPr>
                <w:rFonts w:hint="eastAsia" w:ascii="仿宋" w:hAnsi="仿宋" w:eastAsia="仿宋" w:cs="仿宋"/>
                <w:color w:val="auto"/>
                <w:sz w:val="21"/>
                <w:szCs w:val="21"/>
                <w:highlight w:val="none"/>
                <w:lang w:val="en-US" w:eastAsia="zh-CN"/>
              </w:rPr>
              <w:t xml:space="preserve"> 10 项</w:t>
            </w:r>
          </w:p>
        </w:tc>
      </w:tr>
      <w:tr w14:paraId="788B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262AB452">
            <w:pPr>
              <w:pStyle w:val="21"/>
              <w:spacing w:line="360" w:lineRule="auto"/>
              <w:ind w:right="-71" w:rightChars="-34"/>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1398" w:type="dxa"/>
            <w:noWrap w:val="0"/>
            <w:vAlign w:val="center"/>
          </w:tcPr>
          <w:p w14:paraId="63C3E04C">
            <w:pPr>
              <w:pStyle w:val="21"/>
              <w:spacing w:line="360" w:lineRule="auto"/>
              <w:ind w:right="65" w:rightChars="31"/>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设备数量</w:t>
            </w:r>
          </w:p>
        </w:tc>
        <w:tc>
          <w:tcPr>
            <w:tcW w:w="3386" w:type="dxa"/>
            <w:noWrap w:val="0"/>
            <w:vAlign w:val="center"/>
          </w:tcPr>
          <w:p w14:paraId="5F2857FF">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投标文件所供产品或服务是否满足招标文件中明确的采购量（设备或软件等的台套件数）</w:t>
            </w:r>
          </w:p>
        </w:tc>
        <w:tc>
          <w:tcPr>
            <w:tcW w:w="3310" w:type="dxa"/>
            <w:noWrap w:val="0"/>
            <w:vAlign w:val="center"/>
          </w:tcPr>
          <w:p w14:paraId="66095E25">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投标文件所供产品或服务满足招标文件中明确的采购量（设备或软件等的台套件数）</w:t>
            </w:r>
          </w:p>
        </w:tc>
      </w:tr>
      <w:tr w14:paraId="1791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3F8698E0">
            <w:pPr>
              <w:pStyle w:val="21"/>
              <w:spacing w:line="360" w:lineRule="auto"/>
              <w:ind w:right="-71" w:rightChars="-34"/>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1398" w:type="dxa"/>
            <w:noWrap w:val="0"/>
            <w:vAlign w:val="center"/>
          </w:tcPr>
          <w:p w14:paraId="028CDEAA">
            <w:pPr>
              <w:pStyle w:val="21"/>
              <w:spacing w:line="360" w:lineRule="auto"/>
              <w:ind w:right="65" w:rightChars="31"/>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附加条件</w:t>
            </w:r>
          </w:p>
        </w:tc>
        <w:tc>
          <w:tcPr>
            <w:tcW w:w="3386" w:type="dxa"/>
            <w:noWrap w:val="0"/>
            <w:vAlign w:val="center"/>
          </w:tcPr>
          <w:p w14:paraId="68D209C7">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响应文件是否含有采购人不能接受的附加条件的</w:t>
            </w:r>
          </w:p>
        </w:tc>
        <w:tc>
          <w:tcPr>
            <w:tcW w:w="3310" w:type="dxa"/>
            <w:noWrap w:val="0"/>
            <w:vAlign w:val="center"/>
          </w:tcPr>
          <w:p w14:paraId="051E5A7F">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投标文件未含有采购人不能接受的附加条件的</w:t>
            </w:r>
          </w:p>
        </w:tc>
      </w:tr>
      <w:tr w14:paraId="3DCB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2BB83125">
            <w:pPr>
              <w:pStyle w:val="21"/>
              <w:spacing w:line="360" w:lineRule="auto"/>
              <w:ind w:right="-71" w:rightChars="-34"/>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c>
          <w:tcPr>
            <w:tcW w:w="1398" w:type="dxa"/>
            <w:noWrap w:val="0"/>
            <w:vAlign w:val="center"/>
          </w:tcPr>
          <w:p w14:paraId="50522407">
            <w:pPr>
              <w:pStyle w:val="21"/>
              <w:spacing w:line="360" w:lineRule="auto"/>
              <w:ind w:right="65" w:rightChars="31"/>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投标产品明细</w:t>
            </w:r>
          </w:p>
        </w:tc>
        <w:tc>
          <w:tcPr>
            <w:tcW w:w="3386" w:type="dxa"/>
            <w:noWrap w:val="0"/>
            <w:vAlign w:val="center"/>
          </w:tcPr>
          <w:p w14:paraId="55F8206F">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所供产品是否具有明确的品牌、型号、数量、单价、产地</w:t>
            </w:r>
          </w:p>
        </w:tc>
        <w:tc>
          <w:tcPr>
            <w:tcW w:w="3310" w:type="dxa"/>
            <w:noWrap w:val="0"/>
            <w:vAlign w:val="center"/>
          </w:tcPr>
          <w:p w14:paraId="6BC59355">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所供产品具有明确的品牌、型号、数量、单价、产地</w:t>
            </w:r>
          </w:p>
        </w:tc>
      </w:tr>
      <w:tr w14:paraId="5823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noWrap w:val="0"/>
            <w:vAlign w:val="center"/>
          </w:tcPr>
          <w:p w14:paraId="37497E9C">
            <w:pPr>
              <w:pStyle w:val="21"/>
              <w:spacing w:line="360" w:lineRule="auto"/>
              <w:ind w:right="-71" w:rightChars="-34"/>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p>
        </w:tc>
        <w:tc>
          <w:tcPr>
            <w:tcW w:w="1398" w:type="dxa"/>
            <w:noWrap w:val="0"/>
            <w:vAlign w:val="center"/>
          </w:tcPr>
          <w:p w14:paraId="29E74589">
            <w:pPr>
              <w:pStyle w:val="21"/>
              <w:spacing w:line="360" w:lineRule="auto"/>
              <w:ind w:right="65" w:rightChars="31"/>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w:t>
            </w:r>
          </w:p>
        </w:tc>
        <w:tc>
          <w:tcPr>
            <w:tcW w:w="3386" w:type="dxa"/>
            <w:noWrap w:val="0"/>
            <w:vAlign w:val="center"/>
          </w:tcPr>
          <w:p w14:paraId="3880D373">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投标文件中是否存在违反国家法律、法规和招标文件规定的其他无效情形</w:t>
            </w:r>
          </w:p>
        </w:tc>
        <w:tc>
          <w:tcPr>
            <w:tcW w:w="3310" w:type="dxa"/>
            <w:noWrap w:val="0"/>
            <w:vAlign w:val="center"/>
          </w:tcPr>
          <w:p w14:paraId="1FC8CDE0">
            <w:pPr>
              <w:pStyle w:val="21"/>
              <w:spacing w:line="360" w:lineRule="auto"/>
              <w:ind w:right="-73" w:rightChars="-35"/>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投标文件中不存在违反国家法律、法规和招标文件规定的其他无效情形</w:t>
            </w:r>
          </w:p>
        </w:tc>
      </w:tr>
    </w:tbl>
    <w:p w14:paraId="7C447CA8">
      <w:pPr>
        <w:pStyle w:val="65"/>
        <w:spacing w:line="360" w:lineRule="auto"/>
        <w:rPr>
          <w:rFonts w:hint="eastAsia" w:ascii="仿宋" w:hAnsi="仿宋" w:eastAsia="仿宋" w:cs="仿宋"/>
          <w:b/>
          <w:color w:val="auto"/>
          <w:spacing w:val="0"/>
          <w:kern w:val="2"/>
          <w:sz w:val="24"/>
          <w:szCs w:val="24"/>
          <w:highlight w:val="none"/>
        </w:rPr>
      </w:pPr>
    </w:p>
    <w:p w14:paraId="25169221">
      <w:pPr>
        <w:pStyle w:val="65"/>
        <w:spacing w:line="360" w:lineRule="auto"/>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四、详细评审</w:t>
      </w:r>
    </w:p>
    <w:p w14:paraId="1FABA8B1">
      <w:pPr>
        <w:spacing w:line="360" w:lineRule="auto"/>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《详细评审标准》</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976"/>
        <w:gridCol w:w="636"/>
        <w:gridCol w:w="5635"/>
      </w:tblGrid>
      <w:tr w14:paraId="791C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25" w:type="dxa"/>
            <w:gridSpan w:val="2"/>
            <w:noWrap w:val="0"/>
            <w:vAlign w:val="center"/>
          </w:tcPr>
          <w:p w14:paraId="25BE71D6">
            <w:pPr>
              <w:spacing w:line="360" w:lineRule="auto"/>
              <w:ind w:right="638" w:rightChars="304"/>
              <w:jc w:val="center"/>
              <w:rPr>
                <w:rFonts w:hint="eastAsia" w:ascii="仿宋" w:hAnsi="仿宋" w:eastAsia="仿宋" w:cs="仿宋"/>
                <w:sz w:val="21"/>
                <w:szCs w:val="21"/>
              </w:rPr>
            </w:pPr>
            <w:r>
              <w:rPr>
                <w:rFonts w:hint="eastAsia" w:ascii="仿宋" w:hAnsi="仿宋" w:eastAsia="仿宋" w:cs="仿宋"/>
                <w:kern w:val="0"/>
                <w:sz w:val="21"/>
                <w:szCs w:val="21"/>
              </w:rPr>
              <w:t>评分因素</w:t>
            </w:r>
          </w:p>
        </w:tc>
        <w:tc>
          <w:tcPr>
            <w:tcW w:w="636" w:type="dxa"/>
            <w:noWrap w:val="0"/>
            <w:vAlign w:val="center"/>
          </w:tcPr>
          <w:p w14:paraId="25DD4EF2">
            <w:pPr>
              <w:spacing w:line="360" w:lineRule="auto"/>
              <w:jc w:val="center"/>
              <w:rPr>
                <w:rFonts w:hint="eastAsia" w:ascii="仿宋" w:hAnsi="仿宋" w:eastAsia="仿宋" w:cs="仿宋"/>
                <w:sz w:val="21"/>
                <w:szCs w:val="21"/>
              </w:rPr>
            </w:pPr>
            <w:r>
              <w:rPr>
                <w:rFonts w:hint="eastAsia" w:ascii="仿宋" w:hAnsi="仿宋" w:eastAsia="仿宋" w:cs="仿宋"/>
                <w:kern w:val="0"/>
                <w:sz w:val="21"/>
                <w:szCs w:val="21"/>
              </w:rPr>
              <w:t>分值</w:t>
            </w:r>
          </w:p>
        </w:tc>
        <w:tc>
          <w:tcPr>
            <w:tcW w:w="5635" w:type="dxa"/>
            <w:noWrap w:val="0"/>
            <w:vAlign w:val="center"/>
          </w:tcPr>
          <w:p w14:paraId="49CB34A5">
            <w:pPr>
              <w:spacing w:line="360" w:lineRule="auto"/>
              <w:ind w:right="-31" w:rightChars="-15"/>
              <w:jc w:val="center"/>
              <w:rPr>
                <w:rFonts w:hint="eastAsia" w:ascii="仿宋" w:hAnsi="仿宋" w:eastAsia="仿宋" w:cs="仿宋"/>
                <w:sz w:val="21"/>
                <w:szCs w:val="21"/>
              </w:rPr>
            </w:pPr>
            <w:r>
              <w:rPr>
                <w:rFonts w:hint="eastAsia" w:ascii="仿宋" w:hAnsi="仿宋" w:eastAsia="仿宋" w:cs="仿宋"/>
                <w:kern w:val="0"/>
                <w:sz w:val="21"/>
                <w:szCs w:val="21"/>
              </w:rPr>
              <w:t>评分细则</w:t>
            </w:r>
          </w:p>
        </w:tc>
      </w:tr>
      <w:tr w14:paraId="3501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25" w:type="dxa"/>
            <w:gridSpan w:val="2"/>
            <w:noWrap w:val="0"/>
            <w:vAlign w:val="center"/>
          </w:tcPr>
          <w:p w14:paraId="3A6F28D7">
            <w:pPr>
              <w:pStyle w:val="21"/>
              <w:spacing w:line="360" w:lineRule="auto"/>
              <w:jc w:val="center"/>
              <w:rPr>
                <w:rFonts w:hint="eastAsia" w:ascii="仿宋" w:hAnsi="仿宋" w:eastAsia="仿宋" w:cs="仿宋"/>
                <w:b/>
                <w:sz w:val="21"/>
                <w:szCs w:val="21"/>
              </w:rPr>
            </w:pPr>
            <w:r>
              <w:rPr>
                <w:rFonts w:hint="eastAsia" w:ascii="仿宋" w:hAnsi="仿宋" w:eastAsia="仿宋" w:cs="仿宋"/>
                <w:sz w:val="21"/>
                <w:szCs w:val="21"/>
              </w:rPr>
              <w:t>报价部分（40 分）</w:t>
            </w:r>
          </w:p>
        </w:tc>
        <w:tc>
          <w:tcPr>
            <w:tcW w:w="636" w:type="dxa"/>
            <w:noWrap w:val="0"/>
            <w:vAlign w:val="center"/>
          </w:tcPr>
          <w:p w14:paraId="41D0CF99">
            <w:pPr>
              <w:pStyle w:val="21"/>
              <w:spacing w:line="360" w:lineRule="auto"/>
              <w:jc w:val="center"/>
              <w:rPr>
                <w:rFonts w:hint="eastAsia" w:ascii="仿宋" w:hAnsi="仿宋" w:eastAsia="仿宋" w:cs="仿宋"/>
                <w:b/>
                <w:sz w:val="21"/>
                <w:szCs w:val="21"/>
              </w:rPr>
            </w:pPr>
            <w:r>
              <w:rPr>
                <w:rFonts w:hint="eastAsia" w:ascii="仿宋" w:hAnsi="仿宋" w:eastAsia="仿宋" w:cs="仿宋"/>
                <w:sz w:val="21"/>
                <w:szCs w:val="21"/>
              </w:rPr>
              <w:t>40</w:t>
            </w:r>
          </w:p>
        </w:tc>
        <w:tc>
          <w:tcPr>
            <w:tcW w:w="5635" w:type="dxa"/>
            <w:noWrap w:val="0"/>
            <w:vAlign w:val="center"/>
          </w:tcPr>
          <w:p w14:paraId="0307AB80">
            <w:pPr>
              <w:pStyle w:val="21"/>
              <w:spacing w:line="360" w:lineRule="auto"/>
              <w:jc w:val="left"/>
              <w:rPr>
                <w:rFonts w:hint="eastAsia" w:ascii="仿宋" w:hAnsi="仿宋" w:eastAsia="仿宋" w:cs="仿宋"/>
                <w:b/>
                <w:sz w:val="21"/>
                <w:szCs w:val="21"/>
              </w:rPr>
            </w:pPr>
            <w:r>
              <w:rPr>
                <w:rFonts w:hint="eastAsia" w:ascii="仿宋" w:hAnsi="仿宋" w:eastAsia="仿宋" w:cs="仿宋"/>
                <w:sz w:val="21"/>
                <w:szCs w:val="21"/>
              </w:rPr>
              <w:t>满足招标文件要求且投标价格最低的有效投标报价（即除低于成本报价以外的报价）为评标基准价。其他投标人的价格分统一按照下列公式计算：</w:t>
            </w:r>
          </w:p>
          <w:p w14:paraId="4AACFCB5">
            <w:pPr>
              <w:pStyle w:val="21"/>
              <w:spacing w:line="360" w:lineRule="auto"/>
              <w:jc w:val="left"/>
              <w:rPr>
                <w:rFonts w:hint="eastAsia" w:ascii="仿宋" w:hAnsi="仿宋" w:eastAsia="仿宋" w:cs="仿宋"/>
                <w:b/>
                <w:sz w:val="21"/>
                <w:szCs w:val="21"/>
              </w:rPr>
            </w:pPr>
            <w:r>
              <w:rPr>
                <w:rFonts w:hint="eastAsia" w:ascii="仿宋" w:hAnsi="仿宋" w:eastAsia="仿宋" w:cs="仿宋"/>
                <w:sz w:val="21"/>
                <w:szCs w:val="21"/>
              </w:rPr>
              <w:t>投标报价得分=（评标基准价/投标报价）×价格满分分值</w:t>
            </w:r>
          </w:p>
        </w:tc>
      </w:tr>
      <w:tr w14:paraId="5BCD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9" w:type="dxa"/>
            <w:tcBorders>
              <w:right w:val="single" w:color="auto" w:sz="4" w:space="0"/>
            </w:tcBorders>
            <w:noWrap w:val="0"/>
            <w:vAlign w:val="center"/>
          </w:tcPr>
          <w:p w14:paraId="6892BF2A">
            <w:pPr>
              <w:pStyle w:val="21"/>
              <w:spacing w:line="360" w:lineRule="auto"/>
              <w:jc w:val="center"/>
              <w:rPr>
                <w:rFonts w:hint="eastAsia" w:ascii="仿宋" w:hAnsi="仿宋" w:eastAsia="仿宋" w:cs="仿宋"/>
                <w:b/>
                <w:sz w:val="21"/>
                <w:szCs w:val="21"/>
              </w:rPr>
            </w:pPr>
            <w:r>
              <w:rPr>
                <w:rFonts w:hint="eastAsia" w:ascii="仿宋" w:hAnsi="仿宋" w:eastAsia="仿宋" w:cs="仿宋"/>
                <w:sz w:val="21"/>
                <w:szCs w:val="21"/>
              </w:rPr>
              <w:t>商务部分(</w:t>
            </w:r>
            <w:r>
              <w:rPr>
                <w:rFonts w:hint="eastAsia" w:ascii="仿宋" w:hAnsi="仿宋" w:eastAsia="仿宋" w:cs="仿宋"/>
                <w:sz w:val="21"/>
                <w:szCs w:val="21"/>
                <w:lang w:val="en-US" w:eastAsia="zh-CN"/>
              </w:rPr>
              <w:t>2</w:t>
            </w:r>
            <w:r>
              <w:rPr>
                <w:rFonts w:hint="eastAsia" w:ascii="仿宋" w:hAnsi="仿宋" w:eastAsia="仿宋" w:cs="仿宋"/>
                <w:sz w:val="21"/>
                <w:szCs w:val="21"/>
              </w:rPr>
              <w:t>分)</w:t>
            </w:r>
          </w:p>
        </w:tc>
        <w:tc>
          <w:tcPr>
            <w:tcW w:w="976" w:type="dxa"/>
            <w:tcBorders>
              <w:left w:val="single" w:color="auto" w:sz="4" w:space="0"/>
            </w:tcBorders>
            <w:noWrap w:val="0"/>
            <w:vAlign w:val="center"/>
          </w:tcPr>
          <w:p w14:paraId="754896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投标人业绩</w:t>
            </w:r>
          </w:p>
        </w:tc>
        <w:tc>
          <w:tcPr>
            <w:tcW w:w="636" w:type="dxa"/>
            <w:noWrap w:val="0"/>
            <w:vAlign w:val="center"/>
          </w:tcPr>
          <w:p w14:paraId="6D4581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w:t>
            </w:r>
          </w:p>
        </w:tc>
        <w:tc>
          <w:tcPr>
            <w:tcW w:w="5635" w:type="dxa"/>
            <w:noWrap w:val="0"/>
            <w:vAlign w:val="center"/>
          </w:tcPr>
          <w:p w14:paraId="72D742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提供自2023年1月1日（含）至投标文件上传截止时间与本项目类似业绩，每提供一项得1分，最高得2分。</w:t>
            </w:r>
          </w:p>
          <w:p w14:paraId="093A18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提供：业绩合同关键页（含：首页、货物内容信息页、合同金额页、签字盖章页）复印件加盖公章，时间以合同签订日期或中标（成交）通知书为准。不符合上述要求或未按要求提供有效证明文件的业绩在评审时将不予承认。投标人提供虚假合同的，按虚假投标处理。</w:t>
            </w:r>
          </w:p>
        </w:tc>
      </w:tr>
      <w:tr w14:paraId="2768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9" w:type="dxa"/>
            <w:vMerge w:val="restart"/>
            <w:tcBorders>
              <w:right w:val="single" w:color="000000" w:sz="4" w:space="0"/>
            </w:tcBorders>
            <w:noWrap w:val="0"/>
            <w:vAlign w:val="center"/>
          </w:tcPr>
          <w:p w14:paraId="23654B65">
            <w:pPr>
              <w:pStyle w:val="21"/>
              <w:spacing w:line="360" w:lineRule="auto"/>
              <w:jc w:val="center"/>
              <w:rPr>
                <w:rFonts w:hint="eastAsia" w:ascii="仿宋" w:hAnsi="仿宋" w:eastAsia="仿宋" w:cs="仿宋"/>
                <w:b/>
                <w:sz w:val="21"/>
                <w:szCs w:val="21"/>
              </w:rPr>
            </w:pPr>
            <w:r>
              <w:rPr>
                <w:rFonts w:hint="eastAsia" w:ascii="仿宋" w:hAnsi="仿宋" w:eastAsia="仿宋" w:cs="仿宋"/>
                <w:sz w:val="21"/>
                <w:szCs w:val="21"/>
              </w:rPr>
              <w:t>技术部分 (5</w:t>
            </w:r>
            <w:r>
              <w:rPr>
                <w:rFonts w:hint="eastAsia" w:ascii="仿宋" w:hAnsi="仿宋" w:eastAsia="仿宋" w:cs="仿宋"/>
                <w:sz w:val="21"/>
                <w:szCs w:val="21"/>
                <w:lang w:val="en-US" w:eastAsia="zh-CN"/>
              </w:rPr>
              <w:t>8</w:t>
            </w:r>
            <w:r>
              <w:rPr>
                <w:rFonts w:hint="eastAsia" w:ascii="仿宋" w:hAnsi="仿宋" w:eastAsia="仿宋" w:cs="仿宋"/>
                <w:sz w:val="21"/>
                <w:szCs w:val="21"/>
              </w:rPr>
              <w:t>分)</w:t>
            </w:r>
          </w:p>
        </w:tc>
        <w:tc>
          <w:tcPr>
            <w:tcW w:w="976" w:type="dxa"/>
            <w:tcBorders>
              <w:left w:val="single" w:color="000000" w:sz="4" w:space="0"/>
            </w:tcBorders>
            <w:noWrap w:val="0"/>
            <w:vAlign w:val="center"/>
          </w:tcPr>
          <w:p w14:paraId="521BC7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技术响应</w:t>
            </w:r>
          </w:p>
        </w:tc>
        <w:tc>
          <w:tcPr>
            <w:tcW w:w="636" w:type="dxa"/>
            <w:noWrap w:val="0"/>
            <w:vAlign w:val="center"/>
          </w:tcPr>
          <w:p w14:paraId="16E818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50</w:t>
            </w:r>
          </w:p>
        </w:tc>
        <w:tc>
          <w:tcPr>
            <w:tcW w:w="5635" w:type="dxa"/>
            <w:noWrap w:val="0"/>
            <w:vAlign w:val="center"/>
          </w:tcPr>
          <w:p w14:paraId="0D6DD03C">
            <w:pPr>
              <w:pStyle w:val="1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针对招标文件中技术指标要求部分进行逐条应答，对于招标文件采购清单中的性能指标（功能描述）的响应程度，全部满足要求得50分。本项目采购文件中标★号项的技术指标为实质性响应参数，不允许负偏离，须完全满足，否则视为无效响应。标“▲”参数为重要关键参数，无标识项为一般参数。</w:t>
            </w:r>
          </w:p>
          <w:p w14:paraId="4330D26C">
            <w:pPr>
              <w:pStyle w:val="1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（1）标“▲”重要关键参数（ 10 项）须按每项要求提供清晰的证明等材料，每负偏离一项扣4分，最多扣40分。</w:t>
            </w:r>
          </w:p>
          <w:p w14:paraId="3FB1B0EC">
            <w:pPr>
              <w:pStyle w:val="1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（2）无标识项一般参数，每负偏离一项扣 1 分，最多扣10分。负偏离大于10项，投标无效。</w:t>
            </w:r>
          </w:p>
          <w:p w14:paraId="7D9A222F">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负偏离评审依据：</w:t>
            </w:r>
          </w:p>
          <w:p w14:paraId="7E50B5B9">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①所提供产品技术参数不满足招标文件要求，未进行实质性应答说明的，视为负偏离；</w:t>
            </w:r>
          </w:p>
          <w:p w14:paraId="4FE2A106">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②技术参数响应条款（以投标文件内技术偏离表为准）与招标文件对比有缺项、漏项的，视为负偏离；</w:t>
            </w:r>
          </w:p>
          <w:p w14:paraId="78139D04">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③投标人须对本招标文件技术要求进行点对点应答，必须在引用本招标文件的基础上,进行逐条逐项答复、说明和解释,特别对有具体参数要求的指标，投标人必须按照项目需求中要求提供的证明材料（以招标文件中每项要求提供的材料为准），投标文件内技术偏离表完全复制招标文件技术参数的（提供证明材料符合要求除外），视为负偏离；</w:t>
            </w:r>
          </w:p>
          <w:p w14:paraId="64D2617B">
            <w:pPr>
              <w:pStyle w:val="1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④投标人提供的投标文件中采购需求偏离表、投标人需提供与产品技术参数相关的证明材料内描述的同一产品技术参数响应值不一致的，视为负偏离。</w:t>
            </w:r>
          </w:p>
          <w:p w14:paraId="3FFD34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注：以上相关证明材料是指，已要求的按每项要求提供的材料为准。未具体要求的不限定证明材料类型，只要能证明完全响应技术参数的证明材料均已认可。</w:t>
            </w:r>
          </w:p>
        </w:tc>
      </w:tr>
      <w:tr w14:paraId="1CF0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9" w:type="dxa"/>
            <w:vMerge w:val="continue"/>
            <w:tcBorders>
              <w:right w:val="single" w:color="000000" w:sz="4" w:space="0"/>
            </w:tcBorders>
            <w:noWrap w:val="0"/>
            <w:vAlign w:val="center"/>
          </w:tcPr>
          <w:p w14:paraId="3740EDB0">
            <w:pPr>
              <w:pStyle w:val="21"/>
              <w:spacing w:line="360" w:lineRule="auto"/>
              <w:jc w:val="center"/>
              <w:rPr>
                <w:rFonts w:hint="eastAsia" w:ascii="仿宋" w:hAnsi="仿宋" w:eastAsia="仿宋" w:cs="仿宋"/>
                <w:sz w:val="21"/>
                <w:szCs w:val="21"/>
                <w:highlight w:val="none"/>
              </w:rPr>
            </w:pPr>
          </w:p>
        </w:tc>
        <w:tc>
          <w:tcPr>
            <w:tcW w:w="976" w:type="dxa"/>
            <w:tcBorders>
              <w:left w:val="single" w:color="000000" w:sz="4" w:space="0"/>
            </w:tcBorders>
            <w:noWrap w:val="0"/>
            <w:vAlign w:val="center"/>
          </w:tcPr>
          <w:p w14:paraId="37916084">
            <w:pPr>
              <w:pStyle w:val="1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项目实施及服务方案</w:t>
            </w:r>
          </w:p>
        </w:tc>
        <w:tc>
          <w:tcPr>
            <w:tcW w:w="636" w:type="dxa"/>
            <w:noWrap w:val="0"/>
            <w:vAlign w:val="center"/>
          </w:tcPr>
          <w:p w14:paraId="63762F4D">
            <w:pPr>
              <w:pStyle w:val="1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6</w:t>
            </w:r>
          </w:p>
        </w:tc>
        <w:tc>
          <w:tcPr>
            <w:tcW w:w="5635" w:type="dxa"/>
            <w:noWrap w:val="0"/>
            <w:vAlign w:val="center"/>
          </w:tcPr>
          <w:p w14:paraId="00C4EBAE">
            <w:pPr>
              <w:pStyle w:val="1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提供详细的项目包含但不限于：①实施方案；（施工方案、纳管方案）②按时供货保障方案（包含但不限于：产品来源、供货时间、包装和运输方式等）；③安全保证措施；④质量保证措施及风险管理措施；⑤风险管理措施；⑥组织验收（应说明验收方法和验收条件、安装验收需用的环境及配套条件）等。根据投标人提供方案进行评分，全部提供无缺陷得6分，若有一项不提供扣1分，每项内容中每有一处缺陷扣0.5分;扣完为止。</w:t>
            </w:r>
          </w:p>
          <w:p w14:paraId="505BD68F">
            <w:pPr>
              <w:keepNext w:val="0"/>
              <w:keepLines w:val="0"/>
              <w:widowControl/>
              <w:autoSpaceDE/>
              <w:autoSpaceDN/>
              <w:snapToGrid w:val="0"/>
              <w:spacing w:before="0" w:after="0" w:line="360" w:lineRule="auto"/>
              <w:rPr>
                <w:rFonts w:hint="eastAsia" w:ascii="仿宋" w:hAnsi="仿宋" w:eastAsia="仿宋" w:cs="仿宋"/>
                <w:b w:val="0"/>
                <w:kern w:val="2"/>
                <w:sz w:val="21"/>
                <w:szCs w:val="21"/>
                <w:highlight w:val="none"/>
                <w:u w:val="none"/>
                <w:lang w:val="en-US" w:eastAsia="zh-CN"/>
              </w:rPr>
            </w:pPr>
            <w:r>
              <w:rPr>
                <w:rFonts w:hint="eastAsia" w:ascii="仿宋" w:hAnsi="仿宋" w:eastAsia="仿宋" w:cs="仿宋"/>
                <w:b w:val="0"/>
                <w:kern w:val="2"/>
                <w:sz w:val="21"/>
                <w:szCs w:val="21"/>
                <w:highlight w:val="none"/>
                <w:u w:val="none"/>
                <w:lang w:val="en-US" w:eastAsia="zh-CN"/>
              </w:rPr>
              <w:t>缺陷是指：</w:t>
            </w:r>
          </w:p>
          <w:p w14:paraId="74596214">
            <w:pPr>
              <w:keepNext w:val="0"/>
              <w:keepLines w:val="0"/>
              <w:widowControl/>
              <w:autoSpaceDE/>
              <w:autoSpaceDN/>
              <w:snapToGrid w:val="0"/>
              <w:spacing w:before="0" w:after="0" w:line="360" w:lineRule="auto"/>
              <w:rPr>
                <w:rFonts w:hint="eastAsia" w:ascii="仿宋" w:hAnsi="仿宋" w:eastAsia="仿宋" w:cs="仿宋"/>
                <w:b w:val="0"/>
                <w:kern w:val="2"/>
                <w:sz w:val="21"/>
                <w:szCs w:val="21"/>
                <w:highlight w:val="none"/>
                <w:u w:val="none"/>
                <w:lang w:val="en-US" w:eastAsia="zh-CN"/>
              </w:rPr>
            </w:pPr>
            <w:r>
              <w:rPr>
                <w:rFonts w:hint="eastAsia" w:ascii="仿宋" w:hAnsi="仿宋" w:eastAsia="仿宋" w:cs="仿宋"/>
                <w:b w:val="0"/>
                <w:kern w:val="2"/>
                <w:sz w:val="21"/>
                <w:szCs w:val="21"/>
                <w:highlight w:val="none"/>
                <w:u w:val="none"/>
                <w:lang w:val="en-US" w:eastAsia="zh-CN"/>
              </w:rPr>
              <w:t>1、内容中夹杂含有与本项目无关的：（1、其他单位名称、2、其他标的物内容、3其他标的物方案）</w:t>
            </w:r>
          </w:p>
          <w:p w14:paraId="1DBDC582">
            <w:pPr>
              <w:keepNext w:val="0"/>
              <w:keepLines w:val="0"/>
              <w:widowControl/>
              <w:autoSpaceDE/>
              <w:autoSpaceDN/>
              <w:snapToGrid w:val="0"/>
              <w:spacing w:before="0" w:after="0" w:line="360" w:lineRule="auto"/>
              <w:rPr>
                <w:rFonts w:hint="eastAsia" w:ascii="仿宋" w:hAnsi="仿宋" w:eastAsia="仿宋" w:cs="仿宋"/>
                <w:b w:val="0"/>
                <w:kern w:val="2"/>
                <w:sz w:val="21"/>
                <w:szCs w:val="21"/>
                <w:highlight w:val="none"/>
                <w:u w:val="none"/>
                <w:lang w:val="en-US" w:eastAsia="zh-CN"/>
              </w:rPr>
            </w:pPr>
            <w:r>
              <w:rPr>
                <w:rFonts w:hint="eastAsia" w:ascii="仿宋" w:hAnsi="仿宋" w:eastAsia="仿宋" w:cs="仿宋"/>
                <w:b w:val="0"/>
                <w:kern w:val="2"/>
                <w:sz w:val="21"/>
                <w:szCs w:val="21"/>
                <w:highlight w:val="none"/>
                <w:u w:val="none"/>
                <w:lang w:val="en-US" w:eastAsia="zh-CN"/>
              </w:rPr>
              <w:t xml:space="preserve">2、方案内容针对同一事项前后表述不一致 </w:t>
            </w:r>
          </w:p>
          <w:p w14:paraId="552A2FFA">
            <w:pPr>
              <w:keepNext w:val="0"/>
              <w:keepLines w:val="0"/>
              <w:widowControl/>
              <w:autoSpaceDE/>
              <w:autoSpaceDN/>
              <w:snapToGrid w:val="0"/>
              <w:spacing w:before="0" w:after="0" w:line="360" w:lineRule="auto"/>
              <w:rPr>
                <w:rFonts w:hint="eastAsia" w:ascii="仿宋" w:hAnsi="仿宋" w:eastAsia="仿宋" w:cs="仿宋"/>
                <w:b w:val="0"/>
                <w:kern w:val="2"/>
                <w:sz w:val="21"/>
                <w:szCs w:val="21"/>
                <w:highlight w:val="none"/>
                <w:u w:val="none"/>
                <w:lang w:val="en-US" w:eastAsia="zh-CN"/>
              </w:rPr>
            </w:pPr>
            <w:r>
              <w:rPr>
                <w:rFonts w:hint="eastAsia" w:ascii="仿宋" w:hAnsi="仿宋" w:eastAsia="仿宋" w:cs="仿宋"/>
                <w:b w:val="0"/>
                <w:kern w:val="2"/>
                <w:sz w:val="21"/>
                <w:szCs w:val="21"/>
                <w:highlight w:val="none"/>
                <w:u w:val="none"/>
                <w:lang w:val="en-US" w:eastAsia="zh-CN"/>
              </w:rPr>
              <w:t>3、方案响应中含有不符合本项目明确的采购需求内容（不含实质性要求）</w:t>
            </w:r>
          </w:p>
          <w:p w14:paraId="474382CF">
            <w:pPr>
              <w:keepNext w:val="0"/>
              <w:keepLines w:val="0"/>
              <w:widowControl/>
              <w:autoSpaceDE/>
              <w:autoSpaceDN/>
              <w:snapToGrid w:val="0"/>
              <w:spacing w:before="0" w:after="0" w:line="360" w:lineRule="auto"/>
              <w:rPr>
                <w:rFonts w:hint="eastAsia" w:ascii="仿宋" w:hAnsi="仿宋" w:eastAsia="仿宋" w:cs="仿宋"/>
                <w:b w:val="0"/>
                <w:kern w:val="2"/>
                <w:sz w:val="21"/>
                <w:szCs w:val="21"/>
                <w:highlight w:val="none"/>
                <w:u w:val="none"/>
                <w:lang w:val="en-US" w:eastAsia="zh-CN"/>
              </w:rPr>
            </w:pPr>
            <w:r>
              <w:rPr>
                <w:rFonts w:hint="eastAsia" w:ascii="仿宋" w:hAnsi="仿宋" w:eastAsia="仿宋" w:cs="仿宋"/>
                <w:b w:val="0"/>
                <w:kern w:val="2"/>
                <w:sz w:val="21"/>
                <w:szCs w:val="21"/>
                <w:highlight w:val="none"/>
                <w:u w:val="none"/>
                <w:lang w:val="en-US" w:eastAsia="zh-CN"/>
              </w:rPr>
              <w:t>4、对于评审方案明确要求响应文件存在部分未提供或不满足</w:t>
            </w:r>
          </w:p>
          <w:p w14:paraId="21C62EEB">
            <w:pPr>
              <w:keepNext w:val="0"/>
              <w:keepLines w:val="0"/>
              <w:widowControl/>
              <w:autoSpaceDE/>
              <w:autoSpaceDN/>
              <w:snapToGrid w:val="0"/>
              <w:spacing w:before="0" w:after="0" w:line="360" w:lineRule="auto"/>
              <w:rPr>
                <w:rFonts w:hint="eastAsia"/>
                <w:lang w:val="en-US" w:eastAsia="zh-CN"/>
              </w:rPr>
            </w:pPr>
            <w:r>
              <w:rPr>
                <w:rFonts w:hint="eastAsia" w:ascii="仿宋" w:hAnsi="仿宋" w:eastAsia="仿宋" w:cs="仿宋"/>
                <w:b w:val="0"/>
                <w:kern w:val="2"/>
                <w:sz w:val="21"/>
                <w:szCs w:val="21"/>
                <w:highlight w:val="none"/>
                <w:u w:val="none"/>
                <w:lang w:val="en-US" w:eastAsia="zh-CN"/>
              </w:rPr>
              <w:t>5、存在涉及的规范及标准错误。</w:t>
            </w:r>
          </w:p>
        </w:tc>
      </w:tr>
      <w:tr w14:paraId="77D4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3" w:hRule="atLeast"/>
          <w:jc w:val="center"/>
        </w:trPr>
        <w:tc>
          <w:tcPr>
            <w:tcW w:w="1049" w:type="dxa"/>
            <w:vMerge w:val="continue"/>
            <w:tcBorders>
              <w:right w:val="single" w:color="auto" w:sz="4" w:space="0"/>
            </w:tcBorders>
            <w:noWrap w:val="0"/>
            <w:vAlign w:val="center"/>
          </w:tcPr>
          <w:p w14:paraId="6C76A8DD">
            <w:pPr>
              <w:pStyle w:val="21"/>
              <w:spacing w:line="360" w:lineRule="auto"/>
              <w:jc w:val="center"/>
              <w:rPr>
                <w:rFonts w:hint="eastAsia" w:ascii="仿宋" w:hAnsi="仿宋" w:eastAsia="仿宋" w:cs="仿宋"/>
                <w:sz w:val="21"/>
                <w:szCs w:val="21"/>
                <w:highlight w:val="none"/>
              </w:rPr>
            </w:pPr>
          </w:p>
        </w:tc>
        <w:tc>
          <w:tcPr>
            <w:tcW w:w="976" w:type="dxa"/>
            <w:tcBorders>
              <w:left w:val="single" w:color="auto" w:sz="4" w:space="0"/>
              <w:right w:val="single" w:color="auto" w:sz="4" w:space="0"/>
            </w:tcBorders>
            <w:noWrap w:val="0"/>
            <w:vAlign w:val="center"/>
          </w:tcPr>
          <w:p w14:paraId="7C856FC3">
            <w:pPr>
              <w:pStyle w:val="1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售后服务方案</w:t>
            </w:r>
          </w:p>
          <w:p w14:paraId="6128B596">
            <w:pPr>
              <w:pStyle w:val="1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仿宋" w:hAnsi="仿宋" w:eastAsia="仿宋" w:cs="仿宋"/>
                <w:kern w:val="2"/>
                <w:sz w:val="21"/>
                <w:szCs w:val="21"/>
                <w:lang w:val="en-US" w:eastAsia="zh-CN" w:bidi="ar-SA"/>
              </w:rPr>
            </w:pPr>
          </w:p>
        </w:tc>
        <w:tc>
          <w:tcPr>
            <w:tcW w:w="636" w:type="dxa"/>
            <w:tcBorders>
              <w:left w:val="single" w:color="auto" w:sz="4" w:space="0"/>
              <w:right w:val="single" w:color="auto" w:sz="4" w:space="0"/>
            </w:tcBorders>
            <w:noWrap w:val="0"/>
            <w:vAlign w:val="center"/>
          </w:tcPr>
          <w:p w14:paraId="1CBC1D7E">
            <w:pPr>
              <w:pStyle w:val="1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w:t>
            </w:r>
          </w:p>
        </w:tc>
        <w:tc>
          <w:tcPr>
            <w:tcW w:w="5635" w:type="dxa"/>
            <w:tcBorders>
              <w:left w:val="single" w:color="auto" w:sz="4" w:space="0"/>
            </w:tcBorders>
            <w:noWrap w:val="0"/>
            <w:vAlign w:val="top"/>
          </w:tcPr>
          <w:p w14:paraId="11EBF4E9">
            <w:pPr>
              <w:pStyle w:val="1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投标人根据项目需求编写售后服务方案：方案包含但不限于①提供专业的技术服务队伍，软硬件及时升级维护方案，服务承诺符合项目需求并提供完善的应急预案，提供详细的技术服务表单（包括客户服务报告、客户服务质量考核评估、服务满意度调查单电话回访记录单）；②提供完善的服务流程（包括故障处理、上门维护、紧急维护、重要服务、电话维护、主动巡检等），产品的售后服务机构；。全部提供无缺陷得2分，若有一项不提供扣1分，每项内容中每有一处缺陷扣0.5分;扣完为止。</w:t>
            </w:r>
          </w:p>
          <w:p w14:paraId="620C54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缺陷是指：</w:t>
            </w:r>
          </w:p>
          <w:p w14:paraId="2340FD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1、内容中夹杂含有与本项目无关的：（1、其他单位名称、2、其他标的物内容、3其他标的物方案）</w:t>
            </w:r>
          </w:p>
          <w:p w14:paraId="00FCEF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2、方案内容针对同一事项前后表述不一致 </w:t>
            </w:r>
          </w:p>
          <w:p w14:paraId="3EA1EF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3、方案响应中含有不符合本项目明确的采购需求内容（不含实质性要求）</w:t>
            </w:r>
          </w:p>
          <w:p w14:paraId="1C1D64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4、对于评审方案明确要求响应文件存在部分未提供或不满足</w:t>
            </w:r>
          </w:p>
          <w:p w14:paraId="104369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5、存在涉及的规范及标准错误。</w:t>
            </w:r>
          </w:p>
        </w:tc>
      </w:tr>
    </w:tbl>
    <w:p w14:paraId="120E9683">
      <w:pPr>
        <w:spacing w:line="360" w:lineRule="auto"/>
        <w:rPr>
          <w:rFonts w:hint="eastAsia" w:ascii="仿宋" w:hAnsi="仿宋" w:eastAsia="仿宋" w:cs="仿宋"/>
          <w:b/>
          <w:color w:val="auto"/>
          <w:sz w:val="24"/>
          <w:highlight w:val="none"/>
        </w:rPr>
      </w:pPr>
    </w:p>
    <w:p w14:paraId="34BF1D34">
      <w:pPr>
        <w:pStyle w:val="65"/>
        <w:spacing w:line="360" w:lineRule="auto"/>
        <w:rPr>
          <w:rFonts w:hint="eastAsia" w:ascii="仿宋" w:hAnsi="仿宋" w:eastAsia="仿宋" w:cs="仿宋"/>
          <w:b/>
          <w:color w:val="auto"/>
          <w:spacing w:val="0"/>
          <w:kern w:val="2"/>
          <w:sz w:val="24"/>
          <w:szCs w:val="24"/>
          <w:highlight w:val="none"/>
        </w:rPr>
      </w:pPr>
      <w:r>
        <w:rPr>
          <w:rFonts w:hint="eastAsia" w:ascii="仿宋" w:hAnsi="仿宋" w:eastAsia="仿宋" w:cs="仿宋"/>
          <w:b/>
          <w:color w:val="auto"/>
          <w:spacing w:val="0"/>
          <w:kern w:val="2"/>
          <w:sz w:val="24"/>
          <w:szCs w:val="24"/>
          <w:highlight w:val="none"/>
        </w:rPr>
        <w:t>详细评审中应考虑下列因素：</w:t>
      </w:r>
    </w:p>
    <w:p w14:paraId="09D25104">
      <w:pPr>
        <w:pStyle w:val="65"/>
        <w:spacing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1.评标委员会每位成员独立对每个有效投标人的投标文件进行评价、打分；然后汇总每个投标人的得分，计算得分平均值，以平均值由高到低进行排序，按排序顺序推荐中标候选人。分值计算保留小数点后一位，第二位四舍五入。</w:t>
      </w:r>
    </w:p>
    <w:p w14:paraId="34AFDB70">
      <w:pPr>
        <w:pStyle w:val="65"/>
        <w:spacing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2.根据《政府采购促进中小企业发展暂行办法》（财库[2011]181号）、《财政部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hint="eastAsia" w:ascii="仿宋" w:hAnsi="仿宋" w:eastAsia="仿宋" w:cs="仿宋"/>
          <w:bCs w:val="0"/>
          <w:color w:val="auto"/>
          <w:spacing w:val="0"/>
          <w:kern w:val="2"/>
          <w:sz w:val="24"/>
          <w:szCs w:val="24"/>
          <w:highlight w:val="none"/>
          <w:u w:val="single"/>
        </w:rPr>
        <w:t xml:space="preserve"> 10% </w:t>
      </w:r>
      <w:r>
        <w:rPr>
          <w:rFonts w:hint="eastAsia" w:ascii="仿宋" w:hAnsi="仿宋" w:eastAsia="仿宋" w:cs="仿宋"/>
          <w:bCs w:val="0"/>
          <w:color w:val="auto"/>
          <w:spacing w:val="0"/>
          <w:kern w:val="2"/>
          <w:sz w:val="24"/>
          <w:szCs w:val="24"/>
          <w:highlight w:val="none"/>
        </w:rPr>
        <w:t>后参与评审。对于同时属于小微企业、监狱企业或残疾人福利性单位的，不重复进行投标报价扣除。</w:t>
      </w:r>
    </w:p>
    <w:p w14:paraId="5095BA0E">
      <w:pPr>
        <w:pStyle w:val="65"/>
        <w:spacing w:line="360" w:lineRule="auto"/>
        <w:rPr>
          <w:rFonts w:hint="eastAsia" w:ascii="仿宋" w:hAnsi="仿宋" w:eastAsia="仿宋" w:cs="仿宋"/>
          <w:bCs w:val="0"/>
          <w:color w:val="auto"/>
          <w:spacing w:val="0"/>
          <w:kern w:val="2"/>
          <w:sz w:val="24"/>
          <w:szCs w:val="24"/>
          <w:highlight w:val="none"/>
          <w:lang w:val="en-US" w:eastAsia="zh-CN"/>
        </w:rPr>
      </w:pPr>
      <w:r>
        <w:rPr>
          <w:rFonts w:hint="eastAsia" w:ascii="仿宋" w:hAnsi="仿宋" w:eastAsia="仿宋" w:cs="仿宋"/>
          <w:bCs w:val="0"/>
          <w:color w:val="auto"/>
          <w:spacing w:val="0"/>
          <w:kern w:val="2"/>
          <w:sz w:val="24"/>
          <w:szCs w:val="24"/>
          <w:highlight w:val="none"/>
          <w:lang w:val="en-US" w:eastAsia="zh-CN"/>
        </w:rPr>
        <w:t>3.根据《国务院办公厅关于在政府采购中实施本国产品标准及相关政策的通知》（国办发〔2025〕34号）的相关规定，投标产品符合“本国产品标准”的，按照以下政策执行价格评审优惠：</w:t>
      </w:r>
    </w:p>
    <w:p w14:paraId="6872BA34">
      <w:pPr>
        <w:pStyle w:val="65"/>
        <w:spacing w:line="360" w:lineRule="auto"/>
        <w:rPr>
          <w:rFonts w:hint="eastAsia" w:ascii="仿宋" w:hAnsi="仿宋" w:eastAsia="仿宋" w:cs="仿宋"/>
          <w:bCs w:val="0"/>
          <w:color w:val="auto"/>
          <w:spacing w:val="0"/>
          <w:kern w:val="2"/>
          <w:sz w:val="24"/>
          <w:szCs w:val="24"/>
          <w:highlight w:val="none"/>
          <w:lang w:val="en-US" w:eastAsia="zh-CN"/>
        </w:rPr>
      </w:pPr>
      <w:r>
        <w:rPr>
          <w:rFonts w:hint="eastAsia" w:ascii="仿宋" w:hAnsi="仿宋" w:eastAsia="仿宋" w:cs="仿宋"/>
          <w:bCs w:val="0"/>
          <w:color w:val="auto"/>
          <w:spacing w:val="0"/>
          <w:kern w:val="2"/>
          <w:sz w:val="24"/>
          <w:szCs w:val="24"/>
          <w:highlight w:val="none"/>
          <w:lang w:val="en-US" w:eastAsia="zh-CN"/>
        </w:rPr>
        <w:t>3.1政府采购活动中既有本国产品又有非本国产品参与竞争的，依法对本国产品给予价格评审优惠，对本国产品的报价给予</w:t>
      </w:r>
      <w:r>
        <w:rPr>
          <w:rFonts w:hint="eastAsia" w:ascii="仿宋" w:hAnsi="仿宋" w:eastAsia="仿宋" w:cs="仿宋"/>
          <w:bCs w:val="0"/>
          <w:color w:val="auto"/>
          <w:spacing w:val="0"/>
          <w:kern w:val="2"/>
          <w:sz w:val="24"/>
          <w:szCs w:val="24"/>
          <w:highlight w:val="none"/>
          <w:u w:val="single"/>
          <w:lang w:val="en-US" w:eastAsia="zh-CN"/>
        </w:rPr>
        <w:t>20%</w:t>
      </w:r>
      <w:r>
        <w:rPr>
          <w:rFonts w:hint="eastAsia" w:ascii="仿宋" w:hAnsi="仿宋" w:eastAsia="仿宋" w:cs="仿宋"/>
          <w:bCs w:val="0"/>
          <w:color w:val="auto"/>
          <w:spacing w:val="0"/>
          <w:kern w:val="2"/>
          <w:sz w:val="24"/>
          <w:szCs w:val="24"/>
          <w:highlight w:val="none"/>
          <w:lang w:val="en-US" w:eastAsia="zh-CN"/>
        </w:rPr>
        <w:t>的价格扣除，用扣除后的价格参与评审。</w:t>
      </w:r>
    </w:p>
    <w:p w14:paraId="1228D8B1">
      <w:pPr>
        <w:pStyle w:val="65"/>
        <w:spacing w:line="360" w:lineRule="auto"/>
        <w:rPr>
          <w:rFonts w:hint="eastAsia" w:ascii="仿宋" w:hAnsi="仿宋" w:eastAsia="仿宋" w:cs="仿宋"/>
          <w:bCs w:val="0"/>
          <w:color w:val="auto"/>
          <w:spacing w:val="0"/>
          <w:kern w:val="2"/>
          <w:sz w:val="24"/>
          <w:szCs w:val="24"/>
          <w:highlight w:val="none"/>
          <w:lang w:val="en-US" w:eastAsia="zh-CN"/>
        </w:rPr>
      </w:pPr>
      <w:r>
        <w:rPr>
          <w:rFonts w:hint="eastAsia" w:ascii="仿宋" w:hAnsi="仿宋" w:eastAsia="仿宋" w:cs="仿宋"/>
          <w:bCs w:val="0"/>
          <w:color w:val="auto"/>
          <w:spacing w:val="0"/>
          <w:kern w:val="2"/>
          <w:sz w:val="24"/>
          <w:szCs w:val="24"/>
          <w:highlight w:val="none"/>
          <w:lang w:val="en-US" w:eastAsia="zh-CN"/>
        </w:rPr>
        <w:t>3.2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w:t>
      </w:r>
      <w:r>
        <w:rPr>
          <w:rFonts w:hint="eastAsia" w:ascii="仿宋" w:hAnsi="仿宋" w:eastAsia="仿宋" w:cs="仿宋"/>
          <w:bCs w:val="0"/>
          <w:color w:val="auto"/>
          <w:spacing w:val="0"/>
          <w:kern w:val="2"/>
          <w:sz w:val="24"/>
          <w:szCs w:val="24"/>
          <w:highlight w:val="none"/>
          <w:u w:val="single"/>
          <w:lang w:val="en-US" w:eastAsia="zh-CN"/>
        </w:rPr>
        <w:t>20%</w:t>
      </w:r>
      <w:r>
        <w:rPr>
          <w:rFonts w:hint="eastAsia" w:ascii="仿宋" w:hAnsi="仿宋" w:eastAsia="仿宋" w:cs="仿宋"/>
          <w:bCs w:val="0"/>
          <w:color w:val="auto"/>
          <w:spacing w:val="0"/>
          <w:kern w:val="2"/>
          <w:sz w:val="24"/>
          <w:szCs w:val="24"/>
          <w:highlight w:val="none"/>
          <w:lang w:val="en-US" w:eastAsia="zh-CN"/>
        </w:rPr>
        <w:t>的价格扣除，用扣除后的价格参与评审。</w:t>
      </w:r>
    </w:p>
    <w:p w14:paraId="73348D30">
      <w:pPr>
        <w:pStyle w:val="65"/>
        <w:spacing w:line="360" w:lineRule="auto"/>
        <w:rPr>
          <w:rFonts w:hint="eastAsia" w:ascii="仿宋" w:hAnsi="仿宋" w:eastAsia="仿宋" w:cs="仿宋"/>
          <w:bCs w:val="0"/>
          <w:color w:val="auto"/>
          <w:spacing w:val="0"/>
          <w:kern w:val="2"/>
          <w:sz w:val="24"/>
          <w:szCs w:val="24"/>
          <w:highlight w:val="none"/>
          <w:lang w:val="en-US" w:eastAsia="zh-CN"/>
        </w:rPr>
      </w:pPr>
      <w:r>
        <w:rPr>
          <w:rFonts w:hint="eastAsia" w:ascii="仿宋" w:hAnsi="仿宋" w:eastAsia="仿宋" w:cs="仿宋"/>
          <w:bCs w:val="0"/>
          <w:color w:val="auto"/>
          <w:spacing w:val="0"/>
          <w:kern w:val="2"/>
          <w:sz w:val="24"/>
          <w:szCs w:val="24"/>
          <w:highlight w:val="none"/>
          <w:lang w:val="en-US" w:eastAsia="zh-CN"/>
        </w:rPr>
        <w:t>3.3供应商对其提供的产品出具《关于符合本国产品标准的声明函》或财政部会同有关部门规定的有关证明文件。出具符合要求的《声明函》或有关证明文件的，该产品视为本国产品。</w:t>
      </w:r>
    </w:p>
    <w:p w14:paraId="385F4B4F">
      <w:pPr>
        <w:pStyle w:val="65"/>
        <w:spacing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lang w:val="en-US" w:eastAsia="zh-CN"/>
        </w:rPr>
        <w:t>4.</w:t>
      </w:r>
      <w:r>
        <w:rPr>
          <w:rFonts w:hint="eastAsia" w:ascii="仿宋" w:hAnsi="仿宋" w:eastAsia="仿宋" w:cs="仿宋"/>
          <w:bCs w:val="0"/>
          <w:color w:val="auto"/>
          <w:spacing w:val="0"/>
          <w:kern w:val="2"/>
          <w:sz w:val="24"/>
          <w:szCs w:val="24"/>
          <w:highlight w:val="none"/>
        </w:rPr>
        <w:t>联合协议中约定，小型、微型企业和监狱企业的协议合同金额占到联合体协议合同总金额30%以上的，可给予联合体</w:t>
      </w:r>
      <w:r>
        <w:rPr>
          <w:rFonts w:hint="eastAsia" w:ascii="仿宋" w:hAnsi="仿宋" w:eastAsia="仿宋" w:cs="仿宋"/>
          <w:bCs w:val="0"/>
          <w:color w:val="auto"/>
          <w:spacing w:val="0"/>
          <w:kern w:val="2"/>
          <w:sz w:val="24"/>
          <w:szCs w:val="24"/>
          <w:highlight w:val="none"/>
          <w:u w:val="single"/>
        </w:rPr>
        <w:t xml:space="preserve"> 2 %</w:t>
      </w:r>
      <w:r>
        <w:rPr>
          <w:rFonts w:hint="eastAsia" w:ascii="仿宋" w:hAnsi="仿宋" w:eastAsia="仿宋" w:cs="仿宋"/>
          <w:bCs w:val="0"/>
          <w:color w:val="auto"/>
          <w:spacing w:val="0"/>
          <w:kern w:val="2"/>
          <w:sz w:val="24"/>
          <w:szCs w:val="24"/>
          <w:highlight w:val="none"/>
        </w:rPr>
        <w:t xml:space="preserve"> 的价格扣除。联合体各方均为小型、微型企业和监狱企业的，联合体视同为小型、微型企业和监狱企业。（本项目不使用）</w:t>
      </w:r>
    </w:p>
    <w:p w14:paraId="76BB6325">
      <w:pPr>
        <w:pStyle w:val="65"/>
        <w:spacing w:line="360" w:lineRule="auto"/>
        <w:rPr>
          <w:rFonts w:hint="eastAsia" w:ascii="仿宋" w:hAnsi="仿宋" w:eastAsia="仿宋" w:cs="仿宋"/>
          <w:bCs w:val="0"/>
          <w:color w:val="auto"/>
          <w:spacing w:val="0"/>
          <w:kern w:val="2"/>
          <w:sz w:val="24"/>
          <w:szCs w:val="24"/>
          <w:highlight w:val="none"/>
          <w:u w:val="single"/>
        </w:rPr>
      </w:pPr>
      <w:r>
        <w:rPr>
          <w:rFonts w:hint="eastAsia" w:ascii="仿宋" w:hAnsi="仿宋" w:eastAsia="仿宋" w:cs="仿宋"/>
          <w:bCs w:val="0"/>
          <w:color w:val="auto"/>
          <w:spacing w:val="0"/>
          <w:kern w:val="2"/>
          <w:sz w:val="24"/>
          <w:szCs w:val="24"/>
          <w:highlight w:val="none"/>
          <w:lang w:val="en-US" w:eastAsia="zh-CN"/>
        </w:rPr>
        <w:t>5.</w:t>
      </w:r>
      <w:r>
        <w:rPr>
          <w:rFonts w:hint="eastAsia" w:ascii="仿宋" w:hAnsi="仿宋" w:eastAsia="仿宋" w:cs="仿宋"/>
          <w:bCs w:val="0"/>
          <w:color w:val="auto"/>
          <w:spacing w:val="0"/>
          <w:kern w:val="2"/>
          <w:sz w:val="24"/>
          <w:szCs w:val="24"/>
          <w:highlight w:val="none"/>
        </w:rPr>
        <w:t>投标人所投产品如被列入财政部与国家主管部门颁发的节能产品目录或环境标志产品目录或无线局域网产品目录，应提供相关证明，在评标时予以优先采购，具体优惠措施为：</w:t>
      </w:r>
      <w:r>
        <w:rPr>
          <w:rFonts w:hint="eastAsia" w:ascii="仿宋" w:hAnsi="仿宋" w:eastAsia="仿宋" w:cs="仿宋"/>
          <w:bCs w:val="0"/>
          <w:color w:val="auto"/>
          <w:spacing w:val="0"/>
          <w:kern w:val="2"/>
          <w:sz w:val="24"/>
          <w:szCs w:val="24"/>
          <w:highlight w:val="none"/>
          <w:u w:val="single"/>
        </w:rPr>
        <w:t>采购人采购产品属于节能产品、环境标志产品品目清单范围内，且投标人所投产品具有节能产品、环境标志产品认证证书，在评标时予以优先采购，具体优惠措施为：在技术部分打分项中加1分。</w:t>
      </w:r>
    </w:p>
    <w:p w14:paraId="6ABA8309">
      <w:pPr>
        <w:pStyle w:val="65"/>
        <w:spacing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z w:val="24"/>
          <w:szCs w:val="24"/>
          <w:highlight w:val="none"/>
        </w:rPr>
        <w:t>投标人所投产品列入无线局域网产品清单，应提供相关证明，在评标时予以优先采购，具体优惠措施为：</w:t>
      </w:r>
      <w:r>
        <w:rPr>
          <w:rFonts w:hint="eastAsia" w:ascii="仿宋" w:hAnsi="仿宋" w:eastAsia="仿宋" w:cs="仿宋"/>
          <w:bCs w:val="0"/>
          <w:color w:val="auto"/>
          <w:sz w:val="24"/>
          <w:szCs w:val="24"/>
          <w:highlight w:val="none"/>
          <w:u w:val="single"/>
        </w:rPr>
        <w:t>在技术部分打分项中加 0.5 分 。</w:t>
      </w:r>
    </w:p>
    <w:p w14:paraId="6D73118D">
      <w:pPr>
        <w:pStyle w:val="65"/>
        <w:spacing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如采购人所采购产品为政府强制采购的节能产品，投标人所投产品的品牌及型号必须为清单中有效期内产品并提供证明文件，否则其投标将作为</w:t>
      </w:r>
      <w:r>
        <w:rPr>
          <w:rFonts w:hint="eastAsia" w:ascii="仿宋" w:hAnsi="仿宋" w:eastAsia="仿宋" w:cs="仿宋"/>
          <w:b/>
          <w:color w:val="auto"/>
          <w:spacing w:val="0"/>
          <w:kern w:val="2"/>
          <w:sz w:val="24"/>
          <w:szCs w:val="24"/>
          <w:highlight w:val="none"/>
        </w:rPr>
        <w:t>无效投标</w:t>
      </w:r>
      <w:r>
        <w:rPr>
          <w:rFonts w:hint="eastAsia" w:ascii="仿宋" w:hAnsi="仿宋" w:eastAsia="仿宋" w:cs="仿宋"/>
          <w:bCs w:val="0"/>
          <w:color w:val="auto"/>
          <w:spacing w:val="0"/>
          <w:kern w:val="2"/>
          <w:sz w:val="24"/>
          <w:szCs w:val="24"/>
          <w:highlight w:val="none"/>
        </w:rPr>
        <w:t>被拒绝。</w:t>
      </w:r>
    </w:p>
    <w:p w14:paraId="00EF14CE">
      <w:pPr>
        <w:pStyle w:val="65"/>
        <w:widowControl w:val="0"/>
        <w:adjustRightInd w:val="0"/>
        <w:snapToGrid w:val="0"/>
        <w:spacing w:line="360" w:lineRule="auto"/>
        <w:jc w:val="both"/>
        <w:rPr>
          <w:rFonts w:hint="eastAsia" w:ascii="仿宋" w:hAnsi="仿宋" w:eastAsia="仿宋" w:cs="仿宋"/>
          <w:bCs w:val="0"/>
          <w:color w:val="auto"/>
          <w:sz w:val="24"/>
          <w:szCs w:val="24"/>
          <w:highlight w:val="none"/>
        </w:rPr>
      </w:pPr>
      <w:r>
        <w:rPr>
          <w:rFonts w:hint="eastAsia" w:ascii="仿宋" w:hAnsi="仿宋" w:eastAsia="仿宋" w:cs="仿宋"/>
          <w:bCs w:val="0"/>
          <w:color w:val="auto"/>
          <w:spacing w:val="0"/>
          <w:kern w:val="2"/>
          <w:sz w:val="24"/>
          <w:szCs w:val="24"/>
          <w:highlight w:val="none"/>
          <w:lang w:val="en-US" w:eastAsia="zh-CN"/>
        </w:rPr>
        <w:t>6.</w:t>
      </w:r>
      <w:r>
        <w:rPr>
          <w:rFonts w:hint="eastAsia" w:ascii="仿宋" w:hAnsi="仿宋" w:eastAsia="仿宋" w:cs="仿宋"/>
          <w:bCs w:val="0"/>
          <w:color w:val="auto"/>
          <w:sz w:val="24"/>
          <w:szCs w:val="24"/>
          <w:highlight w:val="none"/>
        </w:rPr>
        <w:t xml:space="preserve">根据《关于运用政府采购政策支持脱贫攻坚的通知》（财库〔2019〕27 </w:t>
      </w:r>
    </w:p>
    <w:p w14:paraId="6EA839E1">
      <w:pPr>
        <w:pStyle w:val="65"/>
        <w:widowControl w:val="0"/>
        <w:adjustRightInd w:val="0"/>
        <w:snapToGrid w:val="0"/>
        <w:spacing w:line="360" w:lineRule="auto"/>
        <w:jc w:val="both"/>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号）的规定，采购人采购农副产品的，对产地在国家级贫困地区的农副产品的优先采购措施：</w:t>
      </w:r>
      <w:r>
        <w:rPr>
          <w:rFonts w:hint="eastAsia" w:ascii="仿宋" w:hAnsi="仿宋" w:eastAsia="仿宋" w:cs="仿宋"/>
          <w:bCs w:val="0"/>
          <w:color w:val="auto"/>
          <w:sz w:val="24"/>
          <w:szCs w:val="24"/>
          <w:highlight w:val="none"/>
          <w:u w:val="single"/>
        </w:rPr>
        <w:t xml:space="preserve">  /   </w:t>
      </w:r>
      <w:r>
        <w:rPr>
          <w:rFonts w:hint="eastAsia" w:ascii="仿宋" w:hAnsi="仿宋" w:eastAsia="仿宋" w:cs="仿宋"/>
          <w:bCs w:val="0"/>
          <w:color w:val="auto"/>
          <w:sz w:val="24"/>
          <w:szCs w:val="24"/>
          <w:highlight w:val="none"/>
        </w:rPr>
        <w:t xml:space="preserve">。 </w:t>
      </w:r>
    </w:p>
    <w:p w14:paraId="680DBDAF">
      <w:pPr>
        <w:pStyle w:val="65"/>
        <w:spacing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lang w:val="en-US" w:eastAsia="zh-CN"/>
        </w:rPr>
        <w:t>7.</w:t>
      </w:r>
      <w:r>
        <w:rPr>
          <w:rFonts w:hint="eastAsia" w:ascii="仿宋" w:hAnsi="仿宋" w:eastAsia="仿宋" w:cs="仿宋"/>
          <w:bCs w:val="0"/>
          <w:color w:val="auto"/>
          <w:spacing w:val="0"/>
          <w:kern w:val="2"/>
          <w:sz w:val="24"/>
          <w:szCs w:val="24"/>
          <w:highlight w:val="none"/>
        </w:rPr>
        <w:t xml:space="preserve">中标候选人并列式时的处理方式：   </w:t>
      </w:r>
    </w:p>
    <w:p w14:paraId="1157118A">
      <w:pPr>
        <w:pStyle w:val="65"/>
        <w:spacing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如采用最低评标办法，则：由评标委员会随机抽取的方式确定；</w:t>
      </w:r>
    </w:p>
    <w:p w14:paraId="25874253">
      <w:pPr>
        <w:pStyle w:val="65"/>
        <w:spacing w:line="360" w:lineRule="auto"/>
        <w:rPr>
          <w:rFonts w:hint="eastAsia" w:ascii="仿宋" w:hAnsi="仿宋" w:eastAsia="仿宋" w:cs="仿宋"/>
          <w:bCs w:val="0"/>
          <w:color w:val="auto"/>
          <w:spacing w:val="0"/>
          <w:kern w:val="2"/>
          <w:sz w:val="24"/>
          <w:szCs w:val="24"/>
          <w:highlight w:val="none"/>
        </w:rPr>
      </w:pPr>
      <w:r>
        <w:rPr>
          <w:rFonts w:hint="eastAsia" w:ascii="仿宋" w:hAnsi="仿宋" w:eastAsia="仿宋" w:cs="仿宋"/>
          <w:bCs w:val="0"/>
          <w:color w:val="auto"/>
          <w:spacing w:val="0"/>
          <w:kern w:val="2"/>
          <w:sz w:val="24"/>
          <w:szCs w:val="24"/>
          <w:highlight w:val="none"/>
        </w:rPr>
        <w:t xml:space="preserve">如采用综合评标法，则：综合评审得分相同的,投标报价最低优先，如报价相同则技术部分得分最高优先，投标报价相同且技术部分得分也相同的，由评标委员会现场采取随机抽取方式确定。 </w:t>
      </w:r>
    </w:p>
    <w:p w14:paraId="765A494C">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en-US" w:eastAsia="zh-CN"/>
        </w:rPr>
        <w:t>8.</w:t>
      </w:r>
      <w:r>
        <w:rPr>
          <w:rFonts w:hint="eastAsia" w:ascii="仿宋" w:hAnsi="仿宋" w:eastAsia="仿宋" w:cs="仿宋"/>
          <w:color w:val="auto"/>
          <w:sz w:val="24"/>
          <w:szCs w:val="32"/>
          <w:highlight w:val="none"/>
        </w:rPr>
        <w:t>政府采购评审中出现下列情形之一的，评标委员会应当启动异常低价投标（响应）审查程序：</w:t>
      </w:r>
    </w:p>
    <w:p w14:paraId="055146A9">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（1）投标报价低于全部通过符合性审查投标人投标报价平均值</w:t>
      </w:r>
      <w:r>
        <w:rPr>
          <w:rFonts w:hint="eastAsia" w:ascii="仿宋" w:hAnsi="仿宋" w:eastAsia="仿宋" w:cs="仿宋"/>
          <w:color w:val="auto"/>
          <w:sz w:val="24"/>
          <w:szCs w:val="32"/>
          <w:highlight w:val="none"/>
          <w:lang w:val="en-US" w:eastAsia="zh-CN"/>
        </w:rPr>
        <w:t>65</w:t>
      </w:r>
      <w:r>
        <w:rPr>
          <w:rFonts w:hint="eastAsia" w:ascii="仿宋" w:hAnsi="仿宋" w:eastAsia="仿宋" w:cs="仿宋"/>
          <w:color w:val="auto"/>
          <w:sz w:val="24"/>
          <w:szCs w:val="32"/>
          <w:highlight w:val="none"/>
        </w:rPr>
        <w:t>%的，即投标报价&lt;全部通过符合性审查投标人投标报价平均值×</w:t>
      </w:r>
      <w:r>
        <w:rPr>
          <w:rFonts w:hint="eastAsia" w:ascii="仿宋" w:hAnsi="仿宋" w:eastAsia="仿宋" w:cs="仿宋"/>
          <w:color w:val="auto"/>
          <w:sz w:val="24"/>
          <w:szCs w:val="32"/>
          <w:highlight w:val="none"/>
          <w:lang w:val="en-US" w:eastAsia="zh-CN"/>
        </w:rPr>
        <w:t>65</w:t>
      </w:r>
      <w:r>
        <w:rPr>
          <w:rFonts w:hint="eastAsia" w:ascii="仿宋" w:hAnsi="仿宋" w:eastAsia="仿宋" w:cs="仿宋"/>
          <w:color w:val="auto"/>
          <w:sz w:val="24"/>
          <w:szCs w:val="32"/>
          <w:highlight w:val="none"/>
        </w:rPr>
        <w:t>%；</w:t>
      </w:r>
    </w:p>
    <w:p w14:paraId="44BFBD83">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（2）投标报价低于通过符合性审查的次低报价投标人投标报价</w:t>
      </w:r>
      <w:r>
        <w:rPr>
          <w:rFonts w:hint="eastAsia" w:ascii="仿宋" w:hAnsi="仿宋" w:eastAsia="仿宋" w:cs="仿宋"/>
          <w:color w:val="auto"/>
          <w:sz w:val="24"/>
          <w:szCs w:val="32"/>
          <w:highlight w:val="none"/>
          <w:lang w:val="en-US" w:eastAsia="zh-CN"/>
        </w:rPr>
        <w:t>65</w:t>
      </w:r>
      <w:r>
        <w:rPr>
          <w:rFonts w:hint="eastAsia" w:ascii="仿宋" w:hAnsi="仿宋" w:eastAsia="仿宋" w:cs="仿宋"/>
          <w:color w:val="auto"/>
          <w:sz w:val="24"/>
          <w:szCs w:val="32"/>
          <w:highlight w:val="none"/>
        </w:rPr>
        <w:t>%的，即投标报价&lt;通过符合性审查的次低报价投标人投标报价×</w:t>
      </w:r>
      <w:r>
        <w:rPr>
          <w:rFonts w:hint="eastAsia" w:ascii="仿宋" w:hAnsi="仿宋" w:eastAsia="仿宋" w:cs="仿宋"/>
          <w:color w:val="auto"/>
          <w:sz w:val="24"/>
          <w:szCs w:val="32"/>
          <w:highlight w:val="none"/>
          <w:lang w:val="en-US" w:eastAsia="zh-CN"/>
        </w:rPr>
        <w:t>65</w:t>
      </w:r>
      <w:r>
        <w:rPr>
          <w:rFonts w:hint="eastAsia" w:ascii="仿宋" w:hAnsi="仿宋" w:eastAsia="仿宋" w:cs="仿宋"/>
          <w:color w:val="auto"/>
          <w:sz w:val="24"/>
          <w:szCs w:val="32"/>
          <w:highlight w:val="none"/>
        </w:rPr>
        <w:t>%；</w:t>
      </w:r>
    </w:p>
    <w:p w14:paraId="4C5248F8">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（3）投标报价低于采购项目最高限价</w:t>
      </w:r>
      <w:r>
        <w:rPr>
          <w:rFonts w:hint="eastAsia" w:ascii="仿宋" w:hAnsi="仿宋" w:eastAsia="仿宋" w:cs="仿宋"/>
          <w:color w:val="auto"/>
          <w:sz w:val="24"/>
          <w:szCs w:val="32"/>
          <w:highlight w:val="none"/>
          <w:lang w:val="en-US" w:eastAsia="zh-CN"/>
        </w:rPr>
        <w:t>65</w:t>
      </w:r>
      <w:r>
        <w:rPr>
          <w:rFonts w:hint="eastAsia" w:ascii="仿宋" w:hAnsi="仿宋" w:eastAsia="仿宋" w:cs="仿宋"/>
          <w:color w:val="auto"/>
          <w:sz w:val="24"/>
          <w:szCs w:val="32"/>
          <w:highlight w:val="none"/>
        </w:rPr>
        <w:t>%的，即投标报价&lt;采购项目最高限价×</w:t>
      </w:r>
      <w:r>
        <w:rPr>
          <w:rFonts w:hint="eastAsia" w:ascii="仿宋" w:hAnsi="仿宋" w:eastAsia="仿宋" w:cs="仿宋"/>
          <w:color w:val="auto"/>
          <w:sz w:val="24"/>
          <w:szCs w:val="32"/>
          <w:highlight w:val="none"/>
          <w:lang w:val="en-US" w:eastAsia="zh-CN"/>
        </w:rPr>
        <w:t>65</w:t>
      </w:r>
      <w:r>
        <w:rPr>
          <w:rFonts w:hint="eastAsia" w:ascii="仿宋" w:hAnsi="仿宋" w:eastAsia="仿宋" w:cs="仿宋"/>
          <w:color w:val="auto"/>
          <w:sz w:val="24"/>
          <w:szCs w:val="32"/>
          <w:highlight w:val="none"/>
        </w:rPr>
        <w:t>%；</w:t>
      </w:r>
    </w:p>
    <w:p w14:paraId="1E2AED92">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（4）评标委员会基于专业判断，认为投标人报价过低，有可能影响产品质量或者不能诚信履约的其他情形。</w:t>
      </w:r>
    </w:p>
    <w:p w14:paraId="7F2751AE">
      <w:pPr>
        <w:spacing w:line="360" w:lineRule="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评标委员会启动异常低价投标（响应）审查后，属于前述第1项至第4项情形的，应当要求相关投标人在评审现场合理的时间内对投标（响应）价格作出解释，提供项目具体成本测算等与报价合理性相关的书面说明及必要的证明材料，包括但不限于原材料成本、人工成本、制造费用等，给予相关投标人的合理时间一般不少于30分钟。其中，属于第3项情形，投标人已随投标（响应）文件一并提交相关书面说明及必要的证明材料的，在评审现场可不再重复提交。</w:t>
      </w:r>
    </w:p>
    <w:p w14:paraId="445B0B57">
      <w:pPr>
        <w:pStyle w:val="65"/>
        <w:spacing w:line="360" w:lineRule="auto"/>
        <w:rPr>
          <w:rFonts w:hint="eastAsia" w:ascii="仿宋" w:hAnsi="仿宋" w:eastAsia="仿宋" w:cs="仿宋"/>
          <w:bCs w:val="0"/>
          <w:color w:val="auto"/>
          <w:spacing w:val="0"/>
          <w:kern w:val="2"/>
          <w:sz w:val="24"/>
          <w:szCs w:val="24"/>
          <w:highlight w:val="none"/>
        </w:rPr>
        <w:sectPr>
          <w:pgSz w:w="11906" w:h="16838"/>
          <w:pgMar w:top="1440" w:right="1800" w:bottom="1441" w:left="1800" w:header="851" w:footer="992" w:gutter="0"/>
          <w:pgNumType w:start="1"/>
          <w:cols w:space="720" w:num="1"/>
          <w:docGrid w:type="lines" w:linePitch="312" w:charSpace="0"/>
        </w:sectPr>
      </w:pPr>
      <w:r>
        <w:rPr>
          <w:rFonts w:hint="eastAsia" w:ascii="仿宋" w:hAnsi="仿宋" w:eastAsia="仿宋" w:cs="仿宋"/>
          <w:color w:val="auto"/>
          <w:sz w:val="24"/>
          <w:szCs w:val="32"/>
          <w:highlight w:val="none"/>
        </w:rPr>
        <w:t>评标委员会依据专业经验，参考同类项目中标（成交）价格、类似产品市场价格水平、行业人工费用标准、国家有关部门指导行业协会发布的行业平均成本等情况，对报价合理性进行判断。投标（响应）投标人不能提供书面说明、证明材料，或者提供的书面说明、证明材料不能证明其报价合理性的，评标委员会应当将其作为无效投标（响应）处理。</w:t>
      </w:r>
    </w:p>
    <w:p w14:paraId="09F3A718">
      <w:pPr>
        <w:pStyle w:val="65"/>
        <w:spacing w:line="360" w:lineRule="auto"/>
        <w:jc w:val="center"/>
        <w:outlineLvl w:val="0"/>
        <w:rPr>
          <w:rFonts w:hint="eastAsia" w:ascii="仿宋" w:hAnsi="仿宋" w:eastAsia="仿宋" w:cs="仿宋"/>
          <w:b/>
          <w:color w:val="auto"/>
          <w:sz w:val="32"/>
          <w:szCs w:val="32"/>
          <w:highlight w:val="none"/>
        </w:rPr>
      </w:pPr>
      <w:bookmarkStart w:id="38" w:name="_Toc32528"/>
      <w:r>
        <w:rPr>
          <w:rFonts w:hint="eastAsia" w:ascii="仿宋" w:hAnsi="仿宋" w:eastAsia="仿宋" w:cs="仿宋"/>
          <w:b/>
          <w:color w:val="auto"/>
          <w:sz w:val="32"/>
          <w:szCs w:val="32"/>
          <w:highlight w:val="none"/>
        </w:rPr>
        <w:t>第七章  投标文件格式</w:t>
      </w:r>
      <w:bookmarkEnd w:id="38"/>
    </w:p>
    <w:p w14:paraId="068F495D">
      <w:pPr>
        <w:spacing w:line="360" w:lineRule="auto"/>
        <w:rPr>
          <w:rFonts w:hint="eastAsia" w:ascii="仿宋" w:hAnsi="仿宋" w:eastAsia="仿宋" w:cs="仿宋"/>
          <w:color w:val="auto"/>
          <w:highlight w:val="none"/>
        </w:rPr>
      </w:pPr>
      <w:bookmarkStart w:id="39" w:name="_Toc507399516"/>
    </w:p>
    <w:bookmarkEnd w:id="39"/>
    <w:p w14:paraId="10CA0EAE">
      <w:pPr>
        <w:pStyle w:val="65"/>
        <w:spacing w:line="360" w:lineRule="auto"/>
        <w:jc w:val="center"/>
        <w:rPr>
          <w:rFonts w:hint="eastAsia" w:ascii="仿宋" w:hAnsi="仿宋" w:eastAsia="仿宋" w:cs="仿宋"/>
          <w:b/>
          <w:color w:val="auto"/>
          <w:sz w:val="24"/>
          <w:szCs w:val="24"/>
          <w:highlight w:val="none"/>
        </w:rPr>
      </w:pPr>
      <w:bookmarkStart w:id="40" w:name="_Toc507399517"/>
    </w:p>
    <w:p w14:paraId="587EE431">
      <w:pPr>
        <w:pStyle w:val="65"/>
        <w:spacing w:line="360" w:lineRule="auto"/>
        <w:jc w:val="center"/>
        <w:rPr>
          <w:rFonts w:hint="eastAsia" w:ascii="仿宋" w:hAnsi="仿宋" w:eastAsia="仿宋" w:cs="仿宋"/>
          <w:b/>
          <w:color w:val="auto"/>
          <w:sz w:val="24"/>
          <w:szCs w:val="24"/>
          <w:highlight w:val="none"/>
        </w:rPr>
      </w:pPr>
    </w:p>
    <w:p w14:paraId="2E3D8573">
      <w:pPr>
        <w:pStyle w:val="65"/>
        <w:spacing w:before="0" w:after="0" w:line="360" w:lineRule="auto"/>
        <w:ind w:firstLine="522" w:firstLineChars="200"/>
        <w:jc w:val="center"/>
        <w:rPr>
          <w:rFonts w:hint="eastAsia" w:ascii="仿宋" w:hAnsi="仿宋" w:eastAsia="仿宋" w:cs="仿宋"/>
          <w:b/>
          <w:color w:val="auto"/>
          <w:sz w:val="24"/>
          <w:szCs w:val="24"/>
          <w:highlight w:val="none"/>
        </w:rPr>
      </w:pPr>
    </w:p>
    <w:p w14:paraId="3737B36B">
      <w:pPr>
        <w:pStyle w:val="14"/>
        <w:spacing w:line="360" w:lineRule="auto"/>
        <w:ind w:firstLine="452" w:firstLineChars="200"/>
        <w:rPr>
          <w:rFonts w:hint="eastAsia" w:ascii="仿宋" w:hAnsi="仿宋" w:eastAsia="仿宋" w:cs="仿宋"/>
          <w:color w:val="auto"/>
          <w:highlight w:val="none"/>
        </w:rPr>
      </w:pPr>
      <w:r>
        <w:rPr>
          <w:rFonts w:hint="eastAsia" w:ascii="仿宋" w:hAnsi="仿宋" w:eastAsia="仿宋" w:cs="仿宋"/>
          <w:color w:val="auto"/>
          <w:spacing w:val="-7"/>
          <w:highlight w:val="none"/>
        </w:rPr>
        <w:t>为保证</w:t>
      </w:r>
      <w:r>
        <w:rPr>
          <w:rFonts w:hint="eastAsia" w:ascii="仿宋" w:hAnsi="仿宋" w:eastAsia="仿宋" w:cs="仿宋"/>
          <w:color w:val="auto"/>
          <w:spacing w:val="-7"/>
          <w:highlight w:val="none"/>
          <w:lang w:val="en-US"/>
        </w:rPr>
        <w:t>评标</w:t>
      </w:r>
      <w:r>
        <w:rPr>
          <w:rFonts w:hint="eastAsia" w:ascii="仿宋" w:hAnsi="仿宋" w:eastAsia="仿宋" w:cs="仿宋"/>
          <w:color w:val="auto"/>
          <w:spacing w:val="-7"/>
          <w:highlight w:val="none"/>
        </w:rPr>
        <w:t>工作的顺利进行，各</w:t>
      </w:r>
      <w:r>
        <w:rPr>
          <w:rFonts w:hint="eastAsia" w:ascii="仿宋" w:hAnsi="仿宋" w:eastAsia="仿宋" w:cs="仿宋"/>
          <w:color w:val="auto"/>
          <w:spacing w:val="-7"/>
          <w:highlight w:val="none"/>
          <w:lang w:val="en-US"/>
        </w:rPr>
        <w:t>投标人</w:t>
      </w:r>
      <w:r>
        <w:rPr>
          <w:rFonts w:hint="eastAsia" w:ascii="仿宋" w:hAnsi="仿宋" w:eastAsia="仿宋" w:cs="仿宋"/>
          <w:color w:val="auto"/>
          <w:spacing w:val="-7"/>
          <w:highlight w:val="none"/>
        </w:rPr>
        <w:t>需参照如下的格式，认真进行</w:t>
      </w:r>
      <w:r>
        <w:rPr>
          <w:rFonts w:hint="eastAsia" w:ascii="仿宋" w:hAnsi="仿宋" w:eastAsia="仿宋" w:cs="仿宋"/>
          <w:color w:val="auto"/>
          <w:spacing w:val="-7"/>
          <w:highlight w:val="none"/>
          <w:lang w:val="en-US"/>
        </w:rPr>
        <w:t>投标</w:t>
      </w:r>
      <w:r>
        <w:rPr>
          <w:rFonts w:hint="eastAsia" w:ascii="仿宋" w:hAnsi="仿宋" w:eastAsia="仿宋" w:cs="仿宋"/>
          <w:color w:val="auto"/>
          <w:spacing w:val="-7"/>
          <w:highlight w:val="none"/>
        </w:rPr>
        <w:t>文件的编</w:t>
      </w:r>
      <w:r>
        <w:rPr>
          <w:rFonts w:hint="eastAsia" w:ascii="仿宋" w:hAnsi="仿宋" w:eastAsia="仿宋" w:cs="仿宋"/>
          <w:color w:val="auto"/>
          <w:spacing w:val="-6"/>
          <w:highlight w:val="none"/>
        </w:rPr>
        <w:t>写工作。</w:t>
      </w:r>
      <w:r>
        <w:rPr>
          <w:rFonts w:hint="eastAsia" w:ascii="仿宋" w:hAnsi="仿宋" w:eastAsia="仿宋" w:cs="仿宋"/>
          <w:color w:val="auto"/>
          <w:highlight w:val="none"/>
          <w:u w:val="single"/>
        </w:rPr>
        <w:t>需建立详细的目录。</w:t>
      </w:r>
    </w:p>
    <w:p w14:paraId="3AECFF69">
      <w:pPr>
        <w:pStyle w:val="14"/>
        <w:spacing w:line="360" w:lineRule="auto"/>
        <w:ind w:firstLine="456" w:firstLineChars="200"/>
        <w:rPr>
          <w:rFonts w:hint="eastAsia" w:ascii="仿宋" w:hAnsi="仿宋" w:eastAsia="仿宋" w:cs="仿宋"/>
          <w:color w:val="auto"/>
          <w:highlight w:val="none"/>
        </w:rPr>
      </w:pPr>
      <w:r>
        <w:rPr>
          <w:rFonts w:hint="eastAsia" w:ascii="仿宋" w:hAnsi="仿宋" w:eastAsia="仿宋" w:cs="仿宋"/>
          <w:color w:val="auto"/>
          <w:spacing w:val="-6"/>
          <w:highlight w:val="none"/>
        </w:rPr>
        <w:t>各</w:t>
      </w:r>
      <w:r>
        <w:rPr>
          <w:rFonts w:hint="eastAsia" w:ascii="仿宋" w:hAnsi="仿宋" w:eastAsia="仿宋" w:cs="仿宋"/>
          <w:color w:val="auto"/>
          <w:spacing w:val="-6"/>
          <w:highlight w:val="none"/>
          <w:lang w:val="en-US"/>
        </w:rPr>
        <w:t>投标人</w:t>
      </w:r>
      <w:r>
        <w:rPr>
          <w:rFonts w:hint="eastAsia" w:ascii="仿宋" w:hAnsi="仿宋" w:eastAsia="仿宋" w:cs="仿宋"/>
          <w:color w:val="auto"/>
          <w:spacing w:val="-6"/>
          <w:highlight w:val="none"/>
        </w:rPr>
        <w:t>提交文件中涉及商业机密的，应明确标明，采购人及最终用户将给予保密</w:t>
      </w:r>
      <w:r>
        <w:rPr>
          <w:rFonts w:hint="eastAsia" w:ascii="仿宋" w:hAnsi="仿宋" w:eastAsia="仿宋" w:cs="仿宋"/>
          <w:color w:val="auto"/>
          <w:highlight w:val="none"/>
        </w:rPr>
        <w:t>处理，否则视为公开资料。</w:t>
      </w:r>
    </w:p>
    <w:p w14:paraId="799ACCF2">
      <w:pPr>
        <w:pStyle w:val="65"/>
        <w:spacing w:before="0" w:after="0" w:line="360" w:lineRule="auto"/>
        <w:ind w:firstLine="522" w:firstLineChars="200"/>
        <w:jc w:val="center"/>
        <w:rPr>
          <w:rFonts w:hint="eastAsia" w:ascii="仿宋" w:hAnsi="仿宋" w:eastAsia="仿宋" w:cs="仿宋"/>
          <w:b/>
          <w:color w:val="auto"/>
          <w:sz w:val="24"/>
          <w:szCs w:val="24"/>
          <w:highlight w:val="none"/>
        </w:rPr>
        <w:sectPr>
          <w:pgSz w:w="11910" w:h="16850"/>
          <w:pgMar w:top="1440" w:right="1800" w:bottom="1440" w:left="1800" w:header="720" w:footer="720" w:gutter="0"/>
          <w:cols w:space="720" w:num="1"/>
        </w:sectPr>
      </w:pPr>
    </w:p>
    <w:p w14:paraId="4E70072A">
      <w:pPr>
        <w:spacing w:line="360" w:lineRule="auto"/>
        <w:rPr>
          <w:rFonts w:hint="eastAsia" w:ascii="仿宋" w:hAnsi="仿宋" w:eastAsia="仿宋" w:cs="仿宋"/>
          <w:color w:val="auto"/>
          <w:sz w:val="28"/>
          <w:highlight w:val="none"/>
        </w:rPr>
      </w:pPr>
      <w:r>
        <w:rPr>
          <w:rFonts w:hint="eastAsia" w:ascii="仿宋" w:hAnsi="仿宋" w:eastAsia="仿宋" w:cs="仿宋"/>
          <w:color w:val="auto"/>
          <w:sz w:val="28"/>
          <w:highlight w:val="none"/>
        </w:rPr>
        <w:t>封面格式</w:t>
      </w:r>
    </w:p>
    <w:p w14:paraId="4229924E">
      <w:pPr>
        <w:spacing w:line="360" w:lineRule="auto"/>
        <w:rPr>
          <w:rFonts w:hint="eastAsia" w:ascii="仿宋" w:hAnsi="仿宋" w:eastAsia="仿宋" w:cs="仿宋"/>
          <w:color w:val="auto"/>
          <w:sz w:val="32"/>
          <w:highlight w:val="none"/>
        </w:rPr>
      </w:pPr>
    </w:p>
    <w:p w14:paraId="2BF24FCE">
      <w:pPr>
        <w:spacing w:line="360" w:lineRule="auto"/>
        <w:rPr>
          <w:rFonts w:hint="eastAsia" w:ascii="仿宋" w:hAnsi="仿宋" w:eastAsia="仿宋" w:cs="仿宋"/>
          <w:color w:val="auto"/>
          <w:sz w:val="32"/>
          <w:highlight w:val="none"/>
        </w:rPr>
      </w:pPr>
    </w:p>
    <w:p w14:paraId="127B87B6">
      <w:pPr>
        <w:spacing w:line="360" w:lineRule="auto"/>
        <w:rPr>
          <w:rFonts w:hint="eastAsia" w:ascii="仿宋" w:hAnsi="仿宋" w:eastAsia="仿宋" w:cs="仿宋"/>
          <w:color w:val="auto"/>
          <w:sz w:val="32"/>
          <w:highlight w:val="none"/>
        </w:rPr>
      </w:pPr>
    </w:p>
    <w:p w14:paraId="63A611EB">
      <w:pPr>
        <w:spacing w:line="360" w:lineRule="auto"/>
        <w:rPr>
          <w:rFonts w:hint="eastAsia" w:ascii="仿宋" w:hAnsi="仿宋" w:eastAsia="仿宋" w:cs="仿宋"/>
          <w:color w:val="auto"/>
          <w:sz w:val="32"/>
          <w:highlight w:val="none"/>
        </w:rPr>
      </w:pPr>
    </w:p>
    <w:p w14:paraId="7501DAF7">
      <w:pPr>
        <w:spacing w:line="360" w:lineRule="auto"/>
        <w:rPr>
          <w:rFonts w:hint="eastAsia" w:ascii="仿宋" w:hAnsi="仿宋" w:eastAsia="仿宋" w:cs="仿宋"/>
          <w:color w:val="auto"/>
          <w:sz w:val="32"/>
          <w:highlight w:val="none"/>
        </w:rPr>
      </w:pPr>
    </w:p>
    <w:p w14:paraId="56BFE3E5">
      <w:pPr>
        <w:spacing w:line="360" w:lineRule="auto"/>
        <w:rPr>
          <w:rFonts w:hint="eastAsia" w:ascii="仿宋" w:hAnsi="仿宋" w:eastAsia="仿宋" w:cs="仿宋"/>
          <w:color w:val="auto"/>
          <w:sz w:val="32"/>
          <w:highlight w:val="none"/>
        </w:rPr>
      </w:pPr>
    </w:p>
    <w:p w14:paraId="1BFFDFA5">
      <w:pPr>
        <w:spacing w:line="360" w:lineRule="auto"/>
        <w:rPr>
          <w:rFonts w:hint="eastAsia" w:ascii="仿宋" w:hAnsi="仿宋" w:eastAsia="仿宋" w:cs="仿宋"/>
          <w:color w:val="auto"/>
          <w:sz w:val="32"/>
          <w:highlight w:val="none"/>
        </w:rPr>
      </w:pPr>
    </w:p>
    <w:p w14:paraId="694A5D8C">
      <w:pPr>
        <w:spacing w:line="360" w:lineRule="auto"/>
        <w:jc w:val="center"/>
        <w:rPr>
          <w:rFonts w:hint="eastAsia" w:ascii="仿宋" w:hAnsi="仿宋" w:eastAsia="仿宋" w:cs="仿宋"/>
          <w:b/>
          <w:color w:val="auto"/>
          <w:sz w:val="44"/>
          <w:highlight w:val="none"/>
        </w:rPr>
      </w:pPr>
      <w:bookmarkStart w:id="41" w:name="_Toc13737"/>
      <w:bookmarkStart w:id="42" w:name="_Toc21522"/>
      <w:r>
        <w:rPr>
          <w:rFonts w:hint="eastAsia" w:ascii="仿宋" w:hAnsi="仿宋" w:eastAsia="仿宋" w:cs="仿宋"/>
          <w:b/>
          <w:color w:val="auto"/>
          <w:sz w:val="44"/>
          <w:highlight w:val="none"/>
        </w:rPr>
        <w:t>投标文件</w:t>
      </w:r>
      <w:bookmarkEnd w:id="41"/>
      <w:bookmarkEnd w:id="42"/>
    </w:p>
    <w:p w14:paraId="07EF5D18">
      <w:pPr>
        <w:spacing w:line="360" w:lineRule="auto"/>
        <w:rPr>
          <w:rFonts w:hint="eastAsia" w:ascii="仿宋" w:hAnsi="仿宋" w:eastAsia="仿宋" w:cs="仿宋"/>
          <w:color w:val="auto"/>
          <w:sz w:val="32"/>
          <w:highlight w:val="none"/>
        </w:rPr>
      </w:pPr>
    </w:p>
    <w:p w14:paraId="2065FF02">
      <w:pPr>
        <w:spacing w:line="360" w:lineRule="auto"/>
        <w:rPr>
          <w:rFonts w:hint="eastAsia" w:ascii="仿宋" w:hAnsi="仿宋" w:eastAsia="仿宋" w:cs="仿宋"/>
          <w:color w:val="auto"/>
          <w:sz w:val="32"/>
          <w:highlight w:val="none"/>
        </w:rPr>
      </w:pPr>
    </w:p>
    <w:p w14:paraId="454F4079">
      <w:pPr>
        <w:spacing w:line="360" w:lineRule="auto"/>
        <w:rPr>
          <w:rFonts w:hint="eastAsia" w:ascii="仿宋" w:hAnsi="仿宋" w:eastAsia="仿宋" w:cs="仿宋"/>
          <w:color w:val="auto"/>
          <w:sz w:val="32"/>
          <w:highlight w:val="none"/>
        </w:rPr>
      </w:pPr>
      <w:r>
        <w:rPr>
          <w:rFonts w:hint="eastAsia" w:ascii="仿宋" w:hAnsi="仿宋" w:eastAsia="仿宋" w:cs="仿宋"/>
          <w:color w:val="auto"/>
          <w:sz w:val="32"/>
          <w:highlight w:val="none"/>
        </w:rPr>
        <w:t>招标编号：</w:t>
      </w:r>
    </w:p>
    <w:p w14:paraId="5A719BFA">
      <w:pPr>
        <w:spacing w:line="360" w:lineRule="auto"/>
        <w:rPr>
          <w:rFonts w:hint="eastAsia" w:ascii="仿宋" w:hAnsi="仿宋" w:eastAsia="仿宋" w:cs="仿宋"/>
          <w:color w:val="auto"/>
          <w:sz w:val="32"/>
          <w:highlight w:val="none"/>
        </w:rPr>
      </w:pPr>
      <w:r>
        <w:rPr>
          <w:rFonts w:hint="eastAsia" w:ascii="仿宋" w:hAnsi="仿宋" w:eastAsia="仿宋" w:cs="仿宋"/>
          <w:color w:val="auto"/>
          <w:sz w:val="32"/>
          <w:highlight w:val="none"/>
        </w:rPr>
        <w:t>项目名称：</w:t>
      </w:r>
    </w:p>
    <w:p w14:paraId="75992EF4">
      <w:pPr>
        <w:spacing w:line="360" w:lineRule="auto"/>
        <w:rPr>
          <w:rFonts w:hint="eastAsia" w:ascii="仿宋" w:hAnsi="仿宋" w:eastAsia="仿宋" w:cs="仿宋"/>
          <w:color w:val="auto"/>
          <w:sz w:val="32"/>
          <w:highlight w:val="none"/>
        </w:rPr>
      </w:pPr>
      <w:r>
        <w:rPr>
          <w:rFonts w:hint="eastAsia" w:ascii="仿宋" w:hAnsi="仿宋" w:eastAsia="仿宋" w:cs="仿宋"/>
          <w:color w:val="auto"/>
          <w:sz w:val="32"/>
          <w:highlight w:val="none"/>
        </w:rPr>
        <w:t>包号/包名称：</w:t>
      </w:r>
    </w:p>
    <w:p w14:paraId="1B4531F4">
      <w:pPr>
        <w:spacing w:line="360" w:lineRule="auto"/>
        <w:rPr>
          <w:rFonts w:hint="eastAsia" w:ascii="仿宋" w:hAnsi="仿宋" w:eastAsia="仿宋" w:cs="仿宋"/>
          <w:color w:val="auto"/>
          <w:sz w:val="32"/>
          <w:highlight w:val="none"/>
        </w:rPr>
      </w:pPr>
      <w:r>
        <w:rPr>
          <w:rFonts w:hint="eastAsia" w:ascii="仿宋" w:hAnsi="仿宋" w:eastAsia="仿宋" w:cs="仿宋"/>
          <w:color w:val="auto"/>
          <w:sz w:val="32"/>
          <w:highlight w:val="none"/>
        </w:rPr>
        <w:t>投标人名称（盖电子公章）：</w:t>
      </w:r>
    </w:p>
    <w:p w14:paraId="3E4BEA98">
      <w:pPr>
        <w:spacing w:line="360" w:lineRule="auto"/>
        <w:rPr>
          <w:rFonts w:hint="eastAsia" w:ascii="仿宋" w:hAnsi="仿宋" w:eastAsia="仿宋" w:cs="仿宋"/>
          <w:color w:val="auto"/>
          <w:sz w:val="32"/>
          <w:highlight w:val="none"/>
        </w:rPr>
      </w:pPr>
      <w:r>
        <w:rPr>
          <w:rFonts w:hint="eastAsia" w:ascii="仿宋" w:hAnsi="仿宋" w:eastAsia="仿宋" w:cs="仿宋"/>
          <w:color w:val="auto"/>
          <w:sz w:val="32"/>
          <w:highlight w:val="none"/>
        </w:rPr>
        <w:t>法定代表人或其授权代表签字（或盖电子章）：</w:t>
      </w:r>
    </w:p>
    <w:p w14:paraId="27508C95">
      <w:pPr>
        <w:pStyle w:val="14"/>
        <w:adjustRightInd w:val="0"/>
        <w:snapToGrid w:val="0"/>
        <w:spacing w:line="360" w:lineRule="auto"/>
        <w:rPr>
          <w:rFonts w:hint="eastAsia" w:ascii="仿宋" w:hAnsi="仿宋" w:eastAsia="仿宋" w:cs="仿宋"/>
          <w:color w:val="auto"/>
          <w:sz w:val="32"/>
          <w:szCs w:val="32"/>
          <w:highlight w:val="none"/>
        </w:rPr>
      </w:pPr>
    </w:p>
    <w:p w14:paraId="3E7D7421">
      <w:pPr>
        <w:pStyle w:val="14"/>
        <w:adjustRightInd w:val="0"/>
        <w:snapToGrid w:val="0"/>
        <w:spacing w:line="360" w:lineRule="auto"/>
        <w:rPr>
          <w:rFonts w:hint="eastAsia" w:ascii="仿宋" w:hAnsi="仿宋" w:eastAsia="仿宋" w:cs="仿宋"/>
          <w:color w:val="auto"/>
          <w:sz w:val="20"/>
          <w:highlight w:val="none"/>
        </w:rPr>
      </w:pPr>
    </w:p>
    <w:p w14:paraId="417A7E08">
      <w:pPr>
        <w:pStyle w:val="14"/>
        <w:adjustRightInd w:val="0"/>
        <w:snapToGrid w:val="0"/>
        <w:spacing w:line="360" w:lineRule="auto"/>
        <w:rPr>
          <w:rFonts w:hint="eastAsia" w:ascii="仿宋" w:hAnsi="仿宋" w:eastAsia="仿宋" w:cs="仿宋"/>
          <w:color w:val="auto"/>
          <w:sz w:val="20"/>
          <w:highlight w:val="none"/>
        </w:rPr>
      </w:pPr>
    </w:p>
    <w:p w14:paraId="33669A9D">
      <w:pPr>
        <w:pStyle w:val="14"/>
        <w:adjustRightInd w:val="0"/>
        <w:snapToGrid w:val="0"/>
        <w:spacing w:line="360" w:lineRule="auto"/>
        <w:rPr>
          <w:rFonts w:hint="eastAsia" w:ascii="仿宋" w:hAnsi="仿宋" w:eastAsia="仿宋" w:cs="仿宋"/>
          <w:color w:val="auto"/>
          <w:sz w:val="20"/>
          <w:highlight w:val="none"/>
        </w:rPr>
      </w:pPr>
    </w:p>
    <w:p w14:paraId="44E28DEE">
      <w:pPr>
        <w:pStyle w:val="21"/>
        <w:adjustRightInd w:val="0"/>
        <w:spacing w:line="360" w:lineRule="auto"/>
        <w:jc w:val="center"/>
        <w:rPr>
          <w:rFonts w:hint="eastAsia" w:ascii="仿宋" w:hAnsi="仿宋" w:eastAsia="仿宋" w:cs="仿宋"/>
          <w:color w:val="auto"/>
          <w:sz w:val="28"/>
          <w:szCs w:val="28"/>
          <w:highlight w:val="none"/>
        </w:rPr>
      </w:pPr>
      <w:bookmarkStart w:id="43" w:name="_Toc31285"/>
      <w:bookmarkStart w:id="44" w:name="_Toc20449"/>
      <w:r>
        <w:rPr>
          <w:rFonts w:hint="eastAsia" w:ascii="仿宋" w:hAnsi="仿宋" w:eastAsia="仿宋" w:cs="仿宋"/>
          <w:color w:val="auto"/>
          <w:sz w:val="28"/>
          <w:szCs w:val="28"/>
          <w:highlight w:val="none"/>
        </w:rPr>
        <w:t>年   月</w:t>
      </w:r>
      <w:bookmarkEnd w:id="43"/>
      <w:bookmarkEnd w:id="44"/>
    </w:p>
    <w:p w14:paraId="10F31B57">
      <w:pPr>
        <w:pStyle w:val="65"/>
        <w:adjustRightInd w:val="0"/>
        <w:snapToGrid w:val="0"/>
        <w:spacing w:before="0" w:after="0" w:line="360" w:lineRule="auto"/>
        <w:jc w:val="both"/>
        <w:rPr>
          <w:rFonts w:hint="eastAsia" w:ascii="仿宋" w:hAnsi="仿宋" w:eastAsia="仿宋" w:cs="仿宋"/>
          <w:b/>
          <w:color w:val="auto"/>
          <w:sz w:val="24"/>
          <w:szCs w:val="24"/>
          <w:highlight w:val="none"/>
        </w:rPr>
        <w:sectPr>
          <w:pgSz w:w="11910" w:h="16850"/>
          <w:pgMar w:top="1440" w:right="1800" w:bottom="1440" w:left="1800" w:header="720" w:footer="720" w:gutter="0"/>
          <w:cols w:space="720" w:num="1"/>
        </w:sectPr>
      </w:pPr>
    </w:p>
    <w:p w14:paraId="0FCC117B">
      <w:pPr>
        <w:spacing w:before="91" w:line="360" w:lineRule="auto"/>
        <w:ind w:left="360"/>
        <w:jc w:val="left"/>
        <w:rPr>
          <w:rFonts w:hint="eastAsia" w:ascii="仿宋" w:hAnsi="仿宋" w:eastAsia="仿宋" w:cs="仿宋"/>
          <w:b/>
          <w:color w:val="auto"/>
          <w:sz w:val="28"/>
          <w:szCs w:val="28"/>
          <w:highlight w:val="none"/>
        </w:rPr>
      </w:pPr>
      <w:bookmarkStart w:id="45" w:name="_Toc21908"/>
      <w:bookmarkStart w:id="46" w:name="_Toc31589"/>
      <w:r>
        <w:rPr>
          <w:rFonts w:hint="eastAsia" w:ascii="仿宋" w:hAnsi="仿宋" w:eastAsia="仿宋" w:cs="仿宋"/>
          <w:b/>
          <w:color w:val="auto"/>
          <w:sz w:val="28"/>
          <w:szCs w:val="28"/>
          <w:highlight w:val="none"/>
        </w:rPr>
        <w:t>投标文件目录及索引</w:t>
      </w:r>
      <w:bookmarkEnd w:id="45"/>
      <w:bookmarkEnd w:id="46"/>
    </w:p>
    <w:p w14:paraId="4B8B15D1">
      <w:pPr>
        <w:pStyle w:val="14"/>
        <w:spacing w:before="9" w:line="360" w:lineRule="auto"/>
        <w:rPr>
          <w:rFonts w:hint="eastAsia" w:ascii="仿宋" w:hAnsi="仿宋" w:eastAsia="仿宋" w:cs="仿宋"/>
          <w:b/>
          <w:color w:val="auto"/>
          <w:sz w:val="10"/>
          <w:highlight w:val="none"/>
        </w:rPr>
      </w:pPr>
    </w:p>
    <w:tbl>
      <w:tblPr>
        <w:tblStyle w:val="31"/>
        <w:tblW w:w="831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4956"/>
        <w:gridCol w:w="782"/>
        <w:gridCol w:w="1956"/>
      </w:tblGrid>
      <w:tr w14:paraId="72CA2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noWrap w:val="0"/>
            <w:vAlign w:val="top"/>
          </w:tcPr>
          <w:p w14:paraId="5535BB61">
            <w:pPr>
              <w:pStyle w:val="76"/>
              <w:spacing w:before="25" w:line="360" w:lineRule="auto"/>
              <w:ind w:left="124"/>
              <w:rPr>
                <w:rFonts w:hint="eastAsia" w:ascii="仿宋" w:hAnsi="仿宋" w:eastAsia="仿宋" w:cs="仿宋"/>
                <w:b/>
                <w:color w:val="auto"/>
                <w:highlight w:val="none"/>
              </w:rPr>
            </w:pPr>
            <w:r>
              <w:rPr>
                <w:rFonts w:hint="eastAsia" w:ascii="仿宋" w:hAnsi="仿宋" w:eastAsia="仿宋" w:cs="仿宋"/>
                <w:b/>
                <w:color w:val="auto"/>
                <w:highlight w:val="none"/>
              </w:rPr>
              <w:t>序号</w:t>
            </w:r>
          </w:p>
        </w:tc>
        <w:tc>
          <w:tcPr>
            <w:tcW w:w="4956" w:type="dxa"/>
            <w:noWrap w:val="0"/>
            <w:vAlign w:val="top"/>
          </w:tcPr>
          <w:p w14:paraId="601B28E9">
            <w:pPr>
              <w:pStyle w:val="76"/>
              <w:spacing w:before="25" w:line="360" w:lineRule="auto"/>
              <w:ind w:left="2254" w:right="2246"/>
              <w:jc w:val="center"/>
              <w:rPr>
                <w:rFonts w:hint="eastAsia" w:ascii="仿宋" w:hAnsi="仿宋" w:eastAsia="仿宋" w:cs="仿宋"/>
                <w:b/>
                <w:color w:val="auto"/>
                <w:highlight w:val="none"/>
              </w:rPr>
            </w:pPr>
            <w:r>
              <w:rPr>
                <w:rFonts w:hint="eastAsia" w:ascii="仿宋" w:hAnsi="仿宋" w:eastAsia="仿宋" w:cs="仿宋"/>
                <w:b/>
                <w:color w:val="auto"/>
                <w:highlight w:val="none"/>
              </w:rPr>
              <w:t>文件名称</w:t>
            </w:r>
          </w:p>
        </w:tc>
        <w:tc>
          <w:tcPr>
            <w:tcW w:w="782" w:type="dxa"/>
            <w:noWrap w:val="0"/>
            <w:vAlign w:val="top"/>
          </w:tcPr>
          <w:p w14:paraId="02D3E6E2">
            <w:pPr>
              <w:pStyle w:val="76"/>
              <w:spacing w:before="25" w:line="360" w:lineRule="auto"/>
              <w:ind w:left="213"/>
              <w:rPr>
                <w:rFonts w:hint="eastAsia" w:ascii="仿宋" w:hAnsi="仿宋" w:eastAsia="仿宋" w:cs="仿宋"/>
                <w:b/>
                <w:color w:val="auto"/>
                <w:highlight w:val="none"/>
              </w:rPr>
            </w:pPr>
            <w:r>
              <w:rPr>
                <w:rFonts w:hint="eastAsia" w:ascii="仿宋" w:hAnsi="仿宋" w:eastAsia="仿宋" w:cs="仿宋"/>
                <w:b/>
                <w:color w:val="auto"/>
                <w:highlight w:val="none"/>
              </w:rPr>
              <w:t>页码</w:t>
            </w:r>
          </w:p>
        </w:tc>
        <w:tc>
          <w:tcPr>
            <w:tcW w:w="1956" w:type="dxa"/>
            <w:noWrap w:val="0"/>
            <w:vAlign w:val="top"/>
          </w:tcPr>
          <w:p w14:paraId="520DFF3A">
            <w:pPr>
              <w:pStyle w:val="76"/>
              <w:spacing w:before="25" w:line="360" w:lineRule="auto"/>
              <w:ind w:left="430"/>
              <w:rPr>
                <w:rFonts w:hint="eastAsia" w:ascii="仿宋" w:hAnsi="仿宋" w:eastAsia="仿宋" w:cs="仿宋"/>
                <w:b/>
                <w:color w:val="auto"/>
                <w:highlight w:val="none"/>
              </w:rPr>
            </w:pPr>
            <w:r>
              <w:rPr>
                <w:rFonts w:hint="eastAsia" w:ascii="仿宋" w:hAnsi="仿宋" w:eastAsia="仿宋" w:cs="仿宋"/>
                <w:b/>
                <w:color w:val="auto"/>
                <w:highlight w:val="none"/>
              </w:rPr>
              <w:t>该文件总页数</w:t>
            </w:r>
          </w:p>
        </w:tc>
      </w:tr>
      <w:tr w14:paraId="14815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noWrap w:val="0"/>
            <w:vAlign w:val="top"/>
          </w:tcPr>
          <w:p w14:paraId="19470C70">
            <w:pPr>
              <w:pStyle w:val="76"/>
              <w:spacing w:line="360" w:lineRule="auto"/>
              <w:rPr>
                <w:rFonts w:hint="eastAsia" w:ascii="仿宋" w:hAnsi="仿宋" w:eastAsia="仿宋" w:cs="仿宋"/>
                <w:color w:val="auto"/>
                <w:sz w:val="20"/>
                <w:highlight w:val="none"/>
              </w:rPr>
            </w:pPr>
          </w:p>
        </w:tc>
        <w:tc>
          <w:tcPr>
            <w:tcW w:w="4956" w:type="dxa"/>
            <w:noWrap w:val="0"/>
            <w:vAlign w:val="top"/>
          </w:tcPr>
          <w:p w14:paraId="6F00D9B2">
            <w:pPr>
              <w:pStyle w:val="76"/>
              <w:spacing w:line="360" w:lineRule="auto"/>
              <w:rPr>
                <w:rFonts w:hint="eastAsia" w:ascii="仿宋" w:hAnsi="仿宋" w:eastAsia="仿宋" w:cs="仿宋"/>
                <w:color w:val="auto"/>
                <w:sz w:val="20"/>
                <w:highlight w:val="none"/>
              </w:rPr>
            </w:pPr>
          </w:p>
        </w:tc>
        <w:tc>
          <w:tcPr>
            <w:tcW w:w="782" w:type="dxa"/>
            <w:noWrap w:val="0"/>
            <w:vAlign w:val="top"/>
          </w:tcPr>
          <w:p w14:paraId="77B7CB6E">
            <w:pPr>
              <w:pStyle w:val="76"/>
              <w:spacing w:line="360" w:lineRule="auto"/>
              <w:rPr>
                <w:rFonts w:hint="eastAsia" w:ascii="仿宋" w:hAnsi="仿宋" w:eastAsia="仿宋" w:cs="仿宋"/>
                <w:color w:val="auto"/>
                <w:sz w:val="20"/>
                <w:highlight w:val="none"/>
              </w:rPr>
            </w:pPr>
          </w:p>
        </w:tc>
        <w:tc>
          <w:tcPr>
            <w:tcW w:w="1956" w:type="dxa"/>
            <w:noWrap w:val="0"/>
            <w:vAlign w:val="top"/>
          </w:tcPr>
          <w:p w14:paraId="4A6DCB3A">
            <w:pPr>
              <w:pStyle w:val="76"/>
              <w:spacing w:line="360" w:lineRule="auto"/>
              <w:rPr>
                <w:rFonts w:hint="eastAsia" w:ascii="仿宋" w:hAnsi="仿宋" w:eastAsia="仿宋" w:cs="仿宋"/>
                <w:color w:val="auto"/>
                <w:sz w:val="20"/>
                <w:highlight w:val="none"/>
              </w:rPr>
            </w:pPr>
          </w:p>
        </w:tc>
      </w:tr>
      <w:tr w14:paraId="5ECAE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noWrap w:val="0"/>
            <w:vAlign w:val="top"/>
          </w:tcPr>
          <w:p w14:paraId="419A4D46">
            <w:pPr>
              <w:pStyle w:val="76"/>
              <w:spacing w:line="360" w:lineRule="auto"/>
              <w:rPr>
                <w:rFonts w:hint="eastAsia" w:ascii="仿宋" w:hAnsi="仿宋" w:eastAsia="仿宋" w:cs="仿宋"/>
                <w:color w:val="auto"/>
                <w:sz w:val="20"/>
                <w:highlight w:val="none"/>
              </w:rPr>
            </w:pPr>
          </w:p>
        </w:tc>
        <w:tc>
          <w:tcPr>
            <w:tcW w:w="4956" w:type="dxa"/>
            <w:noWrap w:val="0"/>
            <w:vAlign w:val="top"/>
          </w:tcPr>
          <w:p w14:paraId="06C69ACE">
            <w:pPr>
              <w:pStyle w:val="76"/>
              <w:spacing w:line="360" w:lineRule="auto"/>
              <w:rPr>
                <w:rFonts w:hint="eastAsia" w:ascii="仿宋" w:hAnsi="仿宋" w:eastAsia="仿宋" w:cs="仿宋"/>
                <w:color w:val="auto"/>
                <w:sz w:val="20"/>
                <w:highlight w:val="none"/>
              </w:rPr>
            </w:pPr>
          </w:p>
        </w:tc>
        <w:tc>
          <w:tcPr>
            <w:tcW w:w="782" w:type="dxa"/>
            <w:noWrap w:val="0"/>
            <w:vAlign w:val="top"/>
          </w:tcPr>
          <w:p w14:paraId="06CD54C0">
            <w:pPr>
              <w:pStyle w:val="76"/>
              <w:spacing w:line="360" w:lineRule="auto"/>
              <w:rPr>
                <w:rFonts w:hint="eastAsia" w:ascii="仿宋" w:hAnsi="仿宋" w:eastAsia="仿宋" w:cs="仿宋"/>
                <w:color w:val="auto"/>
                <w:sz w:val="20"/>
                <w:highlight w:val="none"/>
              </w:rPr>
            </w:pPr>
          </w:p>
        </w:tc>
        <w:tc>
          <w:tcPr>
            <w:tcW w:w="1956" w:type="dxa"/>
            <w:noWrap w:val="0"/>
            <w:vAlign w:val="top"/>
          </w:tcPr>
          <w:p w14:paraId="0717D44A">
            <w:pPr>
              <w:pStyle w:val="76"/>
              <w:spacing w:line="360" w:lineRule="auto"/>
              <w:rPr>
                <w:rFonts w:hint="eastAsia" w:ascii="仿宋" w:hAnsi="仿宋" w:eastAsia="仿宋" w:cs="仿宋"/>
                <w:color w:val="auto"/>
                <w:sz w:val="20"/>
                <w:highlight w:val="none"/>
              </w:rPr>
            </w:pPr>
          </w:p>
        </w:tc>
      </w:tr>
      <w:tr w14:paraId="5642A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19" w:type="dxa"/>
            <w:noWrap w:val="0"/>
            <w:vAlign w:val="top"/>
          </w:tcPr>
          <w:p w14:paraId="7DADECA0">
            <w:pPr>
              <w:pStyle w:val="76"/>
              <w:spacing w:line="360" w:lineRule="auto"/>
              <w:rPr>
                <w:rFonts w:hint="eastAsia" w:ascii="仿宋" w:hAnsi="仿宋" w:eastAsia="仿宋" w:cs="仿宋"/>
                <w:color w:val="auto"/>
                <w:sz w:val="20"/>
                <w:highlight w:val="none"/>
              </w:rPr>
            </w:pPr>
          </w:p>
        </w:tc>
        <w:tc>
          <w:tcPr>
            <w:tcW w:w="4956" w:type="dxa"/>
            <w:noWrap w:val="0"/>
            <w:vAlign w:val="top"/>
          </w:tcPr>
          <w:p w14:paraId="30C9A39F">
            <w:pPr>
              <w:pStyle w:val="76"/>
              <w:spacing w:line="360" w:lineRule="auto"/>
              <w:rPr>
                <w:rFonts w:hint="eastAsia" w:ascii="仿宋" w:hAnsi="仿宋" w:eastAsia="仿宋" w:cs="仿宋"/>
                <w:color w:val="auto"/>
                <w:sz w:val="20"/>
                <w:highlight w:val="none"/>
              </w:rPr>
            </w:pPr>
          </w:p>
        </w:tc>
        <w:tc>
          <w:tcPr>
            <w:tcW w:w="782" w:type="dxa"/>
            <w:noWrap w:val="0"/>
            <w:vAlign w:val="top"/>
          </w:tcPr>
          <w:p w14:paraId="36396DB7">
            <w:pPr>
              <w:pStyle w:val="76"/>
              <w:spacing w:line="360" w:lineRule="auto"/>
              <w:rPr>
                <w:rFonts w:hint="eastAsia" w:ascii="仿宋" w:hAnsi="仿宋" w:eastAsia="仿宋" w:cs="仿宋"/>
                <w:color w:val="auto"/>
                <w:sz w:val="20"/>
                <w:highlight w:val="none"/>
              </w:rPr>
            </w:pPr>
          </w:p>
        </w:tc>
        <w:tc>
          <w:tcPr>
            <w:tcW w:w="1956" w:type="dxa"/>
            <w:noWrap w:val="0"/>
            <w:vAlign w:val="top"/>
          </w:tcPr>
          <w:p w14:paraId="2CF937A0">
            <w:pPr>
              <w:pStyle w:val="76"/>
              <w:spacing w:line="360" w:lineRule="auto"/>
              <w:rPr>
                <w:rFonts w:hint="eastAsia" w:ascii="仿宋" w:hAnsi="仿宋" w:eastAsia="仿宋" w:cs="仿宋"/>
                <w:color w:val="auto"/>
                <w:sz w:val="20"/>
                <w:highlight w:val="none"/>
              </w:rPr>
            </w:pPr>
          </w:p>
        </w:tc>
      </w:tr>
      <w:tr w14:paraId="05861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noWrap w:val="0"/>
            <w:vAlign w:val="top"/>
          </w:tcPr>
          <w:p w14:paraId="7A023151">
            <w:pPr>
              <w:pStyle w:val="76"/>
              <w:spacing w:line="360" w:lineRule="auto"/>
              <w:rPr>
                <w:rFonts w:hint="eastAsia" w:ascii="仿宋" w:hAnsi="仿宋" w:eastAsia="仿宋" w:cs="仿宋"/>
                <w:color w:val="auto"/>
                <w:sz w:val="20"/>
                <w:highlight w:val="none"/>
              </w:rPr>
            </w:pPr>
          </w:p>
        </w:tc>
        <w:tc>
          <w:tcPr>
            <w:tcW w:w="4956" w:type="dxa"/>
            <w:noWrap w:val="0"/>
            <w:vAlign w:val="top"/>
          </w:tcPr>
          <w:p w14:paraId="4F56957A">
            <w:pPr>
              <w:pStyle w:val="76"/>
              <w:spacing w:line="360" w:lineRule="auto"/>
              <w:rPr>
                <w:rFonts w:hint="eastAsia" w:ascii="仿宋" w:hAnsi="仿宋" w:eastAsia="仿宋" w:cs="仿宋"/>
                <w:color w:val="auto"/>
                <w:sz w:val="20"/>
                <w:highlight w:val="none"/>
              </w:rPr>
            </w:pPr>
          </w:p>
        </w:tc>
        <w:tc>
          <w:tcPr>
            <w:tcW w:w="782" w:type="dxa"/>
            <w:noWrap w:val="0"/>
            <w:vAlign w:val="top"/>
          </w:tcPr>
          <w:p w14:paraId="133127A0">
            <w:pPr>
              <w:pStyle w:val="76"/>
              <w:spacing w:line="360" w:lineRule="auto"/>
              <w:rPr>
                <w:rFonts w:hint="eastAsia" w:ascii="仿宋" w:hAnsi="仿宋" w:eastAsia="仿宋" w:cs="仿宋"/>
                <w:color w:val="auto"/>
                <w:sz w:val="20"/>
                <w:highlight w:val="none"/>
              </w:rPr>
            </w:pPr>
          </w:p>
        </w:tc>
        <w:tc>
          <w:tcPr>
            <w:tcW w:w="1956" w:type="dxa"/>
            <w:noWrap w:val="0"/>
            <w:vAlign w:val="top"/>
          </w:tcPr>
          <w:p w14:paraId="2B79F18C">
            <w:pPr>
              <w:pStyle w:val="76"/>
              <w:spacing w:line="360" w:lineRule="auto"/>
              <w:rPr>
                <w:rFonts w:hint="eastAsia" w:ascii="仿宋" w:hAnsi="仿宋" w:eastAsia="仿宋" w:cs="仿宋"/>
                <w:color w:val="auto"/>
                <w:sz w:val="20"/>
                <w:highlight w:val="none"/>
              </w:rPr>
            </w:pPr>
          </w:p>
        </w:tc>
      </w:tr>
      <w:tr w14:paraId="78AFB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19" w:type="dxa"/>
            <w:noWrap w:val="0"/>
            <w:vAlign w:val="top"/>
          </w:tcPr>
          <w:p w14:paraId="40C56490">
            <w:pPr>
              <w:pStyle w:val="76"/>
              <w:spacing w:line="360" w:lineRule="auto"/>
              <w:rPr>
                <w:rFonts w:hint="eastAsia" w:ascii="仿宋" w:hAnsi="仿宋" w:eastAsia="仿宋" w:cs="仿宋"/>
                <w:color w:val="auto"/>
                <w:sz w:val="20"/>
                <w:highlight w:val="none"/>
              </w:rPr>
            </w:pPr>
          </w:p>
        </w:tc>
        <w:tc>
          <w:tcPr>
            <w:tcW w:w="4956" w:type="dxa"/>
            <w:noWrap w:val="0"/>
            <w:vAlign w:val="top"/>
          </w:tcPr>
          <w:p w14:paraId="18CE3CD9">
            <w:pPr>
              <w:pStyle w:val="76"/>
              <w:spacing w:line="360" w:lineRule="auto"/>
              <w:rPr>
                <w:rFonts w:hint="eastAsia" w:ascii="仿宋" w:hAnsi="仿宋" w:eastAsia="仿宋" w:cs="仿宋"/>
                <w:color w:val="auto"/>
                <w:sz w:val="20"/>
                <w:highlight w:val="none"/>
              </w:rPr>
            </w:pPr>
          </w:p>
        </w:tc>
        <w:tc>
          <w:tcPr>
            <w:tcW w:w="782" w:type="dxa"/>
            <w:noWrap w:val="0"/>
            <w:vAlign w:val="top"/>
          </w:tcPr>
          <w:p w14:paraId="44ADBCC4">
            <w:pPr>
              <w:pStyle w:val="76"/>
              <w:spacing w:line="360" w:lineRule="auto"/>
              <w:rPr>
                <w:rFonts w:hint="eastAsia" w:ascii="仿宋" w:hAnsi="仿宋" w:eastAsia="仿宋" w:cs="仿宋"/>
                <w:color w:val="auto"/>
                <w:sz w:val="20"/>
                <w:highlight w:val="none"/>
              </w:rPr>
            </w:pPr>
          </w:p>
        </w:tc>
        <w:tc>
          <w:tcPr>
            <w:tcW w:w="1956" w:type="dxa"/>
            <w:noWrap w:val="0"/>
            <w:vAlign w:val="top"/>
          </w:tcPr>
          <w:p w14:paraId="47AFF04D">
            <w:pPr>
              <w:pStyle w:val="76"/>
              <w:spacing w:line="360" w:lineRule="auto"/>
              <w:rPr>
                <w:rFonts w:hint="eastAsia" w:ascii="仿宋" w:hAnsi="仿宋" w:eastAsia="仿宋" w:cs="仿宋"/>
                <w:color w:val="auto"/>
                <w:sz w:val="20"/>
                <w:highlight w:val="none"/>
              </w:rPr>
            </w:pPr>
          </w:p>
        </w:tc>
      </w:tr>
      <w:tr w14:paraId="37139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noWrap w:val="0"/>
            <w:vAlign w:val="top"/>
          </w:tcPr>
          <w:p w14:paraId="192F9D94">
            <w:pPr>
              <w:pStyle w:val="76"/>
              <w:spacing w:line="360" w:lineRule="auto"/>
              <w:rPr>
                <w:rFonts w:hint="eastAsia" w:ascii="仿宋" w:hAnsi="仿宋" w:eastAsia="仿宋" w:cs="仿宋"/>
                <w:color w:val="auto"/>
                <w:sz w:val="20"/>
                <w:highlight w:val="none"/>
              </w:rPr>
            </w:pPr>
          </w:p>
        </w:tc>
        <w:tc>
          <w:tcPr>
            <w:tcW w:w="4956" w:type="dxa"/>
            <w:noWrap w:val="0"/>
            <w:vAlign w:val="top"/>
          </w:tcPr>
          <w:p w14:paraId="7ACEC18F">
            <w:pPr>
              <w:pStyle w:val="76"/>
              <w:spacing w:line="360" w:lineRule="auto"/>
              <w:rPr>
                <w:rFonts w:hint="eastAsia" w:ascii="仿宋" w:hAnsi="仿宋" w:eastAsia="仿宋" w:cs="仿宋"/>
                <w:color w:val="auto"/>
                <w:sz w:val="20"/>
                <w:highlight w:val="none"/>
              </w:rPr>
            </w:pPr>
          </w:p>
        </w:tc>
        <w:tc>
          <w:tcPr>
            <w:tcW w:w="782" w:type="dxa"/>
            <w:noWrap w:val="0"/>
            <w:vAlign w:val="top"/>
          </w:tcPr>
          <w:p w14:paraId="3F181CF3">
            <w:pPr>
              <w:pStyle w:val="76"/>
              <w:spacing w:line="360" w:lineRule="auto"/>
              <w:rPr>
                <w:rFonts w:hint="eastAsia" w:ascii="仿宋" w:hAnsi="仿宋" w:eastAsia="仿宋" w:cs="仿宋"/>
                <w:color w:val="auto"/>
                <w:sz w:val="20"/>
                <w:highlight w:val="none"/>
              </w:rPr>
            </w:pPr>
          </w:p>
        </w:tc>
        <w:tc>
          <w:tcPr>
            <w:tcW w:w="1956" w:type="dxa"/>
            <w:noWrap w:val="0"/>
            <w:vAlign w:val="top"/>
          </w:tcPr>
          <w:p w14:paraId="035AEF32">
            <w:pPr>
              <w:pStyle w:val="76"/>
              <w:spacing w:line="360" w:lineRule="auto"/>
              <w:rPr>
                <w:rFonts w:hint="eastAsia" w:ascii="仿宋" w:hAnsi="仿宋" w:eastAsia="仿宋" w:cs="仿宋"/>
                <w:color w:val="auto"/>
                <w:sz w:val="20"/>
                <w:highlight w:val="none"/>
              </w:rPr>
            </w:pPr>
          </w:p>
        </w:tc>
      </w:tr>
      <w:tr w14:paraId="41F36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19" w:type="dxa"/>
            <w:noWrap w:val="0"/>
            <w:vAlign w:val="top"/>
          </w:tcPr>
          <w:p w14:paraId="2187F7D1">
            <w:pPr>
              <w:pStyle w:val="76"/>
              <w:spacing w:line="360" w:lineRule="auto"/>
              <w:rPr>
                <w:rFonts w:hint="eastAsia" w:ascii="仿宋" w:hAnsi="仿宋" w:eastAsia="仿宋" w:cs="仿宋"/>
                <w:color w:val="auto"/>
                <w:sz w:val="20"/>
                <w:highlight w:val="none"/>
              </w:rPr>
            </w:pPr>
          </w:p>
        </w:tc>
        <w:tc>
          <w:tcPr>
            <w:tcW w:w="4956" w:type="dxa"/>
            <w:noWrap w:val="0"/>
            <w:vAlign w:val="top"/>
          </w:tcPr>
          <w:p w14:paraId="4696B16B">
            <w:pPr>
              <w:pStyle w:val="76"/>
              <w:spacing w:line="360" w:lineRule="auto"/>
              <w:rPr>
                <w:rFonts w:hint="eastAsia" w:ascii="仿宋" w:hAnsi="仿宋" w:eastAsia="仿宋" w:cs="仿宋"/>
                <w:color w:val="auto"/>
                <w:sz w:val="20"/>
                <w:highlight w:val="none"/>
              </w:rPr>
            </w:pPr>
          </w:p>
        </w:tc>
        <w:tc>
          <w:tcPr>
            <w:tcW w:w="782" w:type="dxa"/>
            <w:noWrap w:val="0"/>
            <w:vAlign w:val="top"/>
          </w:tcPr>
          <w:p w14:paraId="0F6A2DA1">
            <w:pPr>
              <w:pStyle w:val="76"/>
              <w:spacing w:line="360" w:lineRule="auto"/>
              <w:rPr>
                <w:rFonts w:hint="eastAsia" w:ascii="仿宋" w:hAnsi="仿宋" w:eastAsia="仿宋" w:cs="仿宋"/>
                <w:color w:val="auto"/>
                <w:sz w:val="20"/>
                <w:highlight w:val="none"/>
              </w:rPr>
            </w:pPr>
          </w:p>
        </w:tc>
        <w:tc>
          <w:tcPr>
            <w:tcW w:w="1956" w:type="dxa"/>
            <w:noWrap w:val="0"/>
            <w:vAlign w:val="top"/>
          </w:tcPr>
          <w:p w14:paraId="63D999A8">
            <w:pPr>
              <w:pStyle w:val="76"/>
              <w:spacing w:line="360" w:lineRule="auto"/>
              <w:rPr>
                <w:rFonts w:hint="eastAsia" w:ascii="仿宋" w:hAnsi="仿宋" w:eastAsia="仿宋" w:cs="仿宋"/>
                <w:color w:val="auto"/>
                <w:sz w:val="20"/>
                <w:highlight w:val="none"/>
              </w:rPr>
            </w:pPr>
          </w:p>
        </w:tc>
      </w:tr>
      <w:tr w14:paraId="1E0DE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noWrap w:val="0"/>
            <w:vAlign w:val="top"/>
          </w:tcPr>
          <w:p w14:paraId="220FA30C">
            <w:pPr>
              <w:pStyle w:val="76"/>
              <w:spacing w:line="360" w:lineRule="auto"/>
              <w:rPr>
                <w:rFonts w:hint="eastAsia" w:ascii="仿宋" w:hAnsi="仿宋" w:eastAsia="仿宋" w:cs="仿宋"/>
                <w:color w:val="auto"/>
                <w:sz w:val="20"/>
                <w:highlight w:val="none"/>
              </w:rPr>
            </w:pPr>
          </w:p>
        </w:tc>
        <w:tc>
          <w:tcPr>
            <w:tcW w:w="4956" w:type="dxa"/>
            <w:noWrap w:val="0"/>
            <w:vAlign w:val="top"/>
          </w:tcPr>
          <w:p w14:paraId="4800FB72">
            <w:pPr>
              <w:pStyle w:val="76"/>
              <w:spacing w:line="360" w:lineRule="auto"/>
              <w:rPr>
                <w:rFonts w:hint="eastAsia" w:ascii="仿宋" w:hAnsi="仿宋" w:eastAsia="仿宋" w:cs="仿宋"/>
                <w:color w:val="auto"/>
                <w:sz w:val="20"/>
                <w:highlight w:val="none"/>
              </w:rPr>
            </w:pPr>
          </w:p>
        </w:tc>
        <w:tc>
          <w:tcPr>
            <w:tcW w:w="782" w:type="dxa"/>
            <w:noWrap w:val="0"/>
            <w:vAlign w:val="top"/>
          </w:tcPr>
          <w:p w14:paraId="1AFE9FBB">
            <w:pPr>
              <w:pStyle w:val="76"/>
              <w:spacing w:line="360" w:lineRule="auto"/>
              <w:rPr>
                <w:rFonts w:hint="eastAsia" w:ascii="仿宋" w:hAnsi="仿宋" w:eastAsia="仿宋" w:cs="仿宋"/>
                <w:color w:val="auto"/>
                <w:sz w:val="20"/>
                <w:highlight w:val="none"/>
              </w:rPr>
            </w:pPr>
          </w:p>
        </w:tc>
        <w:tc>
          <w:tcPr>
            <w:tcW w:w="1956" w:type="dxa"/>
            <w:noWrap w:val="0"/>
            <w:vAlign w:val="top"/>
          </w:tcPr>
          <w:p w14:paraId="39500487">
            <w:pPr>
              <w:pStyle w:val="76"/>
              <w:spacing w:line="360" w:lineRule="auto"/>
              <w:rPr>
                <w:rFonts w:hint="eastAsia" w:ascii="仿宋" w:hAnsi="仿宋" w:eastAsia="仿宋" w:cs="仿宋"/>
                <w:color w:val="auto"/>
                <w:sz w:val="20"/>
                <w:highlight w:val="none"/>
              </w:rPr>
            </w:pPr>
          </w:p>
        </w:tc>
      </w:tr>
      <w:tr w14:paraId="7CF13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noWrap w:val="0"/>
            <w:vAlign w:val="top"/>
          </w:tcPr>
          <w:p w14:paraId="46388181">
            <w:pPr>
              <w:pStyle w:val="76"/>
              <w:spacing w:line="360" w:lineRule="auto"/>
              <w:rPr>
                <w:rFonts w:hint="eastAsia" w:ascii="仿宋" w:hAnsi="仿宋" w:eastAsia="仿宋" w:cs="仿宋"/>
                <w:color w:val="auto"/>
                <w:sz w:val="20"/>
                <w:highlight w:val="none"/>
              </w:rPr>
            </w:pPr>
          </w:p>
        </w:tc>
        <w:tc>
          <w:tcPr>
            <w:tcW w:w="4956" w:type="dxa"/>
            <w:noWrap w:val="0"/>
            <w:vAlign w:val="top"/>
          </w:tcPr>
          <w:p w14:paraId="0EB03B3F">
            <w:pPr>
              <w:pStyle w:val="76"/>
              <w:spacing w:line="360" w:lineRule="auto"/>
              <w:rPr>
                <w:rFonts w:hint="eastAsia" w:ascii="仿宋" w:hAnsi="仿宋" w:eastAsia="仿宋" w:cs="仿宋"/>
                <w:color w:val="auto"/>
                <w:sz w:val="20"/>
                <w:highlight w:val="none"/>
              </w:rPr>
            </w:pPr>
          </w:p>
        </w:tc>
        <w:tc>
          <w:tcPr>
            <w:tcW w:w="782" w:type="dxa"/>
            <w:noWrap w:val="0"/>
            <w:vAlign w:val="top"/>
          </w:tcPr>
          <w:p w14:paraId="5D0A3842">
            <w:pPr>
              <w:pStyle w:val="76"/>
              <w:spacing w:line="360" w:lineRule="auto"/>
              <w:rPr>
                <w:rFonts w:hint="eastAsia" w:ascii="仿宋" w:hAnsi="仿宋" w:eastAsia="仿宋" w:cs="仿宋"/>
                <w:color w:val="auto"/>
                <w:sz w:val="20"/>
                <w:highlight w:val="none"/>
              </w:rPr>
            </w:pPr>
          </w:p>
        </w:tc>
        <w:tc>
          <w:tcPr>
            <w:tcW w:w="1956" w:type="dxa"/>
            <w:noWrap w:val="0"/>
            <w:vAlign w:val="top"/>
          </w:tcPr>
          <w:p w14:paraId="628EC537">
            <w:pPr>
              <w:pStyle w:val="76"/>
              <w:spacing w:line="360" w:lineRule="auto"/>
              <w:rPr>
                <w:rFonts w:hint="eastAsia" w:ascii="仿宋" w:hAnsi="仿宋" w:eastAsia="仿宋" w:cs="仿宋"/>
                <w:color w:val="auto"/>
                <w:sz w:val="20"/>
                <w:highlight w:val="none"/>
              </w:rPr>
            </w:pPr>
          </w:p>
        </w:tc>
      </w:tr>
      <w:tr w14:paraId="1CAFF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noWrap w:val="0"/>
            <w:vAlign w:val="top"/>
          </w:tcPr>
          <w:p w14:paraId="01DB9CCB">
            <w:pPr>
              <w:pStyle w:val="76"/>
              <w:spacing w:line="360" w:lineRule="auto"/>
              <w:rPr>
                <w:rFonts w:hint="eastAsia" w:ascii="仿宋" w:hAnsi="仿宋" w:eastAsia="仿宋" w:cs="仿宋"/>
                <w:color w:val="auto"/>
                <w:sz w:val="20"/>
                <w:highlight w:val="none"/>
              </w:rPr>
            </w:pPr>
          </w:p>
        </w:tc>
        <w:tc>
          <w:tcPr>
            <w:tcW w:w="4956" w:type="dxa"/>
            <w:noWrap w:val="0"/>
            <w:vAlign w:val="top"/>
          </w:tcPr>
          <w:p w14:paraId="573E2E73">
            <w:pPr>
              <w:pStyle w:val="76"/>
              <w:spacing w:line="360" w:lineRule="auto"/>
              <w:rPr>
                <w:rFonts w:hint="eastAsia" w:ascii="仿宋" w:hAnsi="仿宋" w:eastAsia="仿宋" w:cs="仿宋"/>
                <w:color w:val="auto"/>
                <w:sz w:val="20"/>
                <w:highlight w:val="none"/>
              </w:rPr>
            </w:pPr>
          </w:p>
        </w:tc>
        <w:tc>
          <w:tcPr>
            <w:tcW w:w="782" w:type="dxa"/>
            <w:noWrap w:val="0"/>
            <w:vAlign w:val="top"/>
          </w:tcPr>
          <w:p w14:paraId="02E7A559">
            <w:pPr>
              <w:pStyle w:val="76"/>
              <w:spacing w:line="360" w:lineRule="auto"/>
              <w:rPr>
                <w:rFonts w:hint="eastAsia" w:ascii="仿宋" w:hAnsi="仿宋" w:eastAsia="仿宋" w:cs="仿宋"/>
                <w:color w:val="auto"/>
                <w:sz w:val="20"/>
                <w:highlight w:val="none"/>
              </w:rPr>
            </w:pPr>
          </w:p>
        </w:tc>
        <w:tc>
          <w:tcPr>
            <w:tcW w:w="1956" w:type="dxa"/>
            <w:noWrap w:val="0"/>
            <w:vAlign w:val="top"/>
          </w:tcPr>
          <w:p w14:paraId="4623F07C">
            <w:pPr>
              <w:pStyle w:val="76"/>
              <w:spacing w:line="360" w:lineRule="auto"/>
              <w:rPr>
                <w:rFonts w:hint="eastAsia" w:ascii="仿宋" w:hAnsi="仿宋" w:eastAsia="仿宋" w:cs="仿宋"/>
                <w:color w:val="auto"/>
                <w:sz w:val="20"/>
                <w:highlight w:val="none"/>
              </w:rPr>
            </w:pPr>
          </w:p>
        </w:tc>
      </w:tr>
      <w:tr w14:paraId="7B0B2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19" w:type="dxa"/>
            <w:noWrap w:val="0"/>
            <w:vAlign w:val="top"/>
          </w:tcPr>
          <w:p w14:paraId="53B31425">
            <w:pPr>
              <w:pStyle w:val="76"/>
              <w:spacing w:line="360" w:lineRule="auto"/>
              <w:rPr>
                <w:rFonts w:hint="eastAsia" w:ascii="仿宋" w:hAnsi="仿宋" w:eastAsia="仿宋" w:cs="仿宋"/>
                <w:color w:val="auto"/>
                <w:sz w:val="20"/>
                <w:highlight w:val="none"/>
              </w:rPr>
            </w:pPr>
          </w:p>
        </w:tc>
        <w:tc>
          <w:tcPr>
            <w:tcW w:w="4956" w:type="dxa"/>
            <w:noWrap w:val="0"/>
            <w:vAlign w:val="top"/>
          </w:tcPr>
          <w:p w14:paraId="78DF7D5B">
            <w:pPr>
              <w:pStyle w:val="76"/>
              <w:spacing w:line="360" w:lineRule="auto"/>
              <w:rPr>
                <w:rFonts w:hint="eastAsia" w:ascii="仿宋" w:hAnsi="仿宋" w:eastAsia="仿宋" w:cs="仿宋"/>
                <w:color w:val="auto"/>
                <w:sz w:val="20"/>
                <w:highlight w:val="none"/>
              </w:rPr>
            </w:pPr>
          </w:p>
        </w:tc>
        <w:tc>
          <w:tcPr>
            <w:tcW w:w="782" w:type="dxa"/>
            <w:noWrap w:val="0"/>
            <w:vAlign w:val="top"/>
          </w:tcPr>
          <w:p w14:paraId="6D4290CD">
            <w:pPr>
              <w:pStyle w:val="76"/>
              <w:spacing w:line="360" w:lineRule="auto"/>
              <w:rPr>
                <w:rFonts w:hint="eastAsia" w:ascii="仿宋" w:hAnsi="仿宋" w:eastAsia="仿宋" w:cs="仿宋"/>
                <w:color w:val="auto"/>
                <w:sz w:val="20"/>
                <w:highlight w:val="none"/>
              </w:rPr>
            </w:pPr>
          </w:p>
        </w:tc>
        <w:tc>
          <w:tcPr>
            <w:tcW w:w="1956" w:type="dxa"/>
            <w:noWrap w:val="0"/>
            <w:vAlign w:val="top"/>
          </w:tcPr>
          <w:p w14:paraId="6EF58FF8">
            <w:pPr>
              <w:pStyle w:val="76"/>
              <w:spacing w:line="360" w:lineRule="auto"/>
              <w:rPr>
                <w:rFonts w:hint="eastAsia" w:ascii="仿宋" w:hAnsi="仿宋" w:eastAsia="仿宋" w:cs="仿宋"/>
                <w:color w:val="auto"/>
                <w:sz w:val="20"/>
                <w:highlight w:val="none"/>
              </w:rPr>
            </w:pPr>
          </w:p>
        </w:tc>
      </w:tr>
      <w:tr w14:paraId="17D01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19" w:type="dxa"/>
            <w:noWrap w:val="0"/>
            <w:vAlign w:val="top"/>
          </w:tcPr>
          <w:p w14:paraId="63687C4A">
            <w:pPr>
              <w:pStyle w:val="76"/>
              <w:spacing w:line="360" w:lineRule="auto"/>
              <w:rPr>
                <w:rFonts w:hint="eastAsia" w:ascii="仿宋" w:hAnsi="仿宋" w:eastAsia="仿宋" w:cs="仿宋"/>
                <w:color w:val="auto"/>
                <w:sz w:val="20"/>
                <w:highlight w:val="none"/>
              </w:rPr>
            </w:pPr>
          </w:p>
        </w:tc>
        <w:tc>
          <w:tcPr>
            <w:tcW w:w="4956" w:type="dxa"/>
            <w:noWrap w:val="0"/>
            <w:vAlign w:val="top"/>
          </w:tcPr>
          <w:p w14:paraId="3FF2F475">
            <w:pPr>
              <w:pStyle w:val="76"/>
              <w:spacing w:line="360" w:lineRule="auto"/>
              <w:rPr>
                <w:rFonts w:hint="eastAsia" w:ascii="仿宋" w:hAnsi="仿宋" w:eastAsia="仿宋" w:cs="仿宋"/>
                <w:color w:val="auto"/>
                <w:sz w:val="20"/>
                <w:highlight w:val="none"/>
              </w:rPr>
            </w:pPr>
          </w:p>
        </w:tc>
        <w:tc>
          <w:tcPr>
            <w:tcW w:w="782" w:type="dxa"/>
            <w:noWrap w:val="0"/>
            <w:vAlign w:val="top"/>
          </w:tcPr>
          <w:p w14:paraId="79180816">
            <w:pPr>
              <w:pStyle w:val="76"/>
              <w:spacing w:line="360" w:lineRule="auto"/>
              <w:rPr>
                <w:rFonts w:hint="eastAsia" w:ascii="仿宋" w:hAnsi="仿宋" w:eastAsia="仿宋" w:cs="仿宋"/>
                <w:color w:val="auto"/>
                <w:sz w:val="20"/>
                <w:highlight w:val="none"/>
              </w:rPr>
            </w:pPr>
          </w:p>
        </w:tc>
        <w:tc>
          <w:tcPr>
            <w:tcW w:w="1956" w:type="dxa"/>
            <w:noWrap w:val="0"/>
            <w:vAlign w:val="top"/>
          </w:tcPr>
          <w:p w14:paraId="4C669885">
            <w:pPr>
              <w:pStyle w:val="76"/>
              <w:spacing w:line="360" w:lineRule="auto"/>
              <w:rPr>
                <w:rFonts w:hint="eastAsia" w:ascii="仿宋" w:hAnsi="仿宋" w:eastAsia="仿宋" w:cs="仿宋"/>
                <w:color w:val="auto"/>
                <w:sz w:val="20"/>
                <w:highlight w:val="none"/>
              </w:rPr>
            </w:pPr>
          </w:p>
        </w:tc>
      </w:tr>
      <w:tr w14:paraId="173BA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noWrap w:val="0"/>
            <w:vAlign w:val="top"/>
          </w:tcPr>
          <w:p w14:paraId="0295CB95">
            <w:pPr>
              <w:pStyle w:val="76"/>
              <w:spacing w:line="360" w:lineRule="auto"/>
              <w:rPr>
                <w:rFonts w:hint="eastAsia" w:ascii="仿宋" w:hAnsi="仿宋" w:eastAsia="仿宋" w:cs="仿宋"/>
                <w:color w:val="auto"/>
                <w:sz w:val="20"/>
                <w:highlight w:val="none"/>
              </w:rPr>
            </w:pPr>
          </w:p>
        </w:tc>
        <w:tc>
          <w:tcPr>
            <w:tcW w:w="4956" w:type="dxa"/>
            <w:noWrap w:val="0"/>
            <w:vAlign w:val="top"/>
          </w:tcPr>
          <w:p w14:paraId="53D67B23">
            <w:pPr>
              <w:pStyle w:val="76"/>
              <w:spacing w:line="360" w:lineRule="auto"/>
              <w:rPr>
                <w:rFonts w:hint="eastAsia" w:ascii="仿宋" w:hAnsi="仿宋" w:eastAsia="仿宋" w:cs="仿宋"/>
                <w:color w:val="auto"/>
                <w:sz w:val="20"/>
                <w:highlight w:val="none"/>
              </w:rPr>
            </w:pPr>
          </w:p>
        </w:tc>
        <w:tc>
          <w:tcPr>
            <w:tcW w:w="782" w:type="dxa"/>
            <w:noWrap w:val="0"/>
            <w:vAlign w:val="top"/>
          </w:tcPr>
          <w:p w14:paraId="4FE7F5FF">
            <w:pPr>
              <w:pStyle w:val="76"/>
              <w:spacing w:line="360" w:lineRule="auto"/>
              <w:rPr>
                <w:rFonts w:hint="eastAsia" w:ascii="仿宋" w:hAnsi="仿宋" w:eastAsia="仿宋" w:cs="仿宋"/>
                <w:color w:val="auto"/>
                <w:sz w:val="20"/>
                <w:highlight w:val="none"/>
              </w:rPr>
            </w:pPr>
          </w:p>
        </w:tc>
        <w:tc>
          <w:tcPr>
            <w:tcW w:w="1956" w:type="dxa"/>
            <w:noWrap w:val="0"/>
            <w:vAlign w:val="top"/>
          </w:tcPr>
          <w:p w14:paraId="71E949A8">
            <w:pPr>
              <w:pStyle w:val="76"/>
              <w:spacing w:line="360" w:lineRule="auto"/>
              <w:rPr>
                <w:rFonts w:hint="eastAsia" w:ascii="仿宋" w:hAnsi="仿宋" w:eastAsia="仿宋" w:cs="仿宋"/>
                <w:color w:val="auto"/>
                <w:sz w:val="20"/>
                <w:highlight w:val="none"/>
              </w:rPr>
            </w:pPr>
          </w:p>
        </w:tc>
      </w:tr>
      <w:tr w14:paraId="0D907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noWrap w:val="0"/>
            <w:vAlign w:val="top"/>
          </w:tcPr>
          <w:p w14:paraId="0ED56F1B">
            <w:pPr>
              <w:pStyle w:val="76"/>
              <w:spacing w:line="360" w:lineRule="auto"/>
              <w:rPr>
                <w:rFonts w:hint="eastAsia" w:ascii="仿宋" w:hAnsi="仿宋" w:eastAsia="仿宋" w:cs="仿宋"/>
                <w:color w:val="auto"/>
                <w:sz w:val="20"/>
                <w:highlight w:val="none"/>
              </w:rPr>
            </w:pPr>
          </w:p>
        </w:tc>
        <w:tc>
          <w:tcPr>
            <w:tcW w:w="4956" w:type="dxa"/>
            <w:noWrap w:val="0"/>
            <w:vAlign w:val="top"/>
          </w:tcPr>
          <w:p w14:paraId="292C86EF">
            <w:pPr>
              <w:pStyle w:val="76"/>
              <w:spacing w:line="360" w:lineRule="auto"/>
              <w:rPr>
                <w:rFonts w:hint="eastAsia" w:ascii="仿宋" w:hAnsi="仿宋" w:eastAsia="仿宋" w:cs="仿宋"/>
                <w:color w:val="auto"/>
                <w:sz w:val="20"/>
                <w:highlight w:val="none"/>
              </w:rPr>
            </w:pPr>
          </w:p>
        </w:tc>
        <w:tc>
          <w:tcPr>
            <w:tcW w:w="782" w:type="dxa"/>
            <w:noWrap w:val="0"/>
            <w:vAlign w:val="top"/>
          </w:tcPr>
          <w:p w14:paraId="4EE90FCD">
            <w:pPr>
              <w:pStyle w:val="76"/>
              <w:spacing w:line="360" w:lineRule="auto"/>
              <w:rPr>
                <w:rFonts w:hint="eastAsia" w:ascii="仿宋" w:hAnsi="仿宋" w:eastAsia="仿宋" w:cs="仿宋"/>
                <w:color w:val="auto"/>
                <w:sz w:val="20"/>
                <w:highlight w:val="none"/>
              </w:rPr>
            </w:pPr>
          </w:p>
        </w:tc>
        <w:tc>
          <w:tcPr>
            <w:tcW w:w="1956" w:type="dxa"/>
            <w:noWrap w:val="0"/>
            <w:vAlign w:val="top"/>
          </w:tcPr>
          <w:p w14:paraId="5DC2E741">
            <w:pPr>
              <w:pStyle w:val="76"/>
              <w:spacing w:line="360" w:lineRule="auto"/>
              <w:rPr>
                <w:rFonts w:hint="eastAsia" w:ascii="仿宋" w:hAnsi="仿宋" w:eastAsia="仿宋" w:cs="仿宋"/>
                <w:color w:val="auto"/>
                <w:sz w:val="20"/>
                <w:highlight w:val="none"/>
              </w:rPr>
            </w:pPr>
          </w:p>
        </w:tc>
      </w:tr>
      <w:tr w14:paraId="2F118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19" w:type="dxa"/>
            <w:noWrap w:val="0"/>
            <w:vAlign w:val="top"/>
          </w:tcPr>
          <w:p w14:paraId="2551F89E">
            <w:pPr>
              <w:pStyle w:val="76"/>
              <w:spacing w:line="360" w:lineRule="auto"/>
              <w:rPr>
                <w:rFonts w:hint="eastAsia" w:ascii="仿宋" w:hAnsi="仿宋" w:eastAsia="仿宋" w:cs="仿宋"/>
                <w:color w:val="auto"/>
                <w:sz w:val="20"/>
                <w:highlight w:val="none"/>
              </w:rPr>
            </w:pPr>
          </w:p>
        </w:tc>
        <w:tc>
          <w:tcPr>
            <w:tcW w:w="4956" w:type="dxa"/>
            <w:noWrap w:val="0"/>
            <w:vAlign w:val="top"/>
          </w:tcPr>
          <w:p w14:paraId="28280D07">
            <w:pPr>
              <w:pStyle w:val="76"/>
              <w:spacing w:line="360" w:lineRule="auto"/>
              <w:rPr>
                <w:rFonts w:hint="eastAsia" w:ascii="仿宋" w:hAnsi="仿宋" w:eastAsia="仿宋" w:cs="仿宋"/>
                <w:color w:val="auto"/>
                <w:sz w:val="20"/>
                <w:highlight w:val="none"/>
              </w:rPr>
            </w:pPr>
          </w:p>
        </w:tc>
        <w:tc>
          <w:tcPr>
            <w:tcW w:w="782" w:type="dxa"/>
            <w:noWrap w:val="0"/>
            <w:vAlign w:val="top"/>
          </w:tcPr>
          <w:p w14:paraId="49204A83">
            <w:pPr>
              <w:pStyle w:val="76"/>
              <w:spacing w:line="360" w:lineRule="auto"/>
              <w:rPr>
                <w:rFonts w:hint="eastAsia" w:ascii="仿宋" w:hAnsi="仿宋" w:eastAsia="仿宋" w:cs="仿宋"/>
                <w:color w:val="auto"/>
                <w:sz w:val="20"/>
                <w:highlight w:val="none"/>
              </w:rPr>
            </w:pPr>
          </w:p>
        </w:tc>
        <w:tc>
          <w:tcPr>
            <w:tcW w:w="1956" w:type="dxa"/>
            <w:noWrap w:val="0"/>
            <w:vAlign w:val="top"/>
          </w:tcPr>
          <w:p w14:paraId="3340153D">
            <w:pPr>
              <w:pStyle w:val="76"/>
              <w:spacing w:line="360" w:lineRule="auto"/>
              <w:rPr>
                <w:rFonts w:hint="eastAsia" w:ascii="仿宋" w:hAnsi="仿宋" w:eastAsia="仿宋" w:cs="仿宋"/>
                <w:color w:val="auto"/>
                <w:sz w:val="20"/>
                <w:highlight w:val="none"/>
              </w:rPr>
            </w:pPr>
          </w:p>
        </w:tc>
      </w:tr>
      <w:tr w14:paraId="2C599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noWrap w:val="0"/>
            <w:vAlign w:val="top"/>
          </w:tcPr>
          <w:p w14:paraId="7AB1B3F2">
            <w:pPr>
              <w:pStyle w:val="76"/>
              <w:spacing w:line="360" w:lineRule="auto"/>
              <w:rPr>
                <w:rFonts w:hint="eastAsia" w:ascii="仿宋" w:hAnsi="仿宋" w:eastAsia="仿宋" w:cs="仿宋"/>
                <w:color w:val="auto"/>
                <w:sz w:val="20"/>
                <w:highlight w:val="none"/>
              </w:rPr>
            </w:pPr>
          </w:p>
        </w:tc>
        <w:tc>
          <w:tcPr>
            <w:tcW w:w="4956" w:type="dxa"/>
            <w:noWrap w:val="0"/>
            <w:vAlign w:val="top"/>
          </w:tcPr>
          <w:p w14:paraId="3A65A33F">
            <w:pPr>
              <w:pStyle w:val="76"/>
              <w:spacing w:line="360" w:lineRule="auto"/>
              <w:rPr>
                <w:rFonts w:hint="eastAsia" w:ascii="仿宋" w:hAnsi="仿宋" w:eastAsia="仿宋" w:cs="仿宋"/>
                <w:color w:val="auto"/>
                <w:sz w:val="20"/>
                <w:highlight w:val="none"/>
              </w:rPr>
            </w:pPr>
          </w:p>
        </w:tc>
        <w:tc>
          <w:tcPr>
            <w:tcW w:w="782" w:type="dxa"/>
            <w:noWrap w:val="0"/>
            <w:vAlign w:val="top"/>
          </w:tcPr>
          <w:p w14:paraId="6090CB15">
            <w:pPr>
              <w:pStyle w:val="76"/>
              <w:spacing w:line="360" w:lineRule="auto"/>
              <w:rPr>
                <w:rFonts w:hint="eastAsia" w:ascii="仿宋" w:hAnsi="仿宋" w:eastAsia="仿宋" w:cs="仿宋"/>
                <w:color w:val="auto"/>
                <w:sz w:val="20"/>
                <w:highlight w:val="none"/>
              </w:rPr>
            </w:pPr>
          </w:p>
        </w:tc>
        <w:tc>
          <w:tcPr>
            <w:tcW w:w="1956" w:type="dxa"/>
            <w:noWrap w:val="0"/>
            <w:vAlign w:val="top"/>
          </w:tcPr>
          <w:p w14:paraId="7383770D">
            <w:pPr>
              <w:pStyle w:val="76"/>
              <w:spacing w:line="360" w:lineRule="auto"/>
              <w:rPr>
                <w:rFonts w:hint="eastAsia" w:ascii="仿宋" w:hAnsi="仿宋" w:eastAsia="仿宋" w:cs="仿宋"/>
                <w:color w:val="auto"/>
                <w:sz w:val="20"/>
                <w:highlight w:val="none"/>
              </w:rPr>
            </w:pPr>
          </w:p>
        </w:tc>
      </w:tr>
      <w:tr w14:paraId="6357F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noWrap w:val="0"/>
            <w:vAlign w:val="top"/>
          </w:tcPr>
          <w:p w14:paraId="52B82624">
            <w:pPr>
              <w:pStyle w:val="76"/>
              <w:spacing w:line="360" w:lineRule="auto"/>
              <w:rPr>
                <w:rFonts w:hint="eastAsia" w:ascii="仿宋" w:hAnsi="仿宋" w:eastAsia="仿宋" w:cs="仿宋"/>
                <w:color w:val="auto"/>
                <w:sz w:val="20"/>
                <w:highlight w:val="none"/>
              </w:rPr>
            </w:pPr>
          </w:p>
        </w:tc>
        <w:tc>
          <w:tcPr>
            <w:tcW w:w="4956" w:type="dxa"/>
            <w:noWrap w:val="0"/>
            <w:vAlign w:val="top"/>
          </w:tcPr>
          <w:p w14:paraId="009B5656">
            <w:pPr>
              <w:pStyle w:val="76"/>
              <w:spacing w:line="360" w:lineRule="auto"/>
              <w:rPr>
                <w:rFonts w:hint="eastAsia" w:ascii="仿宋" w:hAnsi="仿宋" w:eastAsia="仿宋" w:cs="仿宋"/>
                <w:color w:val="auto"/>
                <w:sz w:val="20"/>
                <w:highlight w:val="none"/>
              </w:rPr>
            </w:pPr>
          </w:p>
        </w:tc>
        <w:tc>
          <w:tcPr>
            <w:tcW w:w="782" w:type="dxa"/>
            <w:noWrap w:val="0"/>
            <w:vAlign w:val="top"/>
          </w:tcPr>
          <w:p w14:paraId="49B4EF6E">
            <w:pPr>
              <w:pStyle w:val="76"/>
              <w:spacing w:line="360" w:lineRule="auto"/>
              <w:rPr>
                <w:rFonts w:hint="eastAsia" w:ascii="仿宋" w:hAnsi="仿宋" w:eastAsia="仿宋" w:cs="仿宋"/>
                <w:color w:val="auto"/>
                <w:sz w:val="20"/>
                <w:highlight w:val="none"/>
              </w:rPr>
            </w:pPr>
          </w:p>
        </w:tc>
        <w:tc>
          <w:tcPr>
            <w:tcW w:w="1956" w:type="dxa"/>
            <w:noWrap w:val="0"/>
            <w:vAlign w:val="top"/>
          </w:tcPr>
          <w:p w14:paraId="4E8A14DD">
            <w:pPr>
              <w:pStyle w:val="76"/>
              <w:spacing w:line="360" w:lineRule="auto"/>
              <w:rPr>
                <w:rFonts w:hint="eastAsia" w:ascii="仿宋" w:hAnsi="仿宋" w:eastAsia="仿宋" w:cs="仿宋"/>
                <w:color w:val="auto"/>
                <w:sz w:val="20"/>
                <w:highlight w:val="none"/>
              </w:rPr>
            </w:pPr>
          </w:p>
        </w:tc>
      </w:tr>
      <w:tr w14:paraId="4E1D9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noWrap w:val="0"/>
            <w:vAlign w:val="top"/>
          </w:tcPr>
          <w:p w14:paraId="67E6C960">
            <w:pPr>
              <w:pStyle w:val="76"/>
              <w:spacing w:line="360" w:lineRule="auto"/>
              <w:rPr>
                <w:rFonts w:hint="eastAsia" w:ascii="仿宋" w:hAnsi="仿宋" w:eastAsia="仿宋" w:cs="仿宋"/>
                <w:color w:val="auto"/>
                <w:sz w:val="20"/>
                <w:highlight w:val="none"/>
              </w:rPr>
            </w:pPr>
          </w:p>
        </w:tc>
        <w:tc>
          <w:tcPr>
            <w:tcW w:w="4956" w:type="dxa"/>
            <w:noWrap w:val="0"/>
            <w:vAlign w:val="top"/>
          </w:tcPr>
          <w:p w14:paraId="1F47947D">
            <w:pPr>
              <w:pStyle w:val="76"/>
              <w:spacing w:line="360" w:lineRule="auto"/>
              <w:rPr>
                <w:rFonts w:hint="eastAsia" w:ascii="仿宋" w:hAnsi="仿宋" w:eastAsia="仿宋" w:cs="仿宋"/>
                <w:color w:val="auto"/>
                <w:sz w:val="20"/>
                <w:highlight w:val="none"/>
              </w:rPr>
            </w:pPr>
          </w:p>
        </w:tc>
        <w:tc>
          <w:tcPr>
            <w:tcW w:w="782" w:type="dxa"/>
            <w:noWrap w:val="0"/>
            <w:vAlign w:val="top"/>
          </w:tcPr>
          <w:p w14:paraId="205EA136">
            <w:pPr>
              <w:pStyle w:val="76"/>
              <w:spacing w:line="360" w:lineRule="auto"/>
              <w:rPr>
                <w:rFonts w:hint="eastAsia" w:ascii="仿宋" w:hAnsi="仿宋" w:eastAsia="仿宋" w:cs="仿宋"/>
                <w:color w:val="auto"/>
                <w:sz w:val="20"/>
                <w:highlight w:val="none"/>
              </w:rPr>
            </w:pPr>
          </w:p>
        </w:tc>
        <w:tc>
          <w:tcPr>
            <w:tcW w:w="1956" w:type="dxa"/>
            <w:noWrap w:val="0"/>
            <w:vAlign w:val="top"/>
          </w:tcPr>
          <w:p w14:paraId="61CEE15A">
            <w:pPr>
              <w:pStyle w:val="76"/>
              <w:spacing w:line="360" w:lineRule="auto"/>
              <w:rPr>
                <w:rFonts w:hint="eastAsia" w:ascii="仿宋" w:hAnsi="仿宋" w:eastAsia="仿宋" w:cs="仿宋"/>
                <w:color w:val="auto"/>
                <w:sz w:val="20"/>
                <w:highlight w:val="none"/>
              </w:rPr>
            </w:pPr>
          </w:p>
        </w:tc>
      </w:tr>
      <w:tr w14:paraId="24133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19" w:type="dxa"/>
            <w:noWrap w:val="0"/>
            <w:vAlign w:val="top"/>
          </w:tcPr>
          <w:p w14:paraId="6614B7D3">
            <w:pPr>
              <w:pStyle w:val="76"/>
              <w:spacing w:line="360" w:lineRule="auto"/>
              <w:rPr>
                <w:rFonts w:hint="eastAsia" w:ascii="仿宋" w:hAnsi="仿宋" w:eastAsia="仿宋" w:cs="仿宋"/>
                <w:color w:val="auto"/>
                <w:sz w:val="20"/>
                <w:highlight w:val="none"/>
              </w:rPr>
            </w:pPr>
          </w:p>
        </w:tc>
        <w:tc>
          <w:tcPr>
            <w:tcW w:w="4956" w:type="dxa"/>
            <w:noWrap w:val="0"/>
            <w:vAlign w:val="top"/>
          </w:tcPr>
          <w:p w14:paraId="78343D3C">
            <w:pPr>
              <w:pStyle w:val="76"/>
              <w:spacing w:line="360" w:lineRule="auto"/>
              <w:rPr>
                <w:rFonts w:hint="eastAsia" w:ascii="仿宋" w:hAnsi="仿宋" w:eastAsia="仿宋" w:cs="仿宋"/>
                <w:color w:val="auto"/>
                <w:sz w:val="20"/>
                <w:highlight w:val="none"/>
              </w:rPr>
            </w:pPr>
          </w:p>
        </w:tc>
        <w:tc>
          <w:tcPr>
            <w:tcW w:w="782" w:type="dxa"/>
            <w:noWrap w:val="0"/>
            <w:vAlign w:val="top"/>
          </w:tcPr>
          <w:p w14:paraId="4550DDAF">
            <w:pPr>
              <w:pStyle w:val="76"/>
              <w:spacing w:line="360" w:lineRule="auto"/>
              <w:rPr>
                <w:rFonts w:hint="eastAsia" w:ascii="仿宋" w:hAnsi="仿宋" w:eastAsia="仿宋" w:cs="仿宋"/>
                <w:color w:val="auto"/>
                <w:sz w:val="20"/>
                <w:highlight w:val="none"/>
              </w:rPr>
            </w:pPr>
          </w:p>
        </w:tc>
        <w:tc>
          <w:tcPr>
            <w:tcW w:w="1956" w:type="dxa"/>
            <w:noWrap w:val="0"/>
            <w:vAlign w:val="top"/>
          </w:tcPr>
          <w:p w14:paraId="35698198">
            <w:pPr>
              <w:pStyle w:val="76"/>
              <w:spacing w:line="360" w:lineRule="auto"/>
              <w:rPr>
                <w:rFonts w:hint="eastAsia" w:ascii="仿宋" w:hAnsi="仿宋" w:eastAsia="仿宋" w:cs="仿宋"/>
                <w:color w:val="auto"/>
                <w:sz w:val="20"/>
                <w:highlight w:val="none"/>
              </w:rPr>
            </w:pPr>
          </w:p>
        </w:tc>
      </w:tr>
      <w:tr w14:paraId="2354F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19" w:type="dxa"/>
            <w:noWrap w:val="0"/>
            <w:vAlign w:val="top"/>
          </w:tcPr>
          <w:p w14:paraId="03DCF99D">
            <w:pPr>
              <w:pStyle w:val="76"/>
              <w:spacing w:line="360" w:lineRule="auto"/>
              <w:rPr>
                <w:rFonts w:hint="eastAsia" w:ascii="仿宋" w:hAnsi="仿宋" w:eastAsia="仿宋" w:cs="仿宋"/>
                <w:color w:val="auto"/>
                <w:sz w:val="20"/>
                <w:highlight w:val="none"/>
              </w:rPr>
            </w:pPr>
          </w:p>
        </w:tc>
        <w:tc>
          <w:tcPr>
            <w:tcW w:w="4956" w:type="dxa"/>
            <w:noWrap w:val="0"/>
            <w:vAlign w:val="top"/>
          </w:tcPr>
          <w:p w14:paraId="2A2C9666">
            <w:pPr>
              <w:pStyle w:val="76"/>
              <w:spacing w:line="360" w:lineRule="auto"/>
              <w:rPr>
                <w:rFonts w:hint="eastAsia" w:ascii="仿宋" w:hAnsi="仿宋" w:eastAsia="仿宋" w:cs="仿宋"/>
                <w:color w:val="auto"/>
                <w:sz w:val="20"/>
                <w:highlight w:val="none"/>
              </w:rPr>
            </w:pPr>
          </w:p>
        </w:tc>
        <w:tc>
          <w:tcPr>
            <w:tcW w:w="782" w:type="dxa"/>
            <w:noWrap w:val="0"/>
            <w:vAlign w:val="top"/>
          </w:tcPr>
          <w:p w14:paraId="177DB560">
            <w:pPr>
              <w:pStyle w:val="76"/>
              <w:spacing w:line="360" w:lineRule="auto"/>
              <w:rPr>
                <w:rFonts w:hint="eastAsia" w:ascii="仿宋" w:hAnsi="仿宋" w:eastAsia="仿宋" w:cs="仿宋"/>
                <w:color w:val="auto"/>
                <w:sz w:val="20"/>
                <w:highlight w:val="none"/>
              </w:rPr>
            </w:pPr>
          </w:p>
        </w:tc>
        <w:tc>
          <w:tcPr>
            <w:tcW w:w="1956" w:type="dxa"/>
            <w:noWrap w:val="0"/>
            <w:vAlign w:val="top"/>
          </w:tcPr>
          <w:p w14:paraId="2E94CA2C">
            <w:pPr>
              <w:pStyle w:val="76"/>
              <w:spacing w:line="360" w:lineRule="auto"/>
              <w:rPr>
                <w:rFonts w:hint="eastAsia" w:ascii="仿宋" w:hAnsi="仿宋" w:eastAsia="仿宋" w:cs="仿宋"/>
                <w:color w:val="auto"/>
                <w:sz w:val="20"/>
                <w:highlight w:val="none"/>
              </w:rPr>
            </w:pPr>
          </w:p>
        </w:tc>
      </w:tr>
      <w:tr w14:paraId="16680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619" w:type="dxa"/>
            <w:noWrap w:val="0"/>
            <w:vAlign w:val="top"/>
          </w:tcPr>
          <w:p w14:paraId="28A002DC">
            <w:pPr>
              <w:pStyle w:val="76"/>
              <w:spacing w:line="360" w:lineRule="auto"/>
              <w:rPr>
                <w:rFonts w:hint="eastAsia" w:ascii="仿宋" w:hAnsi="仿宋" w:eastAsia="仿宋" w:cs="仿宋"/>
                <w:color w:val="auto"/>
                <w:sz w:val="20"/>
                <w:highlight w:val="none"/>
              </w:rPr>
            </w:pPr>
          </w:p>
        </w:tc>
        <w:tc>
          <w:tcPr>
            <w:tcW w:w="4956" w:type="dxa"/>
            <w:noWrap w:val="0"/>
            <w:vAlign w:val="top"/>
          </w:tcPr>
          <w:p w14:paraId="22C106AC">
            <w:pPr>
              <w:pStyle w:val="76"/>
              <w:spacing w:line="360" w:lineRule="auto"/>
              <w:rPr>
                <w:rFonts w:hint="eastAsia" w:ascii="仿宋" w:hAnsi="仿宋" w:eastAsia="仿宋" w:cs="仿宋"/>
                <w:color w:val="auto"/>
                <w:sz w:val="20"/>
                <w:highlight w:val="none"/>
              </w:rPr>
            </w:pPr>
          </w:p>
        </w:tc>
        <w:tc>
          <w:tcPr>
            <w:tcW w:w="782" w:type="dxa"/>
            <w:noWrap w:val="0"/>
            <w:vAlign w:val="top"/>
          </w:tcPr>
          <w:p w14:paraId="2E6F8123">
            <w:pPr>
              <w:pStyle w:val="76"/>
              <w:spacing w:line="360" w:lineRule="auto"/>
              <w:rPr>
                <w:rFonts w:hint="eastAsia" w:ascii="仿宋" w:hAnsi="仿宋" w:eastAsia="仿宋" w:cs="仿宋"/>
                <w:color w:val="auto"/>
                <w:sz w:val="20"/>
                <w:highlight w:val="none"/>
              </w:rPr>
            </w:pPr>
          </w:p>
        </w:tc>
        <w:tc>
          <w:tcPr>
            <w:tcW w:w="1956" w:type="dxa"/>
            <w:noWrap w:val="0"/>
            <w:vAlign w:val="top"/>
          </w:tcPr>
          <w:p w14:paraId="684308BF">
            <w:pPr>
              <w:pStyle w:val="76"/>
              <w:spacing w:line="360" w:lineRule="auto"/>
              <w:rPr>
                <w:rFonts w:hint="eastAsia" w:ascii="仿宋" w:hAnsi="仿宋" w:eastAsia="仿宋" w:cs="仿宋"/>
                <w:color w:val="auto"/>
                <w:sz w:val="20"/>
                <w:highlight w:val="none"/>
              </w:rPr>
            </w:pPr>
          </w:p>
        </w:tc>
      </w:tr>
    </w:tbl>
    <w:p w14:paraId="1849DB75">
      <w:pPr>
        <w:spacing w:before="1" w:line="360" w:lineRule="auto"/>
        <w:ind w:left="360" w:right="449" w:rightChars="214"/>
        <w:jc w:val="left"/>
        <w:rPr>
          <w:rFonts w:hint="eastAsia" w:ascii="仿宋" w:hAnsi="仿宋" w:eastAsia="仿宋" w:cs="仿宋"/>
          <w:color w:val="auto"/>
          <w:sz w:val="28"/>
          <w:szCs w:val="28"/>
          <w:highlight w:val="none"/>
        </w:rPr>
      </w:pPr>
      <w:r>
        <w:rPr>
          <w:rFonts w:hint="eastAsia" w:ascii="仿宋" w:hAnsi="仿宋" w:eastAsia="仿宋" w:cs="仿宋"/>
          <w:b/>
          <w:color w:val="auto"/>
          <w:highlight w:val="none"/>
        </w:rPr>
        <w:t>注：</w:t>
      </w:r>
      <w:r>
        <w:rPr>
          <w:rFonts w:hint="eastAsia" w:ascii="仿宋" w:hAnsi="仿宋" w:eastAsia="仿宋" w:cs="仿宋"/>
          <w:color w:val="auto"/>
          <w:spacing w:val="-1"/>
          <w:highlight w:val="none"/>
        </w:rPr>
        <w:t>该目录为方便评标委员会查找相关证明文件及评审条件，应尽可能的详细、清晰，投标人可根据</w:t>
      </w:r>
      <w:r>
        <w:rPr>
          <w:rFonts w:hint="eastAsia" w:ascii="仿宋" w:hAnsi="仿宋" w:eastAsia="仿宋" w:cs="仿宋"/>
          <w:color w:val="auto"/>
          <w:spacing w:val="-3"/>
          <w:highlight w:val="none"/>
        </w:rPr>
        <w:t>自身情况补充完善；</w:t>
      </w:r>
      <w:r>
        <w:rPr>
          <w:rFonts w:hint="eastAsia" w:ascii="仿宋" w:hAnsi="仿宋" w:eastAsia="仿宋" w:cs="仿宋"/>
          <w:color w:val="auto"/>
          <w:spacing w:val="-7"/>
          <w:highlight w:val="none"/>
        </w:rPr>
        <w:t>投标文件的编制顺序应按此表顺序，并连续编排页码</w:t>
      </w:r>
    </w:p>
    <w:p w14:paraId="3A35FD94">
      <w:pPr>
        <w:pStyle w:val="67"/>
        <w:tabs>
          <w:tab w:val="left" w:pos="682"/>
        </w:tabs>
        <w:autoSpaceDE w:val="0"/>
        <w:autoSpaceDN w:val="0"/>
        <w:spacing w:before="2" w:line="360" w:lineRule="auto"/>
        <w:ind w:right="519" w:firstLine="0" w:firstLineChars="0"/>
        <w:jc w:val="left"/>
        <w:rPr>
          <w:rFonts w:hint="eastAsia" w:ascii="仿宋" w:hAnsi="仿宋" w:eastAsia="仿宋" w:cs="仿宋"/>
          <w:color w:val="auto"/>
          <w:spacing w:val="-7"/>
          <w:highlight w:val="none"/>
        </w:rPr>
      </w:pPr>
    </w:p>
    <w:p w14:paraId="51FF0678">
      <w:pPr>
        <w:pStyle w:val="65"/>
        <w:spacing w:line="360" w:lineRule="auto"/>
        <w:jc w:val="center"/>
        <w:rPr>
          <w:rFonts w:hint="eastAsia" w:ascii="仿宋" w:hAnsi="仿宋" w:eastAsia="仿宋" w:cs="仿宋"/>
          <w:b/>
          <w:color w:val="auto"/>
          <w:sz w:val="24"/>
          <w:szCs w:val="24"/>
          <w:highlight w:val="none"/>
        </w:rPr>
        <w:sectPr>
          <w:pgSz w:w="11910" w:h="16850"/>
          <w:pgMar w:top="1440" w:right="1800" w:bottom="1440" w:left="1800" w:header="720" w:footer="720" w:gutter="0"/>
          <w:cols w:space="720" w:num="1"/>
        </w:sectPr>
      </w:pPr>
    </w:p>
    <w:p w14:paraId="32E971DA">
      <w:pPr>
        <w:pStyle w:val="65"/>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  开标一览表（投标文件格式一）</w:t>
      </w:r>
      <w:bookmarkEnd w:id="40"/>
    </w:p>
    <w:p w14:paraId="566C466E">
      <w:pPr>
        <w:pStyle w:val="65"/>
        <w:spacing w:line="360" w:lineRule="auto"/>
        <w:rPr>
          <w:rFonts w:hint="eastAsia" w:ascii="仿宋" w:hAnsi="仿宋" w:eastAsia="仿宋" w:cs="仿宋"/>
          <w:bCs w:val="0"/>
          <w:color w:val="auto"/>
          <w:sz w:val="24"/>
          <w:szCs w:val="24"/>
          <w:highlight w:val="none"/>
        </w:rPr>
      </w:pPr>
    </w:p>
    <w:p w14:paraId="4EA96E24">
      <w:pPr>
        <w:pStyle w:val="65"/>
        <w:spacing w:line="360" w:lineRule="auto"/>
        <w:rPr>
          <w:rFonts w:hint="eastAsia" w:ascii="仿宋" w:hAnsi="仿宋" w:eastAsia="仿宋" w:cs="仿宋"/>
          <w:bCs w:val="0"/>
          <w:color w:val="auto"/>
          <w:sz w:val="24"/>
          <w:szCs w:val="24"/>
          <w:highlight w:val="none"/>
        </w:rPr>
      </w:pPr>
    </w:p>
    <w:p w14:paraId="6C0673E0">
      <w:pPr>
        <w:tabs>
          <w:tab w:val="left" w:pos="2986"/>
          <w:tab w:val="left" w:pos="5974"/>
        </w:tabs>
        <w:spacing w:after="18" w:line="360" w:lineRule="auto"/>
        <w:ind w:left="36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w:t>
      </w:r>
      <w:r>
        <w:rPr>
          <w:rFonts w:hint="eastAsia" w:ascii="仿宋" w:hAnsi="仿宋" w:eastAsia="仿宋" w:cs="仿宋"/>
          <w:color w:val="auto"/>
          <w:spacing w:val="-3"/>
          <w:szCs w:val="21"/>
          <w:highlight w:val="none"/>
        </w:rPr>
        <w:t>标</w:t>
      </w:r>
      <w:r>
        <w:rPr>
          <w:rFonts w:hint="eastAsia" w:ascii="仿宋" w:hAnsi="仿宋" w:eastAsia="仿宋" w:cs="仿宋"/>
          <w:color w:val="auto"/>
          <w:szCs w:val="21"/>
          <w:highlight w:val="none"/>
        </w:rPr>
        <w:t>编</w:t>
      </w:r>
      <w:r>
        <w:rPr>
          <w:rFonts w:hint="eastAsia" w:ascii="仿宋" w:hAnsi="仿宋" w:eastAsia="仿宋" w:cs="仿宋"/>
          <w:color w:val="auto"/>
          <w:spacing w:val="-3"/>
          <w:szCs w:val="21"/>
          <w:highlight w:val="none"/>
        </w:rPr>
        <w:t>号</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ab/>
      </w:r>
      <w:r>
        <w:rPr>
          <w:rFonts w:hint="eastAsia" w:ascii="仿宋" w:hAnsi="仿宋" w:eastAsia="仿宋" w:cs="仿宋"/>
          <w:color w:val="auto"/>
          <w:spacing w:val="-3"/>
          <w:szCs w:val="21"/>
          <w:highlight w:val="none"/>
        </w:rPr>
        <w:t>报价单位：</w:t>
      </w:r>
      <w:r>
        <w:rPr>
          <w:rFonts w:hint="eastAsia" w:ascii="仿宋" w:hAnsi="仿宋" w:eastAsia="仿宋" w:cs="仿宋"/>
          <w:color w:val="auto"/>
          <w:szCs w:val="21"/>
          <w:highlight w:val="none"/>
        </w:rPr>
        <w:t>人</w:t>
      </w:r>
      <w:r>
        <w:rPr>
          <w:rFonts w:hint="eastAsia" w:ascii="仿宋" w:hAnsi="仿宋" w:eastAsia="仿宋" w:cs="仿宋"/>
          <w:color w:val="auto"/>
          <w:spacing w:val="-3"/>
          <w:szCs w:val="21"/>
          <w:highlight w:val="none"/>
        </w:rPr>
        <w:t>民</w:t>
      </w:r>
      <w:r>
        <w:rPr>
          <w:rFonts w:hint="eastAsia" w:ascii="仿宋" w:hAnsi="仿宋" w:eastAsia="仿宋" w:cs="仿宋"/>
          <w:color w:val="auto"/>
          <w:szCs w:val="21"/>
          <w:highlight w:val="none"/>
        </w:rPr>
        <w:t>币元</w:t>
      </w:r>
    </w:p>
    <w:tbl>
      <w:tblPr>
        <w:tblStyle w:val="31"/>
        <w:tblW w:w="8323" w:type="dxa"/>
        <w:tblInd w:w="0"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1970"/>
        <w:gridCol w:w="1141"/>
        <w:gridCol w:w="1201"/>
        <w:gridCol w:w="2208"/>
        <w:gridCol w:w="1803"/>
      </w:tblGrid>
      <w:tr w14:paraId="7FF00FA1">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43" w:hRule="atLeast"/>
        </w:trPr>
        <w:tc>
          <w:tcPr>
            <w:tcW w:w="3111" w:type="dxa"/>
            <w:gridSpan w:val="2"/>
            <w:tcBorders>
              <w:bottom w:val="single" w:color="000000" w:sz="6" w:space="0"/>
              <w:right w:val="single" w:color="000000" w:sz="6" w:space="0"/>
            </w:tcBorders>
            <w:noWrap w:val="0"/>
            <w:vAlign w:val="center"/>
          </w:tcPr>
          <w:p w14:paraId="0F54149C">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项目名称</w:t>
            </w:r>
          </w:p>
        </w:tc>
        <w:tc>
          <w:tcPr>
            <w:tcW w:w="1201" w:type="dxa"/>
            <w:tcBorders>
              <w:left w:val="single" w:color="000000" w:sz="6" w:space="0"/>
              <w:bottom w:val="single" w:color="000000" w:sz="6" w:space="0"/>
              <w:right w:val="single" w:color="000000" w:sz="6" w:space="0"/>
            </w:tcBorders>
            <w:noWrap w:val="0"/>
            <w:vAlign w:val="center"/>
          </w:tcPr>
          <w:p w14:paraId="3B41D44C">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rPr>
              <w:t>包号</w:t>
            </w:r>
          </w:p>
        </w:tc>
        <w:tc>
          <w:tcPr>
            <w:tcW w:w="2208" w:type="dxa"/>
            <w:tcBorders>
              <w:left w:val="single" w:color="000000" w:sz="6" w:space="0"/>
              <w:bottom w:val="single" w:color="000000" w:sz="6" w:space="0"/>
              <w:right w:val="single" w:color="000000" w:sz="6" w:space="0"/>
            </w:tcBorders>
            <w:noWrap w:val="0"/>
            <w:vAlign w:val="center"/>
          </w:tcPr>
          <w:p w14:paraId="6F1720FD">
            <w:pPr>
              <w:pStyle w:val="76"/>
              <w:autoSpaceDE w:val="0"/>
              <w:autoSpaceDN w:val="0"/>
              <w:adjustRightInd w:val="0"/>
              <w:snapToGrid w:val="0"/>
              <w:spacing w:line="360" w:lineRule="auto"/>
              <w:jc w:val="center"/>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合同履行期限</w:t>
            </w:r>
          </w:p>
        </w:tc>
        <w:tc>
          <w:tcPr>
            <w:tcW w:w="1803" w:type="dxa"/>
            <w:tcBorders>
              <w:left w:val="single" w:color="000000" w:sz="6" w:space="0"/>
              <w:bottom w:val="single" w:color="000000" w:sz="6" w:space="0"/>
            </w:tcBorders>
            <w:noWrap w:val="0"/>
            <w:vAlign w:val="center"/>
          </w:tcPr>
          <w:p w14:paraId="69BA73E6">
            <w:pPr>
              <w:pStyle w:val="76"/>
              <w:autoSpaceDE w:val="0"/>
              <w:autoSpaceDN w:val="0"/>
              <w:adjustRightInd w:val="0"/>
              <w:snapToGrid w:val="0"/>
              <w:spacing w:line="360" w:lineRule="auto"/>
              <w:jc w:val="center"/>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交货地点</w:t>
            </w:r>
          </w:p>
        </w:tc>
      </w:tr>
      <w:tr w14:paraId="3E36A52B">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336" w:hRule="atLeast"/>
        </w:trPr>
        <w:tc>
          <w:tcPr>
            <w:tcW w:w="3111" w:type="dxa"/>
            <w:gridSpan w:val="2"/>
            <w:tcBorders>
              <w:top w:val="single" w:color="000000" w:sz="6" w:space="0"/>
              <w:bottom w:val="single" w:color="000000" w:sz="6" w:space="0"/>
              <w:right w:val="single" w:color="000000" w:sz="6" w:space="0"/>
            </w:tcBorders>
            <w:noWrap w:val="0"/>
            <w:vAlign w:val="top"/>
          </w:tcPr>
          <w:p w14:paraId="1B1A9D71">
            <w:pPr>
              <w:pStyle w:val="76"/>
              <w:spacing w:line="360" w:lineRule="auto"/>
              <w:rPr>
                <w:rFonts w:hint="eastAsia" w:ascii="仿宋" w:hAnsi="仿宋" w:eastAsia="仿宋" w:cs="仿宋"/>
                <w:color w:val="auto"/>
                <w:szCs w:val="21"/>
                <w:highlight w:val="none"/>
              </w:rPr>
            </w:pPr>
          </w:p>
        </w:tc>
        <w:tc>
          <w:tcPr>
            <w:tcW w:w="1201" w:type="dxa"/>
            <w:tcBorders>
              <w:top w:val="single" w:color="000000" w:sz="6" w:space="0"/>
              <w:left w:val="single" w:color="000000" w:sz="6" w:space="0"/>
              <w:bottom w:val="single" w:color="000000" w:sz="6" w:space="0"/>
              <w:right w:val="single" w:color="000000" w:sz="6" w:space="0"/>
            </w:tcBorders>
            <w:noWrap w:val="0"/>
            <w:vAlign w:val="top"/>
          </w:tcPr>
          <w:p w14:paraId="41135C71">
            <w:pPr>
              <w:pStyle w:val="76"/>
              <w:spacing w:line="360" w:lineRule="auto"/>
              <w:rPr>
                <w:rFonts w:hint="eastAsia" w:ascii="仿宋" w:hAnsi="仿宋" w:eastAsia="仿宋" w:cs="仿宋"/>
                <w:color w:val="auto"/>
                <w:szCs w:val="21"/>
                <w:highlight w:val="none"/>
              </w:rPr>
            </w:pPr>
          </w:p>
        </w:tc>
        <w:tc>
          <w:tcPr>
            <w:tcW w:w="2208" w:type="dxa"/>
            <w:tcBorders>
              <w:top w:val="single" w:color="000000" w:sz="6" w:space="0"/>
              <w:left w:val="single" w:color="000000" w:sz="6" w:space="0"/>
              <w:bottom w:val="single" w:color="000000" w:sz="6" w:space="0"/>
              <w:right w:val="single" w:color="000000" w:sz="6" w:space="0"/>
            </w:tcBorders>
            <w:noWrap w:val="0"/>
            <w:vAlign w:val="center"/>
          </w:tcPr>
          <w:p w14:paraId="592227A9">
            <w:pPr>
              <w:pStyle w:val="76"/>
              <w:spacing w:before="5" w:line="360" w:lineRule="auto"/>
              <w:ind w:left="8"/>
              <w:jc w:val="center"/>
              <w:rPr>
                <w:rFonts w:hint="eastAsia" w:ascii="仿宋" w:hAnsi="仿宋" w:eastAsia="仿宋" w:cs="仿宋"/>
                <w:color w:val="auto"/>
                <w:szCs w:val="21"/>
                <w:highlight w:val="none"/>
              </w:rPr>
            </w:pPr>
          </w:p>
        </w:tc>
        <w:tc>
          <w:tcPr>
            <w:tcW w:w="1803" w:type="dxa"/>
            <w:tcBorders>
              <w:top w:val="single" w:color="000000" w:sz="6" w:space="0"/>
              <w:left w:val="single" w:color="000000" w:sz="6" w:space="0"/>
              <w:bottom w:val="single" w:color="000000" w:sz="6" w:space="0"/>
            </w:tcBorders>
            <w:noWrap w:val="0"/>
            <w:vAlign w:val="top"/>
          </w:tcPr>
          <w:p w14:paraId="79200B52">
            <w:pPr>
              <w:pStyle w:val="76"/>
              <w:spacing w:line="360" w:lineRule="auto"/>
              <w:rPr>
                <w:rFonts w:hint="eastAsia" w:ascii="仿宋" w:hAnsi="仿宋" w:eastAsia="仿宋" w:cs="仿宋"/>
                <w:color w:val="auto"/>
                <w:szCs w:val="21"/>
                <w:highlight w:val="none"/>
              </w:rPr>
            </w:pPr>
          </w:p>
        </w:tc>
      </w:tr>
      <w:tr w14:paraId="3EF2165D">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53" w:hRule="atLeast"/>
        </w:trPr>
        <w:tc>
          <w:tcPr>
            <w:tcW w:w="1970" w:type="dxa"/>
            <w:tcBorders>
              <w:top w:val="single" w:color="000000" w:sz="6" w:space="0"/>
              <w:bottom w:val="single" w:color="000000" w:sz="6" w:space="0"/>
              <w:right w:val="single" w:color="000000" w:sz="6" w:space="0"/>
            </w:tcBorders>
            <w:noWrap w:val="0"/>
            <w:vAlign w:val="top"/>
          </w:tcPr>
          <w:p w14:paraId="6523BBD3">
            <w:pPr>
              <w:pStyle w:val="76"/>
              <w:spacing w:before="142" w:line="360" w:lineRule="auto"/>
              <w:ind w:left="92"/>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rPr>
              <w:t>投标</w:t>
            </w:r>
            <w:r>
              <w:rPr>
                <w:rFonts w:hint="eastAsia" w:ascii="仿宋" w:hAnsi="仿宋" w:eastAsia="仿宋" w:cs="仿宋"/>
                <w:color w:val="auto"/>
                <w:szCs w:val="21"/>
                <w:highlight w:val="none"/>
              </w:rPr>
              <w:t>总价：</w:t>
            </w:r>
          </w:p>
        </w:tc>
        <w:tc>
          <w:tcPr>
            <w:tcW w:w="6353" w:type="dxa"/>
            <w:gridSpan w:val="4"/>
            <w:tcBorders>
              <w:top w:val="single" w:color="000000" w:sz="6" w:space="0"/>
              <w:left w:val="single" w:color="000000" w:sz="6" w:space="0"/>
              <w:bottom w:val="single" w:color="000000" w:sz="6" w:space="0"/>
            </w:tcBorders>
            <w:noWrap w:val="0"/>
            <w:vAlign w:val="top"/>
          </w:tcPr>
          <w:p w14:paraId="3404EE07">
            <w:pPr>
              <w:pStyle w:val="76"/>
              <w:tabs>
                <w:tab w:val="left" w:pos="1837"/>
                <w:tab w:val="left" w:pos="2313"/>
                <w:tab w:val="left" w:pos="4040"/>
              </w:tabs>
              <w:spacing w:before="142"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大写</w:t>
            </w:r>
            <w:r>
              <w:rPr>
                <w:rFonts w:hint="eastAsia" w:ascii="仿宋" w:hAnsi="仿宋" w:eastAsia="仿宋" w:cs="仿宋"/>
                <w:color w:val="auto"/>
                <w:spacing w:val="-3"/>
                <w:szCs w:val="21"/>
                <w:highlight w:val="none"/>
              </w:rPr>
              <w:t>：</w:t>
            </w:r>
            <w:r>
              <w:rPr>
                <w:rFonts w:hint="eastAsia" w:ascii="仿宋" w:hAnsi="仿宋" w:eastAsia="仿宋" w:cs="仿宋"/>
                <w:color w:val="auto"/>
                <w:spacing w:val="-3"/>
                <w:szCs w:val="21"/>
                <w:highlight w:val="none"/>
                <w:u w:val="single"/>
              </w:rPr>
              <w:tab/>
            </w:r>
            <w:r>
              <w:rPr>
                <w:rFonts w:hint="eastAsia" w:ascii="仿宋" w:hAnsi="仿宋" w:eastAsia="仿宋" w:cs="仿宋"/>
                <w:color w:val="auto"/>
                <w:spacing w:val="-3"/>
                <w:szCs w:val="21"/>
                <w:highlight w:val="none"/>
              </w:rPr>
              <w:tab/>
            </w:r>
            <w:r>
              <w:rPr>
                <w:rFonts w:hint="eastAsia" w:ascii="仿宋" w:hAnsi="仿宋" w:eastAsia="仿宋" w:cs="仿宋"/>
                <w:color w:val="auto"/>
                <w:spacing w:val="-3"/>
                <w:szCs w:val="21"/>
                <w:highlight w:val="none"/>
              </w:rPr>
              <w:t>小</w:t>
            </w:r>
            <w:r>
              <w:rPr>
                <w:rFonts w:hint="eastAsia" w:ascii="仿宋" w:hAnsi="仿宋" w:eastAsia="仿宋" w:cs="仿宋"/>
                <w:color w:val="auto"/>
                <w:spacing w:val="-1"/>
                <w:szCs w:val="21"/>
                <w:highlight w:val="none"/>
              </w:rPr>
              <w:t>写</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ab/>
            </w:r>
          </w:p>
        </w:tc>
      </w:tr>
      <w:tr w14:paraId="3554838C">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53" w:hRule="atLeast"/>
        </w:trPr>
        <w:tc>
          <w:tcPr>
            <w:tcW w:w="1970" w:type="dxa"/>
            <w:tcBorders>
              <w:top w:val="single" w:color="000000" w:sz="6" w:space="0"/>
              <w:right w:val="single" w:color="000000" w:sz="6" w:space="0"/>
            </w:tcBorders>
            <w:noWrap w:val="0"/>
            <w:vAlign w:val="top"/>
          </w:tcPr>
          <w:p w14:paraId="55B0D92B">
            <w:pPr>
              <w:pStyle w:val="76"/>
              <w:spacing w:before="142" w:line="360" w:lineRule="auto"/>
              <w:ind w:left="92"/>
              <w:rPr>
                <w:rFonts w:hint="eastAsia"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备注：</w:t>
            </w:r>
          </w:p>
        </w:tc>
        <w:tc>
          <w:tcPr>
            <w:tcW w:w="6353" w:type="dxa"/>
            <w:gridSpan w:val="4"/>
            <w:tcBorders>
              <w:top w:val="single" w:color="000000" w:sz="6" w:space="0"/>
              <w:left w:val="single" w:color="000000" w:sz="6" w:space="0"/>
            </w:tcBorders>
            <w:noWrap w:val="0"/>
            <w:vAlign w:val="top"/>
          </w:tcPr>
          <w:p w14:paraId="7630E47C">
            <w:pPr>
              <w:pStyle w:val="76"/>
              <w:tabs>
                <w:tab w:val="left" w:pos="1837"/>
                <w:tab w:val="left" w:pos="2313"/>
                <w:tab w:val="left" w:pos="4040"/>
              </w:tabs>
              <w:spacing w:before="142" w:line="360" w:lineRule="auto"/>
              <w:ind w:left="107"/>
              <w:rPr>
                <w:rFonts w:hint="eastAsia" w:ascii="仿宋" w:hAnsi="仿宋" w:eastAsia="仿宋" w:cs="仿宋"/>
                <w:color w:val="auto"/>
                <w:szCs w:val="21"/>
                <w:highlight w:val="none"/>
              </w:rPr>
            </w:pPr>
          </w:p>
        </w:tc>
      </w:tr>
    </w:tbl>
    <w:p w14:paraId="6A0DAD79">
      <w:pPr>
        <w:spacing w:before="15" w:line="360" w:lineRule="auto"/>
        <w:ind w:left="36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 1：本表中的总价应与分项报价表中的相应报价完全一致。</w:t>
      </w:r>
    </w:p>
    <w:p w14:paraId="210F7848">
      <w:pPr>
        <w:spacing w:before="2" w:line="360" w:lineRule="auto"/>
        <w:ind w:left="640" w:right="554"/>
        <w:jc w:val="left"/>
        <w:rPr>
          <w:rFonts w:hint="eastAsia" w:ascii="仿宋" w:hAnsi="仿宋" w:eastAsia="仿宋" w:cs="仿宋"/>
          <w:color w:val="auto"/>
          <w:szCs w:val="21"/>
          <w:highlight w:val="none"/>
        </w:rPr>
      </w:pPr>
      <w:r>
        <w:rPr>
          <w:rFonts w:hint="eastAsia" w:ascii="仿宋" w:hAnsi="仿宋" w:eastAsia="仿宋" w:cs="仿宋"/>
          <w:color w:val="auto"/>
          <w:spacing w:val="-22"/>
          <w:szCs w:val="21"/>
          <w:highlight w:val="none"/>
        </w:rPr>
        <w:t>2</w:t>
      </w:r>
      <w:r>
        <w:rPr>
          <w:rFonts w:hint="eastAsia" w:ascii="仿宋" w:hAnsi="仿宋" w:eastAsia="仿宋" w:cs="仿宋"/>
          <w:color w:val="auto"/>
          <w:spacing w:val="-14"/>
          <w:szCs w:val="21"/>
          <w:highlight w:val="none"/>
        </w:rPr>
        <w:t>：此表中，总价应是所投货物和服务的费用总和，包括本项目采购需求和采购合同中要求的全部内容</w:t>
      </w:r>
      <w:r>
        <w:rPr>
          <w:rFonts w:hint="eastAsia" w:ascii="仿宋" w:hAnsi="仿宋" w:eastAsia="仿宋" w:cs="仿宋"/>
          <w:color w:val="auto"/>
          <w:spacing w:val="-7"/>
          <w:szCs w:val="21"/>
          <w:highlight w:val="none"/>
        </w:rPr>
        <w:t>。</w:t>
      </w:r>
    </w:p>
    <w:p w14:paraId="6A690710">
      <w:pPr>
        <w:spacing w:line="360" w:lineRule="auto"/>
        <w:ind w:left="640" w:right="497"/>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3：如有优惠折扣申明，请在此表中列出。</w:t>
      </w:r>
    </w:p>
    <w:p w14:paraId="0A465993">
      <w:pPr>
        <w:pStyle w:val="14"/>
        <w:spacing w:line="360" w:lineRule="auto"/>
        <w:rPr>
          <w:rFonts w:hint="eastAsia" w:ascii="仿宋" w:hAnsi="仿宋" w:eastAsia="仿宋" w:cs="仿宋"/>
          <w:color w:val="auto"/>
          <w:sz w:val="21"/>
          <w:szCs w:val="21"/>
          <w:highlight w:val="none"/>
        </w:rPr>
      </w:pPr>
    </w:p>
    <w:p w14:paraId="15FFB691">
      <w:pPr>
        <w:pStyle w:val="14"/>
        <w:spacing w:line="360" w:lineRule="auto"/>
        <w:rPr>
          <w:rFonts w:hint="eastAsia" w:ascii="仿宋" w:hAnsi="仿宋" w:eastAsia="仿宋" w:cs="仿宋"/>
          <w:color w:val="auto"/>
          <w:sz w:val="21"/>
          <w:szCs w:val="21"/>
          <w:highlight w:val="none"/>
        </w:rPr>
      </w:pPr>
    </w:p>
    <w:p w14:paraId="02B19D45">
      <w:pPr>
        <w:pStyle w:val="14"/>
        <w:spacing w:before="11" w:line="360" w:lineRule="auto"/>
        <w:rPr>
          <w:rFonts w:hint="eastAsia" w:ascii="仿宋" w:hAnsi="仿宋" w:eastAsia="仿宋" w:cs="仿宋"/>
          <w:color w:val="auto"/>
          <w:sz w:val="21"/>
          <w:szCs w:val="21"/>
          <w:highlight w:val="none"/>
        </w:rPr>
      </w:pPr>
    </w:p>
    <w:p w14:paraId="7D76D06F">
      <w:pPr>
        <w:pStyle w:val="14"/>
        <w:tabs>
          <w:tab w:val="left" w:pos="1920"/>
          <w:tab w:val="left" w:pos="3840"/>
        </w:tabs>
        <w:spacing w:line="360" w:lineRule="auto"/>
        <w:ind w:left="36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rPr>
        <w:t>投标人</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u w:val="single"/>
        </w:rPr>
        <w:tab/>
      </w:r>
      <w:r>
        <w:rPr>
          <w:rFonts w:hint="eastAsia" w:ascii="仿宋" w:hAnsi="仿宋" w:eastAsia="仿宋" w:cs="仿宋"/>
          <w:color w:val="auto"/>
          <w:sz w:val="21"/>
          <w:szCs w:val="21"/>
          <w:highlight w:val="none"/>
          <w:u w:val="single"/>
        </w:rPr>
        <w:t>（电子公章）</w:t>
      </w:r>
      <w:r>
        <w:rPr>
          <w:rFonts w:hint="eastAsia" w:ascii="仿宋" w:hAnsi="仿宋" w:eastAsia="仿宋" w:cs="仿宋"/>
          <w:color w:val="auto"/>
          <w:sz w:val="21"/>
          <w:szCs w:val="21"/>
          <w:highlight w:val="none"/>
          <w:u w:val="single"/>
        </w:rPr>
        <w:tab/>
      </w:r>
    </w:p>
    <w:p w14:paraId="4DBA2CC8">
      <w:pPr>
        <w:pStyle w:val="14"/>
        <w:tabs>
          <w:tab w:val="left" w:pos="1560"/>
          <w:tab w:val="left" w:pos="2160"/>
          <w:tab w:val="left" w:pos="4320"/>
          <w:tab w:val="left" w:pos="6841"/>
        </w:tabs>
        <w:spacing w:before="161" w:line="360" w:lineRule="auto"/>
        <w:ind w:left="360" w:right="3062"/>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法定代表人或其授权代理人：</w:t>
      </w:r>
      <w:r>
        <w:rPr>
          <w:rFonts w:hint="eastAsia" w:ascii="仿宋" w:hAnsi="仿宋" w:eastAsia="仿宋" w:cs="仿宋"/>
          <w:color w:val="auto"/>
          <w:sz w:val="21"/>
          <w:szCs w:val="21"/>
          <w:highlight w:val="none"/>
          <w:u w:val="single"/>
        </w:rPr>
        <w:t xml:space="preserve"> （签字或盖电子章）</w:t>
      </w:r>
      <w:r>
        <w:rPr>
          <w:rFonts w:hint="eastAsia" w:ascii="仿宋" w:hAnsi="仿宋" w:eastAsia="仿宋" w:cs="仿宋"/>
          <w:color w:val="auto"/>
          <w:sz w:val="21"/>
          <w:szCs w:val="21"/>
          <w:highlight w:val="none"/>
          <w:u w:val="single"/>
        </w:rPr>
        <w:tab/>
      </w:r>
    </w:p>
    <w:p w14:paraId="3FE77783">
      <w:pPr>
        <w:pStyle w:val="14"/>
        <w:tabs>
          <w:tab w:val="left" w:pos="1560"/>
          <w:tab w:val="left" w:pos="2160"/>
          <w:tab w:val="left" w:pos="4320"/>
          <w:tab w:val="left" w:pos="6841"/>
        </w:tabs>
        <w:spacing w:before="161" w:line="360" w:lineRule="auto"/>
        <w:ind w:left="360" w:right="306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日期：</w:t>
      </w:r>
      <w:r>
        <w:rPr>
          <w:rFonts w:hint="eastAsia" w:ascii="仿宋" w:hAnsi="仿宋" w:eastAsia="仿宋" w:cs="仿宋"/>
          <w:color w:val="auto"/>
          <w:sz w:val="21"/>
          <w:szCs w:val="21"/>
          <w:highlight w:val="none"/>
          <w:u w:val="single"/>
        </w:rPr>
        <w:tab/>
      </w:r>
      <w:r>
        <w:rPr>
          <w:rFonts w:hint="eastAsia" w:ascii="仿宋" w:hAnsi="仿宋" w:eastAsia="仿宋" w:cs="仿宋"/>
          <w:color w:val="auto"/>
          <w:sz w:val="21"/>
          <w:szCs w:val="21"/>
          <w:highlight w:val="none"/>
        </w:rPr>
        <w:t>年</w:t>
      </w:r>
      <w:r>
        <w:rPr>
          <w:rFonts w:hint="eastAsia" w:ascii="仿宋" w:hAnsi="仿宋" w:eastAsia="仿宋" w:cs="仿宋"/>
          <w:color w:val="auto"/>
          <w:sz w:val="21"/>
          <w:szCs w:val="21"/>
          <w:highlight w:val="none"/>
          <w:u w:val="single"/>
        </w:rPr>
        <w:tab/>
      </w:r>
      <w:r>
        <w:rPr>
          <w:rFonts w:hint="eastAsia" w:ascii="仿宋" w:hAnsi="仿宋" w:eastAsia="仿宋" w:cs="仿宋"/>
          <w:color w:val="auto"/>
          <w:sz w:val="21"/>
          <w:szCs w:val="21"/>
          <w:highlight w:val="none"/>
        </w:rPr>
        <w:t>月</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日</w:t>
      </w:r>
    </w:p>
    <w:p w14:paraId="46B8B94F">
      <w:pPr>
        <w:spacing w:line="360" w:lineRule="auto"/>
        <w:rPr>
          <w:rFonts w:hint="eastAsia" w:ascii="仿宋" w:hAnsi="仿宋" w:eastAsia="仿宋" w:cs="仿宋"/>
          <w:color w:val="auto"/>
          <w:szCs w:val="21"/>
          <w:highlight w:val="none"/>
        </w:rPr>
      </w:pPr>
    </w:p>
    <w:p w14:paraId="734F230A">
      <w:pPr>
        <w:pStyle w:val="65"/>
        <w:spacing w:line="360" w:lineRule="auto"/>
        <w:rPr>
          <w:rFonts w:hint="eastAsia" w:ascii="仿宋" w:hAnsi="仿宋" w:eastAsia="仿宋" w:cs="仿宋"/>
          <w:color w:val="auto"/>
          <w:highlight w:val="none"/>
        </w:rPr>
      </w:pPr>
    </w:p>
    <w:p w14:paraId="707D125C">
      <w:pPr>
        <w:pStyle w:val="65"/>
        <w:spacing w:line="360" w:lineRule="auto"/>
        <w:rPr>
          <w:rFonts w:hint="eastAsia" w:ascii="仿宋" w:hAnsi="仿宋" w:eastAsia="仿宋" w:cs="仿宋"/>
          <w:color w:val="auto"/>
          <w:highlight w:val="none"/>
        </w:rPr>
      </w:pPr>
    </w:p>
    <w:p w14:paraId="1EC2B651">
      <w:pPr>
        <w:pStyle w:val="65"/>
        <w:spacing w:line="360" w:lineRule="auto"/>
        <w:rPr>
          <w:rFonts w:hint="eastAsia" w:ascii="仿宋" w:hAnsi="仿宋" w:eastAsia="仿宋" w:cs="仿宋"/>
          <w:color w:val="auto"/>
          <w:highlight w:val="none"/>
        </w:rPr>
        <w:sectPr>
          <w:pgSz w:w="11910" w:h="16850"/>
          <w:pgMar w:top="1440" w:right="1800" w:bottom="1440" w:left="1800" w:header="720" w:footer="720" w:gutter="0"/>
          <w:cols w:space="720" w:num="1"/>
        </w:sectPr>
      </w:pPr>
    </w:p>
    <w:p w14:paraId="6E5EBEAE">
      <w:pPr>
        <w:pStyle w:val="65"/>
        <w:spacing w:line="360" w:lineRule="auto"/>
        <w:rPr>
          <w:rFonts w:hint="eastAsia" w:ascii="仿宋" w:hAnsi="仿宋" w:eastAsia="仿宋" w:cs="仿宋"/>
          <w:b/>
          <w:color w:val="auto"/>
          <w:sz w:val="24"/>
          <w:szCs w:val="24"/>
          <w:highlight w:val="none"/>
        </w:rPr>
      </w:pPr>
      <w:bookmarkStart w:id="47" w:name="_Toc507399518"/>
      <w:bookmarkStart w:id="48" w:name="_Toc25232"/>
      <w:bookmarkStart w:id="49" w:name="_Toc14919"/>
      <w:r>
        <w:rPr>
          <w:rFonts w:hint="eastAsia" w:ascii="仿宋" w:hAnsi="仿宋" w:eastAsia="仿宋" w:cs="仿宋"/>
          <w:b/>
          <w:color w:val="auto"/>
          <w:sz w:val="24"/>
          <w:szCs w:val="24"/>
          <w:highlight w:val="none"/>
        </w:rPr>
        <w:t xml:space="preserve">2    </w:t>
      </w:r>
      <w:bookmarkEnd w:id="47"/>
      <w:r>
        <w:rPr>
          <w:rFonts w:hint="eastAsia" w:ascii="仿宋" w:hAnsi="仿宋" w:eastAsia="仿宋" w:cs="仿宋"/>
          <w:b/>
          <w:color w:val="auto"/>
          <w:sz w:val="24"/>
          <w:szCs w:val="24"/>
          <w:highlight w:val="none"/>
        </w:rPr>
        <w:t>资格、资信证明文件</w:t>
      </w:r>
      <w:bookmarkEnd w:id="48"/>
      <w:bookmarkEnd w:id="49"/>
    </w:p>
    <w:p w14:paraId="6C56EA22">
      <w:pPr>
        <w:pStyle w:val="65"/>
        <w:spacing w:line="360" w:lineRule="auto"/>
        <w:rPr>
          <w:rFonts w:hint="eastAsia" w:ascii="仿宋" w:hAnsi="仿宋" w:eastAsia="仿宋" w:cs="仿宋"/>
          <w:bCs w:val="0"/>
          <w:color w:val="auto"/>
          <w:sz w:val="24"/>
          <w:szCs w:val="24"/>
          <w:highlight w:val="none"/>
        </w:rPr>
      </w:pPr>
    </w:p>
    <w:p w14:paraId="679B80C4">
      <w:pPr>
        <w:spacing w:line="360" w:lineRule="auto"/>
        <w:rPr>
          <w:rFonts w:hint="eastAsia" w:ascii="仿宋" w:hAnsi="仿宋" w:eastAsia="仿宋" w:cs="仿宋"/>
          <w:b/>
          <w:color w:val="auto"/>
          <w:szCs w:val="21"/>
          <w:highlight w:val="none"/>
          <w:lang w:val="zh-CN" w:bidi="zh-CN"/>
        </w:rPr>
      </w:pPr>
      <w:bookmarkStart w:id="50" w:name="_Toc507399520"/>
      <w:r>
        <w:rPr>
          <w:rFonts w:hint="eastAsia" w:ascii="仿宋" w:hAnsi="仿宋" w:eastAsia="仿宋" w:cs="仿宋"/>
          <w:b/>
          <w:color w:val="auto"/>
          <w:szCs w:val="21"/>
          <w:highlight w:val="none"/>
          <w:lang w:val="zh-CN" w:bidi="zh-CN"/>
        </w:rPr>
        <w:t>附件 2-1 法人或者非法人组织的营业执照等证明文件或自然人的身份证明扫描件;</w:t>
      </w:r>
    </w:p>
    <w:p w14:paraId="4F4FBF56">
      <w:pPr>
        <w:pStyle w:val="14"/>
        <w:spacing w:line="360" w:lineRule="auto"/>
        <w:rPr>
          <w:rFonts w:hint="eastAsia" w:ascii="仿宋" w:hAnsi="仿宋" w:eastAsia="仿宋" w:cs="仿宋"/>
          <w:b/>
          <w:color w:val="auto"/>
          <w:sz w:val="21"/>
          <w:szCs w:val="21"/>
          <w:highlight w:val="none"/>
        </w:rPr>
      </w:pPr>
    </w:p>
    <w:p w14:paraId="4BBE9973">
      <w:pPr>
        <w:pStyle w:val="14"/>
        <w:spacing w:before="12" w:line="360" w:lineRule="auto"/>
        <w:rPr>
          <w:rFonts w:hint="eastAsia" w:ascii="仿宋" w:hAnsi="仿宋" w:eastAsia="仿宋" w:cs="仿宋"/>
          <w:b/>
          <w:color w:val="auto"/>
          <w:sz w:val="21"/>
          <w:szCs w:val="21"/>
          <w:highlight w:val="none"/>
        </w:rPr>
      </w:pPr>
    </w:p>
    <w:p w14:paraId="25DDFFF1">
      <w:pPr>
        <w:pStyle w:val="14"/>
        <w:spacing w:line="360" w:lineRule="auto"/>
        <w:ind w:right="114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说明：1.提供有效的营业执照等证明文件扫描件，扫描件上应加盖本单位电子公章。</w:t>
      </w:r>
    </w:p>
    <w:p w14:paraId="3B242FBE">
      <w:pPr>
        <w:pStyle w:val="14"/>
        <w:spacing w:line="360" w:lineRule="auto"/>
        <w:ind w:right="1145" w:firstLine="630" w:firstLineChars="300"/>
        <w:rPr>
          <w:rFonts w:hint="eastAsia" w:ascii="仿宋" w:hAnsi="仿宋" w:eastAsia="仿宋" w:cs="仿宋"/>
          <w:color w:val="auto"/>
          <w:sz w:val="21"/>
          <w:szCs w:val="21"/>
          <w:highlight w:val="none"/>
        </w:rPr>
      </w:pPr>
      <w:bookmarkStart w:id="51" w:name="_Toc1278"/>
      <w:bookmarkStart w:id="52" w:name="_Toc27013"/>
      <w:r>
        <w:rPr>
          <w:rFonts w:hint="eastAsia" w:ascii="仿宋" w:hAnsi="仿宋" w:eastAsia="仿宋" w:cs="仿宋"/>
          <w:color w:val="auto"/>
          <w:sz w:val="21"/>
          <w:szCs w:val="21"/>
          <w:highlight w:val="none"/>
        </w:rPr>
        <w:t>2.投标人为自然人的，应提供身份证明的扫描件。</w:t>
      </w:r>
      <w:bookmarkEnd w:id="51"/>
      <w:bookmarkEnd w:id="52"/>
    </w:p>
    <w:p w14:paraId="6A214580">
      <w:pPr>
        <w:pStyle w:val="65"/>
        <w:spacing w:line="360" w:lineRule="auto"/>
        <w:rPr>
          <w:rFonts w:hint="eastAsia" w:ascii="仿宋" w:hAnsi="仿宋" w:eastAsia="仿宋" w:cs="仿宋"/>
          <w:b/>
          <w:color w:val="auto"/>
          <w:sz w:val="24"/>
          <w:szCs w:val="24"/>
          <w:highlight w:val="none"/>
        </w:rPr>
      </w:pPr>
    </w:p>
    <w:p w14:paraId="5DB824F1">
      <w:pPr>
        <w:pStyle w:val="65"/>
        <w:spacing w:line="360" w:lineRule="auto"/>
        <w:rPr>
          <w:rFonts w:hint="eastAsia" w:ascii="仿宋" w:hAnsi="仿宋" w:eastAsia="仿宋" w:cs="仿宋"/>
          <w:b/>
          <w:color w:val="auto"/>
          <w:sz w:val="24"/>
          <w:szCs w:val="24"/>
          <w:highlight w:val="none"/>
        </w:rPr>
        <w:sectPr>
          <w:pgSz w:w="11906" w:h="16838"/>
          <w:pgMar w:top="1440" w:right="1800" w:bottom="1440" w:left="1800" w:header="851" w:footer="992" w:gutter="0"/>
          <w:cols w:space="720" w:num="1"/>
          <w:docGrid w:type="lines" w:linePitch="312" w:charSpace="0"/>
        </w:sectPr>
      </w:pPr>
    </w:p>
    <w:bookmarkEnd w:id="50"/>
    <w:p w14:paraId="6933B686">
      <w:pPr>
        <w:spacing w:line="360" w:lineRule="auto"/>
        <w:rPr>
          <w:rFonts w:hint="eastAsia" w:ascii="仿宋" w:hAnsi="仿宋" w:eastAsia="仿宋" w:cs="仿宋"/>
          <w:b/>
          <w:color w:val="auto"/>
          <w:highlight w:val="none"/>
        </w:rPr>
      </w:pPr>
      <w:bookmarkStart w:id="53" w:name="_Toc7147"/>
      <w:bookmarkStart w:id="54" w:name="_Toc211"/>
      <w:r>
        <w:rPr>
          <w:rFonts w:hint="eastAsia" w:ascii="仿宋" w:hAnsi="仿宋" w:eastAsia="仿宋" w:cs="仿宋"/>
          <w:b/>
          <w:color w:val="auto"/>
          <w:highlight w:val="none"/>
        </w:rPr>
        <w:t>附件 2-2 法定代表人授权书(统一格式，自然人投标的无需提供)</w:t>
      </w:r>
      <w:bookmarkEnd w:id="53"/>
      <w:bookmarkEnd w:id="54"/>
    </w:p>
    <w:p w14:paraId="3D600443">
      <w:pPr>
        <w:spacing w:line="360" w:lineRule="auto"/>
        <w:rPr>
          <w:rFonts w:hint="eastAsia" w:ascii="仿宋" w:hAnsi="仿宋" w:eastAsia="仿宋" w:cs="仿宋"/>
          <w:b/>
          <w:color w:val="auto"/>
          <w:highlight w:val="none"/>
        </w:rPr>
      </w:pPr>
    </w:p>
    <w:p w14:paraId="58EDD781">
      <w:pPr>
        <w:pStyle w:val="21"/>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
          <w:bCs/>
          <w:color w:val="auto"/>
          <w:sz w:val="32"/>
          <w:szCs w:val="32"/>
          <w:highlight w:val="none"/>
        </w:rPr>
        <w:t>法定代表人身份证明</w:t>
      </w:r>
    </w:p>
    <w:p w14:paraId="41368874">
      <w:pPr>
        <w:pStyle w:val="21"/>
        <w:spacing w:line="360" w:lineRule="auto"/>
        <w:rPr>
          <w:rFonts w:hint="eastAsia" w:ascii="仿宋" w:hAnsi="仿宋" w:eastAsia="仿宋" w:cs="仿宋"/>
          <w:color w:val="auto"/>
          <w:sz w:val="24"/>
          <w:szCs w:val="24"/>
          <w:highlight w:val="none"/>
        </w:rPr>
      </w:pPr>
    </w:p>
    <w:p w14:paraId="2615CBB4">
      <w:pPr>
        <w:pStyle w:val="21"/>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投标人名称：</w:t>
      </w:r>
    </w:p>
    <w:p w14:paraId="682911B4">
      <w:pPr>
        <w:pStyle w:val="21"/>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姓名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性别：年龄：职务：</w:t>
      </w:r>
    </w:p>
    <w:p w14:paraId="54CDB01B">
      <w:pPr>
        <w:pStyle w:val="21"/>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系（投标人名称）的法定代表人。 </w:t>
      </w:r>
    </w:p>
    <w:p w14:paraId="638235F5">
      <w:pPr>
        <w:pStyle w:val="21"/>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特此证明。</w:t>
      </w:r>
    </w:p>
    <w:p w14:paraId="284900F9">
      <w:pPr>
        <w:pStyle w:val="21"/>
        <w:spacing w:line="360" w:lineRule="auto"/>
        <w:rPr>
          <w:rFonts w:hint="eastAsia" w:ascii="仿宋" w:hAnsi="仿宋" w:eastAsia="仿宋" w:cs="仿宋"/>
          <w:color w:val="auto"/>
          <w:sz w:val="24"/>
          <w:szCs w:val="24"/>
          <w:highlight w:val="none"/>
        </w:rPr>
      </w:pPr>
    </w:p>
    <w:p w14:paraId="793C710F">
      <w:pPr>
        <w:pStyle w:val="21"/>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附：法定代表人身份证复印件。</w:t>
      </w:r>
    </w:p>
    <w:tbl>
      <w:tblPr>
        <w:tblStyle w:val="31"/>
        <w:tblW w:w="8440" w:type="dxa"/>
        <w:jc w:val="center"/>
        <w:tblLayout w:type="fixed"/>
        <w:tblCellMar>
          <w:top w:w="0" w:type="dxa"/>
          <w:left w:w="108" w:type="dxa"/>
          <w:bottom w:w="0" w:type="dxa"/>
          <w:right w:w="108" w:type="dxa"/>
        </w:tblCellMar>
      </w:tblPr>
      <w:tblGrid>
        <w:gridCol w:w="8440"/>
      </w:tblGrid>
      <w:tr w14:paraId="0C607201">
        <w:tblPrEx>
          <w:tblCellMar>
            <w:top w:w="0" w:type="dxa"/>
            <w:left w:w="108" w:type="dxa"/>
            <w:bottom w:w="0" w:type="dxa"/>
            <w:right w:w="108" w:type="dxa"/>
          </w:tblCellMar>
        </w:tblPrEx>
        <w:trPr>
          <w:trHeight w:val="3284" w:hRule="atLeast"/>
          <w:jc w:val="center"/>
        </w:trPr>
        <w:tc>
          <w:tcPr>
            <w:tcW w:w="8440" w:type="dxa"/>
            <w:noWrap w:val="0"/>
            <w:vAlign w:val="center"/>
          </w:tcPr>
          <w:p w14:paraId="03E829A8">
            <w:pPr>
              <w:spacing w:line="360" w:lineRule="auto"/>
              <w:jc w:val="center"/>
              <w:rPr>
                <w:rFonts w:hint="eastAsia" w:ascii="仿宋" w:hAnsi="仿宋" w:eastAsia="仿宋" w:cs="仿宋"/>
                <w:color w:val="auto"/>
                <w:sz w:val="20"/>
                <w:highlight w:val="none"/>
              </w:rPr>
            </w:pPr>
            <w:r>
              <w:rPr>
                <w:rFonts w:hint="eastAsia" w:ascii="仿宋" w:hAnsi="仿宋" w:eastAsia="仿宋" w:cs="仿宋"/>
                <w:color w:val="auto"/>
                <w:spacing w:val="-3"/>
                <w:sz w:val="28"/>
                <w:szCs w:val="28"/>
                <w:highlight w:val="none"/>
              </w:rPr>
              <w:t>法</w:t>
            </w:r>
            <w:r>
              <w:rPr>
                <w:rFonts w:hint="eastAsia" w:ascii="仿宋" w:hAnsi="仿宋" w:eastAsia="仿宋" w:cs="仿宋"/>
                <w:color w:val="auto"/>
                <w:sz w:val="28"/>
                <w:szCs w:val="28"/>
                <w:highlight w:val="none"/>
              </w:rPr>
              <w:t>定</w:t>
            </w:r>
            <w:r>
              <w:rPr>
                <w:rFonts w:hint="eastAsia" w:ascii="仿宋" w:hAnsi="仿宋" w:eastAsia="仿宋" w:cs="仿宋"/>
                <w:color w:val="auto"/>
                <w:spacing w:val="-3"/>
                <w:sz w:val="28"/>
                <w:szCs w:val="28"/>
                <w:highlight w:val="none"/>
              </w:rPr>
              <w:t>代</w:t>
            </w:r>
            <w:r>
              <w:rPr>
                <w:rFonts w:hint="eastAsia" w:ascii="仿宋" w:hAnsi="仿宋" w:eastAsia="仿宋" w:cs="仿宋"/>
                <w:color w:val="auto"/>
                <w:sz w:val="28"/>
                <w:szCs w:val="28"/>
                <w:highlight w:val="none"/>
              </w:rPr>
              <w:t>表</w:t>
            </w:r>
            <w:r>
              <w:rPr>
                <w:rFonts w:hint="eastAsia" w:ascii="仿宋" w:hAnsi="仿宋" w:eastAsia="仿宋" w:cs="仿宋"/>
                <w:color w:val="auto"/>
                <w:spacing w:val="-3"/>
                <w:sz w:val="28"/>
                <w:szCs w:val="28"/>
                <w:highlight w:val="none"/>
              </w:rPr>
              <w:t>人</w:t>
            </w:r>
            <w:r>
              <w:rPr>
                <w:rFonts w:hint="eastAsia" w:ascii="仿宋" w:hAnsi="仿宋" w:eastAsia="仿宋" w:cs="仿宋"/>
                <w:color w:val="auto"/>
                <w:sz w:val="28"/>
                <w:szCs w:val="28"/>
                <w:highlight w:val="none"/>
              </w:rPr>
              <w:t>身</w:t>
            </w:r>
            <w:r>
              <w:rPr>
                <w:rFonts w:hint="eastAsia" w:ascii="仿宋" w:hAnsi="仿宋" w:eastAsia="仿宋" w:cs="仿宋"/>
                <w:color w:val="auto"/>
                <w:spacing w:val="-3"/>
                <w:sz w:val="28"/>
                <w:szCs w:val="28"/>
                <w:highlight w:val="none"/>
              </w:rPr>
              <w:t>份</w:t>
            </w:r>
            <w:r>
              <w:rPr>
                <w:rFonts w:hint="eastAsia" w:ascii="仿宋" w:hAnsi="仿宋" w:eastAsia="仿宋" w:cs="仿宋"/>
                <w:color w:val="auto"/>
                <w:sz w:val="28"/>
                <w:szCs w:val="28"/>
                <w:highlight w:val="none"/>
              </w:rPr>
              <w:t>证</w:t>
            </w:r>
            <w:r>
              <w:rPr>
                <w:rFonts w:hint="eastAsia" w:ascii="仿宋" w:hAnsi="仿宋" w:eastAsia="仿宋" w:cs="仿宋"/>
                <w:color w:val="auto"/>
                <w:spacing w:val="-3"/>
                <w:sz w:val="28"/>
                <w:szCs w:val="28"/>
                <w:highlight w:val="none"/>
              </w:rPr>
              <w:t>正反面</w:t>
            </w:r>
          </w:p>
        </w:tc>
      </w:tr>
    </w:tbl>
    <w:p w14:paraId="216BBFCF">
      <w:pPr>
        <w:pStyle w:val="21"/>
        <w:spacing w:line="360" w:lineRule="auto"/>
        <w:rPr>
          <w:rFonts w:hint="eastAsia" w:ascii="仿宋" w:hAnsi="仿宋" w:eastAsia="仿宋" w:cs="仿宋"/>
          <w:color w:val="auto"/>
          <w:sz w:val="24"/>
          <w:szCs w:val="24"/>
          <w:highlight w:val="none"/>
          <w:u w:val="single"/>
        </w:rPr>
      </w:pPr>
    </w:p>
    <w:p w14:paraId="0DF55D36">
      <w:pPr>
        <w:pStyle w:val="21"/>
        <w:spacing w:line="360" w:lineRule="auto"/>
        <w:rPr>
          <w:rFonts w:hint="eastAsia" w:ascii="仿宋" w:hAnsi="仿宋" w:eastAsia="仿宋" w:cs="仿宋"/>
          <w:color w:val="auto"/>
          <w:sz w:val="24"/>
          <w:szCs w:val="24"/>
          <w:highlight w:val="none"/>
          <w:u w:val="single"/>
        </w:rPr>
      </w:pPr>
    </w:p>
    <w:p w14:paraId="40225205">
      <w:pPr>
        <w:pStyle w:val="21"/>
        <w:spacing w:line="360" w:lineRule="auto"/>
        <w:rPr>
          <w:rFonts w:hint="eastAsia" w:ascii="仿宋" w:hAnsi="仿宋" w:eastAsia="仿宋" w:cs="仿宋"/>
          <w:color w:val="auto"/>
          <w:sz w:val="24"/>
          <w:szCs w:val="24"/>
          <w:highlight w:val="none"/>
          <w:u w:val="single"/>
        </w:rPr>
      </w:pPr>
    </w:p>
    <w:p w14:paraId="08C007B6">
      <w:pPr>
        <w:pStyle w:val="21"/>
        <w:spacing w:line="360" w:lineRule="auto"/>
        <w:rPr>
          <w:rFonts w:hint="eastAsia" w:ascii="仿宋" w:hAnsi="仿宋" w:eastAsia="仿宋" w:cs="仿宋"/>
          <w:color w:val="auto"/>
          <w:sz w:val="24"/>
          <w:szCs w:val="24"/>
          <w:highlight w:val="none"/>
          <w:u w:val="single"/>
        </w:rPr>
      </w:pPr>
    </w:p>
    <w:p w14:paraId="30DCEAEC">
      <w:pPr>
        <w:widowControl/>
        <w:spacing w:line="360" w:lineRule="auto"/>
        <w:jc w:val="righ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投标人： （盖单位章）</w:t>
      </w:r>
    </w:p>
    <w:p w14:paraId="397796F5">
      <w:pPr>
        <w:widowControl/>
        <w:spacing w:line="360" w:lineRule="auto"/>
        <w:ind w:firstLine="4560" w:firstLineChars="1900"/>
        <w:jc w:val="left"/>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u w:val="single"/>
        </w:rPr>
        <w:t xml:space="preserve">      年     月     日</w:t>
      </w:r>
    </w:p>
    <w:p w14:paraId="2DDFC923">
      <w:pPr>
        <w:spacing w:line="360" w:lineRule="auto"/>
        <w:rPr>
          <w:rFonts w:hint="eastAsia" w:ascii="仿宋" w:hAnsi="仿宋" w:eastAsia="仿宋" w:cs="仿宋"/>
          <w:color w:val="auto"/>
          <w:spacing w:val="-5"/>
          <w:w w:val="95"/>
          <w:szCs w:val="21"/>
          <w:highlight w:val="none"/>
        </w:rPr>
      </w:pPr>
      <w:r>
        <w:rPr>
          <w:rFonts w:hint="eastAsia" w:ascii="仿宋" w:hAnsi="仿宋" w:eastAsia="仿宋" w:cs="仿宋"/>
          <w:color w:val="auto"/>
          <w:spacing w:val="-5"/>
          <w:w w:val="95"/>
          <w:szCs w:val="21"/>
          <w:highlight w:val="none"/>
        </w:rPr>
        <w:br w:type="page"/>
      </w:r>
    </w:p>
    <w:p w14:paraId="3F8DEE61">
      <w:pPr>
        <w:spacing w:line="360" w:lineRule="auto"/>
        <w:ind w:right="106" w:firstLine="480"/>
        <w:jc w:val="center"/>
        <w:rPr>
          <w:rFonts w:hint="eastAsia" w:ascii="仿宋" w:hAnsi="仿宋" w:eastAsia="仿宋" w:cs="仿宋"/>
          <w:b/>
          <w:bCs/>
          <w:color w:val="auto"/>
          <w:spacing w:val="-5"/>
          <w:w w:val="95"/>
          <w:sz w:val="32"/>
          <w:szCs w:val="32"/>
          <w:highlight w:val="none"/>
        </w:rPr>
      </w:pPr>
      <w:r>
        <w:rPr>
          <w:rFonts w:hint="eastAsia" w:ascii="仿宋" w:hAnsi="仿宋" w:eastAsia="仿宋" w:cs="仿宋"/>
          <w:b/>
          <w:bCs/>
          <w:color w:val="auto"/>
          <w:sz w:val="32"/>
          <w:szCs w:val="32"/>
          <w:highlight w:val="none"/>
        </w:rPr>
        <w:t>法定代表人授权书</w:t>
      </w:r>
    </w:p>
    <w:p w14:paraId="1C6F6168">
      <w:pPr>
        <w:spacing w:line="360" w:lineRule="auto"/>
        <w:ind w:right="106" w:firstLine="480"/>
        <w:rPr>
          <w:rFonts w:hint="eastAsia" w:ascii="仿宋" w:hAnsi="仿宋" w:eastAsia="仿宋" w:cs="仿宋"/>
          <w:color w:val="auto"/>
          <w:spacing w:val="-5"/>
          <w:w w:val="95"/>
          <w:szCs w:val="21"/>
          <w:highlight w:val="none"/>
        </w:rPr>
      </w:pPr>
    </w:p>
    <w:p w14:paraId="24E68C2C">
      <w:pPr>
        <w:spacing w:line="360" w:lineRule="auto"/>
        <w:ind w:right="106" w:firstLine="480"/>
        <w:rPr>
          <w:rFonts w:hint="eastAsia" w:ascii="仿宋" w:hAnsi="仿宋" w:eastAsia="仿宋" w:cs="仿宋"/>
          <w:color w:val="auto"/>
          <w:sz w:val="24"/>
          <w:highlight w:val="none"/>
        </w:rPr>
      </w:pPr>
      <w:r>
        <w:rPr>
          <w:rFonts w:hint="eastAsia" w:ascii="仿宋" w:hAnsi="仿宋" w:eastAsia="仿宋" w:cs="仿宋"/>
          <w:color w:val="auto"/>
          <w:spacing w:val="-5"/>
          <w:w w:val="95"/>
          <w:sz w:val="24"/>
          <w:highlight w:val="none"/>
        </w:rPr>
        <w:t>本授权书声明：注册于</w:t>
      </w:r>
      <w:r>
        <w:rPr>
          <w:rFonts w:hint="eastAsia" w:ascii="仿宋" w:hAnsi="仿宋" w:eastAsia="仿宋" w:cs="仿宋"/>
          <w:color w:val="auto"/>
          <w:w w:val="95"/>
          <w:sz w:val="24"/>
          <w:highlight w:val="none"/>
          <w:u w:val="single"/>
        </w:rPr>
        <w:t>（国家或地区的名称</w:t>
      </w:r>
      <w:r>
        <w:rPr>
          <w:rFonts w:hint="eastAsia" w:ascii="仿宋" w:hAnsi="仿宋" w:eastAsia="仿宋" w:cs="仿宋"/>
          <w:color w:val="auto"/>
          <w:spacing w:val="-17"/>
          <w:w w:val="95"/>
          <w:sz w:val="24"/>
          <w:highlight w:val="none"/>
          <w:u w:val="single"/>
        </w:rPr>
        <w:t>）</w:t>
      </w:r>
      <w:r>
        <w:rPr>
          <w:rFonts w:hint="eastAsia" w:ascii="仿宋" w:hAnsi="仿宋" w:eastAsia="仿宋" w:cs="仿宋"/>
          <w:color w:val="auto"/>
          <w:spacing w:val="-15"/>
          <w:w w:val="95"/>
          <w:sz w:val="24"/>
          <w:highlight w:val="none"/>
        </w:rPr>
        <w:t>的</w:t>
      </w:r>
      <w:r>
        <w:rPr>
          <w:rFonts w:hint="eastAsia" w:ascii="仿宋" w:hAnsi="仿宋" w:eastAsia="仿宋" w:cs="仿宋"/>
          <w:color w:val="auto"/>
          <w:w w:val="95"/>
          <w:sz w:val="24"/>
          <w:highlight w:val="none"/>
          <w:u w:val="single"/>
        </w:rPr>
        <w:t>（</w:t>
      </w:r>
      <w:r>
        <w:rPr>
          <w:rFonts w:hint="eastAsia" w:ascii="仿宋" w:hAnsi="仿宋" w:eastAsia="仿宋" w:cs="仿宋"/>
          <w:i/>
          <w:color w:val="auto"/>
          <w:w w:val="95"/>
          <w:sz w:val="24"/>
          <w:highlight w:val="none"/>
          <w:u w:val="single"/>
        </w:rPr>
        <w:t>投标人名称</w:t>
      </w:r>
      <w:r>
        <w:rPr>
          <w:rFonts w:hint="eastAsia" w:ascii="仿宋" w:hAnsi="仿宋" w:eastAsia="仿宋" w:cs="仿宋"/>
          <w:color w:val="auto"/>
          <w:spacing w:val="-15"/>
          <w:w w:val="95"/>
          <w:sz w:val="24"/>
          <w:highlight w:val="none"/>
          <w:u w:val="single"/>
        </w:rPr>
        <w:t>）</w:t>
      </w:r>
      <w:r>
        <w:rPr>
          <w:rFonts w:hint="eastAsia" w:ascii="仿宋" w:hAnsi="仿宋" w:eastAsia="仿宋" w:cs="仿宋"/>
          <w:color w:val="auto"/>
          <w:spacing w:val="-3"/>
          <w:w w:val="95"/>
          <w:sz w:val="24"/>
          <w:highlight w:val="none"/>
        </w:rPr>
        <w:t>的在下面签字的</w:t>
      </w:r>
      <w:r>
        <w:rPr>
          <w:rFonts w:hint="eastAsia" w:ascii="仿宋" w:hAnsi="仿宋" w:eastAsia="仿宋" w:cs="仿宋"/>
          <w:color w:val="auto"/>
          <w:w w:val="95"/>
          <w:sz w:val="24"/>
          <w:highlight w:val="none"/>
        </w:rPr>
        <w:t>（</w:t>
      </w:r>
      <w:r>
        <w:rPr>
          <w:rFonts w:hint="eastAsia" w:ascii="仿宋" w:hAnsi="仿宋" w:eastAsia="仿宋" w:cs="仿宋"/>
          <w:i/>
          <w:color w:val="auto"/>
          <w:spacing w:val="-7"/>
          <w:w w:val="95"/>
          <w:sz w:val="24"/>
          <w:highlight w:val="none"/>
          <w:u w:val="single"/>
        </w:rPr>
        <w:t>法人代表姓名</w:t>
      </w:r>
      <w:r>
        <w:rPr>
          <w:rFonts w:hint="eastAsia" w:ascii="仿宋" w:hAnsi="仿宋" w:eastAsia="仿宋" w:cs="仿宋"/>
          <w:i/>
          <w:color w:val="auto"/>
          <w:spacing w:val="-29"/>
          <w:w w:val="95"/>
          <w:sz w:val="24"/>
          <w:highlight w:val="none"/>
          <w:u w:val="single"/>
        </w:rPr>
        <w:t>、职务</w:t>
      </w:r>
      <w:r>
        <w:rPr>
          <w:rFonts w:hint="eastAsia" w:ascii="仿宋" w:hAnsi="仿宋" w:eastAsia="仿宋" w:cs="仿宋"/>
          <w:color w:val="auto"/>
          <w:spacing w:val="-15"/>
          <w:w w:val="95"/>
          <w:sz w:val="24"/>
          <w:highlight w:val="none"/>
        </w:rPr>
        <w:t>）</w:t>
      </w:r>
      <w:r>
        <w:rPr>
          <w:rFonts w:hint="eastAsia" w:ascii="仿宋" w:hAnsi="仿宋" w:eastAsia="仿宋" w:cs="仿宋"/>
          <w:color w:val="auto"/>
          <w:spacing w:val="-4"/>
          <w:w w:val="95"/>
          <w:sz w:val="24"/>
          <w:highlight w:val="none"/>
        </w:rPr>
        <w:t>代表本公司授权</w:t>
      </w:r>
      <w:r>
        <w:rPr>
          <w:rFonts w:hint="eastAsia" w:ascii="仿宋" w:hAnsi="仿宋" w:eastAsia="仿宋" w:cs="仿宋"/>
          <w:color w:val="auto"/>
          <w:w w:val="95"/>
          <w:sz w:val="24"/>
          <w:highlight w:val="none"/>
          <w:u w:val="single"/>
        </w:rPr>
        <w:t>（</w:t>
      </w:r>
      <w:r>
        <w:rPr>
          <w:rFonts w:hint="eastAsia" w:ascii="仿宋" w:hAnsi="仿宋" w:eastAsia="仿宋" w:cs="仿宋"/>
          <w:i/>
          <w:color w:val="auto"/>
          <w:w w:val="95"/>
          <w:sz w:val="24"/>
          <w:highlight w:val="none"/>
          <w:u w:val="single"/>
        </w:rPr>
        <w:t>投标人名称</w:t>
      </w:r>
      <w:r>
        <w:rPr>
          <w:rFonts w:hint="eastAsia" w:ascii="仿宋" w:hAnsi="仿宋" w:eastAsia="仿宋" w:cs="仿宋"/>
          <w:color w:val="auto"/>
          <w:spacing w:val="-15"/>
          <w:w w:val="95"/>
          <w:sz w:val="24"/>
          <w:highlight w:val="none"/>
          <w:u w:val="single"/>
        </w:rPr>
        <w:t>）</w:t>
      </w:r>
      <w:r>
        <w:rPr>
          <w:rFonts w:hint="eastAsia" w:ascii="仿宋" w:hAnsi="仿宋" w:eastAsia="仿宋" w:cs="仿宋"/>
          <w:color w:val="auto"/>
          <w:spacing w:val="-3"/>
          <w:w w:val="95"/>
          <w:sz w:val="24"/>
          <w:highlight w:val="none"/>
        </w:rPr>
        <w:t>的在下面签字的</w:t>
      </w:r>
      <w:r>
        <w:rPr>
          <w:rFonts w:hint="eastAsia" w:ascii="仿宋" w:hAnsi="仿宋" w:eastAsia="仿宋" w:cs="仿宋"/>
          <w:color w:val="auto"/>
          <w:w w:val="95"/>
          <w:sz w:val="24"/>
          <w:highlight w:val="none"/>
        </w:rPr>
        <w:t>（</w:t>
      </w:r>
      <w:r>
        <w:rPr>
          <w:rFonts w:hint="eastAsia" w:ascii="仿宋" w:hAnsi="仿宋" w:eastAsia="仿宋" w:cs="仿宋"/>
          <w:i/>
          <w:color w:val="auto"/>
          <w:spacing w:val="-4"/>
          <w:w w:val="95"/>
          <w:sz w:val="24"/>
          <w:highlight w:val="none"/>
          <w:u w:val="single"/>
        </w:rPr>
        <w:t xml:space="preserve">被授权人的姓名、职务 </w:t>
      </w:r>
      <w:r>
        <w:rPr>
          <w:rFonts w:hint="eastAsia" w:ascii="仿宋" w:hAnsi="仿宋" w:eastAsia="仿宋" w:cs="仿宋"/>
          <w:color w:val="auto"/>
          <w:spacing w:val="-20"/>
          <w:w w:val="95"/>
          <w:sz w:val="24"/>
          <w:highlight w:val="none"/>
        </w:rPr>
        <w:t>）</w:t>
      </w:r>
      <w:r>
        <w:rPr>
          <w:rFonts w:hint="eastAsia" w:ascii="仿宋" w:hAnsi="仿宋" w:eastAsia="仿宋" w:cs="仿宋"/>
          <w:color w:val="auto"/>
          <w:spacing w:val="-4"/>
          <w:w w:val="95"/>
          <w:sz w:val="24"/>
          <w:highlight w:val="none"/>
        </w:rPr>
        <w:t>为本公司的合法代理人，就</w:t>
      </w:r>
      <w:r>
        <w:rPr>
          <w:rFonts w:hint="eastAsia" w:ascii="仿宋" w:hAnsi="仿宋" w:eastAsia="仿宋" w:cs="仿宋"/>
          <w:color w:val="auto"/>
          <w:w w:val="95"/>
          <w:sz w:val="24"/>
          <w:highlight w:val="none"/>
        </w:rPr>
        <w:t>（</w:t>
      </w:r>
      <w:r>
        <w:rPr>
          <w:rFonts w:hint="eastAsia" w:ascii="仿宋" w:hAnsi="仿宋" w:eastAsia="仿宋" w:cs="仿宋"/>
          <w:i/>
          <w:color w:val="auto"/>
          <w:w w:val="95"/>
          <w:sz w:val="24"/>
          <w:highlight w:val="none"/>
          <w:u w:val="single"/>
        </w:rPr>
        <w:t>项目名称</w:t>
      </w:r>
      <w:r>
        <w:rPr>
          <w:rFonts w:hint="eastAsia" w:ascii="仿宋" w:hAnsi="仿宋" w:eastAsia="仿宋" w:cs="仿宋"/>
          <w:color w:val="auto"/>
          <w:spacing w:val="-17"/>
          <w:w w:val="95"/>
          <w:sz w:val="24"/>
          <w:highlight w:val="none"/>
        </w:rPr>
        <w:t>）</w:t>
      </w:r>
      <w:r>
        <w:rPr>
          <w:rFonts w:hint="eastAsia" w:ascii="仿宋" w:hAnsi="仿宋" w:eastAsia="仿宋" w:cs="仿宋"/>
          <w:color w:val="auto"/>
          <w:spacing w:val="-4"/>
          <w:w w:val="95"/>
          <w:sz w:val="24"/>
          <w:highlight w:val="none"/>
        </w:rPr>
        <w:t>的投标，以本公司名义处理一切与之有关的</w:t>
      </w:r>
      <w:r>
        <w:rPr>
          <w:rFonts w:hint="eastAsia" w:ascii="仿宋" w:hAnsi="仿宋" w:eastAsia="仿宋" w:cs="仿宋"/>
          <w:color w:val="auto"/>
          <w:sz w:val="24"/>
          <w:highlight w:val="none"/>
        </w:rPr>
        <w:t>事务。</w:t>
      </w:r>
    </w:p>
    <w:p w14:paraId="341E9010">
      <w:pPr>
        <w:pStyle w:val="14"/>
        <w:tabs>
          <w:tab w:val="left" w:pos="3360"/>
          <w:tab w:val="left" w:pos="4200"/>
          <w:tab w:val="left" w:pos="5041"/>
        </w:tabs>
        <w:spacing w:before="6"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本授权书于年月日签字生效,特此声明。</w:t>
      </w:r>
    </w:p>
    <w:p w14:paraId="10D4F3A9">
      <w:pPr>
        <w:pStyle w:val="14"/>
        <w:tabs>
          <w:tab w:val="left" w:pos="6296"/>
          <w:tab w:val="left" w:pos="6416"/>
        </w:tabs>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法定代表人签字或盖章：</w:t>
      </w:r>
      <w:r>
        <w:rPr>
          <w:rFonts w:hint="eastAsia" w:ascii="仿宋" w:hAnsi="仿宋" w:eastAsia="仿宋" w:cs="仿宋"/>
          <w:color w:val="auto"/>
          <w:highlight w:val="none"/>
          <w:u w:val="single"/>
        </w:rPr>
        <w:tab/>
      </w:r>
      <w:r>
        <w:rPr>
          <w:rFonts w:hint="eastAsia" w:ascii="仿宋" w:hAnsi="仿宋" w:eastAsia="仿宋" w:cs="仿宋"/>
          <w:color w:val="auto"/>
          <w:highlight w:val="none"/>
          <w:u w:val="single"/>
        </w:rPr>
        <w:tab/>
      </w:r>
    </w:p>
    <w:p w14:paraId="752C53C1">
      <w:pPr>
        <w:pStyle w:val="14"/>
        <w:tabs>
          <w:tab w:val="left" w:pos="6296"/>
          <w:tab w:val="left" w:pos="6416"/>
        </w:tabs>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被授权人签字：</w:t>
      </w:r>
      <w:r>
        <w:rPr>
          <w:rFonts w:hint="eastAsia" w:ascii="仿宋" w:hAnsi="仿宋" w:eastAsia="仿宋" w:cs="仿宋"/>
          <w:color w:val="auto"/>
          <w:highlight w:val="none"/>
          <w:u w:val="single"/>
        </w:rPr>
        <w:tab/>
      </w:r>
      <w:r>
        <w:rPr>
          <w:rFonts w:hint="eastAsia" w:ascii="仿宋" w:hAnsi="仿宋" w:eastAsia="仿宋" w:cs="仿宋"/>
          <w:color w:val="auto"/>
          <w:highlight w:val="none"/>
          <w:u w:val="single"/>
        </w:rPr>
        <w:tab/>
      </w:r>
    </w:p>
    <w:p w14:paraId="63F17186">
      <w:pPr>
        <w:pStyle w:val="14"/>
        <w:tabs>
          <w:tab w:val="left" w:pos="6296"/>
          <w:tab w:val="left" w:pos="6416"/>
        </w:tabs>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rPr>
        <w:t>投标人</w:t>
      </w:r>
      <w:r>
        <w:rPr>
          <w:rFonts w:hint="eastAsia" w:ascii="仿宋" w:hAnsi="仿宋" w:eastAsia="仿宋" w:cs="仿宋"/>
          <w:color w:val="auto"/>
          <w:highlight w:val="none"/>
        </w:rPr>
        <w:t xml:space="preserve">盖章：  </w:t>
      </w:r>
      <w:r>
        <w:rPr>
          <w:rFonts w:hint="eastAsia" w:ascii="仿宋" w:hAnsi="仿宋" w:eastAsia="仿宋" w:cs="仿宋"/>
          <w:color w:val="auto"/>
          <w:highlight w:val="none"/>
          <w:u w:val="single"/>
        </w:rPr>
        <w:tab/>
      </w:r>
    </w:p>
    <w:p w14:paraId="740430BF">
      <w:pPr>
        <w:pStyle w:val="1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附：</w:t>
      </w:r>
    </w:p>
    <w:p w14:paraId="7C299B11">
      <w:pPr>
        <w:pStyle w:val="14"/>
        <w:tabs>
          <w:tab w:val="left" w:pos="6476"/>
        </w:tabs>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被授权人姓名：</w:t>
      </w:r>
      <w:r>
        <w:rPr>
          <w:rFonts w:hint="eastAsia" w:ascii="仿宋" w:hAnsi="仿宋" w:eastAsia="仿宋" w:cs="仿宋"/>
          <w:color w:val="auto"/>
          <w:highlight w:val="none"/>
          <w:u w:val="single"/>
        </w:rPr>
        <w:tab/>
      </w:r>
    </w:p>
    <w:p w14:paraId="2470CA1F">
      <w:pPr>
        <w:pStyle w:val="14"/>
        <w:tabs>
          <w:tab w:val="left" w:pos="6476"/>
        </w:tabs>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职      务：</w:t>
      </w:r>
      <w:r>
        <w:rPr>
          <w:rFonts w:hint="eastAsia" w:ascii="仿宋" w:hAnsi="仿宋" w:eastAsia="仿宋" w:cs="仿宋"/>
          <w:color w:val="auto"/>
          <w:highlight w:val="none"/>
          <w:u w:val="single"/>
        </w:rPr>
        <w:tab/>
      </w:r>
    </w:p>
    <w:p w14:paraId="7B43D60E">
      <w:pPr>
        <w:pStyle w:val="14"/>
        <w:tabs>
          <w:tab w:val="left" w:pos="6476"/>
        </w:tabs>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详细通讯地址：</w:t>
      </w:r>
      <w:r>
        <w:rPr>
          <w:rFonts w:hint="eastAsia" w:ascii="仿宋" w:hAnsi="仿宋" w:eastAsia="仿宋" w:cs="仿宋"/>
          <w:color w:val="auto"/>
          <w:highlight w:val="none"/>
          <w:u w:val="single"/>
        </w:rPr>
        <w:tab/>
      </w:r>
    </w:p>
    <w:p w14:paraId="37364D0A">
      <w:pPr>
        <w:pStyle w:val="14"/>
        <w:tabs>
          <w:tab w:val="left" w:pos="6476"/>
        </w:tabs>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邮 政 编码 ：</w:t>
      </w:r>
      <w:r>
        <w:rPr>
          <w:rFonts w:hint="eastAsia" w:ascii="仿宋" w:hAnsi="仿宋" w:eastAsia="仿宋" w:cs="仿宋"/>
          <w:color w:val="auto"/>
          <w:highlight w:val="none"/>
          <w:u w:val="single"/>
        </w:rPr>
        <w:tab/>
      </w:r>
    </w:p>
    <w:p w14:paraId="022396F9">
      <w:pPr>
        <w:pStyle w:val="14"/>
        <w:tabs>
          <w:tab w:val="left" w:pos="6476"/>
        </w:tabs>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lang w:val="en-US"/>
        </w:rPr>
        <w:t>电  子 邮 箱</w:t>
      </w:r>
      <w:r>
        <w:rPr>
          <w:rFonts w:hint="eastAsia" w:ascii="仿宋" w:hAnsi="仿宋" w:eastAsia="仿宋" w:cs="仿宋"/>
          <w:color w:val="auto"/>
          <w:highlight w:val="none"/>
        </w:rPr>
        <w:t>：</w:t>
      </w:r>
      <w:r>
        <w:rPr>
          <w:rFonts w:hint="eastAsia" w:ascii="仿宋" w:hAnsi="仿宋" w:eastAsia="仿宋" w:cs="仿宋"/>
          <w:color w:val="auto"/>
          <w:highlight w:val="none"/>
          <w:u w:val="single"/>
        </w:rPr>
        <w:tab/>
      </w:r>
    </w:p>
    <w:p w14:paraId="10952350">
      <w:pPr>
        <w:pStyle w:val="14"/>
        <w:tabs>
          <w:tab w:val="left" w:pos="6476"/>
        </w:tabs>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电     话：</w:t>
      </w:r>
      <w:r>
        <w:rPr>
          <w:rFonts w:hint="eastAsia" w:ascii="仿宋" w:hAnsi="仿宋" w:eastAsia="仿宋" w:cs="仿宋"/>
          <w:color w:val="auto"/>
          <w:highlight w:val="none"/>
          <w:u w:val="single"/>
        </w:rPr>
        <w:tab/>
      </w:r>
    </w:p>
    <w:p w14:paraId="4258664F">
      <w:pPr>
        <w:pStyle w:val="14"/>
        <w:spacing w:before="6" w:line="360" w:lineRule="auto"/>
        <w:rPr>
          <w:rFonts w:hint="eastAsia" w:ascii="仿宋" w:hAnsi="仿宋" w:eastAsia="仿宋" w:cs="仿宋"/>
          <w:color w:val="auto"/>
          <w:sz w:val="21"/>
          <w:szCs w:val="21"/>
          <w:highlight w:val="none"/>
        </w:rPr>
      </w:pPr>
    </w:p>
    <w:p w14:paraId="4FA68073">
      <w:pPr>
        <w:pStyle w:val="14"/>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bidi="ar-SA"/>
        </w:rPr>
        <mc:AlternateContent>
          <mc:Choice Requires="wps">
            <w:drawing>
              <wp:anchor distT="0" distB="0" distL="0" distR="0" simplePos="0" relativeHeight="251659264" behindDoc="1" locked="0" layoutInCell="1" allowOverlap="1">
                <wp:simplePos x="0" y="0"/>
                <wp:positionH relativeFrom="page">
                  <wp:posOffset>1302385</wp:posOffset>
                </wp:positionH>
                <wp:positionV relativeFrom="paragraph">
                  <wp:posOffset>119380</wp:posOffset>
                </wp:positionV>
                <wp:extent cx="2240915" cy="1125855"/>
                <wp:effectExtent l="4445" t="4445" r="15240" b="12700"/>
                <wp:wrapTopAndBottom/>
                <wp:docPr id="1027" name="文本框 13"/>
                <wp:cNvGraphicFramePr/>
                <a:graphic xmlns:a="http://schemas.openxmlformats.org/drawingml/2006/main">
                  <a:graphicData uri="http://schemas.microsoft.com/office/word/2010/wordprocessingShape">
                    <wps:wsp>
                      <wps:cNvSpPr/>
                      <wps:spPr>
                        <a:xfrm>
                          <a:off x="0" y="0"/>
                          <a:ext cx="2240915" cy="1125855"/>
                        </a:xfrm>
                        <a:prstGeom prst="rect">
                          <a:avLst/>
                        </a:prstGeom>
                        <a:noFill/>
                        <a:ln w="9525" cap="flat" cmpd="sng">
                          <a:solidFill>
                            <a:srgbClr val="000000"/>
                          </a:solidFill>
                          <a:prstDash val="solid"/>
                          <a:miter/>
                          <a:headEnd type="none" w="med" len="med"/>
                          <a:tailEnd type="none" w="med" len="med"/>
                        </a:ln>
                        <a:effectLst/>
                      </wps:spPr>
                      <wps:txbx>
                        <w:txbxContent>
                          <w:p w14:paraId="274AAE6C">
                            <w:pPr>
                              <w:pStyle w:val="14"/>
                              <w:autoSpaceDE w:val="0"/>
                              <w:autoSpaceDN w:val="0"/>
                              <w:ind w:firstLine="480" w:firstLineChars="20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法定代表人身份证复印件</w:t>
                            </w:r>
                          </w:p>
                          <w:p w14:paraId="48749650">
                            <w:pPr>
                              <w:pStyle w:val="14"/>
                              <w:autoSpaceDE w:val="0"/>
                              <w:autoSpaceDN w:val="0"/>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（正面）</w:t>
                            </w:r>
                          </w:p>
                        </w:txbxContent>
                      </wps:txbx>
                      <wps:bodyPr vert="horz" wrap="square" lIns="0" tIns="0" rIns="0" bIns="0" anchor="t" anchorCtr="0" upright="1"/>
                    </wps:wsp>
                  </a:graphicData>
                </a:graphic>
              </wp:anchor>
            </w:drawing>
          </mc:Choice>
          <mc:Fallback>
            <w:pict>
              <v:rect id="文本框 13" o:spid="_x0000_s1026" o:spt="1" style="position:absolute;left:0pt;margin-left:102.55pt;margin-top:9.4pt;height:88.65pt;width:176.45pt;mso-position-horizontal-relative:page;mso-wrap-distance-bottom:0pt;mso-wrap-distance-top:0pt;z-index:-251657216;mso-width-relative:page;mso-height-relative:page;" filled="f" stroked="t" coordsize="21600,21600" o:gfxdata="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dh37vVAAAACgEAAA8AAAAAAAAAAQAgAAAAIgAAAGRycy9kb3ducmV2Lnht&#10;bFBLAQIUABQAAAAIAIdO4kBjAYWvNQIAAG0EAAAOAAAAAAAAAAEAIAAAACQBAABkcnMvZTJvRG9j&#10;LnhtbFBLBQYAAAAABgAGAFkBAADLBQAAAAA=&#10;">
                <v:fill on="f" focussize="0,0"/>
                <v:stroke color="#000000" joinstyle="miter"/>
                <v:imagedata o:title=""/>
                <o:lock v:ext="edit" aspectratio="f"/>
                <v:textbox inset="0mm,0mm,0mm,0mm">
                  <w:txbxContent>
                    <w:p w14:paraId="274AAE6C">
                      <w:pPr>
                        <w:pStyle w:val="14"/>
                        <w:autoSpaceDE w:val="0"/>
                        <w:autoSpaceDN w:val="0"/>
                        <w:ind w:firstLine="480" w:firstLineChars="20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法定代表人身份证复印件</w:t>
                      </w:r>
                    </w:p>
                    <w:p w14:paraId="48749650">
                      <w:pPr>
                        <w:pStyle w:val="14"/>
                        <w:autoSpaceDE w:val="0"/>
                        <w:autoSpaceDN w:val="0"/>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（正面）</w:t>
                      </w:r>
                    </w:p>
                  </w:txbxContent>
                </v:textbox>
                <w10:wrap type="topAndBottom"/>
              </v:rect>
            </w:pict>
          </mc:Fallback>
        </mc:AlternateContent>
      </w:r>
      <w:r>
        <w:rPr>
          <w:rFonts w:hint="eastAsia" w:ascii="仿宋" w:hAnsi="仿宋" w:eastAsia="仿宋" w:cs="仿宋"/>
          <w:color w:val="auto"/>
          <w:sz w:val="21"/>
          <w:szCs w:val="21"/>
          <w:highlight w:val="none"/>
          <w:lang w:val="en-US" w:bidi="ar-SA"/>
        </w:rPr>
        <mc:AlternateContent>
          <mc:Choice Requires="wps">
            <w:drawing>
              <wp:anchor distT="0" distB="0" distL="0" distR="0" simplePos="0" relativeHeight="251660288" behindDoc="1" locked="0" layoutInCell="1" allowOverlap="1">
                <wp:simplePos x="0" y="0"/>
                <wp:positionH relativeFrom="page">
                  <wp:posOffset>3789680</wp:posOffset>
                </wp:positionH>
                <wp:positionV relativeFrom="paragraph">
                  <wp:posOffset>121285</wp:posOffset>
                </wp:positionV>
                <wp:extent cx="2240915" cy="1125855"/>
                <wp:effectExtent l="4445" t="4445" r="15240" b="12700"/>
                <wp:wrapTopAndBottom/>
                <wp:docPr id="1028" name="文本框 14"/>
                <wp:cNvGraphicFramePr/>
                <a:graphic xmlns:a="http://schemas.openxmlformats.org/drawingml/2006/main">
                  <a:graphicData uri="http://schemas.microsoft.com/office/word/2010/wordprocessingShape">
                    <wps:wsp>
                      <wps:cNvSpPr/>
                      <wps:spPr>
                        <a:xfrm>
                          <a:off x="0" y="0"/>
                          <a:ext cx="2240915" cy="1125855"/>
                        </a:xfrm>
                        <a:prstGeom prst="rect">
                          <a:avLst/>
                        </a:prstGeom>
                        <a:noFill/>
                        <a:ln w="9525" cap="flat" cmpd="sng">
                          <a:solidFill>
                            <a:srgbClr val="000000"/>
                          </a:solidFill>
                          <a:prstDash val="solid"/>
                          <a:miter/>
                          <a:headEnd type="none" w="med" len="med"/>
                          <a:tailEnd type="none" w="med" len="med"/>
                        </a:ln>
                        <a:effectLst/>
                      </wps:spPr>
                      <wps:txbx>
                        <w:txbxContent>
                          <w:p w14:paraId="360BDD52">
                            <w:pPr>
                              <w:pStyle w:val="14"/>
                              <w:ind w:left="417" w:right="41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授权代表身份证复印件</w:t>
                            </w:r>
                          </w:p>
                          <w:p w14:paraId="3F579736">
                            <w:pPr>
                              <w:pStyle w:val="14"/>
                              <w:spacing w:before="2"/>
                              <w:ind w:left="417" w:right="41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（正面）</w:t>
                            </w:r>
                          </w:p>
                        </w:txbxContent>
                      </wps:txbx>
                      <wps:bodyPr vert="horz" wrap="square" lIns="0" tIns="0" rIns="0" bIns="0" anchor="t" anchorCtr="0" upright="1"/>
                    </wps:wsp>
                  </a:graphicData>
                </a:graphic>
              </wp:anchor>
            </w:drawing>
          </mc:Choice>
          <mc:Fallback>
            <w:pict>
              <v:rect id="文本框 14" o:spid="_x0000_s1026" o:spt="1" style="position:absolute;left:0pt;margin-left:298.4pt;margin-top:9.55pt;height:88.65pt;width:176.45pt;mso-position-horizontal-relative:page;mso-wrap-distance-bottom:0pt;mso-wrap-distance-top:0pt;z-index:-251656192;mso-width-relative:page;mso-height-relative:page;" filled="f" stroked="t" coordsize="21600,21600" o:gfxdata="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iIKVjVAAAACgEAAA8AAAAAAAAAAQAgAAAAIgAAAGRycy9kb3ducmV2Lnht&#10;bFBLAQIUABQAAAAIAIdO4kCwVFsCNQIAAG0EAAAOAAAAAAAAAAEAIAAAACQBAABkcnMvZTJvRG9j&#10;LnhtbFBLBQYAAAAABgAGAFkBAADLBQAAAAA=&#10;">
                <v:fill on="f" focussize="0,0"/>
                <v:stroke color="#000000" joinstyle="miter"/>
                <v:imagedata o:title=""/>
                <o:lock v:ext="edit" aspectratio="f"/>
                <v:textbox inset="0mm,0mm,0mm,0mm">
                  <w:txbxContent>
                    <w:p w14:paraId="360BDD52">
                      <w:pPr>
                        <w:pStyle w:val="14"/>
                        <w:ind w:left="417" w:right="41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授权代表身份证复印件</w:t>
                      </w:r>
                    </w:p>
                    <w:p w14:paraId="3F579736">
                      <w:pPr>
                        <w:pStyle w:val="14"/>
                        <w:spacing w:before="2"/>
                        <w:ind w:left="417" w:right="41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（正面）</w:t>
                      </w:r>
                    </w:p>
                  </w:txbxContent>
                </v:textbox>
                <w10:wrap type="topAndBottom"/>
              </v:rect>
            </w:pict>
          </mc:Fallback>
        </mc:AlternateContent>
      </w:r>
      <w:r>
        <w:rPr>
          <w:rFonts w:hint="eastAsia" w:ascii="仿宋" w:hAnsi="仿宋" w:eastAsia="仿宋" w:cs="仿宋"/>
          <w:color w:val="auto"/>
          <w:sz w:val="21"/>
          <w:szCs w:val="21"/>
          <w:highlight w:val="none"/>
          <w:lang w:val="en-US" w:bidi="ar-SA"/>
        </w:rPr>
        <mc:AlternateContent>
          <mc:Choice Requires="wps">
            <w:drawing>
              <wp:anchor distT="0" distB="0" distL="0" distR="0" simplePos="0" relativeHeight="251661312" behindDoc="1" locked="0" layoutInCell="1" allowOverlap="1">
                <wp:simplePos x="0" y="0"/>
                <wp:positionH relativeFrom="page">
                  <wp:posOffset>1302385</wp:posOffset>
                </wp:positionH>
                <wp:positionV relativeFrom="paragraph">
                  <wp:posOffset>1513840</wp:posOffset>
                </wp:positionV>
                <wp:extent cx="2240915" cy="1125855"/>
                <wp:effectExtent l="4445" t="4445" r="15240" b="12700"/>
                <wp:wrapTopAndBottom/>
                <wp:docPr id="1029" name="文本框 11"/>
                <wp:cNvGraphicFramePr/>
                <a:graphic xmlns:a="http://schemas.openxmlformats.org/drawingml/2006/main">
                  <a:graphicData uri="http://schemas.microsoft.com/office/word/2010/wordprocessingShape">
                    <wps:wsp>
                      <wps:cNvSpPr/>
                      <wps:spPr>
                        <a:xfrm>
                          <a:off x="0" y="0"/>
                          <a:ext cx="2240915" cy="1125855"/>
                        </a:xfrm>
                        <a:prstGeom prst="rect">
                          <a:avLst/>
                        </a:prstGeom>
                        <a:noFill/>
                        <a:ln w="9525" cap="flat" cmpd="sng">
                          <a:solidFill>
                            <a:srgbClr val="000000"/>
                          </a:solidFill>
                          <a:prstDash val="solid"/>
                          <a:miter/>
                          <a:headEnd type="none" w="med" len="med"/>
                          <a:tailEnd type="none" w="med" len="med"/>
                        </a:ln>
                        <a:effectLst/>
                      </wps:spPr>
                      <wps:txbx>
                        <w:txbxContent>
                          <w:p w14:paraId="3C8EB733">
                            <w:pPr>
                              <w:pStyle w:val="14"/>
                              <w:rPr>
                                <w:rFonts w:hint="eastAsia"/>
                              </w:rPr>
                            </w:pPr>
                          </w:p>
                          <w:p w14:paraId="424233DD">
                            <w:pPr>
                              <w:pStyle w:val="14"/>
                              <w:ind w:left="417" w:right="417"/>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法定代表人身份证复印件</w:t>
                            </w:r>
                          </w:p>
                          <w:p w14:paraId="64A468A1">
                            <w:pPr>
                              <w:pStyle w:val="14"/>
                              <w:spacing w:before="8"/>
                              <w:ind w:left="417" w:right="41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（反面）</w:t>
                            </w:r>
                          </w:p>
                        </w:txbxContent>
                      </wps:txbx>
                      <wps:bodyPr vert="horz" wrap="square" lIns="0" tIns="0" rIns="0" bIns="0" anchor="t" anchorCtr="0" upright="1"/>
                    </wps:wsp>
                  </a:graphicData>
                </a:graphic>
              </wp:anchor>
            </w:drawing>
          </mc:Choice>
          <mc:Fallback>
            <w:pict>
              <v:rect id="文本框 11" o:spid="_x0000_s1026" o:spt="1" style="position:absolute;left:0pt;margin-left:102.55pt;margin-top:119.2pt;height:88.65pt;width:176.45pt;mso-position-horizontal-relative:page;mso-wrap-distance-bottom:0pt;mso-wrap-distance-top:0pt;z-index:-251655168;mso-width-relative:page;mso-height-relative:page;" filled="f" stroked="t" coordsize="21600,21600" o:gfxdata="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PbDC1wAAAAsBAAAPAAAAAAAAAAEAIAAAACIAAABkcnMvZG93bnJldi54&#10;bWxQSwECFAAUAAAACACHTuJApYM56zQCAABtBAAADgAAAAAAAAABACAAAAAmAQAAZHJzL2Uyb0Rv&#10;Yy54bWxQSwUGAAAAAAYABgBZAQAAzAUAAAAA&#10;">
                <v:fill on="f" focussize="0,0"/>
                <v:stroke color="#000000" joinstyle="miter"/>
                <v:imagedata o:title=""/>
                <o:lock v:ext="edit" aspectratio="f"/>
                <v:textbox inset="0mm,0mm,0mm,0mm">
                  <w:txbxContent>
                    <w:p w14:paraId="3C8EB733">
                      <w:pPr>
                        <w:pStyle w:val="14"/>
                        <w:rPr>
                          <w:rFonts w:hint="eastAsia"/>
                        </w:rPr>
                      </w:pPr>
                    </w:p>
                    <w:p w14:paraId="424233DD">
                      <w:pPr>
                        <w:pStyle w:val="14"/>
                        <w:ind w:left="417" w:right="417"/>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法定代表人身份证复印件</w:t>
                      </w:r>
                    </w:p>
                    <w:p w14:paraId="64A468A1">
                      <w:pPr>
                        <w:pStyle w:val="14"/>
                        <w:spacing w:before="8"/>
                        <w:ind w:left="417" w:right="41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（反面）</w:t>
                      </w:r>
                    </w:p>
                  </w:txbxContent>
                </v:textbox>
                <w10:wrap type="topAndBottom"/>
              </v:rect>
            </w:pict>
          </mc:Fallback>
        </mc:AlternateContent>
      </w:r>
      <w:r>
        <w:rPr>
          <w:rFonts w:hint="eastAsia" w:ascii="仿宋" w:hAnsi="仿宋" w:eastAsia="仿宋" w:cs="仿宋"/>
          <w:color w:val="auto"/>
          <w:sz w:val="21"/>
          <w:szCs w:val="21"/>
          <w:highlight w:val="none"/>
          <w:lang w:val="en-US" w:bidi="ar-SA"/>
        </w:rPr>
        <mc:AlternateContent>
          <mc:Choice Requires="wps">
            <w:drawing>
              <wp:anchor distT="0" distB="0" distL="0" distR="0" simplePos="0" relativeHeight="251662336" behindDoc="1" locked="0" layoutInCell="1" allowOverlap="1">
                <wp:simplePos x="0" y="0"/>
                <wp:positionH relativeFrom="page">
                  <wp:posOffset>3789680</wp:posOffset>
                </wp:positionH>
                <wp:positionV relativeFrom="paragraph">
                  <wp:posOffset>1515745</wp:posOffset>
                </wp:positionV>
                <wp:extent cx="2240915" cy="1125855"/>
                <wp:effectExtent l="4445" t="4445" r="15240" b="12700"/>
                <wp:wrapTopAndBottom/>
                <wp:docPr id="1030" name="文本框 12"/>
                <wp:cNvGraphicFramePr/>
                <a:graphic xmlns:a="http://schemas.openxmlformats.org/drawingml/2006/main">
                  <a:graphicData uri="http://schemas.microsoft.com/office/word/2010/wordprocessingShape">
                    <wps:wsp>
                      <wps:cNvSpPr/>
                      <wps:spPr>
                        <a:xfrm>
                          <a:off x="0" y="0"/>
                          <a:ext cx="2240915" cy="1125855"/>
                        </a:xfrm>
                        <a:prstGeom prst="rect">
                          <a:avLst/>
                        </a:prstGeom>
                        <a:noFill/>
                        <a:ln w="9525" cap="flat" cmpd="sng">
                          <a:solidFill>
                            <a:srgbClr val="000000"/>
                          </a:solidFill>
                          <a:prstDash val="solid"/>
                          <a:miter/>
                          <a:headEnd type="none" w="med" len="med"/>
                          <a:tailEnd type="none" w="med" len="med"/>
                        </a:ln>
                        <a:effectLst/>
                      </wps:spPr>
                      <wps:txbx>
                        <w:txbxContent>
                          <w:p w14:paraId="2312C3F8">
                            <w:pPr>
                              <w:pStyle w:val="14"/>
                              <w:rPr>
                                <w:rFonts w:hint="eastAsia"/>
                              </w:rPr>
                            </w:pPr>
                          </w:p>
                          <w:p w14:paraId="51BDF0FB">
                            <w:pPr>
                              <w:pStyle w:val="14"/>
                              <w:ind w:left="417" w:right="41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授权代表身份证复印件</w:t>
                            </w:r>
                          </w:p>
                          <w:p w14:paraId="664ED255">
                            <w:pPr>
                              <w:pStyle w:val="14"/>
                              <w:spacing w:before="3"/>
                              <w:ind w:left="417" w:right="41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（反面）</w:t>
                            </w:r>
                          </w:p>
                        </w:txbxContent>
                      </wps:txbx>
                      <wps:bodyPr vert="horz" wrap="square" lIns="0" tIns="0" rIns="0" bIns="0" anchor="t" anchorCtr="0" upright="1"/>
                    </wps:wsp>
                  </a:graphicData>
                </a:graphic>
              </wp:anchor>
            </w:drawing>
          </mc:Choice>
          <mc:Fallback>
            <w:pict>
              <v:rect id="文本框 12" o:spid="_x0000_s1026" o:spt="1" style="position:absolute;left:0pt;margin-left:298.4pt;margin-top:119.35pt;height:88.65pt;width:176.45pt;mso-position-horizontal-relative:page;mso-wrap-distance-bottom:0pt;mso-wrap-distance-top:0pt;z-index:-251654144;mso-width-relative:page;mso-height-relative:page;" filled="f" stroked="t" coordsize="21600,21600" o:gfxdata="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vNB99gAAAALAQAADwAAAAAAAAABACAAAAAiAAAAZHJzL2Rvd25yZXYu&#10;eG1sUEsBAhQAFAAAAAgAh07iQNVb17U0AgAAbQQAAA4AAAAAAAAAAQAgAAAAJwEAAGRycy9lMm9E&#10;b2MueG1sUEsFBgAAAAAGAAYAWQEAAM0FAAAAAA==&#10;">
                <v:fill on="f" focussize="0,0"/>
                <v:stroke color="#000000" joinstyle="miter"/>
                <v:imagedata o:title=""/>
                <o:lock v:ext="edit" aspectratio="f"/>
                <v:textbox inset="0mm,0mm,0mm,0mm">
                  <w:txbxContent>
                    <w:p w14:paraId="2312C3F8">
                      <w:pPr>
                        <w:pStyle w:val="14"/>
                        <w:rPr>
                          <w:rFonts w:hint="eastAsia"/>
                        </w:rPr>
                      </w:pPr>
                    </w:p>
                    <w:p w14:paraId="51BDF0FB">
                      <w:pPr>
                        <w:pStyle w:val="14"/>
                        <w:ind w:left="417" w:right="41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授权代表身份证复印件</w:t>
                      </w:r>
                    </w:p>
                    <w:p w14:paraId="664ED255">
                      <w:pPr>
                        <w:pStyle w:val="14"/>
                        <w:spacing w:before="3"/>
                        <w:ind w:left="417" w:right="416"/>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（反面）</w:t>
                      </w:r>
                    </w:p>
                  </w:txbxContent>
                </v:textbox>
                <w10:wrap type="topAndBottom"/>
              </v:rect>
            </w:pict>
          </mc:Fallback>
        </mc:AlternateContent>
      </w:r>
    </w:p>
    <w:p w14:paraId="2191CED8">
      <w:pPr>
        <w:pStyle w:val="14"/>
        <w:tabs>
          <w:tab w:val="left" w:pos="1560"/>
          <w:tab w:val="left" w:pos="2040"/>
        </w:tabs>
        <w:spacing w:before="66" w:line="360" w:lineRule="auto"/>
        <w:ind w:left="36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r>
        <w:rPr>
          <w:rFonts w:hint="eastAsia" w:ascii="仿宋" w:hAnsi="仿宋" w:eastAsia="仿宋" w:cs="仿宋"/>
          <w:color w:val="auto"/>
          <w:sz w:val="21"/>
          <w:szCs w:val="21"/>
          <w:highlight w:val="none"/>
          <w:lang w:val="en-US"/>
        </w:rPr>
        <w:t>投标人</w:t>
      </w:r>
      <w:r>
        <w:rPr>
          <w:rFonts w:hint="eastAsia" w:ascii="仿宋" w:hAnsi="仿宋" w:eastAsia="仿宋" w:cs="仿宋"/>
          <w:color w:val="auto"/>
          <w:sz w:val="21"/>
          <w:szCs w:val="21"/>
          <w:highlight w:val="none"/>
        </w:rPr>
        <w:t>可自拟格式提供，但应与</w:t>
      </w:r>
      <w:r>
        <w:rPr>
          <w:rFonts w:hint="eastAsia" w:ascii="仿宋" w:hAnsi="仿宋" w:eastAsia="仿宋" w:cs="仿宋"/>
          <w:color w:val="auto"/>
          <w:sz w:val="21"/>
          <w:szCs w:val="21"/>
          <w:highlight w:val="none"/>
          <w:lang w:val="en-US"/>
        </w:rPr>
        <w:t>招标</w:t>
      </w:r>
      <w:r>
        <w:rPr>
          <w:rFonts w:hint="eastAsia" w:ascii="仿宋" w:hAnsi="仿宋" w:eastAsia="仿宋" w:cs="仿宋"/>
          <w:color w:val="auto"/>
          <w:sz w:val="21"/>
          <w:szCs w:val="21"/>
          <w:highlight w:val="none"/>
        </w:rPr>
        <w:t>文件提供的格式具备同等效力。</w:t>
      </w:r>
    </w:p>
    <w:p w14:paraId="215DE11B">
      <w:pPr>
        <w:spacing w:line="360" w:lineRule="auto"/>
        <w:rPr>
          <w:rFonts w:hint="eastAsia" w:ascii="仿宋" w:hAnsi="仿宋" w:eastAsia="仿宋" w:cs="仿宋"/>
          <w:b/>
          <w:color w:val="auto"/>
          <w:highlight w:val="none"/>
        </w:rPr>
      </w:pPr>
      <w:bookmarkStart w:id="55" w:name="_Toc507399521"/>
      <w:r>
        <w:rPr>
          <w:rFonts w:hint="eastAsia" w:ascii="仿宋" w:hAnsi="仿宋" w:eastAsia="仿宋" w:cs="仿宋"/>
          <w:b/>
          <w:bCs/>
          <w:color w:val="auto"/>
          <w:sz w:val="24"/>
          <w:highlight w:val="none"/>
        </w:rPr>
        <w:br w:type="page"/>
      </w:r>
      <w:bookmarkEnd w:id="55"/>
      <w:bookmarkStart w:id="56" w:name="_Toc32366"/>
      <w:bookmarkStart w:id="57" w:name="_Toc11207"/>
      <w:bookmarkStart w:id="58" w:name="_Toc507399522"/>
      <w:r>
        <w:rPr>
          <w:rFonts w:hint="eastAsia" w:ascii="仿宋" w:hAnsi="仿宋" w:eastAsia="仿宋" w:cs="仿宋"/>
          <w:b/>
          <w:bCs/>
          <w:color w:val="auto"/>
          <w:spacing w:val="10"/>
          <w:kern w:val="0"/>
          <w:sz w:val="24"/>
          <w:highlight w:val="none"/>
        </w:rPr>
        <w:t>附件 2-3 投标人具有良好的商业信誉和健全的财务会计制度的证明文件</w:t>
      </w:r>
      <w:bookmarkEnd w:id="56"/>
      <w:bookmarkEnd w:id="57"/>
    </w:p>
    <w:p w14:paraId="3AF9CDB0">
      <w:pPr>
        <w:pStyle w:val="14"/>
        <w:spacing w:line="360" w:lineRule="auto"/>
        <w:rPr>
          <w:rFonts w:hint="eastAsia" w:ascii="仿宋" w:hAnsi="仿宋" w:eastAsia="仿宋" w:cs="仿宋"/>
          <w:b/>
          <w:color w:val="auto"/>
          <w:highlight w:val="none"/>
        </w:rPr>
      </w:pPr>
    </w:p>
    <w:p w14:paraId="28326781">
      <w:pPr>
        <w:pStyle w:val="14"/>
        <w:spacing w:line="360" w:lineRule="auto"/>
        <w:ind w:right="560"/>
        <w:rPr>
          <w:rFonts w:hint="eastAsia" w:ascii="仿宋" w:hAnsi="仿宋" w:eastAsia="仿宋" w:cs="仿宋"/>
          <w:color w:val="auto"/>
          <w:highlight w:val="none"/>
          <w:lang w:val="en-US"/>
        </w:rPr>
      </w:pPr>
      <w:r>
        <w:rPr>
          <w:rFonts w:hint="eastAsia" w:ascii="仿宋" w:hAnsi="仿宋" w:eastAsia="仿宋" w:cs="仿宋"/>
          <w:color w:val="auto"/>
          <w:highlight w:val="none"/>
        </w:rPr>
        <w:t>会计师事务所出具的上一年度财务审计报告或银行出具的说明投标人商业信誉或结算情况等</w:t>
      </w:r>
      <w:r>
        <w:rPr>
          <w:rFonts w:hint="eastAsia" w:ascii="仿宋" w:hAnsi="仿宋" w:eastAsia="仿宋" w:cs="仿宋"/>
          <w:color w:val="auto"/>
          <w:highlight w:val="none"/>
          <w:lang w:val="en-US"/>
        </w:rPr>
        <w:t>具体要求详见本招标文件第六章</w:t>
      </w:r>
    </w:p>
    <w:p w14:paraId="15692869">
      <w:pPr>
        <w:pStyle w:val="14"/>
        <w:spacing w:line="360" w:lineRule="auto"/>
        <w:rPr>
          <w:rFonts w:hint="eastAsia" w:ascii="仿宋" w:hAnsi="仿宋" w:eastAsia="仿宋" w:cs="仿宋"/>
          <w:color w:val="auto"/>
          <w:highlight w:val="none"/>
        </w:rPr>
      </w:pPr>
    </w:p>
    <w:p w14:paraId="74CB4774">
      <w:pPr>
        <w:pStyle w:val="14"/>
        <w:spacing w:line="360" w:lineRule="auto"/>
        <w:ind w:right="560"/>
        <w:rPr>
          <w:rFonts w:hint="eastAsia" w:ascii="仿宋" w:hAnsi="仿宋" w:eastAsia="仿宋" w:cs="仿宋"/>
          <w:color w:val="auto"/>
          <w:highlight w:val="none"/>
        </w:rPr>
      </w:pPr>
      <w:r>
        <w:rPr>
          <w:rFonts w:hint="eastAsia" w:ascii="仿宋" w:hAnsi="仿宋" w:eastAsia="仿宋" w:cs="仿宋"/>
          <w:color w:val="auto"/>
          <w:highlight w:val="none"/>
        </w:rPr>
        <w:t>说明：扫描件并加盖本单位电子公章</w:t>
      </w:r>
    </w:p>
    <w:p w14:paraId="13B3362B">
      <w:pPr>
        <w:pStyle w:val="65"/>
        <w:spacing w:line="360" w:lineRule="auto"/>
        <w:rPr>
          <w:rFonts w:hint="eastAsia" w:ascii="仿宋" w:hAnsi="仿宋" w:eastAsia="仿宋" w:cs="仿宋"/>
          <w:b/>
          <w:color w:val="auto"/>
          <w:sz w:val="24"/>
          <w:szCs w:val="24"/>
          <w:highlight w:val="none"/>
        </w:rPr>
      </w:pPr>
    </w:p>
    <w:p w14:paraId="7808F3A2">
      <w:pPr>
        <w:pStyle w:val="65"/>
        <w:spacing w:line="360" w:lineRule="auto"/>
        <w:rPr>
          <w:rFonts w:hint="eastAsia" w:ascii="仿宋" w:hAnsi="仿宋" w:eastAsia="仿宋" w:cs="仿宋"/>
          <w:b/>
          <w:color w:val="auto"/>
          <w:sz w:val="24"/>
          <w:szCs w:val="24"/>
          <w:highlight w:val="none"/>
        </w:rPr>
      </w:pPr>
    </w:p>
    <w:p w14:paraId="56BB4AF9">
      <w:pPr>
        <w:spacing w:line="360" w:lineRule="auto"/>
        <w:rPr>
          <w:rFonts w:hint="eastAsia" w:ascii="仿宋" w:hAnsi="仿宋" w:eastAsia="仿宋" w:cs="仿宋"/>
          <w:b/>
          <w:bCs/>
          <w:color w:val="auto"/>
          <w:sz w:val="24"/>
          <w:highlight w:val="none"/>
        </w:rPr>
      </w:pPr>
      <w:bookmarkStart w:id="59" w:name="_Toc30497"/>
      <w:r>
        <w:rPr>
          <w:rFonts w:hint="eastAsia" w:ascii="仿宋" w:hAnsi="仿宋" w:eastAsia="仿宋" w:cs="仿宋"/>
          <w:b/>
          <w:bCs/>
          <w:color w:val="auto"/>
          <w:sz w:val="24"/>
          <w:highlight w:val="none"/>
        </w:rPr>
        <w:br w:type="page"/>
      </w:r>
    </w:p>
    <w:p w14:paraId="64CAA4CD">
      <w:pPr>
        <w:pStyle w:val="65"/>
        <w:spacing w:line="360" w:lineRule="auto"/>
        <w:rPr>
          <w:rFonts w:hint="eastAsia" w:ascii="仿宋" w:hAnsi="仿宋" w:eastAsia="仿宋" w:cs="仿宋"/>
          <w:bCs w:val="0"/>
          <w:color w:val="auto"/>
          <w:sz w:val="24"/>
          <w:szCs w:val="24"/>
          <w:highlight w:val="none"/>
        </w:rPr>
      </w:pPr>
      <w:bookmarkStart w:id="60" w:name="_Toc22978"/>
      <w:r>
        <w:rPr>
          <w:rFonts w:hint="eastAsia" w:ascii="仿宋" w:hAnsi="仿宋" w:eastAsia="仿宋" w:cs="仿宋"/>
          <w:b/>
          <w:color w:val="auto"/>
          <w:sz w:val="24"/>
          <w:szCs w:val="24"/>
          <w:highlight w:val="none"/>
        </w:rPr>
        <w:t>附件 2-4     投标保证金缴纳凭证复印件</w:t>
      </w:r>
      <w:bookmarkEnd w:id="59"/>
      <w:bookmarkEnd w:id="60"/>
    </w:p>
    <w:p w14:paraId="2980F2B5">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说明：投标人可将本项目投标保证金支付的汇款凭证的扫描件作为缴纳凭证放在投标文件中，扫描件上应加盖本单位电子公章；</w:t>
      </w:r>
    </w:p>
    <w:p w14:paraId="35F5E4AB">
      <w:pPr>
        <w:pStyle w:val="14"/>
        <w:spacing w:line="360" w:lineRule="auto"/>
        <w:ind w:right="516"/>
        <w:rPr>
          <w:rFonts w:hint="eastAsia" w:ascii="仿宋" w:hAnsi="仿宋" w:eastAsia="仿宋" w:cs="仿宋"/>
          <w:b/>
          <w:color w:val="auto"/>
          <w:highlight w:val="none"/>
        </w:rPr>
      </w:pPr>
    </w:p>
    <w:p w14:paraId="1FC7107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7C57A18C">
      <w:pPr>
        <w:pStyle w:val="14"/>
        <w:spacing w:line="360" w:lineRule="auto"/>
        <w:ind w:right="516"/>
        <w:rPr>
          <w:rFonts w:hint="eastAsia" w:ascii="仿宋" w:hAnsi="仿宋" w:eastAsia="仿宋" w:cs="仿宋"/>
          <w:color w:val="auto"/>
          <w:spacing w:val="-17"/>
          <w:highlight w:val="none"/>
        </w:rPr>
      </w:pPr>
      <w:bookmarkStart w:id="61" w:name="_Toc19010"/>
      <w:r>
        <w:rPr>
          <w:rFonts w:hint="eastAsia" w:ascii="仿宋" w:hAnsi="仿宋" w:eastAsia="仿宋" w:cs="仿宋"/>
          <w:b/>
          <w:color w:val="auto"/>
          <w:highlight w:val="none"/>
        </w:rPr>
        <w:t>附件</w:t>
      </w:r>
      <w:r>
        <w:rPr>
          <w:rFonts w:hint="eastAsia" w:ascii="仿宋" w:hAnsi="仿宋" w:eastAsia="仿宋" w:cs="仿宋"/>
          <w:b/>
          <w:color w:val="auto"/>
          <w:highlight w:val="none"/>
          <w:lang w:val="en-US"/>
        </w:rPr>
        <w:t>2</w:t>
      </w:r>
      <w:r>
        <w:rPr>
          <w:rFonts w:hint="eastAsia" w:ascii="仿宋" w:hAnsi="仿宋" w:eastAsia="仿宋" w:cs="仿宋"/>
          <w:b/>
          <w:color w:val="auto"/>
          <w:highlight w:val="none"/>
        </w:rPr>
        <w:t xml:space="preserve">-5 </w:t>
      </w:r>
      <w:r>
        <w:rPr>
          <w:rFonts w:hint="eastAsia" w:ascii="仿宋" w:hAnsi="仿宋" w:eastAsia="仿宋" w:cs="仿宋"/>
          <w:b/>
          <w:bCs/>
          <w:color w:val="auto"/>
          <w:spacing w:val="-1"/>
          <w:highlight w:val="none"/>
        </w:rPr>
        <w:t>投标人缴纳</w:t>
      </w:r>
      <w:r>
        <w:rPr>
          <w:rFonts w:hint="eastAsia" w:ascii="仿宋" w:hAnsi="仿宋" w:eastAsia="仿宋" w:cs="仿宋"/>
          <w:b/>
          <w:bCs/>
          <w:color w:val="auto"/>
          <w:highlight w:val="none"/>
        </w:rPr>
        <w:t>税收</w:t>
      </w:r>
      <w:r>
        <w:rPr>
          <w:rFonts w:hint="eastAsia" w:ascii="仿宋" w:hAnsi="仿宋" w:eastAsia="仿宋" w:cs="仿宋"/>
          <w:b/>
          <w:bCs/>
          <w:color w:val="auto"/>
          <w:spacing w:val="-17"/>
          <w:highlight w:val="none"/>
        </w:rPr>
        <w:t>的证明</w:t>
      </w:r>
      <w:bookmarkEnd w:id="61"/>
    </w:p>
    <w:p w14:paraId="1824FD5F">
      <w:pPr>
        <w:pStyle w:val="14"/>
        <w:spacing w:line="360" w:lineRule="auto"/>
        <w:ind w:right="516"/>
        <w:rPr>
          <w:rFonts w:hint="eastAsia" w:ascii="仿宋" w:hAnsi="仿宋" w:eastAsia="仿宋" w:cs="仿宋"/>
          <w:color w:val="auto"/>
          <w:highlight w:val="none"/>
        </w:rPr>
      </w:pPr>
      <w:r>
        <w:rPr>
          <w:rFonts w:hint="eastAsia" w:ascii="仿宋" w:hAnsi="仿宋" w:eastAsia="仿宋" w:cs="仿宋"/>
          <w:color w:val="auto"/>
          <w:highlight w:val="none"/>
        </w:rPr>
        <w:t>投标人缴纳税收的证明（加盖电子公章</w:t>
      </w:r>
      <w:r>
        <w:rPr>
          <w:rFonts w:hint="eastAsia" w:ascii="仿宋" w:hAnsi="仿宋" w:eastAsia="仿宋" w:cs="仿宋"/>
          <w:color w:val="auto"/>
          <w:spacing w:val="-51"/>
          <w:highlight w:val="none"/>
        </w:rPr>
        <w:t>）</w:t>
      </w:r>
      <w:r>
        <w:rPr>
          <w:rFonts w:hint="eastAsia" w:ascii="仿宋" w:hAnsi="仿宋" w:eastAsia="仿宋" w:cs="仿宋"/>
          <w:color w:val="auto"/>
          <w:spacing w:val="-2"/>
          <w:highlight w:val="none"/>
        </w:rPr>
        <w:t>或事业单位近期纳</w:t>
      </w:r>
      <w:r>
        <w:rPr>
          <w:rFonts w:hint="eastAsia" w:ascii="仿宋" w:hAnsi="仿宋" w:eastAsia="仿宋" w:cs="仿宋"/>
          <w:color w:val="auto"/>
          <w:highlight w:val="none"/>
        </w:rPr>
        <w:t>税证明（加盖电子公章）或自然人缴纳个人所得税证明，</w:t>
      </w:r>
      <w:r>
        <w:rPr>
          <w:rFonts w:hint="eastAsia" w:ascii="仿宋" w:hAnsi="仿宋" w:eastAsia="仿宋" w:cs="仿宋"/>
          <w:color w:val="auto"/>
          <w:highlight w:val="none"/>
          <w:lang w:val="en-US"/>
        </w:rPr>
        <w:t>具体要求详见本招标文件第六章</w:t>
      </w:r>
      <w:r>
        <w:rPr>
          <w:rFonts w:hint="eastAsia" w:ascii="仿宋" w:hAnsi="仿宋" w:eastAsia="仿宋" w:cs="仿宋"/>
          <w:color w:val="auto"/>
          <w:highlight w:val="none"/>
        </w:rPr>
        <w:t>。</w:t>
      </w:r>
    </w:p>
    <w:p w14:paraId="4625862D">
      <w:pPr>
        <w:pStyle w:val="1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【依法免税的投标人应提供相应文件证明其依法免税。】</w:t>
      </w:r>
    </w:p>
    <w:p w14:paraId="3456E6B6">
      <w:pPr>
        <w:pStyle w:val="14"/>
        <w:spacing w:before="229" w:line="360" w:lineRule="auto"/>
        <w:ind w:right="396"/>
        <w:rPr>
          <w:rFonts w:hint="eastAsia" w:ascii="仿宋" w:hAnsi="仿宋" w:eastAsia="仿宋" w:cs="仿宋"/>
          <w:b/>
          <w:color w:val="auto"/>
          <w:sz w:val="21"/>
          <w:szCs w:val="21"/>
          <w:highlight w:val="none"/>
        </w:rPr>
      </w:pPr>
    </w:p>
    <w:p w14:paraId="7D0D53F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2DDF75E0">
      <w:pPr>
        <w:pStyle w:val="14"/>
        <w:spacing w:line="360" w:lineRule="auto"/>
        <w:rPr>
          <w:rFonts w:hint="eastAsia" w:ascii="仿宋" w:hAnsi="仿宋" w:eastAsia="仿宋" w:cs="仿宋"/>
          <w:b/>
          <w:color w:val="auto"/>
          <w:highlight w:val="none"/>
        </w:rPr>
      </w:pPr>
      <w:bookmarkStart w:id="62" w:name="_Toc13470"/>
      <w:r>
        <w:rPr>
          <w:rFonts w:hint="eastAsia" w:ascii="仿宋" w:hAnsi="仿宋" w:eastAsia="仿宋" w:cs="仿宋"/>
          <w:b/>
          <w:color w:val="auto"/>
          <w:highlight w:val="none"/>
        </w:rPr>
        <w:t>附件</w:t>
      </w:r>
      <w:r>
        <w:rPr>
          <w:rFonts w:hint="eastAsia" w:ascii="仿宋" w:hAnsi="仿宋" w:eastAsia="仿宋" w:cs="仿宋"/>
          <w:b/>
          <w:color w:val="auto"/>
          <w:highlight w:val="none"/>
          <w:lang w:val="en-US"/>
        </w:rPr>
        <w:t>2</w:t>
      </w:r>
      <w:r>
        <w:rPr>
          <w:rFonts w:hint="eastAsia" w:ascii="仿宋" w:hAnsi="仿宋" w:eastAsia="仿宋" w:cs="仿宋"/>
          <w:b/>
          <w:color w:val="auto"/>
          <w:highlight w:val="none"/>
        </w:rPr>
        <w:t>-6 投标人为职工缴纳社会保险的证明</w:t>
      </w:r>
      <w:bookmarkEnd w:id="62"/>
    </w:p>
    <w:p w14:paraId="3B53F9CA">
      <w:pPr>
        <w:pStyle w:val="14"/>
        <w:spacing w:line="360" w:lineRule="auto"/>
        <w:rPr>
          <w:rFonts w:hint="eastAsia" w:ascii="仿宋" w:hAnsi="仿宋" w:eastAsia="仿宋" w:cs="仿宋"/>
          <w:color w:val="auto"/>
          <w:highlight w:val="none"/>
        </w:rPr>
      </w:pPr>
    </w:p>
    <w:p w14:paraId="7508F541">
      <w:pPr>
        <w:pStyle w:val="1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投标人为职工缴纳社会保险的证明（缴纳凭证扫描件， 加盖电子公章），</w:t>
      </w:r>
      <w:r>
        <w:rPr>
          <w:rFonts w:hint="eastAsia" w:ascii="仿宋" w:hAnsi="仿宋" w:eastAsia="仿宋" w:cs="仿宋"/>
          <w:color w:val="auto"/>
          <w:highlight w:val="none"/>
          <w:lang w:val="en-US"/>
        </w:rPr>
        <w:t>具体要求详见本招标文件第六章</w:t>
      </w:r>
      <w:r>
        <w:rPr>
          <w:rFonts w:hint="eastAsia" w:ascii="仿宋" w:hAnsi="仿宋" w:eastAsia="仿宋" w:cs="仿宋"/>
          <w:color w:val="auto"/>
          <w:highlight w:val="none"/>
        </w:rPr>
        <w:t>。</w:t>
      </w:r>
    </w:p>
    <w:p w14:paraId="5E2CCD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【依法不需要缴纳社保的投标人应做书面说明和证明文件。】</w:t>
      </w:r>
    </w:p>
    <w:p w14:paraId="32079F1B">
      <w:pPr>
        <w:pStyle w:val="65"/>
        <w:spacing w:line="360" w:lineRule="auto"/>
        <w:rPr>
          <w:rFonts w:hint="eastAsia" w:ascii="仿宋" w:hAnsi="仿宋" w:eastAsia="仿宋" w:cs="仿宋"/>
          <w:bCs w:val="0"/>
          <w:color w:val="auto"/>
          <w:sz w:val="24"/>
          <w:szCs w:val="24"/>
          <w:highlight w:val="none"/>
        </w:rPr>
      </w:pPr>
    </w:p>
    <w:bookmarkEnd w:id="58"/>
    <w:p w14:paraId="65D2C48A">
      <w:pPr>
        <w:pStyle w:val="65"/>
        <w:spacing w:line="360" w:lineRule="auto"/>
        <w:rPr>
          <w:rFonts w:hint="eastAsia" w:ascii="仿宋" w:hAnsi="仿宋" w:eastAsia="仿宋" w:cs="仿宋"/>
          <w:bCs w:val="0"/>
          <w:color w:val="auto"/>
          <w:sz w:val="24"/>
          <w:szCs w:val="24"/>
          <w:highlight w:val="none"/>
        </w:rPr>
        <w:sectPr>
          <w:pgSz w:w="11906" w:h="16838"/>
          <w:pgMar w:top="1440" w:right="1800" w:bottom="1440" w:left="1800" w:header="851" w:footer="992" w:gutter="0"/>
          <w:cols w:space="720" w:num="1"/>
          <w:docGrid w:type="lines" w:linePitch="312" w:charSpace="0"/>
        </w:sectPr>
      </w:pPr>
    </w:p>
    <w:p w14:paraId="17166DE9">
      <w:pPr>
        <w:pStyle w:val="65"/>
        <w:spacing w:line="360" w:lineRule="auto"/>
        <w:rPr>
          <w:rFonts w:hint="eastAsia" w:ascii="仿宋" w:hAnsi="仿宋" w:eastAsia="仿宋" w:cs="仿宋"/>
          <w:b/>
          <w:color w:val="auto"/>
          <w:sz w:val="24"/>
          <w:szCs w:val="24"/>
          <w:highlight w:val="none"/>
        </w:rPr>
      </w:pPr>
      <w:bookmarkStart w:id="63" w:name="_Toc11968"/>
      <w:bookmarkStart w:id="64" w:name="_Toc99"/>
      <w:r>
        <w:rPr>
          <w:rFonts w:hint="eastAsia" w:ascii="仿宋" w:hAnsi="仿宋" w:eastAsia="仿宋" w:cs="仿宋"/>
          <w:b/>
          <w:color w:val="auto"/>
          <w:sz w:val="24"/>
          <w:szCs w:val="24"/>
          <w:highlight w:val="none"/>
        </w:rPr>
        <w:t>附件 2-7 投标人声明函（统一格式）</w:t>
      </w:r>
      <w:bookmarkEnd w:id="63"/>
      <w:bookmarkEnd w:id="64"/>
    </w:p>
    <w:p w14:paraId="5C31DB21">
      <w:pPr>
        <w:pStyle w:val="14"/>
        <w:spacing w:line="360" w:lineRule="auto"/>
        <w:ind w:left="638" w:leftChars="304" w:right="869" w:rightChars="414"/>
        <w:rPr>
          <w:rFonts w:hint="eastAsia" w:ascii="仿宋" w:hAnsi="仿宋" w:eastAsia="仿宋" w:cs="仿宋"/>
          <w:bCs/>
          <w:color w:val="auto"/>
          <w:sz w:val="21"/>
          <w:szCs w:val="21"/>
          <w:highlight w:val="none"/>
          <w:lang w:val="en-US"/>
        </w:rPr>
      </w:pPr>
      <w:bookmarkStart w:id="65" w:name="_Toc507399526"/>
    </w:p>
    <w:p w14:paraId="1F1BF288">
      <w:pPr>
        <w:pStyle w:val="14"/>
        <w:spacing w:line="360" w:lineRule="auto"/>
        <w:rPr>
          <w:rFonts w:hint="eastAsia" w:ascii="仿宋" w:hAnsi="仿宋" w:eastAsia="仿宋" w:cs="仿宋"/>
          <w:bCs/>
          <w:color w:val="auto"/>
          <w:highlight w:val="none"/>
          <w:lang w:val="en-US"/>
        </w:rPr>
      </w:pPr>
      <w:r>
        <w:rPr>
          <w:rFonts w:hint="eastAsia" w:ascii="仿宋" w:hAnsi="仿宋" w:eastAsia="仿宋" w:cs="仿宋"/>
          <w:bCs/>
          <w:color w:val="auto"/>
          <w:highlight w:val="none"/>
          <w:lang w:val="en-US"/>
        </w:rPr>
        <w:t>致：</w:t>
      </w:r>
      <w:r>
        <w:rPr>
          <w:rFonts w:hint="eastAsia" w:ascii="仿宋" w:hAnsi="仿宋" w:eastAsia="仿宋" w:cs="仿宋"/>
          <w:bCs/>
          <w:color w:val="auto"/>
          <w:highlight w:val="none"/>
          <w:u w:val="single"/>
          <w:lang w:val="en-US"/>
        </w:rPr>
        <w:t>采购人/采购代理机构</w:t>
      </w:r>
    </w:p>
    <w:p w14:paraId="4BFB7811">
      <w:pPr>
        <w:pStyle w:val="14"/>
        <w:spacing w:line="360" w:lineRule="auto"/>
        <w:rPr>
          <w:rFonts w:hint="eastAsia" w:ascii="仿宋" w:hAnsi="仿宋" w:eastAsia="仿宋" w:cs="仿宋"/>
          <w:b/>
          <w:color w:val="auto"/>
          <w:highlight w:val="none"/>
        </w:rPr>
      </w:pPr>
    </w:p>
    <w:p w14:paraId="01DAAC95">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在参与本次项目投标中，我单位</w:t>
      </w:r>
      <w:r>
        <w:rPr>
          <w:rFonts w:hint="eastAsia" w:ascii="仿宋" w:hAnsi="仿宋" w:eastAsia="仿宋" w:cs="仿宋"/>
          <w:b/>
          <w:color w:val="auto"/>
          <w:sz w:val="24"/>
          <w:highlight w:val="none"/>
        </w:rPr>
        <w:t>郑重承诺</w:t>
      </w:r>
      <w:r>
        <w:rPr>
          <w:rFonts w:hint="eastAsia" w:ascii="仿宋" w:hAnsi="仿宋" w:eastAsia="仿宋" w:cs="仿宋"/>
          <w:color w:val="auto"/>
          <w:sz w:val="24"/>
          <w:highlight w:val="none"/>
        </w:rPr>
        <w:t>：</w:t>
      </w:r>
    </w:p>
    <w:p w14:paraId="143B4DFE">
      <w:pPr>
        <w:pStyle w:val="1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pacing w:val="-1"/>
          <w:highlight w:val="none"/>
        </w:rPr>
        <w:t>、我单位参与采购活动前三年内在经营活动中没有因违法经营受到刑事处罚或者</w:t>
      </w:r>
      <w:r>
        <w:rPr>
          <w:rFonts w:hint="eastAsia" w:ascii="仿宋" w:hAnsi="仿宋" w:eastAsia="仿宋" w:cs="仿宋"/>
          <w:color w:val="auto"/>
          <w:spacing w:val="-8"/>
          <w:highlight w:val="none"/>
        </w:rPr>
        <w:t>责令停产停业、吊销许可证或者执照、较大数额罚款等行政处罚</w:t>
      </w:r>
      <w:r>
        <w:rPr>
          <w:rFonts w:hint="eastAsia" w:ascii="仿宋" w:hAnsi="仿宋" w:eastAsia="仿宋" w:cs="仿宋"/>
          <w:color w:val="auto"/>
          <w:highlight w:val="none"/>
        </w:rPr>
        <w:t>（</w:t>
      </w:r>
      <w:r>
        <w:rPr>
          <w:rFonts w:hint="eastAsia" w:ascii="仿宋" w:hAnsi="仿宋" w:eastAsia="仿宋" w:cs="仿宋"/>
          <w:color w:val="auto"/>
          <w:spacing w:val="-2"/>
          <w:highlight w:val="none"/>
        </w:rPr>
        <w:t>如果因违法经营被禁</w:t>
      </w:r>
      <w:r>
        <w:rPr>
          <w:rFonts w:hint="eastAsia" w:ascii="仿宋" w:hAnsi="仿宋" w:eastAsia="仿宋" w:cs="仿宋"/>
          <w:color w:val="auto"/>
          <w:highlight w:val="none"/>
        </w:rPr>
        <w:t>止在一定期限内参加政府采购活动，期限已经届满</w:t>
      </w:r>
      <w:r>
        <w:rPr>
          <w:rFonts w:hint="eastAsia" w:ascii="仿宋" w:hAnsi="仿宋" w:eastAsia="仿宋" w:cs="仿宋"/>
          <w:color w:val="auto"/>
          <w:spacing w:val="-120"/>
          <w:highlight w:val="none"/>
        </w:rPr>
        <w:t>）。</w:t>
      </w:r>
    </w:p>
    <w:p w14:paraId="026BBDA7">
      <w:pPr>
        <w:pStyle w:val="1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2、我单位具有履行合同所必需的专业技术能力，并在规定工作时间内有能力调配较强工作力量，按时保质完成相关工作任务。</w:t>
      </w:r>
    </w:p>
    <w:p w14:paraId="0CDCC452">
      <w:pPr>
        <w:pStyle w:val="1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3、我单位不存在单位负责人为同一人同时参加本项目投标的情况。</w:t>
      </w:r>
    </w:p>
    <w:p w14:paraId="582BBCA9">
      <w:pPr>
        <w:pStyle w:val="1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4、我单位不存在直接控股、管理关系的不同投标人同时参与本项目投标的情况。</w:t>
      </w:r>
    </w:p>
    <w:p w14:paraId="6D82C7A5">
      <w:pPr>
        <w:pStyle w:val="1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5、我单位不存在为采购项目提供整体设计、规范编制或者项目管理、监理、检测等服务后，再参加该采购项目的其他采购活动的情形。</w:t>
      </w:r>
    </w:p>
    <w:p w14:paraId="70C9B934">
      <w:pPr>
        <w:pStyle w:val="14"/>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rPr>
        <w:t>6</w:t>
      </w:r>
      <w:r>
        <w:rPr>
          <w:rFonts w:hint="eastAsia" w:ascii="仿宋" w:hAnsi="仿宋" w:eastAsia="仿宋" w:cs="仿宋"/>
          <w:color w:val="auto"/>
          <w:highlight w:val="none"/>
        </w:rPr>
        <w:t>、我单位在投标过程中，不存在向采购人提供、给予任何有价值的物品，试图影响其正常决策的行为。</w:t>
      </w:r>
    </w:p>
    <w:p w14:paraId="46E1B259">
      <w:pPr>
        <w:pStyle w:val="14"/>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rPr>
        <w:t>7</w:t>
      </w:r>
      <w:r>
        <w:rPr>
          <w:rFonts w:hint="eastAsia" w:ascii="仿宋" w:hAnsi="仿宋" w:eastAsia="仿宋" w:cs="仿宋"/>
          <w:color w:val="auto"/>
          <w:highlight w:val="none"/>
        </w:rPr>
        <w:t>、我单位严格遵守国家及行业相关用工标准，做到合理合法用工。</w:t>
      </w:r>
    </w:p>
    <w:p w14:paraId="133EAC21">
      <w:pPr>
        <w:pStyle w:val="14"/>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rPr>
        <w:t>8</w:t>
      </w:r>
      <w:r>
        <w:rPr>
          <w:rFonts w:hint="eastAsia" w:ascii="仿宋" w:hAnsi="仿宋" w:eastAsia="仿宋" w:cs="仿宋"/>
          <w:color w:val="auto"/>
          <w:highlight w:val="none"/>
        </w:rPr>
        <w:t>、本项目所有岗位涉及工作人员在提供服务过程中，经采购人评价不具备工作能力的，我单位将无条件调换。</w:t>
      </w:r>
    </w:p>
    <w:p w14:paraId="1F0CD41F">
      <w:pPr>
        <w:pStyle w:val="1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若采购人、采购代理机构在本项目采购过程中发现我单位存在违反上述承诺的事项， 我单位将自动失去在本项目的成交资格，并承担因此引起的一切后果及虚假投标责任。</w:t>
      </w:r>
    </w:p>
    <w:p w14:paraId="36965DDC">
      <w:pPr>
        <w:pStyle w:val="14"/>
        <w:spacing w:line="360" w:lineRule="auto"/>
        <w:rPr>
          <w:rFonts w:hint="eastAsia" w:ascii="仿宋" w:hAnsi="仿宋" w:eastAsia="仿宋" w:cs="仿宋"/>
          <w:color w:val="auto"/>
          <w:highlight w:val="none"/>
        </w:rPr>
      </w:pPr>
    </w:p>
    <w:p w14:paraId="470F464D">
      <w:pPr>
        <w:pStyle w:val="14"/>
        <w:spacing w:line="360" w:lineRule="auto"/>
        <w:rPr>
          <w:rFonts w:hint="eastAsia" w:ascii="仿宋" w:hAnsi="仿宋" w:eastAsia="仿宋" w:cs="仿宋"/>
          <w:color w:val="auto"/>
          <w:highlight w:val="none"/>
        </w:rPr>
      </w:pPr>
    </w:p>
    <w:p w14:paraId="27EDE443">
      <w:pPr>
        <w:pStyle w:val="14"/>
        <w:tabs>
          <w:tab w:val="left" w:pos="4736"/>
        </w:tabs>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rPr>
        <w:t>投标人</w:t>
      </w:r>
      <w:r>
        <w:rPr>
          <w:rFonts w:hint="eastAsia" w:ascii="仿宋" w:hAnsi="仿宋" w:eastAsia="仿宋" w:cs="仿宋"/>
          <w:color w:val="auto"/>
          <w:highlight w:val="none"/>
        </w:rPr>
        <w:t>名称（盖电子章）：</w:t>
      </w:r>
      <w:r>
        <w:rPr>
          <w:rFonts w:hint="eastAsia" w:ascii="仿宋" w:hAnsi="仿宋" w:eastAsia="仿宋" w:cs="仿宋"/>
          <w:color w:val="auto"/>
          <w:highlight w:val="none"/>
          <w:u w:val="single"/>
        </w:rPr>
        <w:tab/>
      </w:r>
    </w:p>
    <w:p w14:paraId="13AA21AE">
      <w:pPr>
        <w:pStyle w:val="14"/>
        <w:tabs>
          <w:tab w:val="left" w:pos="5521"/>
          <w:tab w:val="left" w:pos="6366"/>
          <w:tab w:val="left" w:pos="9062"/>
        </w:tabs>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lang w:val="en-US"/>
        </w:rPr>
        <w:t>投标人</w:t>
      </w:r>
      <w:r>
        <w:rPr>
          <w:rFonts w:hint="eastAsia" w:ascii="仿宋" w:hAnsi="仿宋" w:eastAsia="仿宋" w:cs="仿宋"/>
          <w:color w:val="auto"/>
          <w:highlight w:val="none"/>
        </w:rPr>
        <w:t>授权代表(签字或</w:t>
      </w:r>
      <w:r>
        <w:rPr>
          <w:rFonts w:hint="eastAsia" w:ascii="仿宋" w:hAnsi="仿宋" w:eastAsia="仿宋" w:cs="仿宋"/>
          <w:color w:val="auto"/>
          <w:highlight w:val="none"/>
          <w:lang w:val="en-US"/>
        </w:rPr>
        <w:t>盖电子</w:t>
      </w:r>
      <w:r>
        <w:rPr>
          <w:rFonts w:hint="eastAsia" w:ascii="仿宋" w:hAnsi="仿宋" w:eastAsia="仿宋" w:cs="仿宋"/>
          <w:color w:val="auto"/>
          <w:highlight w:val="none"/>
        </w:rPr>
        <w:t>章)：</w:t>
      </w:r>
      <w:r>
        <w:rPr>
          <w:rFonts w:hint="eastAsia" w:ascii="仿宋" w:hAnsi="仿宋" w:eastAsia="仿宋" w:cs="仿宋"/>
          <w:color w:val="auto"/>
          <w:highlight w:val="none"/>
          <w:u w:val="single"/>
        </w:rPr>
        <w:tab/>
      </w:r>
    </w:p>
    <w:p w14:paraId="5EA3B525">
      <w:pPr>
        <w:pStyle w:val="14"/>
        <w:tabs>
          <w:tab w:val="left" w:pos="5521"/>
          <w:tab w:val="left" w:pos="6366"/>
          <w:tab w:val="left" w:pos="9062"/>
        </w:tabs>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ab/>
      </w:r>
    </w:p>
    <w:p w14:paraId="06AA4802">
      <w:pPr>
        <w:pStyle w:val="1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（注：</w:t>
      </w:r>
      <w:r>
        <w:rPr>
          <w:rFonts w:hint="eastAsia" w:ascii="仿宋" w:hAnsi="仿宋" w:eastAsia="仿宋" w:cs="仿宋"/>
          <w:color w:val="auto"/>
          <w:highlight w:val="none"/>
          <w:lang w:val="en-US"/>
        </w:rPr>
        <w:t>投标人</w:t>
      </w:r>
      <w:r>
        <w:rPr>
          <w:rFonts w:hint="eastAsia" w:ascii="仿宋" w:hAnsi="仿宋" w:eastAsia="仿宋" w:cs="仿宋"/>
          <w:color w:val="auto"/>
          <w:highlight w:val="none"/>
        </w:rPr>
        <w:t>实际情况如与上述承诺内容不符的，请如实说明，不得虚假承诺）</w:t>
      </w:r>
    </w:p>
    <w:p w14:paraId="2B74EE33">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r>
        <w:rPr>
          <w:rFonts w:hint="eastAsia" w:ascii="仿宋" w:hAnsi="仿宋" w:eastAsia="仿宋" w:cs="仿宋"/>
          <w:color w:val="auto"/>
          <w:spacing w:val="-3"/>
          <w:sz w:val="24"/>
          <w:highlight w:val="none"/>
        </w:rPr>
        <w:t>自然人投标的无需盖电子章，需要签字。</w:t>
      </w:r>
    </w:p>
    <w:p w14:paraId="43C7902B">
      <w:pPr>
        <w:spacing w:line="360" w:lineRule="auto"/>
        <w:jc w:val="left"/>
        <w:rPr>
          <w:rFonts w:hint="eastAsia" w:ascii="仿宋" w:hAnsi="仿宋" w:eastAsia="仿宋" w:cs="仿宋"/>
          <w:color w:val="auto"/>
          <w:sz w:val="24"/>
          <w:highlight w:val="none"/>
        </w:rPr>
        <w:sectPr>
          <w:type w:val="continuous"/>
          <w:pgSz w:w="11910" w:h="16850"/>
          <w:pgMar w:top="1440" w:right="1800" w:bottom="1440" w:left="1800" w:header="720" w:footer="720" w:gutter="0"/>
          <w:cols w:space="720" w:num="1"/>
        </w:sectPr>
      </w:pPr>
    </w:p>
    <w:p w14:paraId="09C1F675">
      <w:pPr>
        <w:spacing w:line="360" w:lineRule="auto"/>
        <w:rPr>
          <w:rFonts w:hint="eastAsia" w:ascii="仿宋" w:hAnsi="仿宋" w:eastAsia="仿宋" w:cs="仿宋"/>
          <w:b/>
          <w:color w:val="auto"/>
          <w:sz w:val="24"/>
          <w:highlight w:val="none"/>
        </w:rPr>
      </w:pPr>
      <w:bookmarkStart w:id="66" w:name="_Toc23406"/>
      <w:bookmarkStart w:id="67" w:name="_Toc312"/>
      <w:r>
        <w:rPr>
          <w:rFonts w:hint="eastAsia" w:ascii="仿宋" w:hAnsi="仿宋" w:eastAsia="仿宋" w:cs="仿宋"/>
          <w:b/>
          <w:color w:val="auto"/>
          <w:sz w:val="24"/>
          <w:highlight w:val="none"/>
        </w:rPr>
        <w:t>附件 2-8 虚假应标承担责任声明（统一格式）</w:t>
      </w:r>
      <w:bookmarkEnd w:id="66"/>
      <w:bookmarkEnd w:id="67"/>
    </w:p>
    <w:p w14:paraId="0E3002D4">
      <w:pPr>
        <w:pStyle w:val="14"/>
        <w:spacing w:line="360" w:lineRule="auto"/>
        <w:ind w:right="-92" w:rightChars="-44"/>
        <w:rPr>
          <w:rFonts w:hint="eastAsia" w:ascii="仿宋" w:hAnsi="仿宋" w:eastAsia="仿宋" w:cs="仿宋"/>
          <w:b/>
          <w:color w:val="auto"/>
          <w:sz w:val="21"/>
          <w:szCs w:val="21"/>
          <w:highlight w:val="none"/>
        </w:rPr>
      </w:pPr>
    </w:p>
    <w:p w14:paraId="5B25A135">
      <w:pPr>
        <w:pStyle w:val="14"/>
        <w:spacing w:line="360" w:lineRule="auto"/>
        <w:ind w:right="-92" w:rightChars="-44"/>
        <w:rPr>
          <w:rFonts w:hint="eastAsia" w:ascii="仿宋" w:hAnsi="仿宋" w:eastAsia="仿宋" w:cs="仿宋"/>
          <w:b/>
          <w:color w:val="auto"/>
          <w:sz w:val="21"/>
          <w:szCs w:val="21"/>
          <w:highlight w:val="none"/>
        </w:rPr>
      </w:pPr>
    </w:p>
    <w:p w14:paraId="098AADA0">
      <w:pPr>
        <w:pStyle w:val="14"/>
        <w:spacing w:before="2" w:line="360" w:lineRule="auto"/>
        <w:ind w:right="-92" w:rightChars="-44"/>
        <w:rPr>
          <w:rFonts w:hint="eastAsia" w:ascii="仿宋" w:hAnsi="仿宋" w:eastAsia="仿宋" w:cs="仿宋"/>
          <w:b/>
          <w:color w:val="auto"/>
          <w:sz w:val="21"/>
          <w:szCs w:val="21"/>
          <w:highlight w:val="none"/>
        </w:rPr>
      </w:pPr>
    </w:p>
    <w:p w14:paraId="1408010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致：采购人/采购代理机构</w:t>
      </w:r>
    </w:p>
    <w:p w14:paraId="1339AC5B">
      <w:pPr>
        <w:pStyle w:val="14"/>
        <w:spacing w:before="9" w:line="360" w:lineRule="auto"/>
        <w:ind w:right="-92" w:rightChars="-44"/>
        <w:rPr>
          <w:rFonts w:hint="eastAsia" w:ascii="仿宋" w:hAnsi="仿宋" w:eastAsia="仿宋" w:cs="仿宋"/>
          <w:b/>
          <w:color w:val="auto"/>
          <w:highlight w:val="none"/>
        </w:rPr>
      </w:pPr>
    </w:p>
    <w:p w14:paraId="1D02294D">
      <w:pPr>
        <w:pStyle w:val="14"/>
        <w:spacing w:before="67" w:line="360" w:lineRule="auto"/>
        <w:ind w:right="-92" w:rightChars="-44"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我公司</w:t>
      </w:r>
      <w:r>
        <w:rPr>
          <w:rFonts w:hint="eastAsia" w:ascii="仿宋" w:hAnsi="仿宋" w:eastAsia="仿宋" w:cs="仿宋"/>
          <w:color w:val="auto"/>
          <w:spacing w:val="-7"/>
          <w:highlight w:val="none"/>
        </w:rPr>
        <w:t>承诺：</w:t>
      </w:r>
      <w:r>
        <w:rPr>
          <w:rFonts w:hint="eastAsia" w:ascii="仿宋" w:hAnsi="仿宋" w:eastAsia="仿宋" w:cs="仿宋"/>
          <w:color w:val="auto"/>
          <w:spacing w:val="-3"/>
          <w:highlight w:val="none"/>
        </w:rPr>
        <w:t>所提供的</w:t>
      </w:r>
      <w:r>
        <w:rPr>
          <w:rFonts w:hint="eastAsia" w:ascii="仿宋" w:hAnsi="仿宋" w:eastAsia="仿宋" w:cs="仿宋"/>
          <w:color w:val="auto"/>
          <w:spacing w:val="-3"/>
          <w:highlight w:val="none"/>
          <w:lang w:val="en-US"/>
        </w:rPr>
        <w:t>投标</w:t>
      </w:r>
      <w:r>
        <w:rPr>
          <w:rFonts w:hint="eastAsia" w:ascii="仿宋" w:hAnsi="仿宋" w:eastAsia="仿宋" w:cs="仿宋"/>
          <w:color w:val="auto"/>
          <w:spacing w:val="-3"/>
          <w:highlight w:val="none"/>
        </w:rPr>
        <w:t>文件</w:t>
      </w:r>
      <w:r>
        <w:rPr>
          <w:rFonts w:hint="eastAsia" w:ascii="仿宋" w:hAnsi="仿宋" w:eastAsia="仿宋" w:cs="仿宋"/>
          <w:color w:val="auto"/>
          <w:highlight w:val="none"/>
        </w:rPr>
        <w:t>（</w:t>
      </w:r>
      <w:r>
        <w:rPr>
          <w:rFonts w:hint="eastAsia" w:ascii="仿宋" w:hAnsi="仿宋" w:eastAsia="仿宋" w:cs="仿宋"/>
          <w:color w:val="auto"/>
          <w:spacing w:val="-5"/>
          <w:highlight w:val="none"/>
        </w:rPr>
        <w:t>包括一切技术资料、技术承诺、商务承诺等</w:t>
      </w:r>
      <w:r>
        <w:rPr>
          <w:rFonts w:hint="eastAsia" w:ascii="仿宋" w:hAnsi="仿宋" w:eastAsia="仿宋" w:cs="仿宋"/>
          <w:color w:val="auto"/>
          <w:spacing w:val="-20"/>
          <w:highlight w:val="none"/>
        </w:rPr>
        <w:t>）</w:t>
      </w:r>
      <w:r>
        <w:rPr>
          <w:rFonts w:hint="eastAsia" w:ascii="仿宋" w:hAnsi="仿宋" w:eastAsia="仿宋" w:cs="仿宋"/>
          <w:color w:val="auto"/>
          <w:spacing w:val="-12"/>
          <w:highlight w:val="none"/>
        </w:rPr>
        <w:t>均</w:t>
      </w:r>
      <w:r>
        <w:rPr>
          <w:rFonts w:hint="eastAsia" w:ascii="仿宋" w:hAnsi="仿宋" w:eastAsia="仿宋" w:cs="仿宋"/>
          <w:color w:val="auto"/>
          <w:spacing w:val="-6"/>
          <w:highlight w:val="none"/>
        </w:rPr>
        <w:t>真实有效，若在项目招标过程中</w:t>
      </w:r>
      <w:r>
        <w:rPr>
          <w:rFonts w:hint="eastAsia" w:ascii="仿宋" w:hAnsi="仿宋" w:eastAsia="仿宋" w:cs="仿宋"/>
          <w:color w:val="auto"/>
          <w:highlight w:val="none"/>
        </w:rPr>
        <w:t>（</w:t>
      </w:r>
      <w:r>
        <w:rPr>
          <w:rFonts w:hint="eastAsia" w:ascii="仿宋" w:hAnsi="仿宋" w:eastAsia="仿宋" w:cs="仿宋"/>
          <w:color w:val="auto"/>
          <w:spacing w:val="-6"/>
          <w:highlight w:val="none"/>
        </w:rPr>
        <w:t>包括开评审、</w:t>
      </w:r>
      <w:r>
        <w:rPr>
          <w:rFonts w:hint="eastAsia" w:ascii="仿宋" w:hAnsi="仿宋" w:eastAsia="仿宋" w:cs="仿宋"/>
          <w:color w:val="auto"/>
          <w:spacing w:val="-6"/>
          <w:highlight w:val="none"/>
          <w:lang w:val="en-US"/>
        </w:rPr>
        <w:t>中标</w:t>
      </w:r>
      <w:r>
        <w:rPr>
          <w:rFonts w:hint="eastAsia" w:ascii="仿宋" w:hAnsi="仿宋" w:eastAsia="仿宋" w:cs="仿宋"/>
          <w:color w:val="auto"/>
          <w:spacing w:val="-6"/>
          <w:highlight w:val="none"/>
        </w:rPr>
        <w:t>公示过程</w:t>
      </w:r>
      <w:r>
        <w:rPr>
          <w:rFonts w:hint="eastAsia" w:ascii="仿宋" w:hAnsi="仿宋" w:eastAsia="仿宋" w:cs="仿宋"/>
          <w:color w:val="auto"/>
          <w:spacing w:val="-20"/>
          <w:highlight w:val="none"/>
        </w:rPr>
        <w:t>）</w:t>
      </w:r>
      <w:r>
        <w:rPr>
          <w:rFonts w:hint="eastAsia" w:ascii="仿宋" w:hAnsi="仿宋" w:eastAsia="仿宋" w:cs="仿宋"/>
          <w:color w:val="auto"/>
          <w:spacing w:val="-2"/>
          <w:highlight w:val="none"/>
        </w:rPr>
        <w:t>及履行合同期间</w:t>
      </w:r>
      <w:r>
        <w:rPr>
          <w:rFonts w:hint="eastAsia" w:ascii="仿宋" w:hAnsi="仿宋" w:eastAsia="仿宋" w:cs="仿宋"/>
          <w:color w:val="auto"/>
          <w:highlight w:val="none"/>
        </w:rPr>
        <w:t>（包括验收过程</w:t>
      </w:r>
      <w:r>
        <w:rPr>
          <w:rFonts w:hint="eastAsia" w:ascii="仿宋" w:hAnsi="仿宋" w:eastAsia="仿宋" w:cs="仿宋"/>
          <w:color w:val="auto"/>
          <w:spacing w:val="-15"/>
          <w:highlight w:val="none"/>
        </w:rPr>
        <w:t>）</w:t>
      </w:r>
      <w:r>
        <w:rPr>
          <w:rFonts w:hint="eastAsia" w:ascii="仿宋" w:hAnsi="仿宋" w:eastAsia="仿宋" w:cs="仿宋"/>
          <w:color w:val="auto"/>
          <w:spacing w:val="-2"/>
          <w:highlight w:val="none"/>
        </w:rPr>
        <w:t>发现我公司提供的</w:t>
      </w:r>
      <w:r>
        <w:rPr>
          <w:rFonts w:hint="eastAsia" w:ascii="仿宋" w:hAnsi="仿宋" w:eastAsia="仿宋" w:cs="仿宋"/>
          <w:color w:val="auto"/>
          <w:spacing w:val="-2"/>
          <w:highlight w:val="none"/>
          <w:lang w:val="en-US"/>
        </w:rPr>
        <w:t>货物</w:t>
      </w:r>
      <w:r>
        <w:rPr>
          <w:rFonts w:hint="eastAsia" w:ascii="仿宋" w:hAnsi="仿宋" w:eastAsia="仿宋" w:cs="仿宋"/>
          <w:color w:val="auto"/>
          <w:highlight w:val="none"/>
        </w:rPr>
        <w:t>（或产品</w:t>
      </w:r>
      <w:r>
        <w:rPr>
          <w:rFonts w:hint="eastAsia" w:ascii="仿宋" w:hAnsi="仿宋" w:eastAsia="仿宋" w:cs="仿宋"/>
          <w:color w:val="auto"/>
          <w:spacing w:val="-15"/>
          <w:highlight w:val="none"/>
        </w:rPr>
        <w:t>）</w:t>
      </w:r>
      <w:r>
        <w:rPr>
          <w:rFonts w:hint="eastAsia" w:ascii="仿宋" w:hAnsi="仿宋" w:eastAsia="仿宋" w:cs="仿宋"/>
          <w:color w:val="auto"/>
          <w:spacing w:val="-5"/>
          <w:highlight w:val="none"/>
        </w:rPr>
        <w:t>与</w:t>
      </w:r>
      <w:r>
        <w:rPr>
          <w:rFonts w:hint="eastAsia" w:ascii="仿宋" w:hAnsi="仿宋" w:eastAsia="仿宋" w:cs="仿宋"/>
          <w:color w:val="auto"/>
          <w:spacing w:val="-5"/>
          <w:highlight w:val="none"/>
          <w:lang w:val="en-US"/>
        </w:rPr>
        <w:t>投标</w:t>
      </w:r>
      <w:r>
        <w:rPr>
          <w:rFonts w:hint="eastAsia" w:ascii="仿宋" w:hAnsi="仿宋" w:eastAsia="仿宋" w:cs="仿宋"/>
          <w:color w:val="auto"/>
          <w:highlight w:val="none"/>
        </w:rPr>
        <w:t>文件</w:t>
      </w:r>
      <w:r>
        <w:rPr>
          <w:rFonts w:hint="eastAsia" w:ascii="仿宋" w:hAnsi="仿宋" w:eastAsia="仿宋" w:cs="仿宋"/>
          <w:color w:val="auto"/>
          <w:spacing w:val="-6"/>
          <w:highlight w:val="none"/>
        </w:rPr>
        <w:t>不一致，或发现我</w:t>
      </w:r>
      <w:r>
        <w:rPr>
          <w:rFonts w:hint="eastAsia" w:ascii="仿宋" w:hAnsi="仿宋" w:eastAsia="仿宋" w:cs="仿宋"/>
          <w:color w:val="auto"/>
          <w:highlight w:val="none"/>
        </w:rPr>
        <w:t>公司提供了不真实的</w:t>
      </w:r>
      <w:r>
        <w:rPr>
          <w:rFonts w:hint="eastAsia" w:ascii="仿宋" w:hAnsi="仿宋" w:eastAsia="仿宋" w:cs="仿宋"/>
          <w:color w:val="auto"/>
          <w:highlight w:val="none"/>
          <w:lang w:val="en-US"/>
        </w:rPr>
        <w:t>投标</w:t>
      </w:r>
      <w:r>
        <w:rPr>
          <w:rFonts w:hint="eastAsia" w:ascii="仿宋" w:hAnsi="仿宋" w:eastAsia="仿宋" w:cs="仿宋"/>
          <w:color w:val="auto"/>
          <w:highlight w:val="none"/>
        </w:rPr>
        <w:t>文件（虚假材料</w:t>
      </w:r>
      <w:r>
        <w:rPr>
          <w:rFonts w:hint="eastAsia" w:ascii="仿宋" w:hAnsi="仿宋" w:eastAsia="仿宋" w:cs="仿宋"/>
          <w:color w:val="auto"/>
          <w:spacing w:val="-120"/>
          <w:highlight w:val="none"/>
        </w:rPr>
        <w:t>）</w:t>
      </w:r>
      <w:r>
        <w:rPr>
          <w:rFonts w:hint="eastAsia" w:ascii="仿宋" w:hAnsi="仿宋" w:eastAsia="仿宋" w:cs="仿宋"/>
          <w:color w:val="auto"/>
          <w:spacing w:val="-120"/>
          <w:highlight w:val="none"/>
          <w:lang w:val="en-US"/>
        </w:rPr>
        <w:t xml:space="preserve">   ）</w:t>
      </w:r>
      <w:r>
        <w:rPr>
          <w:rFonts w:hint="eastAsia" w:ascii="仿宋" w:hAnsi="仿宋" w:eastAsia="仿宋" w:cs="仿宋"/>
          <w:color w:val="auto"/>
          <w:highlight w:val="none"/>
        </w:rPr>
        <w:t>），我公司愿意承担一切法律责任并认可采购人或采购代理机构作出的取消</w:t>
      </w:r>
      <w:r>
        <w:rPr>
          <w:rFonts w:hint="eastAsia" w:ascii="仿宋" w:hAnsi="仿宋" w:eastAsia="仿宋" w:cs="仿宋"/>
          <w:color w:val="auto"/>
          <w:highlight w:val="none"/>
          <w:lang w:val="en-US"/>
        </w:rPr>
        <w:t>中标</w:t>
      </w:r>
      <w:r>
        <w:rPr>
          <w:rFonts w:hint="eastAsia" w:ascii="仿宋" w:hAnsi="仿宋" w:eastAsia="仿宋" w:cs="仿宋"/>
          <w:color w:val="auto"/>
          <w:highlight w:val="none"/>
        </w:rPr>
        <w:t>资格、罚没保证金等决定。</w:t>
      </w:r>
    </w:p>
    <w:p w14:paraId="25FB25AD">
      <w:pPr>
        <w:pStyle w:val="14"/>
        <w:spacing w:line="360" w:lineRule="auto"/>
        <w:ind w:right="-92" w:rightChars="-44"/>
        <w:rPr>
          <w:rFonts w:hint="eastAsia" w:ascii="仿宋" w:hAnsi="仿宋" w:eastAsia="仿宋" w:cs="仿宋"/>
          <w:color w:val="auto"/>
          <w:highlight w:val="none"/>
        </w:rPr>
      </w:pPr>
      <w:r>
        <w:rPr>
          <w:rFonts w:hint="eastAsia" w:ascii="仿宋" w:hAnsi="仿宋" w:eastAsia="仿宋" w:cs="仿宋"/>
          <w:color w:val="auto"/>
          <w:highlight w:val="none"/>
        </w:rPr>
        <w:t>特此声明。</w:t>
      </w:r>
    </w:p>
    <w:p w14:paraId="0BCFDF4E">
      <w:pPr>
        <w:pStyle w:val="14"/>
        <w:spacing w:line="360" w:lineRule="auto"/>
        <w:ind w:right="-92" w:rightChars="-44"/>
        <w:rPr>
          <w:rFonts w:hint="eastAsia" w:ascii="仿宋" w:hAnsi="仿宋" w:eastAsia="仿宋" w:cs="仿宋"/>
          <w:color w:val="auto"/>
          <w:sz w:val="21"/>
          <w:szCs w:val="21"/>
          <w:highlight w:val="none"/>
        </w:rPr>
      </w:pPr>
    </w:p>
    <w:p w14:paraId="3F64C70C">
      <w:pPr>
        <w:pStyle w:val="14"/>
        <w:spacing w:line="360" w:lineRule="auto"/>
        <w:ind w:right="-92" w:rightChars="-44"/>
        <w:rPr>
          <w:rFonts w:hint="eastAsia" w:ascii="仿宋" w:hAnsi="仿宋" w:eastAsia="仿宋" w:cs="仿宋"/>
          <w:color w:val="auto"/>
          <w:sz w:val="21"/>
          <w:szCs w:val="21"/>
          <w:highlight w:val="none"/>
        </w:rPr>
      </w:pPr>
    </w:p>
    <w:p w14:paraId="1EAF6D34">
      <w:pPr>
        <w:pStyle w:val="14"/>
        <w:spacing w:line="360" w:lineRule="auto"/>
        <w:ind w:right="-92" w:rightChars="-44"/>
        <w:rPr>
          <w:rFonts w:hint="eastAsia" w:ascii="仿宋" w:hAnsi="仿宋" w:eastAsia="仿宋" w:cs="仿宋"/>
          <w:color w:val="auto"/>
          <w:sz w:val="21"/>
          <w:szCs w:val="21"/>
          <w:highlight w:val="none"/>
        </w:rPr>
      </w:pPr>
    </w:p>
    <w:p w14:paraId="23883DA6">
      <w:pPr>
        <w:pStyle w:val="14"/>
        <w:tabs>
          <w:tab w:val="left" w:pos="4736"/>
        </w:tabs>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rPr>
        <w:t>投标人</w:t>
      </w:r>
      <w:r>
        <w:rPr>
          <w:rFonts w:hint="eastAsia" w:ascii="仿宋" w:hAnsi="仿宋" w:eastAsia="仿宋" w:cs="仿宋"/>
          <w:color w:val="auto"/>
          <w:highlight w:val="none"/>
        </w:rPr>
        <w:t>名称（盖电子章）：</w:t>
      </w:r>
      <w:r>
        <w:rPr>
          <w:rFonts w:hint="eastAsia" w:ascii="仿宋" w:hAnsi="仿宋" w:eastAsia="仿宋" w:cs="仿宋"/>
          <w:color w:val="auto"/>
          <w:highlight w:val="none"/>
          <w:u w:val="single"/>
        </w:rPr>
        <w:tab/>
      </w:r>
    </w:p>
    <w:p w14:paraId="57937008">
      <w:pPr>
        <w:pStyle w:val="14"/>
        <w:tabs>
          <w:tab w:val="left" w:pos="5521"/>
          <w:tab w:val="left" w:pos="6366"/>
          <w:tab w:val="left" w:pos="9062"/>
        </w:tabs>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lang w:val="en-US"/>
        </w:rPr>
        <w:t>投标人</w:t>
      </w:r>
      <w:r>
        <w:rPr>
          <w:rFonts w:hint="eastAsia" w:ascii="仿宋" w:hAnsi="仿宋" w:eastAsia="仿宋" w:cs="仿宋"/>
          <w:color w:val="auto"/>
          <w:highlight w:val="none"/>
        </w:rPr>
        <w:t>授权代表(签字或</w:t>
      </w:r>
      <w:r>
        <w:rPr>
          <w:rFonts w:hint="eastAsia" w:ascii="仿宋" w:hAnsi="仿宋" w:eastAsia="仿宋" w:cs="仿宋"/>
          <w:color w:val="auto"/>
          <w:highlight w:val="none"/>
          <w:lang w:val="en-US"/>
        </w:rPr>
        <w:t>盖电子</w:t>
      </w:r>
      <w:r>
        <w:rPr>
          <w:rFonts w:hint="eastAsia" w:ascii="仿宋" w:hAnsi="仿宋" w:eastAsia="仿宋" w:cs="仿宋"/>
          <w:color w:val="auto"/>
          <w:highlight w:val="none"/>
        </w:rPr>
        <w:t>章)：</w:t>
      </w:r>
      <w:r>
        <w:rPr>
          <w:rFonts w:hint="eastAsia" w:ascii="仿宋" w:hAnsi="仿宋" w:eastAsia="仿宋" w:cs="仿宋"/>
          <w:color w:val="auto"/>
          <w:highlight w:val="none"/>
          <w:u w:val="single"/>
        </w:rPr>
        <w:tab/>
      </w:r>
    </w:p>
    <w:p w14:paraId="24916E4B">
      <w:pPr>
        <w:pStyle w:val="14"/>
        <w:tabs>
          <w:tab w:val="left" w:pos="5521"/>
          <w:tab w:val="left" w:pos="6366"/>
          <w:tab w:val="left" w:pos="9062"/>
        </w:tabs>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ab/>
      </w:r>
    </w:p>
    <w:p w14:paraId="6EE3577D">
      <w:pPr>
        <w:pStyle w:val="14"/>
        <w:spacing w:line="360" w:lineRule="auto"/>
        <w:rPr>
          <w:rFonts w:hint="eastAsia" w:ascii="仿宋" w:hAnsi="仿宋" w:eastAsia="仿宋" w:cs="仿宋"/>
          <w:color w:val="auto"/>
          <w:highlight w:val="none"/>
        </w:rPr>
      </w:pPr>
    </w:p>
    <w:p w14:paraId="62D6ACDF">
      <w:pPr>
        <w:pStyle w:val="14"/>
        <w:spacing w:line="360" w:lineRule="auto"/>
        <w:rPr>
          <w:rFonts w:hint="eastAsia" w:ascii="仿宋" w:hAnsi="仿宋" w:eastAsia="仿宋" w:cs="仿宋"/>
          <w:color w:val="auto"/>
          <w:highlight w:val="none"/>
        </w:rPr>
      </w:pPr>
    </w:p>
    <w:p w14:paraId="0654A436">
      <w:pPr>
        <w:pStyle w:val="14"/>
        <w:tabs>
          <w:tab w:val="left" w:pos="1560"/>
          <w:tab w:val="left" w:pos="2040"/>
        </w:tabs>
        <w:spacing w:before="66" w:line="360" w:lineRule="auto"/>
        <w:ind w:right="-92" w:rightChars="-44"/>
        <w:rPr>
          <w:rFonts w:hint="eastAsia" w:ascii="仿宋" w:hAnsi="仿宋" w:eastAsia="仿宋" w:cs="仿宋"/>
          <w:color w:val="auto"/>
          <w:sz w:val="21"/>
          <w:szCs w:val="21"/>
          <w:highlight w:val="none"/>
        </w:rPr>
      </w:pPr>
    </w:p>
    <w:p w14:paraId="10CB0E1B">
      <w:pPr>
        <w:pStyle w:val="65"/>
        <w:spacing w:line="360" w:lineRule="auto"/>
        <w:ind w:right="-92" w:rightChars="-44"/>
        <w:jc w:val="both"/>
        <w:rPr>
          <w:rFonts w:hint="eastAsia" w:ascii="仿宋" w:hAnsi="仿宋" w:eastAsia="仿宋" w:cs="仿宋"/>
          <w:b/>
          <w:color w:val="auto"/>
          <w:sz w:val="24"/>
          <w:szCs w:val="24"/>
          <w:highlight w:val="none"/>
        </w:rPr>
        <w:sectPr>
          <w:pgSz w:w="11906" w:h="16838"/>
          <w:pgMar w:top="1440" w:right="1800" w:bottom="1440" w:left="1800" w:header="851" w:footer="992" w:gutter="0"/>
          <w:cols w:space="720" w:num="1"/>
          <w:docGrid w:type="lines" w:linePitch="312" w:charSpace="0"/>
        </w:sectPr>
      </w:pPr>
    </w:p>
    <w:p w14:paraId="31D65844">
      <w:pPr>
        <w:spacing w:line="360" w:lineRule="auto"/>
        <w:rPr>
          <w:rFonts w:hint="eastAsia" w:ascii="仿宋" w:hAnsi="仿宋" w:eastAsia="仿宋" w:cs="仿宋"/>
          <w:b/>
          <w:color w:val="auto"/>
          <w:sz w:val="24"/>
          <w:highlight w:val="none"/>
        </w:rPr>
      </w:pPr>
      <w:bookmarkStart w:id="68" w:name="_Toc1085"/>
      <w:bookmarkStart w:id="69" w:name="_Toc28847"/>
      <w:r>
        <w:rPr>
          <w:rFonts w:hint="eastAsia" w:ascii="仿宋" w:hAnsi="仿宋" w:eastAsia="仿宋" w:cs="仿宋"/>
          <w:b/>
          <w:color w:val="auto"/>
          <w:sz w:val="24"/>
          <w:highlight w:val="none"/>
        </w:rPr>
        <w:t>附件 2-9（格式自拟）</w:t>
      </w:r>
      <w:bookmarkEnd w:id="68"/>
      <w:bookmarkEnd w:id="69"/>
    </w:p>
    <w:p w14:paraId="072C6CEC">
      <w:pPr>
        <w:pStyle w:val="14"/>
        <w:spacing w:before="9" w:line="360" w:lineRule="auto"/>
        <w:rPr>
          <w:rFonts w:hint="eastAsia" w:ascii="仿宋" w:hAnsi="仿宋" w:eastAsia="仿宋" w:cs="仿宋"/>
          <w:b/>
          <w:color w:val="auto"/>
          <w:highlight w:val="none"/>
        </w:rPr>
      </w:pPr>
    </w:p>
    <w:p w14:paraId="714252E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投标人关联单位的说明（格式自拟）</w:t>
      </w:r>
    </w:p>
    <w:p w14:paraId="30A7B565">
      <w:pPr>
        <w:spacing w:line="360" w:lineRule="auto"/>
        <w:rPr>
          <w:rFonts w:hint="eastAsia" w:ascii="仿宋" w:hAnsi="仿宋" w:eastAsia="仿宋" w:cs="仿宋"/>
          <w:color w:val="auto"/>
          <w:sz w:val="24"/>
          <w:highlight w:val="none"/>
        </w:rPr>
      </w:pPr>
    </w:p>
    <w:p w14:paraId="02DD49C0">
      <w:pPr>
        <w:pStyle w:val="65"/>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p w14:paraId="555E2D02">
      <w:pPr>
        <w:pStyle w:val="65"/>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1.投标人应当如实披露与本单位存在下列关联关系的单位名称：</w:t>
      </w:r>
    </w:p>
    <w:p w14:paraId="26BB322D">
      <w:pPr>
        <w:pStyle w:val="65"/>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与投标人单位负责人为同一人的其他单位；</w:t>
      </w:r>
    </w:p>
    <w:p w14:paraId="563F98D6">
      <w:pPr>
        <w:pStyle w:val="65"/>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2.与投标人存在直接控股、管理关系的其他单位；</w:t>
      </w:r>
    </w:p>
    <w:p w14:paraId="6CE54760">
      <w:pPr>
        <w:pStyle w:val="65"/>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3.如无关联单位可不提供此说明。</w:t>
      </w:r>
    </w:p>
    <w:p w14:paraId="2F620584">
      <w:pPr>
        <w:pStyle w:val="65"/>
        <w:spacing w:line="360" w:lineRule="auto"/>
        <w:rPr>
          <w:rFonts w:hint="eastAsia" w:ascii="仿宋" w:hAnsi="仿宋" w:eastAsia="仿宋" w:cs="仿宋"/>
          <w:color w:val="auto"/>
          <w:sz w:val="24"/>
          <w:szCs w:val="24"/>
          <w:highlight w:val="none"/>
        </w:rPr>
        <w:sectPr>
          <w:pgSz w:w="11906" w:h="16838"/>
          <w:pgMar w:top="1440" w:right="1800" w:bottom="1440" w:left="1800" w:header="851" w:footer="992" w:gutter="0"/>
          <w:cols w:space="720" w:num="1"/>
          <w:docGrid w:type="lines" w:linePitch="312" w:charSpace="0"/>
        </w:sectPr>
      </w:pPr>
    </w:p>
    <w:p w14:paraId="78E074D0">
      <w:pPr>
        <w:spacing w:line="360" w:lineRule="auto"/>
        <w:rPr>
          <w:rFonts w:hint="eastAsia" w:ascii="仿宋" w:hAnsi="仿宋" w:eastAsia="仿宋" w:cs="仿宋"/>
          <w:b/>
          <w:color w:val="auto"/>
          <w:sz w:val="24"/>
          <w:highlight w:val="none"/>
        </w:rPr>
      </w:pPr>
      <w:bookmarkStart w:id="70" w:name="_Toc23872"/>
      <w:bookmarkStart w:id="71" w:name="_Toc5327"/>
      <w:r>
        <w:rPr>
          <w:rFonts w:hint="eastAsia" w:ascii="仿宋" w:hAnsi="仿宋" w:eastAsia="仿宋" w:cs="仿宋"/>
          <w:b/>
          <w:color w:val="auto"/>
          <w:sz w:val="24"/>
          <w:highlight w:val="none"/>
        </w:rPr>
        <w:t>附件 2-10</w:t>
      </w:r>
      <w:r>
        <w:rPr>
          <w:rFonts w:hint="eastAsia" w:ascii="仿宋" w:hAnsi="仿宋" w:eastAsia="仿宋" w:cs="仿宋"/>
          <w:b/>
          <w:color w:val="auto"/>
          <w:sz w:val="24"/>
          <w:highlight w:val="none"/>
        </w:rPr>
        <w:tab/>
      </w:r>
      <w:r>
        <w:rPr>
          <w:rFonts w:hint="eastAsia" w:ascii="仿宋" w:hAnsi="仿宋" w:eastAsia="仿宋" w:cs="仿宋"/>
          <w:b/>
          <w:color w:val="auto"/>
          <w:sz w:val="24"/>
          <w:highlight w:val="none"/>
        </w:rPr>
        <w:t>投标人须知前附表要求的其他资格证明文件</w:t>
      </w:r>
      <w:bookmarkEnd w:id="70"/>
      <w:bookmarkEnd w:id="71"/>
    </w:p>
    <w:p w14:paraId="0563A3F0">
      <w:pPr>
        <w:pStyle w:val="14"/>
        <w:spacing w:before="12" w:line="360" w:lineRule="auto"/>
        <w:rPr>
          <w:rFonts w:hint="eastAsia" w:ascii="仿宋" w:hAnsi="仿宋" w:eastAsia="仿宋" w:cs="仿宋"/>
          <w:b/>
          <w:color w:val="auto"/>
          <w:highlight w:val="none"/>
        </w:rPr>
      </w:pPr>
    </w:p>
    <w:p w14:paraId="14854337">
      <w:pPr>
        <w:pStyle w:val="14"/>
        <w:autoSpaceDE w:val="0"/>
        <w:autoSpaceDN w:val="0"/>
        <w:adjustRightInd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说明：</w:t>
      </w:r>
    </w:p>
    <w:p w14:paraId="160A2501">
      <w:pPr>
        <w:pStyle w:val="14"/>
        <w:autoSpaceDE w:val="0"/>
        <w:autoSpaceDN w:val="0"/>
        <w:adjustRightInd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凡拟参加本次招标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以及未被列入</w:t>
      </w:r>
      <w:r>
        <w:rPr>
          <w:rFonts w:hint="eastAsia" w:ascii="仿宋" w:hAnsi="仿宋" w:eastAsia="仿宋" w:cs="仿宋"/>
          <w:color w:val="auto"/>
          <w:highlight w:val="none"/>
          <w:lang w:val="en-US"/>
        </w:rPr>
        <w:t>新疆</w:t>
      </w:r>
      <w:r>
        <w:rPr>
          <w:rFonts w:hint="eastAsia" w:ascii="仿宋" w:hAnsi="仿宋" w:eastAsia="仿宋" w:cs="仿宋"/>
          <w:color w:val="auto"/>
          <w:highlight w:val="none"/>
        </w:rPr>
        <w:t>税务局失信惩戒企业名单。近三年政府采购合同履约过程中及其他经营活动履约过程中因围标串标、偷税漏税、制售假冒伪劣商品等行为被有关行政部门处罚（处理）记录的，本项目不认定其具有良好的商业信誉，将拒绝其参本次招标活动；</w:t>
      </w:r>
    </w:p>
    <w:p w14:paraId="3DA02684">
      <w:pPr>
        <w:pStyle w:val="14"/>
        <w:autoSpaceDE w:val="0"/>
        <w:autoSpaceDN w:val="0"/>
        <w:adjustRightInd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2.应提供</w:t>
      </w:r>
      <w:r>
        <w:rPr>
          <w:rFonts w:hint="eastAsia" w:ascii="仿宋" w:hAnsi="仿宋" w:eastAsia="仿宋" w:cs="仿宋"/>
          <w:color w:val="auto"/>
          <w:highlight w:val="none"/>
          <w:u w:val="single"/>
          <w:lang w:val="en-US"/>
        </w:rPr>
        <w:t>投标人</w:t>
      </w:r>
      <w:r>
        <w:rPr>
          <w:rFonts w:hint="eastAsia" w:ascii="仿宋" w:hAnsi="仿宋" w:eastAsia="仿宋" w:cs="仿宋"/>
          <w:color w:val="auto"/>
          <w:highlight w:val="none"/>
          <w:u w:val="single"/>
        </w:rPr>
        <w:t>须知</w:t>
      </w:r>
      <w:r>
        <w:rPr>
          <w:rFonts w:hint="eastAsia" w:ascii="仿宋" w:hAnsi="仿宋" w:eastAsia="仿宋" w:cs="仿宋"/>
          <w:color w:val="auto"/>
          <w:highlight w:val="none"/>
          <w:u w:val="single"/>
          <w:lang w:val="en-US"/>
        </w:rPr>
        <w:t>前附表</w:t>
      </w:r>
      <w:r>
        <w:rPr>
          <w:rFonts w:hint="eastAsia" w:ascii="仿宋" w:hAnsi="仿宋" w:eastAsia="仿宋" w:cs="仿宋"/>
          <w:color w:val="auto"/>
          <w:highlight w:val="none"/>
        </w:rPr>
        <w:t>要求的其他资格证明文件。</w:t>
      </w:r>
    </w:p>
    <w:p w14:paraId="2BF399F3">
      <w:pPr>
        <w:pStyle w:val="67"/>
        <w:tabs>
          <w:tab w:val="left" w:pos="1322"/>
        </w:tabs>
        <w:autoSpaceDE w:val="0"/>
        <w:autoSpaceDN w:val="0"/>
        <w:adjustRightInd w:val="0"/>
        <w:snapToGrid w:val="0"/>
        <w:spacing w:line="360" w:lineRule="auto"/>
        <w:ind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3.原件扫描件上均应加盖本单位电子公章，自然人投标的无需盖电子章，需要签字。</w:t>
      </w:r>
    </w:p>
    <w:p w14:paraId="2C198F87">
      <w:pPr>
        <w:pStyle w:val="67"/>
        <w:tabs>
          <w:tab w:val="left" w:pos="1322"/>
        </w:tabs>
        <w:autoSpaceDE w:val="0"/>
        <w:autoSpaceDN w:val="0"/>
        <w:adjustRightInd w:val="0"/>
        <w:snapToGrid w:val="0"/>
        <w:spacing w:line="360" w:lineRule="auto"/>
        <w:ind w:firstLine="696" w:firstLineChars="290"/>
        <w:jc w:val="left"/>
        <w:rPr>
          <w:rFonts w:hint="eastAsia" w:ascii="仿宋" w:hAnsi="仿宋" w:eastAsia="仿宋" w:cs="仿宋"/>
          <w:color w:val="auto"/>
          <w:sz w:val="24"/>
          <w:highlight w:val="none"/>
        </w:rPr>
      </w:pPr>
    </w:p>
    <w:p w14:paraId="30D72EEE">
      <w:pPr>
        <w:pStyle w:val="67"/>
        <w:tabs>
          <w:tab w:val="left" w:pos="1322"/>
        </w:tabs>
        <w:autoSpaceDE w:val="0"/>
        <w:autoSpaceDN w:val="0"/>
        <w:adjustRightInd w:val="0"/>
        <w:snapToGrid w:val="0"/>
        <w:spacing w:line="360" w:lineRule="auto"/>
        <w:ind w:firstLine="696" w:firstLineChars="290"/>
        <w:jc w:val="left"/>
        <w:rPr>
          <w:rFonts w:hint="eastAsia" w:ascii="仿宋" w:hAnsi="仿宋" w:eastAsia="仿宋" w:cs="仿宋"/>
          <w:color w:val="auto"/>
          <w:sz w:val="24"/>
          <w:highlight w:val="none"/>
        </w:rPr>
      </w:pPr>
    </w:p>
    <w:p w14:paraId="15A627F6">
      <w:pPr>
        <w:pStyle w:val="67"/>
        <w:tabs>
          <w:tab w:val="left" w:pos="1322"/>
        </w:tabs>
        <w:autoSpaceDE w:val="0"/>
        <w:autoSpaceDN w:val="0"/>
        <w:adjustRightInd w:val="0"/>
        <w:snapToGrid w:val="0"/>
        <w:spacing w:line="360" w:lineRule="auto"/>
        <w:ind w:firstLine="696" w:firstLineChars="290"/>
        <w:jc w:val="left"/>
        <w:rPr>
          <w:rFonts w:hint="eastAsia" w:ascii="仿宋" w:hAnsi="仿宋" w:eastAsia="仿宋" w:cs="仿宋"/>
          <w:color w:val="auto"/>
          <w:sz w:val="24"/>
          <w:highlight w:val="none"/>
        </w:rPr>
      </w:pPr>
    </w:p>
    <w:p w14:paraId="1A645887">
      <w:pPr>
        <w:pStyle w:val="67"/>
        <w:tabs>
          <w:tab w:val="left" w:pos="1322"/>
        </w:tabs>
        <w:autoSpaceDE w:val="0"/>
        <w:autoSpaceDN w:val="0"/>
        <w:adjustRightInd w:val="0"/>
        <w:snapToGrid w:val="0"/>
        <w:spacing w:line="360" w:lineRule="auto"/>
        <w:ind w:firstLine="696" w:firstLineChars="290"/>
        <w:jc w:val="left"/>
        <w:rPr>
          <w:rFonts w:hint="eastAsia" w:ascii="仿宋" w:hAnsi="仿宋" w:eastAsia="仿宋" w:cs="仿宋"/>
          <w:color w:val="auto"/>
          <w:sz w:val="24"/>
          <w:highlight w:val="none"/>
        </w:rPr>
        <w:sectPr>
          <w:pgSz w:w="11906" w:h="16838"/>
          <w:pgMar w:top="1440" w:right="1800" w:bottom="1440" w:left="1800" w:header="851" w:footer="992" w:gutter="0"/>
          <w:cols w:space="720" w:num="1"/>
          <w:docGrid w:type="lines" w:linePitch="312" w:charSpace="0"/>
        </w:sectPr>
      </w:pPr>
    </w:p>
    <w:p w14:paraId="6FBC3E59">
      <w:pPr>
        <w:spacing w:line="360" w:lineRule="auto"/>
        <w:rPr>
          <w:rFonts w:hint="eastAsia" w:ascii="仿宋" w:hAnsi="仿宋" w:eastAsia="仿宋" w:cs="仿宋"/>
          <w:b/>
          <w:color w:val="auto"/>
          <w:sz w:val="24"/>
          <w:highlight w:val="none"/>
        </w:rPr>
      </w:pPr>
      <w:bookmarkStart w:id="72" w:name="_Toc22438"/>
      <w:bookmarkStart w:id="73" w:name="_Toc22532"/>
      <w:r>
        <w:rPr>
          <w:rFonts w:hint="eastAsia" w:ascii="仿宋" w:hAnsi="仿宋" w:eastAsia="仿宋" w:cs="仿宋"/>
          <w:b/>
          <w:color w:val="auto"/>
          <w:sz w:val="24"/>
          <w:highlight w:val="none"/>
        </w:rPr>
        <w:t>附件 3：投标人综合情况（格式）</w:t>
      </w:r>
      <w:bookmarkEnd w:id="72"/>
      <w:bookmarkEnd w:id="73"/>
    </w:p>
    <w:p w14:paraId="4788985F">
      <w:pPr>
        <w:spacing w:line="360" w:lineRule="auto"/>
        <w:rPr>
          <w:rFonts w:hint="eastAsia" w:ascii="仿宋" w:hAnsi="仿宋" w:eastAsia="仿宋" w:cs="仿宋"/>
          <w:b/>
          <w:color w:val="auto"/>
          <w:sz w:val="24"/>
          <w:highlight w:val="none"/>
        </w:rPr>
      </w:pPr>
      <w:bookmarkStart w:id="74" w:name="_Toc5632"/>
      <w:bookmarkStart w:id="75" w:name="_Toc11568"/>
      <w:r>
        <w:rPr>
          <w:rFonts w:hint="eastAsia" w:ascii="仿宋" w:hAnsi="仿宋" w:eastAsia="仿宋" w:cs="仿宋"/>
          <w:b/>
          <w:color w:val="auto"/>
          <w:sz w:val="24"/>
          <w:highlight w:val="none"/>
        </w:rPr>
        <w:t>附件 3-1 投标人综合情况一览表</w:t>
      </w:r>
      <w:bookmarkEnd w:id="74"/>
      <w:bookmarkEnd w:id="75"/>
    </w:p>
    <w:p w14:paraId="0AA46A1D">
      <w:pPr>
        <w:pStyle w:val="14"/>
        <w:spacing w:before="6" w:line="360" w:lineRule="auto"/>
        <w:rPr>
          <w:rFonts w:hint="eastAsia" w:ascii="仿宋" w:hAnsi="仿宋" w:eastAsia="仿宋" w:cs="仿宋"/>
          <w:b/>
          <w:color w:val="auto"/>
          <w:highlight w:val="none"/>
        </w:rPr>
      </w:pPr>
    </w:p>
    <w:tbl>
      <w:tblPr>
        <w:tblStyle w:val="31"/>
        <w:tblW w:w="881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85"/>
        <w:gridCol w:w="1072"/>
        <w:gridCol w:w="1802"/>
        <w:gridCol w:w="714"/>
        <w:gridCol w:w="95"/>
        <w:gridCol w:w="441"/>
        <w:gridCol w:w="922"/>
        <w:gridCol w:w="343"/>
        <w:gridCol w:w="722"/>
        <w:gridCol w:w="720"/>
      </w:tblGrid>
      <w:tr w14:paraId="3098DF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8" w:hRule="atLeast"/>
          <w:jc w:val="center"/>
        </w:trPr>
        <w:tc>
          <w:tcPr>
            <w:tcW w:w="1985" w:type="dxa"/>
            <w:tcBorders>
              <w:bottom w:val="single" w:color="000000" w:sz="6" w:space="0"/>
              <w:right w:val="single" w:color="000000" w:sz="6" w:space="0"/>
            </w:tcBorders>
            <w:noWrap w:val="0"/>
            <w:vAlign w:val="top"/>
          </w:tcPr>
          <w:p w14:paraId="30D21A1E">
            <w:pPr>
              <w:pStyle w:val="76"/>
              <w:spacing w:before="153"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rPr>
              <w:t>投标人</w:t>
            </w:r>
            <w:r>
              <w:rPr>
                <w:rFonts w:hint="eastAsia" w:ascii="仿宋" w:hAnsi="仿宋" w:eastAsia="仿宋" w:cs="仿宋"/>
                <w:color w:val="auto"/>
                <w:szCs w:val="21"/>
                <w:highlight w:val="none"/>
              </w:rPr>
              <w:t>名称</w:t>
            </w:r>
          </w:p>
        </w:tc>
        <w:tc>
          <w:tcPr>
            <w:tcW w:w="6831" w:type="dxa"/>
            <w:gridSpan w:val="9"/>
            <w:tcBorders>
              <w:left w:val="single" w:color="000000" w:sz="6" w:space="0"/>
              <w:bottom w:val="single" w:color="000000" w:sz="6" w:space="0"/>
            </w:tcBorders>
            <w:noWrap w:val="0"/>
            <w:vAlign w:val="top"/>
          </w:tcPr>
          <w:p w14:paraId="51B73211">
            <w:pPr>
              <w:pStyle w:val="76"/>
              <w:spacing w:before="153" w:line="360" w:lineRule="auto"/>
              <w:ind w:left="115"/>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（公章）</w:t>
            </w:r>
          </w:p>
        </w:tc>
      </w:tr>
      <w:tr w14:paraId="1667B35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1" w:hRule="atLeast"/>
          <w:jc w:val="center"/>
        </w:trPr>
        <w:tc>
          <w:tcPr>
            <w:tcW w:w="1985" w:type="dxa"/>
            <w:tcBorders>
              <w:top w:val="single" w:color="000000" w:sz="6" w:space="0"/>
              <w:bottom w:val="single" w:color="000000" w:sz="6" w:space="0"/>
              <w:right w:val="single" w:color="000000" w:sz="6" w:space="0"/>
            </w:tcBorders>
            <w:noWrap w:val="0"/>
            <w:vAlign w:val="top"/>
          </w:tcPr>
          <w:p w14:paraId="69327C80">
            <w:pPr>
              <w:pStyle w:val="76"/>
              <w:spacing w:before="148"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注册地址</w:t>
            </w:r>
          </w:p>
        </w:tc>
        <w:tc>
          <w:tcPr>
            <w:tcW w:w="3683" w:type="dxa"/>
            <w:gridSpan w:val="4"/>
            <w:tcBorders>
              <w:top w:val="single" w:color="000000" w:sz="6" w:space="0"/>
              <w:left w:val="single" w:color="000000" w:sz="6" w:space="0"/>
              <w:bottom w:val="single" w:color="000000" w:sz="6" w:space="0"/>
              <w:right w:val="single" w:color="000000" w:sz="6" w:space="0"/>
            </w:tcBorders>
            <w:noWrap w:val="0"/>
            <w:vAlign w:val="top"/>
          </w:tcPr>
          <w:p w14:paraId="3938EF33">
            <w:pPr>
              <w:pStyle w:val="76"/>
              <w:spacing w:line="360" w:lineRule="auto"/>
              <w:rPr>
                <w:rFonts w:hint="eastAsia" w:ascii="仿宋" w:hAnsi="仿宋" w:eastAsia="仿宋" w:cs="仿宋"/>
                <w:color w:val="auto"/>
                <w:szCs w:val="21"/>
                <w:highlight w:val="none"/>
              </w:rPr>
            </w:pPr>
          </w:p>
        </w:tc>
        <w:tc>
          <w:tcPr>
            <w:tcW w:w="1363" w:type="dxa"/>
            <w:gridSpan w:val="2"/>
            <w:tcBorders>
              <w:top w:val="single" w:color="000000" w:sz="6" w:space="0"/>
              <w:left w:val="single" w:color="000000" w:sz="6" w:space="0"/>
              <w:bottom w:val="single" w:color="000000" w:sz="6" w:space="0"/>
              <w:right w:val="single" w:color="000000" w:sz="6" w:space="0"/>
            </w:tcBorders>
            <w:noWrap w:val="0"/>
            <w:vAlign w:val="top"/>
          </w:tcPr>
          <w:p w14:paraId="5CBC2DF6">
            <w:pPr>
              <w:pStyle w:val="76"/>
              <w:spacing w:before="148" w:line="360" w:lineRule="auto"/>
              <w:ind w:left="119"/>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785" w:type="dxa"/>
            <w:gridSpan w:val="3"/>
            <w:tcBorders>
              <w:top w:val="single" w:color="000000" w:sz="6" w:space="0"/>
              <w:left w:val="single" w:color="000000" w:sz="6" w:space="0"/>
              <w:bottom w:val="single" w:color="000000" w:sz="6" w:space="0"/>
            </w:tcBorders>
            <w:noWrap w:val="0"/>
            <w:vAlign w:val="top"/>
          </w:tcPr>
          <w:p w14:paraId="1FBFB3DE">
            <w:pPr>
              <w:pStyle w:val="76"/>
              <w:spacing w:line="360" w:lineRule="auto"/>
              <w:rPr>
                <w:rFonts w:hint="eastAsia" w:ascii="仿宋" w:hAnsi="仿宋" w:eastAsia="仿宋" w:cs="仿宋"/>
                <w:color w:val="auto"/>
                <w:szCs w:val="21"/>
                <w:highlight w:val="none"/>
              </w:rPr>
            </w:pPr>
          </w:p>
        </w:tc>
      </w:tr>
      <w:tr w14:paraId="4472584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9" w:hRule="atLeast"/>
          <w:jc w:val="center"/>
        </w:trPr>
        <w:tc>
          <w:tcPr>
            <w:tcW w:w="1985" w:type="dxa"/>
            <w:vMerge w:val="restart"/>
            <w:tcBorders>
              <w:top w:val="single" w:color="000000" w:sz="6" w:space="0"/>
              <w:bottom w:val="single" w:color="000000" w:sz="6" w:space="0"/>
              <w:right w:val="single" w:color="000000" w:sz="6" w:space="0"/>
            </w:tcBorders>
            <w:noWrap w:val="0"/>
            <w:vAlign w:val="top"/>
          </w:tcPr>
          <w:p w14:paraId="6C552286">
            <w:pPr>
              <w:pStyle w:val="76"/>
              <w:spacing w:before="10" w:line="360" w:lineRule="auto"/>
              <w:rPr>
                <w:rFonts w:hint="eastAsia" w:ascii="仿宋" w:hAnsi="仿宋" w:eastAsia="仿宋" w:cs="仿宋"/>
                <w:b/>
                <w:color w:val="auto"/>
                <w:szCs w:val="21"/>
                <w:highlight w:val="none"/>
              </w:rPr>
            </w:pPr>
          </w:p>
          <w:p w14:paraId="20AE7DFF">
            <w:pPr>
              <w:pStyle w:val="76"/>
              <w:spacing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联系方式</w:t>
            </w:r>
          </w:p>
        </w:tc>
        <w:tc>
          <w:tcPr>
            <w:tcW w:w="1072" w:type="dxa"/>
            <w:tcBorders>
              <w:top w:val="single" w:color="000000" w:sz="6" w:space="0"/>
              <w:left w:val="single" w:color="000000" w:sz="6" w:space="0"/>
              <w:bottom w:val="single" w:color="000000" w:sz="6" w:space="0"/>
              <w:right w:val="single" w:color="000000" w:sz="6" w:space="0"/>
            </w:tcBorders>
            <w:noWrap w:val="0"/>
            <w:vAlign w:val="top"/>
          </w:tcPr>
          <w:p w14:paraId="220AAB73">
            <w:pPr>
              <w:pStyle w:val="76"/>
              <w:spacing w:before="143" w:line="360" w:lineRule="auto"/>
              <w:ind w:left="115"/>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联系人</w:t>
            </w:r>
          </w:p>
        </w:tc>
        <w:tc>
          <w:tcPr>
            <w:tcW w:w="2611" w:type="dxa"/>
            <w:gridSpan w:val="3"/>
            <w:tcBorders>
              <w:top w:val="single" w:color="000000" w:sz="6" w:space="0"/>
              <w:left w:val="single" w:color="000000" w:sz="6" w:space="0"/>
              <w:bottom w:val="single" w:color="000000" w:sz="6" w:space="0"/>
              <w:right w:val="single" w:color="000000" w:sz="6" w:space="0"/>
            </w:tcBorders>
            <w:noWrap w:val="0"/>
            <w:vAlign w:val="top"/>
          </w:tcPr>
          <w:p w14:paraId="005F0BC7">
            <w:pPr>
              <w:pStyle w:val="76"/>
              <w:spacing w:line="360" w:lineRule="auto"/>
              <w:rPr>
                <w:rFonts w:hint="eastAsia" w:ascii="仿宋" w:hAnsi="仿宋" w:eastAsia="仿宋" w:cs="仿宋"/>
                <w:color w:val="auto"/>
                <w:szCs w:val="21"/>
                <w:highlight w:val="none"/>
              </w:rPr>
            </w:pPr>
          </w:p>
        </w:tc>
        <w:tc>
          <w:tcPr>
            <w:tcW w:w="1363" w:type="dxa"/>
            <w:gridSpan w:val="2"/>
            <w:tcBorders>
              <w:top w:val="single" w:color="000000" w:sz="6" w:space="0"/>
              <w:left w:val="single" w:color="000000" w:sz="6" w:space="0"/>
              <w:bottom w:val="single" w:color="000000" w:sz="6" w:space="0"/>
              <w:right w:val="single" w:color="000000" w:sz="6" w:space="0"/>
            </w:tcBorders>
            <w:noWrap w:val="0"/>
            <w:vAlign w:val="top"/>
          </w:tcPr>
          <w:p w14:paraId="6122AAB3">
            <w:pPr>
              <w:pStyle w:val="76"/>
              <w:spacing w:before="143" w:line="360" w:lineRule="auto"/>
              <w:ind w:left="119"/>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1785" w:type="dxa"/>
            <w:gridSpan w:val="3"/>
            <w:tcBorders>
              <w:top w:val="single" w:color="000000" w:sz="6" w:space="0"/>
              <w:left w:val="single" w:color="000000" w:sz="6" w:space="0"/>
              <w:bottom w:val="single" w:color="000000" w:sz="6" w:space="0"/>
            </w:tcBorders>
            <w:noWrap w:val="0"/>
            <w:vAlign w:val="top"/>
          </w:tcPr>
          <w:p w14:paraId="78149B92">
            <w:pPr>
              <w:pStyle w:val="76"/>
              <w:spacing w:line="360" w:lineRule="auto"/>
              <w:rPr>
                <w:rFonts w:hint="eastAsia" w:ascii="仿宋" w:hAnsi="仿宋" w:eastAsia="仿宋" w:cs="仿宋"/>
                <w:color w:val="auto"/>
                <w:szCs w:val="21"/>
                <w:highlight w:val="none"/>
              </w:rPr>
            </w:pPr>
          </w:p>
        </w:tc>
      </w:tr>
      <w:tr w14:paraId="7AAAAD0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4" w:hRule="atLeast"/>
          <w:jc w:val="center"/>
        </w:trPr>
        <w:tc>
          <w:tcPr>
            <w:tcW w:w="1985" w:type="dxa"/>
            <w:vMerge w:val="continue"/>
            <w:tcBorders>
              <w:top w:val="nil"/>
              <w:bottom w:val="single" w:color="000000" w:sz="6" w:space="0"/>
              <w:right w:val="single" w:color="000000" w:sz="6" w:space="0"/>
            </w:tcBorders>
            <w:noWrap w:val="0"/>
            <w:vAlign w:val="top"/>
          </w:tcPr>
          <w:p w14:paraId="6ED6D388">
            <w:pPr>
              <w:spacing w:line="360" w:lineRule="auto"/>
              <w:rPr>
                <w:rFonts w:hint="eastAsia" w:ascii="仿宋" w:hAnsi="仿宋" w:eastAsia="仿宋" w:cs="仿宋"/>
                <w:color w:val="auto"/>
                <w:szCs w:val="21"/>
                <w:highlight w:val="none"/>
              </w:rPr>
            </w:pPr>
          </w:p>
        </w:tc>
        <w:tc>
          <w:tcPr>
            <w:tcW w:w="1072" w:type="dxa"/>
            <w:tcBorders>
              <w:top w:val="single" w:color="000000" w:sz="6" w:space="0"/>
              <w:left w:val="single" w:color="000000" w:sz="6" w:space="0"/>
              <w:bottom w:val="single" w:color="000000" w:sz="6" w:space="0"/>
              <w:right w:val="single" w:color="000000" w:sz="6" w:space="0"/>
            </w:tcBorders>
            <w:noWrap w:val="0"/>
            <w:vAlign w:val="top"/>
          </w:tcPr>
          <w:p w14:paraId="4D323572">
            <w:pPr>
              <w:pStyle w:val="76"/>
              <w:spacing w:before="151" w:line="360" w:lineRule="auto"/>
              <w:ind w:left="115"/>
              <w:rPr>
                <w:rFonts w:hint="eastAsia" w:ascii="仿宋" w:hAnsi="仿宋" w:eastAsia="仿宋" w:cs="仿宋"/>
                <w:color w:val="auto"/>
                <w:szCs w:val="21"/>
                <w:highlight w:val="none"/>
              </w:rPr>
            </w:pPr>
            <w:r>
              <w:rPr>
                <w:rFonts w:hint="eastAsia" w:ascii="仿宋" w:hAnsi="仿宋" w:eastAsia="仿宋" w:cs="仿宋"/>
                <w:color w:val="auto"/>
                <w:szCs w:val="21"/>
                <w:highlight w:val="none"/>
              </w:rPr>
              <w:t>传真</w:t>
            </w:r>
          </w:p>
        </w:tc>
        <w:tc>
          <w:tcPr>
            <w:tcW w:w="2611" w:type="dxa"/>
            <w:gridSpan w:val="3"/>
            <w:tcBorders>
              <w:top w:val="single" w:color="000000" w:sz="6" w:space="0"/>
              <w:left w:val="single" w:color="000000" w:sz="6" w:space="0"/>
              <w:bottom w:val="single" w:color="000000" w:sz="6" w:space="0"/>
              <w:right w:val="single" w:color="000000" w:sz="6" w:space="0"/>
            </w:tcBorders>
            <w:noWrap w:val="0"/>
            <w:vAlign w:val="top"/>
          </w:tcPr>
          <w:p w14:paraId="2D47105F">
            <w:pPr>
              <w:pStyle w:val="76"/>
              <w:spacing w:line="360" w:lineRule="auto"/>
              <w:rPr>
                <w:rFonts w:hint="eastAsia" w:ascii="仿宋" w:hAnsi="仿宋" w:eastAsia="仿宋" w:cs="仿宋"/>
                <w:color w:val="auto"/>
                <w:szCs w:val="21"/>
                <w:highlight w:val="none"/>
              </w:rPr>
            </w:pPr>
          </w:p>
        </w:tc>
        <w:tc>
          <w:tcPr>
            <w:tcW w:w="1363" w:type="dxa"/>
            <w:gridSpan w:val="2"/>
            <w:tcBorders>
              <w:top w:val="single" w:color="000000" w:sz="6" w:space="0"/>
              <w:left w:val="single" w:color="000000" w:sz="6" w:space="0"/>
              <w:bottom w:val="single" w:color="000000" w:sz="6" w:space="0"/>
              <w:right w:val="single" w:color="000000" w:sz="6" w:space="0"/>
            </w:tcBorders>
            <w:noWrap w:val="0"/>
            <w:vAlign w:val="top"/>
          </w:tcPr>
          <w:p w14:paraId="6AD20452">
            <w:pPr>
              <w:pStyle w:val="76"/>
              <w:spacing w:before="151" w:line="360" w:lineRule="auto"/>
              <w:ind w:left="119"/>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邮箱</w:t>
            </w:r>
          </w:p>
        </w:tc>
        <w:tc>
          <w:tcPr>
            <w:tcW w:w="1785" w:type="dxa"/>
            <w:gridSpan w:val="3"/>
            <w:tcBorders>
              <w:top w:val="single" w:color="000000" w:sz="6" w:space="0"/>
              <w:left w:val="single" w:color="000000" w:sz="6" w:space="0"/>
              <w:bottom w:val="single" w:color="000000" w:sz="6" w:space="0"/>
            </w:tcBorders>
            <w:noWrap w:val="0"/>
            <w:vAlign w:val="top"/>
          </w:tcPr>
          <w:p w14:paraId="34CC476A">
            <w:pPr>
              <w:pStyle w:val="76"/>
              <w:spacing w:line="360" w:lineRule="auto"/>
              <w:rPr>
                <w:rFonts w:hint="eastAsia" w:ascii="仿宋" w:hAnsi="仿宋" w:eastAsia="仿宋" w:cs="仿宋"/>
                <w:color w:val="auto"/>
                <w:szCs w:val="21"/>
                <w:highlight w:val="none"/>
              </w:rPr>
            </w:pPr>
          </w:p>
        </w:tc>
      </w:tr>
      <w:tr w14:paraId="6FCC19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3" w:hRule="atLeast"/>
          <w:jc w:val="center"/>
        </w:trPr>
        <w:tc>
          <w:tcPr>
            <w:tcW w:w="1985" w:type="dxa"/>
            <w:tcBorders>
              <w:top w:val="single" w:color="000000" w:sz="6" w:space="0"/>
              <w:bottom w:val="single" w:color="000000" w:sz="6" w:space="0"/>
              <w:right w:val="single" w:color="000000" w:sz="6" w:space="0"/>
            </w:tcBorders>
            <w:noWrap w:val="0"/>
            <w:vAlign w:val="top"/>
          </w:tcPr>
          <w:p w14:paraId="4C4507EF">
            <w:pPr>
              <w:pStyle w:val="76"/>
              <w:spacing w:before="151" w:line="360" w:lineRule="auto"/>
              <w:ind w:left="107" w:right="-44"/>
              <w:rPr>
                <w:rFonts w:hint="eastAsia" w:ascii="仿宋" w:hAnsi="仿宋" w:eastAsia="仿宋" w:cs="仿宋"/>
                <w:color w:val="auto"/>
                <w:szCs w:val="21"/>
                <w:highlight w:val="none"/>
              </w:rPr>
            </w:pPr>
            <w:r>
              <w:rPr>
                <w:rFonts w:hint="eastAsia" w:ascii="仿宋" w:hAnsi="仿宋" w:eastAsia="仿宋" w:cs="仿宋"/>
                <w:color w:val="auto"/>
                <w:spacing w:val="-8"/>
                <w:szCs w:val="21"/>
                <w:highlight w:val="none"/>
              </w:rPr>
              <w:t>隶属情况</w:t>
            </w:r>
            <w:r>
              <w:rPr>
                <w:rFonts w:hint="eastAsia" w:ascii="仿宋" w:hAnsi="仿宋" w:eastAsia="仿宋" w:cs="仿宋"/>
                <w:color w:val="auto"/>
                <w:szCs w:val="21"/>
                <w:highlight w:val="none"/>
              </w:rPr>
              <w:t>（如有）</w:t>
            </w:r>
          </w:p>
        </w:tc>
        <w:tc>
          <w:tcPr>
            <w:tcW w:w="6831" w:type="dxa"/>
            <w:gridSpan w:val="9"/>
            <w:tcBorders>
              <w:top w:val="single" w:color="000000" w:sz="6" w:space="0"/>
              <w:left w:val="single" w:color="000000" w:sz="6" w:space="0"/>
              <w:bottom w:val="single" w:color="000000" w:sz="6" w:space="0"/>
            </w:tcBorders>
            <w:noWrap w:val="0"/>
            <w:vAlign w:val="top"/>
          </w:tcPr>
          <w:p w14:paraId="7DC055D4">
            <w:pPr>
              <w:pStyle w:val="76"/>
              <w:spacing w:before="151" w:line="360" w:lineRule="auto"/>
              <w:ind w:left="115"/>
              <w:rPr>
                <w:rFonts w:hint="eastAsia" w:ascii="仿宋" w:hAnsi="仿宋" w:eastAsia="仿宋" w:cs="仿宋"/>
                <w:color w:val="auto"/>
                <w:szCs w:val="21"/>
                <w:highlight w:val="none"/>
              </w:rPr>
            </w:pPr>
            <w:r>
              <w:rPr>
                <w:rFonts w:hint="eastAsia" w:ascii="仿宋" w:hAnsi="仿宋" w:eastAsia="仿宋" w:cs="仿宋"/>
                <w:color w:val="auto"/>
                <w:szCs w:val="21"/>
                <w:highlight w:val="none"/>
              </w:rPr>
              <w:t>阐明隶属及组织机构情况</w:t>
            </w:r>
          </w:p>
        </w:tc>
      </w:tr>
      <w:tr w14:paraId="05A6D2B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1" w:hRule="atLeast"/>
          <w:jc w:val="center"/>
        </w:trPr>
        <w:tc>
          <w:tcPr>
            <w:tcW w:w="1985" w:type="dxa"/>
            <w:tcBorders>
              <w:top w:val="single" w:color="000000" w:sz="6" w:space="0"/>
              <w:bottom w:val="single" w:color="000000" w:sz="6" w:space="0"/>
              <w:right w:val="single" w:color="000000" w:sz="6" w:space="0"/>
            </w:tcBorders>
            <w:noWrap w:val="0"/>
            <w:vAlign w:val="top"/>
          </w:tcPr>
          <w:p w14:paraId="3A2A411C">
            <w:pPr>
              <w:pStyle w:val="76"/>
              <w:spacing w:before="151" w:line="360" w:lineRule="auto"/>
              <w:ind w:left="107" w:right="-44"/>
              <w:rPr>
                <w:rFonts w:hint="eastAsia" w:ascii="仿宋" w:hAnsi="仿宋" w:eastAsia="仿宋" w:cs="仿宋"/>
                <w:color w:val="auto"/>
                <w:szCs w:val="21"/>
                <w:highlight w:val="none"/>
              </w:rPr>
            </w:pPr>
            <w:r>
              <w:rPr>
                <w:rFonts w:hint="eastAsia" w:ascii="仿宋" w:hAnsi="仿宋" w:eastAsia="仿宋" w:cs="仿宋"/>
                <w:color w:val="auto"/>
                <w:spacing w:val="-8"/>
                <w:szCs w:val="21"/>
                <w:highlight w:val="none"/>
              </w:rPr>
              <w:t>控股情况</w:t>
            </w:r>
            <w:r>
              <w:rPr>
                <w:rFonts w:hint="eastAsia" w:ascii="仿宋" w:hAnsi="仿宋" w:eastAsia="仿宋" w:cs="仿宋"/>
                <w:color w:val="auto"/>
                <w:szCs w:val="21"/>
                <w:highlight w:val="none"/>
              </w:rPr>
              <w:t>（如有）</w:t>
            </w:r>
          </w:p>
        </w:tc>
        <w:tc>
          <w:tcPr>
            <w:tcW w:w="6831" w:type="dxa"/>
            <w:gridSpan w:val="9"/>
            <w:tcBorders>
              <w:top w:val="single" w:color="000000" w:sz="6" w:space="0"/>
              <w:left w:val="single" w:color="000000" w:sz="6" w:space="0"/>
              <w:bottom w:val="single" w:color="000000" w:sz="6" w:space="0"/>
            </w:tcBorders>
            <w:noWrap w:val="0"/>
            <w:vAlign w:val="top"/>
          </w:tcPr>
          <w:p w14:paraId="08A98A3D">
            <w:pPr>
              <w:pStyle w:val="76"/>
              <w:spacing w:before="151" w:line="360" w:lineRule="auto"/>
              <w:ind w:left="115"/>
              <w:rPr>
                <w:rFonts w:hint="eastAsia" w:ascii="仿宋" w:hAnsi="仿宋" w:eastAsia="仿宋" w:cs="仿宋"/>
                <w:color w:val="auto"/>
                <w:szCs w:val="21"/>
                <w:highlight w:val="none"/>
              </w:rPr>
            </w:pPr>
            <w:r>
              <w:rPr>
                <w:rFonts w:hint="eastAsia" w:ascii="仿宋" w:hAnsi="仿宋" w:eastAsia="仿宋" w:cs="仿宋"/>
                <w:color w:val="auto"/>
                <w:szCs w:val="21"/>
                <w:highlight w:val="none"/>
              </w:rPr>
              <w:t>阐明控股和被控股情况</w:t>
            </w:r>
          </w:p>
        </w:tc>
      </w:tr>
      <w:tr w14:paraId="0C6D823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4" w:hRule="atLeast"/>
          <w:jc w:val="center"/>
        </w:trPr>
        <w:tc>
          <w:tcPr>
            <w:tcW w:w="1985" w:type="dxa"/>
            <w:tcBorders>
              <w:top w:val="single" w:color="000000" w:sz="6" w:space="0"/>
              <w:bottom w:val="single" w:color="000000" w:sz="6" w:space="0"/>
              <w:right w:val="single" w:color="000000" w:sz="6" w:space="0"/>
            </w:tcBorders>
            <w:noWrap w:val="0"/>
            <w:vAlign w:val="top"/>
          </w:tcPr>
          <w:p w14:paraId="1FAC62CA">
            <w:pPr>
              <w:pStyle w:val="76"/>
              <w:spacing w:before="141"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组织结构</w:t>
            </w:r>
          </w:p>
        </w:tc>
        <w:tc>
          <w:tcPr>
            <w:tcW w:w="6831" w:type="dxa"/>
            <w:gridSpan w:val="9"/>
            <w:tcBorders>
              <w:top w:val="single" w:color="000000" w:sz="6" w:space="0"/>
              <w:left w:val="single" w:color="000000" w:sz="6" w:space="0"/>
              <w:bottom w:val="single" w:color="000000" w:sz="6" w:space="0"/>
            </w:tcBorders>
            <w:noWrap w:val="0"/>
            <w:vAlign w:val="top"/>
          </w:tcPr>
          <w:p w14:paraId="7B316DAD">
            <w:pPr>
              <w:pStyle w:val="76"/>
              <w:spacing w:line="360" w:lineRule="auto"/>
              <w:rPr>
                <w:rFonts w:hint="eastAsia" w:ascii="仿宋" w:hAnsi="仿宋" w:eastAsia="仿宋" w:cs="仿宋"/>
                <w:color w:val="auto"/>
                <w:szCs w:val="21"/>
                <w:highlight w:val="none"/>
              </w:rPr>
            </w:pPr>
          </w:p>
        </w:tc>
      </w:tr>
      <w:tr w14:paraId="117E668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jc w:val="center"/>
        </w:trPr>
        <w:tc>
          <w:tcPr>
            <w:tcW w:w="1985" w:type="dxa"/>
            <w:tcBorders>
              <w:top w:val="single" w:color="000000" w:sz="6" w:space="0"/>
              <w:bottom w:val="single" w:color="000000" w:sz="6" w:space="0"/>
              <w:right w:val="single" w:color="000000" w:sz="6" w:space="0"/>
            </w:tcBorders>
            <w:noWrap w:val="0"/>
            <w:vAlign w:val="top"/>
          </w:tcPr>
          <w:p w14:paraId="0917581C">
            <w:pPr>
              <w:pStyle w:val="76"/>
              <w:spacing w:before="155"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简介</w:t>
            </w:r>
          </w:p>
        </w:tc>
        <w:tc>
          <w:tcPr>
            <w:tcW w:w="6831" w:type="dxa"/>
            <w:gridSpan w:val="9"/>
            <w:tcBorders>
              <w:top w:val="single" w:color="000000" w:sz="6" w:space="0"/>
              <w:left w:val="single" w:color="000000" w:sz="6" w:space="0"/>
              <w:bottom w:val="single" w:color="000000" w:sz="6" w:space="0"/>
            </w:tcBorders>
            <w:noWrap w:val="0"/>
            <w:vAlign w:val="top"/>
          </w:tcPr>
          <w:p w14:paraId="76EF6085">
            <w:pPr>
              <w:pStyle w:val="76"/>
              <w:spacing w:line="360" w:lineRule="auto"/>
              <w:ind w:left="115" w:right="-58"/>
              <w:rPr>
                <w:rFonts w:hint="eastAsia" w:ascii="仿宋" w:hAnsi="仿宋" w:eastAsia="仿宋" w:cs="仿宋"/>
                <w:color w:val="auto"/>
                <w:szCs w:val="21"/>
                <w:highlight w:val="none"/>
              </w:rPr>
            </w:pPr>
            <w:r>
              <w:rPr>
                <w:rFonts w:hint="eastAsia" w:ascii="仿宋" w:hAnsi="仿宋" w:eastAsia="仿宋" w:cs="仿宋"/>
                <w:color w:val="auto"/>
                <w:spacing w:val="-16"/>
                <w:szCs w:val="21"/>
                <w:highlight w:val="none"/>
              </w:rPr>
              <w:t>包括但不限于：企业经营范围、发展历程、经营业绩、获奖情况、</w:t>
            </w:r>
            <w:r>
              <w:rPr>
                <w:rFonts w:hint="eastAsia" w:ascii="仿宋" w:hAnsi="仿宋" w:eastAsia="仿宋" w:cs="仿宋"/>
                <w:color w:val="auto"/>
                <w:szCs w:val="21"/>
                <w:highlight w:val="none"/>
              </w:rPr>
              <w:t>财务状况、人力资源等。（可另附页）</w:t>
            </w:r>
          </w:p>
        </w:tc>
      </w:tr>
      <w:tr w14:paraId="0F2A3E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9" w:hRule="atLeast"/>
          <w:jc w:val="center"/>
        </w:trPr>
        <w:tc>
          <w:tcPr>
            <w:tcW w:w="1985" w:type="dxa"/>
            <w:tcBorders>
              <w:top w:val="single" w:color="000000" w:sz="6" w:space="0"/>
              <w:bottom w:val="single" w:color="000000" w:sz="6" w:space="0"/>
              <w:right w:val="single" w:color="000000" w:sz="6" w:space="0"/>
            </w:tcBorders>
            <w:noWrap w:val="0"/>
            <w:vAlign w:val="top"/>
          </w:tcPr>
          <w:p w14:paraId="4BE92AB8">
            <w:pPr>
              <w:pStyle w:val="76"/>
              <w:spacing w:before="144"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w:t>
            </w:r>
          </w:p>
        </w:tc>
        <w:tc>
          <w:tcPr>
            <w:tcW w:w="1072" w:type="dxa"/>
            <w:tcBorders>
              <w:top w:val="single" w:color="000000" w:sz="6" w:space="0"/>
              <w:left w:val="single" w:color="000000" w:sz="6" w:space="0"/>
              <w:bottom w:val="single" w:color="000000" w:sz="6" w:space="0"/>
              <w:right w:val="single" w:color="000000" w:sz="6" w:space="0"/>
            </w:tcBorders>
            <w:noWrap w:val="0"/>
            <w:vAlign w:val="top"/>
          </w:tcPr>
          <w:p w14:paraId="3A01A6B7">
            <w:pPr>
              <w:pStyle w:val="76"/>
              <w:spacing w:before="144" w:line="360" w:lineRule="auto"/>
              <w:ind w:left="115"/>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p>
        </w:tc>
        <w:tc>
          <w:tcPr>
            <w:tcW w:w="1802" w:type="dxa"/>
            <w:tcBorders>
              <w:top w:val="single" w:color="000000" w:sz="6" w:space="0"/>
              <w:left w:val="single" w:color="000000" w:sz="6" w:space="0"/>
              <w:bottom w:val="single" w:color="000000" w:sz="6" w:space="0"/>
              <w:right w:val="single" w:color="000000" w:sz="6" w:space="0"/>
            </w:tcBorders>
            <w:noWrap w:val="0"/>
            <w:vAlign w:val="top"/>
          </w:tcPr>
          <w:p w14:paraId="1CAB95B8">
            <w:pPr>
              <w:pStyle w:val="76"/>
              <w:spacing w:line="360" w:lineRule="auto"/>
              <w:rPr>
                <w:rFonts w:hint="eastAsia" w:ascii="仿宋" w:hAnsi="仿宋" w:eastAsia="仿宋" w:cs="仿宋"/>
                <w:color w:val="auto"/>
                <w:szCs w:val="21"/>
                <w:highlight w:val="none"/>
              </w:rPr>
            </w:pPr>
          </w:p>
        </w:tc>
        <w:tc>
          <w:tcPr>
            <w:tcW w:w="1250" w:type="dxa"/>
            <w:gridSpan w:val="3"/>
            <w:tcBorders>
              <w:top w:val="single" w:color="000000" w:sz="6" w:space="0"/>
              <w:left w:val="single" w:color="000000" w:sz="6" w:space="0"/>
              <w:bottom w:val="single" w:color="000000" w:sz="6" w:space="0"/>
              <w:right w:val="single" w:color="000000" w:sz="6" w:space="0"/>
            </w:tcBorders>
            <w:noWrap w:val="0"/>
            <w:vAlign w:val="top"/>
          </w:tcPr>
          <w:p w14:paraId="12CD6EAB">
            <w:pPr>
              <w:pStyle w:val="76"/>
              <w:spacing w:before="144" w:line="360" w:lineRule="auto"/>
              <w:ind w:left="116"/>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技术职称</w:t>
            </w:r>
          </w:p>
        </w:tc>
        <w:tc>
          <w:tcPr>
            <w:tcW w:w="1265" w:type="dxa"/>
            <w:gridSpan w:val="2"/>
            <w:tcBorders>
              <w:top w:val="single" w:color="000000" w:sz="6" w:space="0"/>
              <w:left w:val="single" w:color="000000" w:sz="6" w:space="0"/>
              <w:bottom w:val="single" w:color="000000" w:sz="6" w:space="0"/>
              <w:right w:val="single" w:color="000000" w:sz="6" w:space="0"/>
            </w:tcBorders>
            <w:noWrap w:val="0"/>
            <w:vAlign w:val="top"/>
          </w:tcPr>
          <w:p w14:paraId="0AB0A26D">
            <w:pPr>
              <w:pStyle w:val="76"/>
              <w:spacing w:line="360" w:lineRule="auto"/>
              <w:rPr>
                <w:rFonts w:hint="eastAsia" w:ascii="仿宋" w:hAnsi="仿宋" w:eastAsia="仿宋" w:cs="仿宋"/>
                <w:color w:val="auto"/>
                <w:szCs w:val="21"/>
                <w:highlight w:val="none"/>
              </w:rPr>
            </w:pPr>
          </w:p>
        </w:tc>
        <w:tc>
          <w:tcPr>
            <w:tcW w:w="722" w:type="dxa"/>
            <w:tcBorders>
              <w:top w:val="single" w:color="000000" w:sz="6" w:space="0"/>
              <w:left w:val="single" w:color="000000" w:sz="6" w:space="0"/>
              <w:bottom w:val="single" w:color="000000" w:sz="6" w:space="0"/>
              <w:right w:val="single" w:color="000000" w:sz="6" w:space="0"/>
            </w:tcBorders>
            <w:noWrap w:val="0"/>
            <w:vAlign w:val="top"/>
          </w:tcPr>
          <w:p w14:paraId="068CDBFD">
            <w:pPr>
              <w:pStyle w:val="76"/>
              <w:spacing w:before="144" w:line="360" w:lineRule="auto"/>
              <w:ind w:right="104"/>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720" w:type="dxa"/>
            <w:tcBorders>
              <w:top w:val="single" w:color="000000" w:sz="6" w:space="0"/>
              <w:left w:val="single" w:color="000000" w:sz="6" w:space="0"/>
              <w:bottom w:val="single" w:color="000000" w:sz="6" w:space="0"/>
            </w:tcBorders>
            <w:noWrap w:val="0"/>
            <w:vAlign w:val="top"/>
          </w:tcPr>
          <w:p w14:paraId="01B9415C">
            <w:pPr>
              <w:pStyle w:val="76"/>
              <w:spacing w:line="360" w:lineRule="auto"/>
              <w:rPr>
                <w:rFonts w:hint="eastAsia" w:ascii="仿宋" w:hAnsi="仿宋" w:eastAsia="仿宋" w:cs="仿宋"/>
                <w:color w:val="auto"/>
                <w:szCs w:val="21"/>
                <w:highlight w:val="none"/>
              </w:rPr>
            </w:pPr>
          </w:p>
        </w:tc>
      </w:tr>
      <w:tr w14:paraId="645055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5" w:hRule="atLeast"/>
          <w:jc w:val="center"/>
        </w:trPr>
        <w:tc>
          <w:tcPr>
            <w:tcW w:w="1985" w:type="dxa"/>
            <w:tcBorders>
              <w:top w:val="single" w:color="000000" w:sz="6" w:space="0"/>
              <w:bottom w:val="single" w:color="000000" w:sz="6" w:space="0"/>
              <w:right w:val="single" w:color="000000" w:sz="6" w:space="0"/>
            </w:tcBorders>
            <w:noWrap w:val="0"/>
            <w:vAlign w:val="top"/>
          </w:tcPr>
          <w:p w14:paraId="371273E0">
            <w:pPr>
              <w:pStyle w:val="76"/>
              <w:spacing w:before="158"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技术负责人</w:t>
            </w:r>
          </w:p>
        </w:tc>
        <w:tc>
          <w:tcPr>
            <w:tcW w:w="1072" w:type="dxa"/>
            <w:tcBorders>
              <w:top w:val="single" w:color="000000" w:sz="6" w:space="0"/>
              <w:left w:val="single" w:color="000000" w:sz="6" w:space="0"/>
              <w:bottom w:val="single" w:color="000000" w:sz="6" w:space="0"/>
              <w:right w:val="single" w:color="000000" w:sz="6" w:space="0"/>
            </w:tcBorders>
            <w:noWrap w:val="0"/>
            <w:vAlign w:val="top"/>
          </w:tcPr>
          <w:p w14:paraId="6AE5A5F2">
            <w:pPr>
              <w:pStyle w:val="76"/>
              <w:spacing w:before="158" w:line="360" w:lineRule="auto"/>
              <w:ind w:left="115"/>
              <w:rPr>
                <w:rFonts w:hint="eastAsia" w:ascii="仿宋" w:hAnsi="仿宋" w:eastAsia="仿宋" w:cs="仿宋"/>
                <w:color w:val="auto"/>
                <w:szCs w:val="21"/>
                <w:highlight w:val="none"/>
              </w:rPr>
            </w:pPr>
            <w:r>
              <w:rPr>
                <w:rFonts w:hint="eastAsia" w:ascii="仿宋" w:hAnsi="仿宋" w:eastAsia="仿宋" w:cs="仿宋"/>
                <w:color w:val="auto"/>
                <w:szCs w:val="21"/>
                <w:highlight w:val="none"/>
              </w:rPr>
              <w:t>姓名</w:t>
            </w:r>
          </w:p>
        </w:tc>
        <w:tc>
          <w:tcPr>
            <w:tcW w:w="1802" w:type="dxa"/>
            <w:tcBorders>
              <w:top w:val="single" w:color="000000" w:sz="6" w:space="0"/>
              <w:left w:val="single" w:color="000000" w:sz="6" w:space="0"/>
              <w:bottom w:val="single" w:color="000000" w:sz="6" w:space="0"/>
              <w:right w:val="single" w:color="000000" w:sz="6" w:space="0"/>
            </w:tcBorders>
            <w:noWrap w:val="0"/>
            <w:vAlign w:val="top"/>
          </w:tcPr>
          <w:p w14:paraId="505C6A8B">
            <w:pPr>
              <w:pStyle w:val="76"/>
              <w:spacing w:line="360" w:lineRule="auto"/>
              <w:rPr>
                <w:rFonts w:hint="eastAsia" w:ascii="仿宋" w:hAnsi="仿宋" w:eastAsia="仿宋" w:cs="仿宋"/>
                <w:color w:val="auto"/>
                <w:szCs w:val="21"/>
                <w:highlight w:val="none"/>
              </w:rPr>
            </w:pPr>
          </w:p>
        </w:tc>
        <w:tc>
          <w:tcPr>
            <w:tcW w:w="1250" w:type="dxa"/>
            <w:gridSpan w:val="3"/>
            <w:tcBorders>
              <w:top w:val="single" w:color="000000" w:sz="6" w:space="0"/>
              <w:left w:val="single" w:color="000000" w:sz="6" w:space="0"/>
              <w:bottom w:val="single" w:color="000000" w:sz="6" w:space="0"/>
              <w:right w:val="single" w:color="000000" w:sz="6" w:space="0"/>
            </w:tcBorders>
            <w:noWrap w:val="0"/>
            <w:vAlign w:val="top"/>
          </w:tcPr>
          <w:p w14:paraId="1A6F7052">
            <w:pPr>
              <w:pStyle w:val="76"/>
              <w:spacing w:before="158" w:line="360" w:lineRule="auto"/>
              <w:ind w:left="116"/>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技术职称</w:t>
            </w:r>
          </w:p>
        </w:tc>
        <w:tc>
          <w:tcPr>
            <w:tcW w:w="1265" w:type="dxa"/>
            <w:gridSpan w:val="2"/>
            <w:tcBorders>
              <w:top w:val="single" w:color="000000" w:sz="6" w:space="0"/>
              <w:left w:val="single" w:color="000000" w:sz="6" w:space="0"/>
              <w:bottom w:val="single" w:color="000000" w:sz="6" w:space="0"/>
              <w:right w:val="single" w:color="000000" w:sz="6" w:space="0"/>
            </w:tcBorders>
            <w:noWrap w:val="0"/>
            <w:vAlign w:val="top"/>
          </w:tcPr>
          <w:p w14:paraId="5D8474DF">
            <w:pPr>
              <w:pStyle w:val="76"/>
              <w:spacing w:line="360" w:lineRule="auto"/>
              <w:rPr>
                <w:rFonts w:hint="eastAsia" w:ascii="仿宋" w:hAnsi="仿宋" w:eastAsia="仿宋" w:cs="仿宋"/>
                <w:color w:val="auto"/>
                <w:szCs w:val="21"/>
                <w:highlight w:val="none"/>
              </w:rPr>
            </w:pPr>
          </w:p>
        </w:tc>
        <w:tc>
          <w:tcPr>
            <w:tcW w:w="722" w:type="dxa"/>
            <w:tcBorders>
              <w:top w:val="single" w:color="000000" w:sz="6" w:space="0"/>
              <w:left w:val="single" w:color="000000" w:sz="6" w:space="0"/>
              <w:bottom w:val="single" w:color="000000" w:sz="6" w:space="0"/>
              <w:right w:val="single" w:color="000000" w:sz="6" w:space="0"/>
            </w:tcBorders>
            <w:noWrap w:val="0"/>
            <w:vAlign w:val="top"/>
          </w:tcPr>
          <w:p w14:paraId="08F8398C">
            <w:pPr>
              <w:pStyle w:val="76"/>
              <w:spacing w:before="158" w:line="360" w:lineRule="auto"/>
              <w:ind w:right="104"/>
              <w:jc w:val="righ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720" w:type="dxa"/>
            <w:tcBorders>
              <w:top w:val="single" w:color="000000" w:sz="6" w:space="0"/>
              <w:left w:val="single" w:color="000000" w:sz="6" w:space="0"/>
              <w:bottom w:val="single" w:color="000000" w:sz="6" w:space="0"/>
            </w:tcBorders>
            <w:noWrap w:val="0"/>
            <w:vAlign w:val="top"/>
          </w:tcPr>
          <w:p w14:paraId="285E66B4">
            <w:pPr>
              <w:pStyle w:val="76"/>
              <w:spacing w:line="360" w:lineRule="auto"/>
              <w:rPr>
                <w:rFonts w:hint="eastAsia" w:ascii="仿宋" w:hAnsi="仿宋" w:eastAsia="仿宋" w:cs="仿宋"/>
                <w:color w:val="auto"/>
                <w:szCs w:val="21"/>
                <w:highlight w:val="none"/>
              </w:rPr>
            </w:pPr>
          </w:p>
        </w:tc>
      </w:tr>
      <w:tr w14:paraId="22C173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3" w:hRule="atLeast"/>
          <w:jc w:val="center"/>
        </w:trPr>
        <w:tc>
          <w:tcPr>
            <w:tcW w:w="1985" w:type="dxa"/>
            <w:tcBorders>
              <w:top w:val="single" w:color="000000" w:sz="6" w:space="0"/>
              <w:bottom w:val="single" w:color="000000" w:sz="6" w:space="0"/>
              <w:right w:val="single" w:color="000000" w:sz="6" w:space="0"/>
            </w:tcBorders>
            <w:noWrap w:val="0"/>
            <w:vAlign w:val="top"/>
          </w:tcPr>
          <w:p w14:paraId="27B5A10D">
            <w:pPr>
              <w:pStyle w:val="76"/>
              <w:spacing w:before="151"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成立时间</w:t>
            </w:r>
          </w:p>
        </w:tc>
        <w:tc>
          <w:tcPr>
            <w:tcW w:w="2874" w:type="dxa"/>
            <w:gridSpan w:val="2"/>
            <w:tcBorders>
              <w:top w:val="single" w:color="000000" w:sz="6" w:space="0"/>
              <w:left w:val="single" w:color="000000" w:sz="6" w:space="0"/>
              <w:bottom w:val="single" w:color="000000" w:sz="6" w:space="0"/>
              <w:right w:val="single" w:color="000000" w:sz="6" w:space="0"/>
            </w:tcBorders>
            <w:noWrap w:val="0"/>
            <w:vAlign w:val="top"/>
          </w:tcPr>
          <w:p w14:paraId="593A3E9F">
            <w:pPr>
              <w:pStyle w:val="76"/>
              <w:spacing w:line="360" w:lineRule="auto"/>
              <w:rPr>
                <w:rFonts w:hint="eastAsia" w:ascii="仿宋" w:hAnsi="仿宋" w:eastAsia="仿宋" w:cs="仿宋"/>
                <w:color w:val="auto"/>
                <w:szCs w:val="21"/>
                <w:highlight w:val="none"/>
              </w:rPr>
            </w:pPr>
          </w:p>
        </w:tc>
        <w:tc>
          <w:tcPr>
            <w:tcW w:w="3957" w:type="dxa"/>
            <w:gridSpan w:val="7"/>
            <w:tcBorders>
              <w:top w:val="single" w:color="000000" w:sz="6" w:space="0"/>
              <w:left w:val="single" w:color="000000" w:sz="6" w:space="0"/>
              <w:bottom w:val="single" w:color="000000" w:sz="6" w:space="0"/>
            </w:tcBorders>
            <w:noWrap w:val="0"/>
            <w:vAlign w:val="top"/>
          </w:tcPr>
          <w:p w14:paraId="4EC6BDB7">
            <w:pPr>
              <w:pStyle w:val="76"/>
              <w:spacing w:before="151" w:line="360" w:lineRule="auto"/>
              <w:ind w:left="116"/>
              <w:rPr>
                <w:rFonts w:hint="eastAsia" w:ascii="仿宋" w:hAnsi="仿宋" w:eastAsia="仿宋" w:cs="仿宋"/>
                <w:color w:val="auto"/>
                <w:szCs w:val="21"/>
                <w:highlight w:val="none"/>
              </w:rPr>
            </w:pPr>
            <w:r>
              <w:rPr>
                <w:rFonts w:hint="eastAsia" w:ascii="仿宋" w:hAnsi="仿宋" w:eastAsia="仿宋" w:cs="仿宋"/>
                <w:color w:val="auto"/>
                <w:szCs w:val="21"/>
                <w:highlight w:val="none"/>
              </w:rPr>
              <w:t>员工总人数：</w:t>
            </w:r>
          </w:p>
        </w:tc>
      </w:tr>
      <w:tr w14:paraId="5223AB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13" w:hRule="atLeast"/>
          <w:jc w:val="center"/>
        </w:trPr>
        <w:tc>
          <w:tcPr>
            <w:tcW w:w="1985" w:type="dxa"/>
            <w:tcBorders>
              <w:top w:val="single" w:color="000000" w:sz="6" w:space="0"/>
              <w:bottom w:val="single" w:color="000000" w:sz="6" w:space="0"/>
              <w:right w:val="single" w:color="000000" w:sz="6" w:space="0"/>
            </w:tcBorders>
            <w:noWrap w:val="0"/>
            <w:vAlign w:val="top"/>
          </w:tcPr>
          <w:p w14:paraId="5992E323">
            <w:pPr>
              <w:pStyle w:val="76"/>
              <w:spacing w:before="151"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企业资质等级</w:t>
            </w:r>
          </w:p>
        </w:tc>
        <w:tc>
          <w:tcPr>
            <w:tcW w:w="2874" w:type="dxa"/>
            <w:gridSpan w:val="2"/>
            <w:tcBorders>
              <w:top w:val="single" w:color="000000" w:sz="6" w:space="0"/>
              <w:left w:val="single" w:color="000000" w:sz="6" w:space="0"/>
              <w:bottom w:val="single" w:color="000000" w:sz="6" w:space="0"/>
              <w:right w:val="single" w:color="000000" w:sz="6" w:space="0"/>
            </w:tcBorders>
            <w:noWrap w:val="0"/>
            <w:vAlign w:val="top"/>
          </w:tcPr>
          <w:p w14:paraId="07E15171">
            <w:pPr>
              <w:pStyle w:val="76"/>
              <w:spacing w:line="360" w:lineRule="auto"/>
              <w:rPr>
                <w:rFonts w:hint="eastAsia" w:ascii="仿宋" w:hAnsi="仿宋" w:eastAsia="仿宋" w:cs="仿宋"/>
                <w:color w:val="auto"/>
                <w:szCs w:val="21"/>
                <w:highlight w:val="none"/>
              </w:rPr>
            </w:pPr>
          </w:p>
        </w:tc>
        <w:tc>
          <w:tcPr>
            <w:tcW w:w="714" w:type="dxa"/>
            <w:vMerge w:val="restart"/>
            <w:tcBorders>
              <w:top w:val="single" w:color="000000" w:sz="6" w:space="0"/>
              <w:left w:val="single" w:color="000000" w:sz="6" w:space="0"/>
              <w:bottom w:val="single" w:color="000000" w:sz="6" w:space="0"/>
              <w:right w:val="single" w:color="000000" w:sz="6" w:space="0"/>
            </w:tcBorders>
            <w:noWrap w:val="0"/>
            <w:vAlign w:val="top"/>
          </w:tcPr>
          <w:p w14:paraId="474138C8">
            <w:pPr>
              <w:pStyle w:val="76"/>
              <w:spacing w:line="360" w:lineRule="auto"/>
              <w:rPr>
                <w:rFonts w:hint="eastAsia" w:ascii="仿宋" w:hAnsi="仿宋" w:eastAsia="仿宋" w:cs="仿宋"/>
                <w:b/>
                <w:color w:val="auto"/>
                <w:szCs w:val="21"/>
                <w:highlight w:val="none"/>
              </w:rPr>
            </w:pPr>
          </w:p>
          <w:p w14:paraId="1C14DE00">
            <w:pPr>
              <w:pStyle w:val="76"/>
              <w:spacing w:line="360" w:lineRule="auto"/>
              <w:rPr>
                <w:rFonts w:hint="eastAsia" w:ascii="仿宋" w:hAnsi="仿宋" w:eastAsia="仿宋" w:cs="仿宋"/>
                <w:b/>
                <w:color w:val="auto"/>
                <w:szCs w:val="21"/>
                <w:highlight w:val="none"/>
              </w:rPr>
            </w:pPr>
          </w:p>
          <w:p w14:paraId="299C7864">
            <w:pPr>
              <w:pStyle w:val="76"/>
              <w:spacing w:line="360" w:lineRule="auto"/>
              <w:rPr>
                <w:rFonts w:hint="eastAsia" w:ascii="仿宋" w:hAnsi="仿宋" w:eastAsia="仿宋" w:cs="仿宋"/>
                <w:b/>
                <w:color w:val="auto"/>
                <w:szCs w:val="21"/>
                <w:highlight w:val="none"/>
              </w:rPr>
            </w:pPr>
          </w:p>
          <w:p w14:paraId="2AC35BC0">
            <w:pPr>
              <w:pStyle w:val="76"/>
              <w:spacing w:line="360" w:lineRule="auto"/>
              <w:rPr>
                <w:rFonts w:hint="eastAsia" w:ascii="仿宋" w:hAnsi="仿宋" w:eastAsia="仿宋" w:cs="仿宋"/>
                <w:b/>
                <w:color w:val="auto"/>
                <w:szCs w:val="21"/>
                <w:highlight w:val="none"/>
              </w:rPr>
            </w:pPr>
          </w:p>
          <w:p w14:paraId="44C8190F">
            <w:pPr>
              <w:pStyle w:val="76"/>
              <w:spacing w:before="1" w:line="360" w:lineRule="auto"/>
              <w:ind w:left="116"/>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其中</w:t>
            </w:r>
          </w:p>
        </w:tc>
        <w:tc>
          <w:tcPr>
            <w:tcW w:w="1801" w:type="dxa"/>
            <w:gridSpan w:val="4"/>
            <w:tcBorders>
              <w:top w:val="single" w:color="000000" w:sz="6" w:space="0"/>
              <w:left w:val="single" w:color="000000" w:sz="6" w:space="0"/>
              <w:bottom w:val="single" w:color="000000" w:sz="6" w:space="0"/>
              <w:right w:val="single" w:color="000000" w:sz="6" w:space="0"/>
            </w:tcBorders>
            <w:noWrap w:val="0"/>
            <w:vAlign w:val="top"/>
          </w:tcPr>
          <w:p w14:paraId="40CC058C">
            <w:pPr>
              <w:pStyle w:val="76"/>
              <w:spacing w:before="151" w:line="360" w:lineRule="auto"/>
              <w:ind w:left="118"/>
              <w:rPr>
                <w:rFonts w:hint="eastAsia" w:ascii="仿宋" w:hAnsi="仿宋" w:eastAsia="仿宋" w:cs="仿宋"/>
                <w:color w:val="auto"/>
                <w:szCs w:val="21"/>
                <w:highlight w:val="none"/>
              </w:rPr>
            </w:pPr>
            <w:r>
              <w:rPr>
                <w:rFonts w:hint="eastAsia" w:ascii="仿宋" w:hAnsi="仿宋" w:eastAsia="仿宋" w:cs="仿宋"/>
                <w:color w:val="auto"/>
                <w:szCs w:val="21"/>
                <w:highlight w:val="none"/>
              </w:rPr>
              <w:t>高级职称人员</w:t>
            </w:r>
          </w:p>
        </w:tc>
        <w:tc>
          <w:tcPr>
            <w:tcW w:w="1442" w:type="dxa"/>
            <w:gridSpan w:val="2"/>
            <w:tcBorders>
              <w:top w:val="single" w:color="000000" w:sz="6" w:space="0"/>
              <w:left w:val="single" w:color="000000" w:sz="6" w:space="0"/>
              <w:bottom w:val="single" w:color="000000" w:sz="6" w:space="0"/>
            </w:tcBorders>
            <w:noWrap w:val="0"/>
            <w:vAlign w:val="top"/>
          </w:tcPr>
          <w:p w14:paraId="03C5D459">
            <w:pPr>
              <w:pStyle w:val="76"/>
              <w:spacing w:line="360" w:lineRule="auto"/>
              <w:rPr>
                <w:rFonts w:hint="eastAsia" w:ascii="仿宋" w:hAnsi="仿宋" w:eastAsia="仿宋" w:cs="仿宋"/>
                <w:color w:val="auto"/>
                <w:szCs w:val="21"/>
                <w:highlight w:val="none"/>
              </w:rPr>
            </w:pPr>
          </w:p>
        </w:tc>
      </w:tr>
      <w:tr w14:paraId="44102F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2" w:hRule="atLeast"/>
          <w:jc w:val="center"/>
        </w:trPr>
        <w:tc>
          <w:tcPr>
            <w:tcW w:w="1985" w:type="dxa"/>
            <w:tcBorders>
              <w:top w:val="single" w:color="000000" w:sz="6" w:space="0"/>
              <w:bottom w:val="single" w:color="000000" w:sz="6" w:space="0"/>
              <w:right w:val="single" w:color="000000" w:sz="6" w:space="0"/>
            </w:tcBorders>
            <w:noWrap w:val="0"/>
            <w:vAlign w:val="top"/>
          </w:tcPr>
          <w:p w14:paraId="639DA32D">
            <w:pPr>
              <w:pStyle w:val="76"/>
              <w:spacing w:before="110"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营业执照号</w:t>
            </w:r>
          </w:p>
        </w:tc>
        <w:tc>
          <w:tcPr>
            <w:tcW w:w="2874" w:type="dxa"/>
            <w:gridSpan w:val="2"/>
            <w:tcBorders>
              <w:top w:val="single" w:color="000000" w:sz="6" w:space="0"/>
              <w:left w:val="single" w:color="000000" w:sz="6" w:space="0"/>
              <w:bottom w:val="single" w:color="000000" w:sz="6" w:space="0"/>
              <w:right w:val="single" w:color="000000" w:sz="6" w:space="0"/>
            </w:tcBorders>
            <w:noWrap w:val="0"/>
            <w:vAlign w:val="top"/>
          </w:tcPr>
          <w:p w14:paraId="71FDF5CE">
            <w:pPr>
              <w:pStyle w:val="76"/>
              <w:spacing w:line="360" w:lineRule="auto"/>
              <w:rPr>
                <w:rFonts w:hint="eastAsia" w:ascii="仿宋" w:hAnsi="仿宋" w:eastAsia="仿宋" w:cs="仿宋"/>
                <w:color w:val="auto"/>
                <w:szCs w:val="21"/>
                <w:highlight w:val="none"/>
              </w:rPr>
            </w:pPr>
          </w:p>
        </w:tc>
        <w:tc>
          <w:tcPr>
            <w:tcW w:w="714" w:type="dxa"/>
            <w:vMerge w:val="continue"/>
            <w:tcBorders>
              <w:top w:val="nil"/>
              <w:left w:val="single" w:color="000000" w:sz="6" w:space="0"/>
              <w:bottom w:val="single" w:color="000000" w:sz="6" w:space="0"/>
              <w:right w:val="single" w:color="000000" w:sz="6" w:space="0"/>
            </w:tcBorders>
            <w:noWrap w:val="0"/>
            <w:vAlign w:val="top"/>
          </w:tcPr>
          <w:p w14:paraId="79ED958C">
            <w:pPr>
              <w:spacing w:line="360" w:lineRule="auto"/>
              <w:rPr>
                <w:rFonts w:hint="eastAsia" w:ascii="仿宋" w:hAnsi="仿宋" w:eastAsia="仿宋" w:cs="仿宋"/>
                <w:color w:val="auto"/>
                <w:szCs w:val="21"/>
                <w:highlight w:val="none"/>
              </w:rPr>
            </w:pPr>
          </w:p>
        </w:tc>
        <w:tc>
          <w:tcPr>
            <w:tcW w:w="1801" w:type="dxa"/>
            <w:gridSpan w:val="4"/>
            <w:tcBorders>
              <w:top w:val="single" w:color="000000" w:sz="6" w:space="0"/>
              <w:left w:val="single" w:color="000000" w:sz="6" w:space="0"/>
              <w:bottom w:val="single" w:color="000000" w:sz="6" w:space="0"/>
              <w:right w:val="single" w:color="000000" w:sz="6" w:space="0"/>
            </w:tcBorders>
            <w:noWrap w:val="0"/>
            <w:vAlign w:val="top"/>
          </w:tcPr>
          <w:p w14:paraId="438293A8">
            <w:pPr>
              <w:pStyle w:val="76"/>
              <w:spacing w:before="110" w:line="360" w:lineRule="auto"/>
              <w:ind w:left="118"/>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中级职称人员</w:t>
            </w:r>
          </w:p>
        </w:tc>
        <w:tc>
          <w:tcPr>
            <w:tcW w:w="1442" w:type="dxa"/>
            <w:gridSpan w:val="2"/>
            <w:tcBorders>
              <w:top w:val="single" w:color="000000" w:sz="6" w:space="0"/>
              <w:left w:val="single" w:color="000000" w:sz="6" w:space="0"/>
              <w:bottom w:val="single" w:color="000000" w:sz="6" w:space="0"/>
            </w:tcBorders>
            <w:noWrap w:val="0"/>
            <w:vAlign w:val="top"/>
          </w:tcPr>
          <w:p w14:paraId="73814E24">
            <w:pPr>
              <w:pStyle w:val="76"/>
              <w:spacing w:line="360" w:lineRule="auto"/>
              <w:rPr>
                <w:rFonts w:hint="eastAsia" w:ascii="仿宋" w:hAnsi="仿宋" w:eastAsia="仿宋" w:cs="仿宋"/>
                <w:color w:val="auto"/>
                <w:szCs w:val="21"/>
                <w:highlight w:val="none"/>
              </w:rPr>
            </w:pPr>
          </w:p>
        </w:tc>
      </w:tr>
      <w:tr w14:paraId="3FD3279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9" w:hRule="atLeast"/>
          <w:jc w:val="center"/>
        </w:trPr>
        <w:tc>
          <w:tcPr>
            <w:tcW w:w="1985" w:type="dxa"/>
            <w:tcBorders>
              <w:top w:val="single" w:color="000000" w:sz="6" w:space="0"/>
              <w:bottom w:val="single" w:color="000000" w:sz="6" w:space="0"/>
              <w:right w:val="single" w:color="000000" w:sz="6" w:space="0"/>
            </w:tcBorders>
            <w:noWrap w:val="0"/>
            <w:vAlign w:val="top"/>
          </w:tcPr>
          <w:p w14:paraId="4A33BBB7">
            <w:pPr>
              <w:pStyle w:val="76"/>
              <w:spacing w:before="79"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注册资金</w:t>
            </w:r>
          </w:p>
        </w:tc>
        <w:tc>
          <w:tcPr>
            <w:tcW w:w="2874" w:type="dxa"/>
            <w:gridSpan w:val="2"/>
            <w:tcBorders>
              <w:top w:val="single" w:color="000000" w:sz="6" w:space="0"/>
              <w:left w:val="single" w:color="000000" w:sz="6" w:space="0"/>
              <w:bottom w:val="single" w:color="000000" w:sz="6" w:space="0"/>
              <w:right w:val="single" w:color="000000" w:sz="6" w:space="0"/>
            </w:tcBorders>
            <w:noWrap w:val="0"/>
            <w:vAlign w:val="top"/>
          </w:tcPr>
          <w:p w14:paraId="47004B2C">
            <w:pPr>
              <w:pStyle w:val="76"/>
              <w:spacing w:line="360" w:lineRule="auto"/>
              <w:rPr>
                <w:rFonts w:hint="eastAsia" w:ascii="仿宋" w:hAnsi="仿宋" w:eastAsia="仿宋" w:cs="仿宋"/>
                <w:color w:val="auto"/>
                <w:szCs w:val="21"/>
                <w:highlight w:val="none"/>
              </w:rPr>
            </w:pPr>
          </w:p>
        </w:tc>
        <w:tc>
          <w:tcPr>
            <w:tcW w:w="714" w:type="dxa"/>
            <w:vMerge w:val="continue"/>
            <w:tcBorders>
              <w:top w:val="nil"/>
              <w:left w:val="single" w:color="000000" w:sz="6" w:space="0"/>
              <w:bottom w:val="single" w:color="000000" w:sz="6" w:space="0"/>
              <w:right w:val="single" w:color="000000" w:sz="6" w:space="0"/>
            </w:tcBorders>
            <w:noWrap w:val="0"/>
            <w:vAlign w:val="top"/>
          </w:tcPr>
          <w:p w14:paraId="119E0382">
            <w:pPr>
              <w:spacing w:line="360" w:lineRule="auto"/>
              <w:rPr>
                <w:rFonts w:hint="eastAsia" w:ascii="仿宋" w:hAnsi="仿宋" w:eastAsia="仿宋" w:cs="仿宋"/>
                <w:color w:val="auto"/>
                <w:szCs w:val="21"/>
                <w:highlight w:val="none"/>
              </w:rPr>
            </w:pPr>
          </w:p>
        </w:tc>
        <w:tc>
          <w:tcPr>
            <w:tcW w:w="1801" w:type="dxa"/>
            <w:gridSpan w:val="4"/>
            <w:tcBorders>
              <w:top w:val="single" w:color="000000" w:sz="6" w:space="0"/>
              <w:left w:val="single" w:color="000000" w:sz="6" w:space="0"/>
              <w:bottom w:val="single" w:color="000000" w:sz="6" w:space="0"/>
              <w:right w:val="single" w:color="000000" w:sz="6" w:space="0"/>
            </w:tcBorders>
            <w:noWrap w:val="0"/>
            <w:vAlign w:val="top"/>
          </w:tcPr>
          <w:p w14:paraId="49D14920">
            <w:pPr>
              <w:pStyle w:val="76"/>
              <w:spacing w:before="79" w:line="360" w:lineRule="auto"/>
              <w:ind w:left="118"/>
              <w:rPr>
                <w:rFonts w:hint="eastAsia" w:ascii="仿宋" w:hAnsi="仿宋" w:eastAsia="仿宋" w:cs="仿宋"/>
                <w:color w:val="auto"/>
                <w:szCs w:val="21"/>
                <w:highlight w:val="none"/>
              </w:rPr>
            </w:pPr>
            <w:r>
              <w:rPr>
                <w:rFonts w:hint="eastAsia" w:ascii="仿宋" w:hAnsi="仿宋" w:eastAsia="仿宋" w:cs="仿宋"/>
                <w:color w:val="auto"/>
                <w:szCs w:val="21"/>
                <w:highlight w:val="none"/>
              </w:rPr>
              <w:t>初级职称人员</w:t>
            </w:r>
          </w:p>
        </w:tc>
        <w:tc>
          <w:tcPr>
            <w:tcW w:w="1442" w:type="dxa"/>
            <w:gridSpan w:val="2"/>
            <w:tcBorders>
              <w:top w:val="single" w:color="000000" w:sz="6" w:space="0"/>
              <w:left w:val="single" w:color="000000" w:sz="6" w:space="0"/>
              <w:bottom w:val="single" w:color="000000" w:sz="6" w:space="0"/>
            </w:tcBorders>
            <w:noWrap w:val="0"/>
            <w:vAlign w:val="top"/>
          </w:tcPr>
          <w:p w14:paraId="26A7AB26">
            <w:pPr>
              <w:pStyle w:val="76"/>
              <w:spacing w:line="360" w:lineRule="auto"/>
              <w:rPr>
                <w:rFonts w:hint="eastAsia" w:ascii="仿宋" w:hAnsi="仿宋" w:eastAsia="仿宋" w:cs="仿宋"/>
                <w:color w:val="auto"/>
                <w:szCs w:val="21"/>
                <w:highlight w:val="none"/>
              </w:rPr>
            </w:pPr>
          </w:p>
        </w:tc>
      </w:tr>
      <w:tr w14:paraId="49ABC93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jc w:val="center"/>
        </w:trPr>
        <w:tc>
          <w:tcPr>
            <w:tcW w:w="1985" w:type="dxa"/>
            <w:tcBorders>
              <w:top w:val="single" w:color="000000" w:sz="6" w:space="0"/>
              <w:bottom w:val="single" w:color="000000" w:sz="6" w:space="0"/>
              <w:right w:val="single" w:color="000000" w:sz="6" w:space="0"/>
            </w:tcBorders>
            <w:noWrap w:val="0"/>
            <w:vAlign w:val="top"/>
          </w:tcPr>
          <w:p w14:paraId="2B622652">
            <w:pPr>
              <w:pStyle w:val="76"/>
              <w:spacing w:before="108"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2874" w:type="dxa"/>
            <w:gridSpan w:val="2"/>
            <w:tcBorders>
              <w:top w:val="single" w:color="000000" w:sz="6" w:space="0"/>
              <w:left w:val="single" w:color="000000" w:sz="6" w:space="0"/>
              <w:bottom w:val="single" w:color="000000" w:sz="6" w:space="0"/>
              <w:right w:val="single" w:color="000000" w:sz="6" w:space="0"/>
            </w:tcBorders>
            <w:noWrap w:val="0"/>
            <w:vAlign w:val="top"/>
          </w:tcPr>
          <w:p w14:paraId="67A06F22">
            <w:pPr>
              <w:pStyle w:val="76"/>
              <w:spacing w:line="360" w:lineRule="auto"/>
              <w:rPr>
                <w:rFonts w:hint="eastAsia" w:ascii="仿宋" w:hAnsi="仿宋" w:eastAsia="仿宋" w:cs="仿宋"/>
                <w:color w:val="auto"/>
                <w:szCs w:val="21"/>
                <w:highlight w:val="none"/>
              </w:rPr>
            </w:pPr>
          </w:p>
        </w:tc>
        <w:tc>
          <w:tcPr>
            <w:tcW w:w="714" w:type="dxa"/>
            <w:vMerge w:val="continue"/>
            <w:tcBorders>
              <w:top w:val="nil"/>
              <w:left w:val="single" w:color="000000" w:sz="6" w:space="0"/>
              <w:bottom w:val="single" w:color="000000" w:sz="6" w:space="0"/>
              <w:right w:val="single" w:color="000000" w:sz="6" w:space="0"/>
            </w:tcBorders>
            <w:noWrap w:val="0"/>
            <w:vAlign w:val="top"/>
          </w:tcPr>
          <w:p w14:paraId="1D9C4EB7">
            <w:pPr>
              <w:spacing w:line="360" w:lineRule="auto"/>
              <w:rPr>
                <w:rFonts w:hint="eastAsia" w:ascii="仿宋" w:hAnsi="仿宋" w:eastAsia="仿宋" w:cs="仿宋"/>
                <w:color w:val="auto"/>
                <w:szCs w:val="21"/>
                <w:highlight w:val="none"/>
              </w:rPr>
            </w:pPr>
          </w:p>
        </w:tc>
        <w:tc>
          <w:tcPr>
            <w:tcW w:w="1801" w:type="dxa"/>
            <w:gridSpan w:val="4"/>
            <w:tcBorders>
              <w:top w:val="single" w:color="000000" w:sz="6" w:space="0"/>
              <w:left w:val="single" w:color="000000" w:sz="6" w:space="0"/>
              <w:bottom w:val="single" w:color="000000" w:sz="6" w:space="0"/>
              <w:right w:val="single" w:color="000000" w:sz="6" w:space="0"/>
            </w:tcBorders>
            <w:noWrap w:val="0"/>
            <w:vAlign w:val="top"/>
          </w:tcPr>
          <w:p w14:paraId="780C9AB9">
            <w:pPr>
              <w:pStyle w:val="76"/>
              <w:spacing w:before="108" w:line="360" w:lineRule="auto"/>
              <w:ind w:left="118"/>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w:t>
            </w:r>
          </w:p>
        </w:tc>
        <w:tc>
          <w:tcPr>
            <w:tcW w:w="1442" w:type="dxa"/>
            <w:gridSpan w:val="2"/>
            <w:tcBorders>
              <w:top w:val="single" w:color="000000" w:sz="6" w:space="0"/>
              <w:left w:val="single" w:color="000000" w:sz="6" w:space="0"/>
              <w:bottom w:val="single" w:color="000000" w:sz="6" w:space="0"/>
            </w:tcBorders>
            <w:noWrap w:val="0"/>
            <w:vAlign w:val="top"/>
          </w:tcPr>
          <w:p w14:paraId="3D8DAEFD">
            <w:pPr>
              <w:pStyle w:val="76"/>
              <w:spacing w:line="360" w:lineRule="auto"/>
              <w:rPr>
                <w:rFonts w:hint="eastAsia" w:ascii="仿宋" w:hAnsi="仿宋" w:eastAsia="仿宋" w:cs="仿宋"/>
                <w:color w:val="auto"/>
                <w:szCs w:val="21"/>
                <w:highlight w:val="none"/>
              </w:rPr>
            </w:pPr>
          </w:p>
        </w:tc>
      </w:tr>
      <w:tr w14:paraId="02D85D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7" w:hRule="atLeast"/>
          <w:jc w:val="center"/>
        </w:trPr>
        <w:tc>
          <w:tcPr>
            <w:tcW w:w="1985" w:type="dxa"/>
            <w:tcBorders>
              <w:top w:val="single" w:color="000000" w:sz="6" w:space="0"/>
              <w:bottom w:val="single" w:color="000000" w:sz="6" w:space="0"/>
              <w:right w:val="single" w:color="000000" w:sz="6" w:space="0"/>
            </w:tcBorders>
            <w:noWrap w:val="0"/>
            <w:vAlign w:val="top"/>
          </w:tcPr>
          <w:p w14:paraId="18CD6018">
            <w:pPr>
              <w:pStyle w:val="76"/>
              <w:spacing w:before="52"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账号</w:t>
            </w:r>
          </w:p>
        </w:tc>
        <w:tc>
          <w:tcPr>
            <w:tcW w:w="2874" w:type="dxa"/>
            <w:gridSpan w:val="2"/>
            <w:tcBorders>
              <w:top w:val="single" w:color="000000" w:sz="6" w:space="0"/>
              <w:left w:val="single" w:color="000000" w:sz="6" w:space="0"/>
              <w:bottom w:val="single" w:color="000000" w:sz="6" w:space="0"/>
              <w:right w:val="single" w:color="000000" w:sz="6" w:space="0"/>
            </w:tcBorders>
            <w:noWrap w:val="0"/>
            <w:vAlign w:val="top"/>
          </w:tcPr>
          <w:p w14:paraId="270212C9">
            <w:pPr>
              <w:pStyle w:val="76"/>
              <w:spacing w:line="360" w:lineRule="auto"/>
              <w:rPr>
                <w:rFonts w:hint="eastAsia" w:ascii="仿宋" w:hAnsi="仿宋" w:eastAsia="仿宋" w:cs="仿宋"/>
                <w:color w:val="auto"/>
                <w:szCs w:val="21"/>
                <w:highlight w:val="none"/>
              </w:rPr>
            </w:pPr>
          </w:p>
        </w:tc>
        <w:tc>
          <w:tcPr>
            <w:tcW w:w="714" w:type="dxa"/>
            <w:vMerge w:val="continue"/>
            <w:tcBorders>
              <w:top w:val="nil"/>
              <w:left w:val="single" w:color="000000" w:sz="6" w:space="0"/>
              <w:bottom w:val="single" w:color="000000" w:sz="6" w:space="0"/>
              <w:right w:val="single" w:color="000000" w:sz="6" w:space="0"/>
            </w:tcBorders>
            <w:noWrap w:val="0"/>
            <w:vAlign w:val="top"/>
          </w:tcPr>
          <w:p w14:paraId="0214825E">
            <w:pPr>
              <w:spacing w:line="360" w:lineRule="auto"/>
              <w:rPr>
                <w:rFonts w:hint="eastAsia" w:ascii="仿宋" w:hAnsi="仿宋" w:eastAsia="仿宋" w:cs="仿宋"/>
                <w:color w:val="auto"/>
                <w:szCs w:val="21"/>
                <w:highlight w:val="none"/>
              </w:rPr>
            </w:pPr>
          </w:p>
        </w:tc>
        <w:tc>
          <w:tcPr>
            <w:tcW w:w="1801" w:type="dxa"/>
            <w:gridSpan w:val="4"/>
            <w:tcBorders>
              <w:top w:val="single" w:color="000000" w:sz="6" w:space="0"/>
              <w:left w:val="single" w:color="000000" w:sz="6" w:space="0"/>
              <w:bottom w:val="single" w:color="000000" w:sz="6" w:space="0"/>
              <w:right w:val="single" w:color="000000" w:sz="6" w:space="0"/>
            </w:tcBorders>
            <w:noWrap w:val="0"/>
            <w:vAlign w:val="top"/>
          </w:tcPr>
          <w:p w14:paraId="1DB33C81">
            <w:pPr>
              <w:pStyle w:val="76"/>
              <w:spacing w:line="360" w:lineRule="auto"/>
              <w:rPr>
                <w:rFonts w:hint="eastAsia" w:ascii="仿宋" w:hAnsi="仿宋" w:eastAsia="仿宋" w:cs="仿宋"/>
                <w:color w:val="auto"/>
                <w:szCs w:val="21"/>
                <w:highlight w:val="none"/>
              </w:rPr>
            </w:pPr>
          </w:p>
        </w:tc>
        <w:tc>
          <w:tcPr>
            <w:tcW w:w="1442" w:type="dxa"/>
            <w:gridSpan w:val="2"/>
            <w:tcBorders>
              <w:top w:val="single" w:color="000000" w:sz="6" w:space="0"/>
              <w:left w:val="single" w:color="000000" w:sz="6" w:space="0"/>
              <w:bottom w:val="single" w:color="000000" w:sz="6" w:space="0"/>
            </w:tcBorders>
            <w:noWrap w:val="0"/>
            <w:vAlign w:val="top"/>
          </w:tcPr>
          <w:p w14:paraId="5587C838">
            <w:pPr>
              <w:pStyle w:val="76"/>
              <w:spacing w:line="360" w:lineRule="auto"/>
              <w:rPr>
                <w:rFonts w:hint="eastAsia" w:ascii="仿宋" w:hAnsi="仿宋" w:eastAsia="仿宋" w:cs="仿宋"/>
                <w:color w:val="auto"/>
                <w:szCs w:val="21"/>
                <w:highlight w:val="none"/>
              </w:rPr>
            </w:pPr>
          </w:p>
        </w:tc>
      </w:tr>
      <w:tr w14:paraId="647AEF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00" w:hRule="atLeast"/>
          <w:jc w:val="center"/>
        </w:trPr>
        <w:tc>
          <w:tcPr>
            <w:tcW w:w="1985" w:type="dxa"/>
            <w:tcBorders>
              <w:top w:val="single" w:color="000000" w:sz="6" w:space="0"/>
              <w:right w:val="single" w:color="000000" w:sz="6" w:space="0"/>
            </w:tcBorders>
            <w:noWrap w:val="0"/>
            <w:vAlign w:val="top"/>
          </w:tcPr>
          <w:p w14:paraId="1AED4551">
            <w:pPr>
              <w:pStyle w:val="76"/>
              <w:spacing w:before="93" w:line="360" w:lineRule="auto"/>
              <w:ind w:left="107"/>
              <w:rPr>
                <w:rFonts w:hint="eastAsia" w:ascii="仿宋" w:hAnsi="仿宋" w:eastAsia="仿宋" w:cs="仿宋"/>
                <w:color w:val="auto"/>
                <w:szCs w:val="21"/>
                <w:highlight w:val="none"/>
              </w:rPr>
            </w:pPr>
            <w:r>
              <w:rPr>
                <w:rFonts w:hint="eastAsia" w:ascii="仿宋" w:hAnsi="仿宋" w:eastAsia="仿宋" w:cs="仿宋"/>
                <w:color w:val="auto"/>
                <w:szCs w:val="21"/>
                <w:highlight w:val="none"/>
              </w:rPr>
              <w:t>经营范围备注</w:t>
            </w:r>
          </w:p>
        </w:tc>
        <w:tc>
          <w:tcPr>
            <w:tcW w:w="6831" w:type="dxa"/>
            <w:gridSpan w:val="9"/>
            <w:tcBorders>
              <w:top w:val="single" w:color="000000" w:sz="6" w:space="0"/>
              <w:left w:val="single" w:color="000000" w:sz="6" w:space="0"/>
            </w:tcBorders>
            <w:noWrap w:val="0"/>
            <w:vAlign w:val="top"/>
          </w:tcPr>
          <w:p w14:paraId="226CEC78">
            <w:pPr>
              <w:pStyle w:val="76"/>
              <w:spacing w:line="360" w:lineRule="auto"/>
              <w:rPr>
                <w:rFonts w:hint="eastAsia" w:ascii="仿宋" w:hAnsi="仿宋" w:eastAsia="仿宋" w:cs="仿宋"/>
                <w:color w:val="auto"/>
                <w:szCs w:val="21"/>
                <w:highlight w:val="none"/>
              </w:rPr>
            </w:pPr>
          </w:p>
        </w:tc>
      </w:tr>
    </w:tbl>
    <w:p w14:paraId="436A1D4E">
      <w:pPr>
        <w:pStyle w:val="14"/>
        <w:spacing w:before="4" w:line="360" w:lineRule="auto"/>
        <w:rPr>
          <w:rFonts w:hint="eastAsia" w:ascii="仿宋" w:hAnsi="仿宋" w:eastAsia="仿宋" w:cs="仿宋"/>
          <w:b/>
          <w:color w:val="auto"/>
          <w:sz w:val="21"/>
          <w:szCs w:val="21"/>
          <w:highlight w:val="none"/>
        </w:rPr>
      </w:pPr>
    </w:p>
    <w:p w14:paraId="05015D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3189FF82">
      <w:pPr>
        <w:spacing w:line="360" w:lineRule="auto"/>
        <w:rPr>
          <w:rFonts w:hint="eastAsia" w:ascii="仿宋" w:hAnsi="仿宋" w:eastAsia="仿宋" w:cs="仿宋"/>
          <w:b/>
          <w:color w:val="auto"/>
          <w:sz w:val="24"/>
          <w:highlight w:val="none"/>
        </w:rPr>
      </w:pPr>
      <w:bookmarkStart w:id="76" w:name="_Toc8022"/>
      <w:bookmarkStart w:id="77" w:name="_Toc16932"/>
      <w:r>
        <w:rPr>
          <w:rFonts w:hint="eastAsia" w:ascii="仿宋" w:hAnsi="仿宋" w:eastAsia="仿宋" w:cs="仿宋"/>
          <w:b/>
          <w:color w:val="auto"/>
          <w:sz w:val="24"/>
          <w:highlight w:val="none"/>
        </w:rPr>
        <w:t>附件 3-2 投标人单位简介</w:t>
      </w:r>
      <w:bookmarkEnd w:id="76"/>
      <w:bookmarkEnd w:id="77"/>
    </w:p>
    <w:p w14:paraId="199D3ED9">
      <w:pPr>
        <w:pStyle w:val="14"/>
        <w:spacing w:line="360" w:lineRule="auto"/>
        <w:rPr>
          <w:rFonts w:hint="eastAsia" w:ascii="仿宋" w:hAnsi="仿宋" w:eastAsia="仿宋" w:cs="仿宋"/>
          <w:b/>
          <w:color w:val="auto"/>
          <w:sz w:val="21"/>
          <w:szCs w:val="21"/>
          <w:highlight w:val="none"/>
        </w:rPr>
      </w:pPr>
    </w:p>
    <w:p w14:paraId="19B80C77">
      <w:pPr>
        <w:pStyle w:val="14"/>
        <w:spacing w:before="11" w:line="360" w:lineRule="auto"/>
        <w:rPr>
          <w:rFonts w:hint="eastAsia" w:ascii="仿宋" w:hAnsi="仿宋" w:eastAsia="仿宋" w:cs="仿宋"/>
          <w:b/>
          <w:color w:val="auto"/>
          <w:sz w:val="21"/>
          <w:szCs w:val="21"/>
          <w:highlight w:val="none"/>
        </w:rPr>
      </w:pPr>
    </w:p>
    <w:p w14:paraId="7E111583">
      <w:pPr>
        <w:spacing w:line="360" w:lineRule="auto"/>
        <w:rPr>
          <w:rFonts w:hint="eastAsia" w:ascii="仿宋" w:hAnsi="仿宋" w:eastAsia="仿宋" w:cs="仿宋"/>
          <w:color w:val="auto"/>
          <w:highlight w:val="none"/>
        </w:rPr>
      </w:pPr>
    </w:p>
    <w:p w14:paraId="01BC856C">
      <w:pPr>
        <w:pStyle w:val="65"/>
        <w:spacing w:line="360" w:lineRule="auto"/>
        <w:ind w:right="-92" w:rightChars="-4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（包括但不限于投标人实力、业务范围、所有权状况、组织机构及职能、人员构成、单位的场地环境和软硬件设施等）</w:t>
      </w:r>
    </w:p>
    <w:p w14:paraId="4B07FFE1">
      <w:pPr>
        <w:pStyle w:val="65"/>
        <w:spacing w:line="360" w:lineRule="auto"/>
        <w:ind w:right="-92" w:rightChars="-44"/>
        <w:jc w:val="both"/>
        <w:rPr>
          <w:rFonts w:hint="eastAsia" w:ascii="仿宋" w:hAnsi="仿宋" w:eastAsia="仿宋" w:cs="仿宋"/>
          <w:color w:val="auto"/>
          <w:highlight w:val="none"/>
        </w:rPr>
      </w:pPr>
    </w:p>
    <w:p w14:paraId="22D40AC7">
      <w:pPr>
        <w:pStyle w:val="65"/>
        <w:spacing w:line="360" w:lineRule="auto"/>
        <w:ind w:right="-92" w:rightChars="-44"/>
        <w:jc w:val="both"/>
        <w:rPr>
          <w:rFonts w:hint="eastAsia" w:ascii="仿宋" w:hAnsi="仿宋" w:eastAsia="仿宋" w:cs="仿宋"/>
          <w:color w:val="auto"/>
          <w:highlight w:val="none"/>
        </w:rPr>
      </w:pPr>
    </w:p>
    <w:p w14:paraId="16C842CB">
      <w:pPr>
        <w:pStyle w:val="65"/>
        <w:spacing w:line="360" w:lineRule="auto"/>
        <w:ind w:right="-92" w:rightChars="-44"/>
        <w:jc w:val="both"/>
        <w:rPr>
          <w:rFonts w:hint="eastAsia" w:ascii="仿宋" w:hAnsi="仿宋" w:eastAsia="仿宋" w:cs="仿宋"/>
          <w:color w:val="auto"/>
          <w:highlight w:val="none"/>
        </w:rPr>
        <w:sectPr>
          <w:pgSz w:w="11906" w:h="16838"/>
          <w:pgMar w:top="1440" w:right="1800" w:bottom="1440" w:left="1800" w:header="851" w:footer="992" w:gutter="0"/>
          <w:cols w:space="720" w:num="1"/>
          <w:docGrid w:type="lines" w:linePitch="312" w:charSpace="0"/>
        </w:sectPr>
      </w:pPr>
    </w:p>
    <w:bookmarkEnd w:id="65"/>
    <w:p w14:paraId="4777E227">
      <w:pPr>
        <w:spacing w:line="360" w:lineRule="auto"/>
        <w:rPr>
          <w:rFonts w:hint="eastAsia" w:ascii="仿宋" w:hAnsi="仿宋" w:eastAsia="仿宋" w:cs="仿宋"/>
          <w:b/>
          <w:color w:val="auto"/>
          <w:sz w:val="24"/>
          <w:highlight w:val="none"/>
        </w:rPr>
      </w:pPr>
      <w:bookmarkStart w:id="78" w:name="_Toc18885"/>
      <w:bookmarkStart w:id="79" w:name="_Toc30877"/>
      <w:r>
        <w:rPr>
          <w:rFonts w:hint="eastAsia" w:ascii="仿宋" w:hAnsi="仿宋" w:eastAsia="仿宋" w:cs="仿宋"/>
          <w:b/>
          <w:color w:val="auto"/>
          <w:sz w:val="24"/>
          <w:highlight w:val="none"/>
        </w:rPr>
        <w:t>附件 3-3 投标人同类型项目案例（业绩）情况介绍</w:t>
      </w:r>
      <w:bookmarkEnd w:id="78"/>
      <w:bookmarkEnd w:id="79"/>
    </w:p>
    <w:p w14:paraId="3EF4DDA1">
      <w:pPr>
        <w:pStyle w:val="14"/>
        <w:spacing w:line="360" w:lineRule="auto"/>
        <w:rPr>
          <w:rFonts w:hint="eastAsia" w:ascii="仿宋" w:hAnsi="仿宋" w:eastAsia="仿宋" w:cs="仿宋"/>
          <w:b/>
          <w:color w:val="auto"/>
          <w:highlight w:val="none"/>
        </w:rPr>
      </w:pPr>
    </w:p>
    <w:p w14:paraId="2572ED70">
      <w:pPr>
        <w:pStyle w:val="14"/>
        <w:spacing w:line="360" w:lineRule="auto"/>
        <w:rPr>
          <w:rFonts w:hint="eastAsia" w:ascii="仿宋" w:hAnsi="仿宋" w:eastAsia="仿宋" w:cs="仿宋"/>
          <w:b/>
          <w:color w:val="auto"/>
          <w:highlight w:val="none"/>
        </w:rPr>
      </w:pPr>
    </w:p>
    <w:p w14:paraId="5E30D2AD">
      <w:pPr>
        <w:pStyle w:val="14"/>
        <w:spacing w:line="360" w:lineRule="auto"/>
        <w:ind w:left="532" w:right="453"/>
        <w:jc w:val="center"/>
        <w:rPr>
          <w:rFonts w:hint="eastAsia" w:ascii="仿宋" w:hAnsi="仿宋" w:eastAsia="仿宋" w:cs="仿宋"/>
          <w:color w:val="auto"/>
          <w:highlight w:val="none"/>
        </w:rPr>
      </w:pPr>
      <w:r>
        <w:rPr>
          <w:rFonts w:hint="eastAsia" w:ascii="仿宋" w:hAnsi="仿宋" w:eastAsia="仿宋" w:cs="仿宋"/>
          <w:color w:val="auto"/>
          <w:highlight w:val="none"/>
        </w:rPr>
        <w:t>业绩统计一览表和合同履行情况</w:t>
      </w:r>
    </w:p>
    <w:p w14:paraId="42EE8DA7">
      <w:pPr>
        <w:pStyle w:val="14"/>
        <w:spacing w:before="7" w:line="360" w:lineRule="auto"/>
        <w:rPr>
          <w:rFonts w:hint="eastAsia" w:ascii="仿宋" w:hAnsi="仿宋" w:eastAsia="仿宋" w:cs="仿宋"/>
          <w:color w:val="auto"/>
          <w:sz w:val="21"/>
          <w:szCs w:val="21"/>
          <w:highlight w:val="none"/>
        </w:rPr>
      </w:pPr>
    </w:p>
    <w:tbl>
      <w:tblPr>
        <w:tblStyle w:val="31"/>
        <w:tblW w:w="832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5"/>
        <w:gridCol w:w="2249"/>
        <w:gridCol w:w="928"/>
        <w:gridCol w:w="1008"/>
        <w:gridCol w:w="1020"/>
        <w:gridCol w:w="847"/>
        <w:gridCol w:w="837"/>
        <w:gridCol w:w="565"/>
      </w:tblGrid>
      <w:tr w14:paraId="028D17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78" w:hRule="atLeast"/>
          <w:jc w:val="center"/>
        </w:trPr>
        <w:tc>
          <w:tcPr>
            <w:tcW w:w="875" w:type="dxa"/>
            <w:tcBorders>
              <w:bottom w:val="single" w:color="000000" w:sz="6" w:space="0"/>
              <w:right w:val="single" w:color="000000" w:sz="6" w:space="0"/>
            </w:tcBorders>
            <w:noWrap w:val="0"/>
            <w:vAlign w:val="center"/>
          </w:tcPr>
          <w:p w14:paraId="238EAC26">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2249" w:type="dxa"/>
            <w:tcBorders>
              <w:left w:val="single" w:color="000000" w:sz="6" w:space="0"/>
              <w:bottom w:val="single" w:color="000000" w:sz="6" w:space="0"/>
              <w:right w:val="single" w:color="000000" w:sz="6" w:space="0"/>
            </w:tcBorders>
            <w:noWrap w:val="0"/>
            <w:vAlign w:val="center"/>
          </w:tcPr>
          <w:p w14:paraId="5697E2A9">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项目委托单位、联系人及电话</w:t>
            </w:r>
          </w:p>
        </w:tc>
        <w:tc>
          <w:tcPr>
            <w:tcW w:w="928" w:type="dxa"/>
            <w:tcBorders>
              <w:left w:val="single" w:color="000000" w:sz="6" w:space="0"/>
              <w:bottom w:val="single" w:color="000000" w:sz="6" w:space="0"/>
              <w:right w:val="single" w:color="000000" w:sz="6" w:space="0"/>
            </w:tcBorders>
            <w:noWrap w:val="0"/>
            <w:vAlign w:val="center"/>
          </w:tcPr>
          <w:p w14:paraId="41FA8477">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w:t>
            </w:r>
          </w:p>
          <w:p w14:paraId="087EE80E">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名称</w:t>
            </w:r>
          </w:p>
        </w:tc>
        <w:tc>
          <w:tcPr>
            <w:tcW w:w="1008" w:type="dxa"/>
            <w:tcBorders>
              <w:left w:val="single" w:color="000000" w:sz="6" w:space="0"/>
              <w:bottom w:val="single" w:color="000000" w:sz="6" w:space="0"/>
              <w:right w:val="single" w:color="000000" w:sz="6" w:space="0"/>
            </w:tcBorders>
            <w:noWrap w:val="0"/>
            <w:vAlign w:val="center"/>
          </w:tcPr>
          <w:p w14:paraId="5BF274CA">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w:t>
            </w:r>
          </w:p>
          <w:p w14:paraId="6E341079">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内容</w:t>
            </w:r>
          </w:p>
        </w:tc>
        <w:tc>
          <w:tcPr>
            <w:tcW w:w="1020" w:type="dxa"/>
            <w:tcBorders>
              <w:left w:val="single" w:color="000000" w:sz="6" w:space="0"/>
              <w:bottom w:val="single" w:color="000000" w:sz="6" w:space="0"/>
              <w:right w:val="single" w:color="000000" w:sz="6" w:space="0"/>
            </w:tcBorders>
            <w:noWrap w:val="0"/>
            <w:vAlign w:val="center"/>
          </w:tcPr>
          <w:p w14:paraId="30D40BB1">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w:t>
            </w:r>
          </w:p>
          <w:p w14:paraId="0890350F">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金额</w:t>
            </w:r>
          </w:p>
        </w:tc>
        <w:tc>
          <w:tcPr>
            <w:tcW w:w="847" w:type="dxa"/>
            <w:tcBorders>
              <w:left w:val="single" w:color="000000" w:sz="6" w:space="0"/>
              <w:bottom w:val="single" w:color="000000" w:sz="6" w:space="0"/>
              <w:right w:val="single" w:color="000000" w:sz="6" w:space="0"/>
            </w:tcBorders>
            <w:noWrap w:val="0"/>
            <w:vAlign w:val="center"/>
          </w:tcPr>
          <w:p w14:paraId="10680689">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w:t>
            </w:r>
            <w:r>
              <w:rPr>
                <w:rFonts w:hint="eastAsia" w:ascii="仿宋" w:hAnsi="仿宋" w:eastAsia="仿宋" w:cs="仿宋"/>
                <w:color w:val="auto"/>
                <w:spacing w:val="-9"/>
                <w:szCs w:val="21"/>
                <w:highlight w:val="none"/>
              </w:rPr>
              <w:t>签订日期</w:t>
            </w:r>
          </w:p>
        </w:tc>
        <w:tc>
          <w:tcPr>
            <w:tcW w:w="837" w:type="dxa"/>
            <w:tcBorders>
              <w:left w:val="single" w:color="000000" w:sz="6" w:space="0"/>
              <w:bottom w:val="single" w:color="000000" w:sz="6" w:space="0"/>
              <w:right w:val="single" w:color="000000" w:sz="6" w:space="0"/>
            </w:tcBorders>
            <w:noWrap w:val="0"/>
            <w:vAlign w:val="center"/>
          </w:tcPr>
          <w:p w14:paraId="69CB5ADA">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完成</w:t>
            </w:r>
          </w:p>
          <w:p w14:paraId="18679391">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情况</w:t>
            </w:r>
          </w:p>
        </w:tc>
        <w:tc>
          <w:tcPr>
            <w:tcW w:w="565" w:type="dxa"/>
            <w:tcBorders>
              <w:left w:val="single" w:color="000000" w:sz="6" w:space="0"/>
              <w:bottom w:val="single" w:color="000000" w:sz="6" w:space="0"/>
            </w:tcBorders>
            <w:noWrap w:val="0"/>
            <w:vAlign w:val="center"/>
          </w:tcPr>
          <w:p w14:paraId="17E4CB21">
            <w:pPr>
              <w:pStyle w:val="76"/>
              <w:autoSpaceDE w:val="0"/>
              <w:autoSpaceDN w:val="0"/>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r>
      <w:tr w14:paraId="66C802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noWrap w:val="0"/>
            <w:vAlign w:val="top"/>
          </w:tcPr>
          <w:p w14:paraId="3ADC7BE5">
            <w:pPr>
              <w:pStyle w:val="76"/>
              <w:spacing w:line="360" w:lineRule="auto"/>
              <w:rPr>
                <w:rFonts w:hint="eastAsia" w:ascii="仿宋" w:hAnsi="仿宋" w:eastAsia="仿宋" w:cs="仿宋"/>
                <w:color w:val="auto"/>
                <w:szCs w:val="21"/>
                <w:highlight w:val="none"/>
              </w:rPr>
            </w:pPr>
          </w:p>
        </w:tc>
        <w:tc>
          <w:tcPr>
            <w:tcW w:w="2249" w:type="dxa"/>
            <w:tcBorders>
              <w:top w:val="single" w:color="000000" w:sz="6" w:space="0"/>
              <w:left w:val="single" w:color="000000" w:sz="6" w:space="0"/>
              <w:bottom w:val="single" w:color="000000" w:sz="6" w:space="0"/>
              <w:right w:val="single" w:color="000000" w:sz="6" w:space="0"/>
            </w:tcBorders>
            <w:noWrap w:val="0"/>
            <w:vAlign w:val="top"/>
          </w:tcPr>
          <w:p w14:paraId="2539EBA8">
            <w:pPr>
              <w:pStyle w:val="76"/>
              <w:spacing w:line="360" w:lineRule="auto"/>
              <w:rPr>
                <w:rFonts w:hint="eastAsia" w:ascii="仿宋" w:hAnsi="仿宋" w:eastAsia="仿宋" w:cs="仿宋"/>
                <w:color w:val="auto"/>
                <w:szCs w:val="21"/>
                <w:highlight w:val="none"/>
              </w:rPr>
            </w:pPr>
          </w:p>
        </w:tc>
        <w:tc>
          <w:tcPr>
            <w:tcW w:w="928" w:type="dxa"/>
            <w:tcBorders>
              <w:top w:val="single" w:color="000000" w:sz="6" w:space="0"/>
              <w:left w:val="single" w:color="000000" w:sz="6" w:space="0"/>
              <w:bottom w:val="single" w:color="000000" w:sz="6" w:space="0"/>
              <w:right w:val="single" w:color="000000" w:sz="6" w:space="0"/>
            </w:tcBorders>
            <w:noWrap w:val="0"/>
            <w:vAlign w:val="top"/>
          </w:tcPr>
          <w:p w14:paraId="77C151C6">
            <w:pPr>
              <w:pStyle w:val="76"/>
              <w:spacing w:line="360" w:lineRule="auto"/>
              <w:rPr>
                <w:rFonts w:hint="eastAsia" w:ascii="仿宋" w:hAnsi="仿宋" w:eastAsia="仿宋" w:cs="仿宋"/>
                <w:color w:val="auto"/>
                <w:szCs w:val="21"/>
                <w:highlight w:val="none"/>
              </w:rPr>
            </w:pPr>
          </w:p>
        </w:tc>
        <w:tc>
          <w:tcPr>
            <w:tcW w:w="1008" w:type="dxa"/>
            <w:tcBorders>
              <w:top w:val="single" w:color="000000" w:sz="6" w:space="0"/>
              <w:left w:val="single" w:color="000000" w:sz="6" w:space="0"/>
              <w:bottom w:val="single" w:color="000000" w:sz="6" w:space="0"/>
              <w:right w:val="single" w:color="000000" w:sz="6" w:space="0"/>
            </w:tcBorders>
            <w:noWrap w:val="0"/>
            <w:vAlign w:val="top"/>
          </w:tcPr>
          <w:p w14:paraId="6984041C">
            <w:pPr>
              <w:pStyle w:val="76"/>
              <w:spacing w:line="360" w:lineRule="auto"/>
              <w:rPr>
                <w:rFonts w:hint="eastAsia" w:ascii="仿宋" w:hAnsi="仿宋" w:eastAsia="仿宋" w:cs="仿宋"/>
                <w:color w:val="auto"/>
                <w:szCs w:val="21"/>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vAlign w:val="top"/>
          </w:tcPr>
          <w:p w14:paraId="7ED01666">
            <w:pPr>
              <w:pStyle w:val="76"/>
              <w:spacing w:line="360" w:lineRule="auto"/>
              <w:rPr>
                <w:rFonts w:hint="eastAsia" w:ascii="仿宋" w:hAnsi="仿宋" w:eastAsia="仿宋" w:cs="仿宋"/>
                <w:color w:val="auto"/>
                <w:szCs w:val="21"/>
                <w:highlight w:val="none"/>
              </w:rPr>
            </w:pPr>
          </w:p>
        </w:tc>
        <w:tc>
          <w:tcPr>
            <w:tcW w:w="847" w:type="dxa"/>
            <w:tcBorders>
              <w:top w:val="single" w:color="000000" w:sz="6" w:space="0"/>
              <w:left w:val="single" w:color="000000" w:sz="6" w:space="0"/>
              <w:bottom w:val="single" w:color="000000" w:sz="6" w:space="0"/>
              <w:right w:val="single" w:color="000000" w:sz="6" w:space="0"/>
            </w:tcBorders>
            <w:noWrap w:val="0"/>
            <w:vAlign w:val="top"/>
          </w:tcPr>
          <w:p w14:paraId="69750D8E">
            <w:pPr>
              <w:pStyle w:val="76"/>
              <w:spacing w:line="360" w:lineRule="auto"/>
              <w:rPr>
                <w:rFonts w:hint="eastAsia" w:ascii="仿宋" w:hAnsi="仿宋" w:eastAsia="仿宋" w:cs="仿宋"/>
                <w:color w:val="auto"/>
                <w:szCs w:val="21"/>
                <w:highlight w:val="none"/>
              </w:rPr>
            </w:pPr>
          </w:p>
        </w:tc>
        <w:tc>
          <w:tcPr>
            <w:tcW w:w="837" w:type="dxa"/>
            <w:tcBorders>
              <w:top w:val="single" w:color="000000" w:sz="6" w:space="0"/>
              <w:left w:val="single" w:color="000000" w:sz="6" w:space="0"/>
              <w:bottom w:val="single" w:color="000000" w:sz="6" w:space="0"/>
              <w:right w:val="single" w:color="000000" w:sz="6" w:space="0"/>
            </w:tcBorders>
            <w:noWrap w:val="0"/>
            <w:vAlign w:val="top"/>
          </w:tcPr>
          <w:p w14:paraId="3594EBE5">
            <w:pPr>
              <w:pStyle w:val="76"/>
              <w:spacing w:line="360" w:lineRule="auto"/>
              <w:rPr>
                <w:rFonts w:hint="eastAsia" w:ascii="仿宋" w:hAnsi="仿宋" w:eastAsia="仿宋" w:cs="仿宋"/>
                <w:color w:val="auto"/>
                <w:szCs w:val="21"/>
                <w:highlight w:val="none"/>
              </w:rPr>
            </w:pPr>
          </w:p>
        </w:tc>
        <w:tc>
          <w:tcPr>
            <w:tcW w:w="565" w:type="dxa"/>
            <w:tcBorders>
              <w:top w:val="single" w:color="000000" w:sz="6" w:space="0"/>
              <w:left w:val="single" w:color="000000" w:sz="6" w:space="0"/>
              <w:bottom w:val="single" w:color="000000" w:sz="6" w:space="0"/>
            </w:tcBorders>
            <w:noWrap w:val="0"/>
            <w:vAlign w:val="top"/>
          </w:tcPr>
          <w:p w14:paraId="476CE77D">
            <w:pPr>
              <w:pStyle w:val="76"/>
              <w:spacing w:line="360" w:lineRule="auto"/>
              <w:rPr>
                <w:rFonts w:hint="eastAsia" w:ascii="仿宋" w:hAnsi="仿宋" w:eastAsia="仿宋" w:cs="仿宋"/>
                <w:color w:val="auto"/>
                <w:szCs w:val="21"/>
                <w:highlight w:val="none"/>
              </w:rPr>
            </w:pPr>
          </w:p>
        </w:tc>
      </w:tr>
      <w:tr w14:paraId="2BB9CE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noWrap w:val="0"/>
            <w:vAlign w:val="top"/>
          </w:tcPr>
          <w:p w14:paraId="5164F195">
            <w:pPr>
              <w:pStyle w:val="76"/>
              <w:spacing w:line="360" w:lineRule="auto"/>
              <w:rPr>
                <w:rFonts w:hint="eastAsia" w:ascii="仿宋" w:hAnsi="仿宋" w:eastAsia="仿宋" w:cs="仿宋"/>
                <w:color w:val="auto"/>
                <w:szCs w:val="21"/>
                <w:highlight w:val="none"/>
              </w:rPr>
            </w:pPr>
          </w:p>
        </w:tc>
        <w:tc>
          <w:tcPr>
            <w:tcW w:w="2249" w:type="dxa"/>
            <w:tcBorders>
              <w:top w:val="single" w:color="000000" w:sz="6" w:space="0"/>
              <w:left w:val="single" w:color="000000" w:sz="6" w:space="0"/>
              <w:bottom w:val="single" w:color="000000" w:sz="6" w:space="0"/>
              <w:right w:val="single" w:color="000000" w:sz="6" w:space="0"/>
            </w:tcBorders>
            <w:noWrap w:val="0"/>
            <w:vAlign w:val="top"/>
          </w:tcPr>
          <w:p w14:paraId="7CC4FBE3">
            <w:pPr>
              <w:pStyle w:val="76"/>
              <w:spacing w:line="360" w:lineRule="auto"/>
              <w:rPr>
                <w:rFonts w:hint="eastAsia" w:ascii="仿宋" w:hAnsi="仿宋" w:eastAsia="仿宋" w:cs="仿宋"/>
                <w:color w:val="auto"/>
                <w:szCs w:val="21"/>
                <w:highlight w:val="none"/>
              </w:rPr>
            </w:pPr>
          </w:p>
        </w:tc>
        <w:tc>
          <w:tcPr>
            <w:tcW w:w="928" w:type="dxa"/>
            <w:tcBorders>
              <w:top w:val="single" w:color="000000" w:sz="6" w:space="0"/>
              <w:left w:val="single" w:color="000000" w:sz="6" w:space="0"/>
              <w:bottom w:val="single" w:color="000000" w:sz="6" w:space="0"/>
              <w:right w:val="single" w:color="000000" w:sz="6" w:space="0"/>
            </w:tcBorders>
            <w:noWrap w:val="0"/>
            <w:vAlign w:val="top"/>
          </w:tcPr>
          <w:p w14:paraId="40509339">
            <w:pPr>
              <w:pStyle w:val="76"/>
              <w:spacing w:line="360" w:lineRule="auto"/>
              <w:rPr>
                <w:rFonts w:hint="eastAsia" w:ascii="仿宋" w:hAnsi="仿宋" w:eastAsia="仿宋" w:cs="仿宋"/>
                <w:color w:val="auto"/>
                <w:szCs w:val="21"/>
                <w:highlight w:val="none"/>
              </w:rPr>
            </w:pPr>
          </w:p>
        </w:tc>
        <w:tc>
          <w:tcPr>
            <w:tcW w:w="1008" w:type="dxa"/>
            <w:tcBorders>
              <w:top w:val="single" w:color="000000" w:sz="6" w:space="0"/>
              <w:left w:val="single" w:color="000000" w:sz="6" w:space="0"/>
              <w:bottom w:val="single" w:color="000000" w:sz="6" w:space="0"/>
              <w:right w:val="single" w:color="000000" w:sz="6" w:space="0"/>
            </w:tcBorders>
            <w:noWrap w:val="0"/>
            <w:vAlign w:val="top"/>
          </w:tcPr>
          <w:p w14:paraId="4973C0DB">
            <w:pPr>
              <w:pStyle w:val="76"/>
              <w:spacing w:line="360" w:lineRule="auto"/>
              <w:rPr>
                <w:rFonts w:hint="eastAsia" w:ascii="仿宋" w:hAnsi="仿宋" w:eastAsia="仿宋" w:cs="仿宋"/>
                <w:color w:val="auto"/>
                <w:szCs w:val="21"/>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vAlign w:val="top"/>
          </w:tcPr>
          <w:p w14:paraId="0095F957">
            <w:pPr>
              <w:pStyle w:val="76"/>
              <w:spacing w:line="360" w:lineRule="auto"/>
              <w:rPr>
                <w:rFonts w:hint="eastAsia" w:ascii="仿宋" w:hAnsi="仿宋" w:eastAsia="仿宋" w:cs="仿宋"/>
                <w:color w:val="auto"/>
                <w:szCs w:val="21"/>
                <w:highlight w:val="none"/>
              </w:rPr>
            </w:pPr>
          </w:p>
        </w:tc>
        <w:tc>
          <w:tcPr>
            <w:tcW w:w="847" w:type="dxa"/>
            <w:tcBorders>
              <w:top w:val="single" w:color="000000" w:sz="6" w:space="0"/>
              <w:left w:val="single" w:color="000000" w:sz="6" w:space="0"/>
              <w:bottom w:val="single" w:color="000000" w:sz="6" w:space="0"/>
              <w:right w:val="single" w:color="000000" w:sz="6" w:space="0"/>
            </w:tcBorders>
            <w:noWrap w:val="0"/>
            <w:vAlign w:val="top"/>
          </w:tcPr>
          <w:p w14:paraId="6F202DF4">
            <w:pPr>
              <w:pStyle w:val="76"/>
              <w:spacing w:line="360" w:lineRule="auto"/>
              <w:rPr>
                <w:rFonts w:hint="eastAsia" w:ascii="仿宋" w:hAnsi="仿宋" w:eastAsia="仿宋" w:cs="仿宋"/>
                <w:color w:val="auto"/>
                <w:szCs w:val="21"/>
                <w:highlight w:val="none"/>
              </w:rPr>
            </w:pPr>
          </w:p>
        </w:tc>
        <w:tc>
          <w:tcPr>
            <w:tcW w:w="837" w:type="dxa"/>
            <w:tcBorders>
              <w:top w:val="single" w:color="000000" w:sz="6" w:space="0"/>
              <w:left w:val="single" w:color="000000" w:sz="6" w:space="0"/>
              <w:bottom w:val="single" w:color="000000" w:sz="6" w:space="0"/>
              <w:right w:val="single" w:color="000000" w:sz="6" w:space="0"/>
            </w:tcBorders>
            <w:noWrap w:val="0"/>
            <w:vAlign w:val="top"/>
          </w:tcPr>
          <w:p w14:paraId="4ABA5EDB">
            <w:pPr>
              <w:pStyle w:val="76"/>
              <w:spacing w:line="360" w:lineRule="auto"/>
              <w:rPr>
                <w:rFonts w:hint="eastAsia" w:ascii="仿宋" w:hAnsi="仿宋" w:eastAsia="仿宋" w:cs="仿宋"/>
                <w:color w:val="auto"/>
                <w:szCs w:val="21"/>
                <w:highlight w:val="none"/>
              </w:rPr>
            </w:pPr>
          </w:p>
        </w:tc>
        <w:tc>
          <w:tcPr>
            <w:tcW w:w="565" w:type="dxa"/>
            <w:tcBorders>
              <w:top w:val="single" w:color="000000" w:sz="6" w:space="0"/>
              <w:left w:val="single" w:color="000000" w:sz="6" w:space="0"/>
              <w:bottom w:val="single" w:color="000000" w:sz="6" w:space="0"/>
            </w:tcBorders>
            <w:noWrap w:val="0"/>
            <w:vAlign w:val="top"/>
          </w:tcPr>
          <w:p w14:paraId="0A285E3C">
            <w:pPr>
              <w:pStyle w:val="76"/>
              <w:spacing w:line="360" w:lineRule="auto"/>
              <w:rPr>
                <w:rFonts w:hint="eastAsia" w:ascii="仿宋" w:hAnsi="仿宋" w:eastAsia="仿宋" w:cs="仿宋"/>
                <w:color w:val="auto"/>
                <w:szCs w:val="21"/>
                <w:highlight w:val="none"/>
              </w:rPr>
            </w:pPr>
          </w:p>
        </w:tc>
      </w:tr>
      <w:tr w14:paraId="0D9C28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noWrap w:val="0"/>
            <w:vAlign w:val="top"/>
          </w:tcPr>
          <w:p w14:paraId="3C743FE7">
            <w:pPr>
              <w:pStyle w:val="76"/>
              <w:spacing w:line="360" w:lineRule="auto"/>
              <w:rPr>
                <w:rFonts w:hint="eastAsia" w:ascii="仿宋" w:hAnsi="仿宋" w:eastAsia="仿宋" w:cs="仿宋"/>
                <w:color w:val="auto"/>
                <w:szCs w:val="21"/>
                <w:highlight w:val="none"/>
              </w:rPr>
            </w:pPr>
          </w:p>
        </w:tc>
        <w:tc>
          <w:tcPr>
            <w:tcW w:w="2249" w:type="dxa"/>
            <w:tcBorders>
              <w:top w:val="single" w:color="000000" w:sz="6" w:space="0"/>
              <w:left w:val="single" w:color="000000" w:sz="6" w:space="0"/>
              <w:bottom w:val="single" w:color="000000" w:sz="6" w:space="0"/>
              <w:right w:val="single" w:color="000000" w:sz="6" w:space="0"/>
            </w:tcBorders>
            <w:noWrap w:val="0"/>
            <w:vAlign w:val="top"/>
          </w:tcPr>
          <w:p w14:paraId="449338BE">
            <w:pPr>
              <w:pStyle w:val="76"/>
              <w:spacing w:line="360" w:lineRule="auto"/>
              <w:rPr>
                <w:rFonts w:hint="eastAsia" w:ascii="仿宋" w:hAnsi="仿宋" w:eastAsia="仿宋" w:cs="仿宋"/>
                <w:color w:val="auto"/>
                <w:szCs w:val="21"/>
                <w:highlight w:val="none"/>
              </w:rPr>
            </w:pPr>
          </w:p>
        </w:tc>
        <w:tc>
          <w:tcPr>
            <w:tcW w:w="928" w:type="dxa"/>
            <w:tcBorders>
              <w:top w:val="single" w:color="000000" w:sz="6" w:space="0"/>
              <w:left w:val="single" w:color="000000" w:sz="6" w:space="0"/>
              <w:bottom w:val="single" w:color="000000" w:sz="6" w:space="0"/>
              <w:right w:val="single" w:color="000000" w:sz="6" w:space="0"/>
            </w:tcBorders>
            <w:noWrap w:val="0"/>
            <w:vAlign w:val="top"/>
          </w:tcPr>
          <w:p w14:paraId="020E32BC">
            <w:pPr>
              <w:pStyle w:val="76"/>
              <w:spacing w:line="360" w:lineRule="auto"/>
              <w:rPr>
                <w:rFonts w:hint="eastAsia" w:ascii="仿宋" w:hAnsi="仿宋" w:eastAsia="仿宋" w:cs="仿宋"/>
                <w:color w:val="auto"/>
                <w:szCs w:val="21"/>
                <w:highlight w:val="none"/>
              </w:rPr>
            </w:pPr>
          </w:p>
        </w:tc>
        <w:tc>
          <w:tcPr>
            <w:tcW w:w="1008" w:type="dxa"/>
            <w:tcBorders>
              <w:top w:val="single" w:color="000000" w:sz="6" w:space="0"/>
              <w:left w:val="single" w:color="000000" w:sz="6" w:space="0"/>
              <w:bottom w:val="single" w:color="000000" w:sz="6" w:space="0"/>
              <w:right w:val="single" w:color="000000" w:sz="6" w:space="0"/>
            </w:tcBorders>
            <w:noWrap w:val="0"/>
            <w:vAlign w:val="top"/>
          </w:tcPr>
          <w:p w14:paraId="1441A032">
            <w:pPr>
              <w:pStyle w:val="76"/>
              <w:spacing w:line="360" w:lineRule="auto"/>
              <w:rPr>
                <w:rFonts w:hint="eastAsia" w:ascii="仿宋" w:hAnsi="仿宋" w:eastAsia="仿宋" w:cs="仿宋"/>
                <w:color w:val="auto"/>
                <w:szCs w:val="21"/>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vAlign w:val="top"/>
          </w:tcPr>
          <w:p w14:paraId="440A9A64">
            <w:pPr>
              <w:pStyle w:val="76"/>
              <w:spacing w:line="360" w:lineRule="auto"/>
              <w:rPr>
                <w:rFonts w:hint="eastAsia" w:ascii="仿宋" w:hAnsi="仿宋" w:eastAsia="仿宋" w:cs="仿宋"/>
                <w:color w:val="auto"/>
                <w:szCs w:val="21"/>
                <w:highlight w:val="none"/>
              </w:rPr>
            </w:pPr>
          </w:p>
        </w:tc>
        <w:tc>
          <w:tcPr>
            <w:tcW w:w="847" w:type="dxa"/>
            <w:tcBorders>
              <w:top w:val="single" w:color="000000" w:sz="6" w:space="0"/>
              <w:left w:val="single" w:color="000000" w:sz="6" w:space="0"/>
              <w:bottom w:val="single" w:color="000000" w:sz="6" w:space="0"/>
              <w:right w:val="single" w:color="000000" w:sz="6" w:space="0"/>
            </w:tcBorders>
            <w:noWrap w:val="0"/>
            <w:vAlign w:val="top"/>
          </w:tcPr>
          <w:p w14:paraId="7E58C09A">
            <w:pPr>
              <w:pStyle w:val="76"/>
              <w:spacing w:line="360" w:lineRule="auto"/>
              <w:rPr>
                <w:rFonts w:hint="eastAsia" w:ascii="仿宋" w:hAnsi="仿宋" w:eastAsia="仿宋" w:cs="仿宋"/>
                <w:color w:val="auto"/>
                <w:szCs w:val="21"/>
                <w:highlight w:val="none"/>
              </w:rPr>
            </w:pPr>
          </w:p>
        </w:tc>
        <w:tc>
          <w:tcPr>
            <w:tcW w:w="837" w:type="dxa"/>
            <w:tcBorders>
              <w:top w:val="single" w:color="000000" w:sz="6" w:space="0"/>
              <w:left w:val="single" w:color="000000" w:sz="6" w:space="0"/>
              <w:bottom w:val="single" w:color="000000" w:sz="6" w:space="0"/>
              <w:right w:val="single" w:color="000000" w:sz="6" w:space="0"/>
            </w:tcBorders>
            <w:noWrap w:val="0"/>
            <w:vAlign w:val="top"/>
          </w:tcPr>
          <w:p w14:paraId="3457D527">
            <w:pPr>
              <w:pStyle w:val="76"/>
              <w:spacing w:line="360" w:lineRule="auto"/>
              <w:rPr>
                <w:rFonts w:hint="eastAsia" w:ascii="仿宋" w:hAnsi="仿宋" w:eastAsia="仿宋" w:cs="仿宋"/>
                <w:color w:val="auto"/>
                <w:szCs w:val="21"/>
                <w:highlight w:val="none"/>
              </w:rPr>
            </w:pPr>
          </w:p>
        </w:tc>
        <w:tc>
          <w:tcPr>
            <w:tcW w:w="565" w:type="dxa"/>
            <w:tcBorders>
              <w:top w:val="single" w:color="000000" w:sz="6" w:space="0"/>
              <w:left w:val="single" w:color="000000" w:sz="6" w:space="0"/>
              <w:bottom w:val="single" w:color="000000" w:sz="6" w:space="0"/>
            </w:tcBorders>
            <w:noWrap w:val="0"/>
            <w:vAlign w:val="top"/>
          </w:tcPr>
          <w:p w14:paraId="18BF8AAC">
            <w:pPr>
              <w:pStyle w:val="76"/>
              <w:spacing w:line="360" w:lineRule="auto"/>
              <w:rPr>
                <w:rFonts w:hint="eastAsia" w:ascii="仿宋" w:hAnsi="仿宋" w:eastAsia="仿宋" w:cs="仿宋"/>
                <w:color w:val="auto"/>
                <w:szCs w:val="21"/>
                <w:highlight w:val="none"/>
              </w:rPr>
            </w:pPr>
          </w:p>
        </w:tc>
      </w:tr>
      <w:tr w14:paraId="50176A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noWrap w:val="0"/>
            <w:vAlign w:val="top"/>
          </w:tcPr>
          <w:p w14:paraId="7066670C">
            <w:pPr>
              <w:pStyle w:val="76"/>
              <w:spacing w:line="360" w:lineRule="auto"/>
              <w:rPr>
                <w:rFonts w:hint="eastAsia" w:ascii="仿宋" w:hAnsi="仿宋" w:eastAsia="仿宋" w:cs="仿宋"/>
                <w:color w:val="auto"/>
                <w:szCs w:val="21"/>
                <w:highlight w:val="none"/>
              </w:rPr>
            </w:pPr>
          </w:p>
        </w:tc>
        <w:tc>
          <w:tcPr>
            <w:tcW w:w="2249" w:type="dxa"/>
            <w:tcBorders>
              <w:top w:val="single" w:color="000000" w:sz="6" w:space="0"/>
              <w:left w:val="single" w:color="000000" w:sz="6" w:space="0"/>
              <w:bottom w:val="single" w:color="000000" w:sz="6" w:space="0"/>
              <w:right w:val="single" w:color="000000" w:sz="6" w:space="0"/>
            </w:tcBorders>
            <w:noWrap w:val="0"/>
            <w:vAlign w:val="top"/>
          </w:tcPr>
          <w:p w14:paraId="1CAA8BB5">
            <w:pPr>
              <w:pStyle w:val="76"/>
              <w:spacing w:line="360" w:lineRule="auto"/>
              <w:rPr>
                <w:rFonts w:hint="eastAsia" w:ascii="仿宋" w:hAnsi="仿宋" w:eastAsia="仿宋" w:cs="仿宋"/>
                <w:color w:val="auto"/>
                <w:szCs w:val="21"/>
                <w:highlight w:val="none"/>
              </w:rPr>
            </w:pPr>
          </w:p>
        </w:tc>
        <w:tc>
          <w:tcPr>
            <w:tcW w:w="928" w:type="dxa"/>
            <w:tcBorders>
              <w:top w:val="single" w:color="000000" w:sz="6" w:space="0"/>
              <w:left w:val="single" w:color="000000" w:sz="6" w:space="0"/>
              <w:bottom w:val="single" w:color="000000" w:sz="6" w:space="0"/>
              <w:right w:val="single" w:color="000000" w:sz="6" w:space="0"/>
            </w:tcBorders>
            <w:noWrap w:val="0"/>
            <w:vAlign w:val="top"/>
          </w:tcPr>
          <w:p w14:paraId="52201F16">
            <w:pPr>
              <w:pStyle w:val="76"/>
              <w:spacing w:line="360" w:lineRule="auto"/>
              <w:rPr>
                <w:rFonts w:hint="eastAsia" w:ascii="仿宋" w:hAnsi="仿宋" w:eastAsia="仿宋" w:cs="仿宋"/>
                <w:color w:val="auto"/>
                <w:szCs w:val="21"/>
                <w:highlight w:val="none"/>
              </w:rPr>
            </w:pPr>
          </w:p>
        </w:tc>
        <w:tc>
          <w:tcPr>
            <w:tcW w:w="1008" w:type="dxa"/>
            <w:tcBorders>
              <w:top w:val="single" w:color="000000" w:sz="6" w:space="0"/>
              <w:left w:val="single" w:color="000000" w:sz="6" w:space="0"/>
              <w:bottom w:val="single" w:color="000000" w:sz="6" w:space="0"/>
              <w:right w:val="single" w:color="000000" w:sz="6" w:space="0"/>
            </w:tcBorders>
            <w:noWrap w:val="0"/>
            <w:vAlign w:val="top"/>
          </w:tcPr>
          <w:p w14:paraId="0C8AE0D9">
            <w:pPr>
              <w:pStyle w:val="76"/>
              <w:spacing w:line="360" w:lineRule="auto"/>
              <w:rPr>
                <w:rFonts w:hint="eastAsia" w:ascii="仿宋" w:hAnsi="仿宋" w:eastAsia="仿宋" w:cs="仿宋"/>
                <w:color w:val="auto"/>
                <w:szCs w:val="21"/>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vAlign w:val="top"/>
          </w:tcPr>
          <w:p w14:paraId="50E92D6A">
            <w:pPr>
              <w:pStyle w:val="76"/>
              <w:spacing w:line="360" w:lineRule="auto"/>
              <w:rPr>
                <w:rFonts w:hint="eastAsia" w:ascii="仿宋" w:hAnsi="仿宋" w:eastAsia="仿宋" w:cs="仿宋"/>
                <w:color w:val="auto"/>
                <w:szCs w:val="21"/>
                <w:highlight w:val="none"/>
              </w:rPr>
            </w:pPr>
          </w:p>
        </w:tc>
        <w:tc>
          <w:tcPr>
            <w:tcW w:w="847" w:type="dxa"/>
            <w:tcBorders>
              <w:top w:val="single" w:color="000000" w:sz="6" w:space="0"/>
              <w:left w:val="single" w:color="000000" w:sz="6" w:space="0"/>
              <w:bottom w:val="single" w:color="000000" w:sz="6" w:space="0"/>
              <w:right w:val="single" w:color="000000" w:sz="6" w:space="0"/>
            </w:tcBorders>
            <w:noWrap w:val="0"/>
            <w:vAlign w:val="top"/>
          </w:tcPr>
          <w:p w14:paraId="3A5FCE7E">
            <w:pPr>
              <w:pStyle w:val="76"/>
              <w:spacing w:line="360" w:lineRule="auto"/>
              <w:rPr>
                <w:rFonts w:hint="eastAsia" w:ascii="仿宋" w:hAnsi="仿宋" w:eastAsia="仿宋" w:cs="仿宋"/>
                <w:color w:val="auto"/>
                <w:szCs w:val="21"/>
                <w:highlight w:val="none"/>
              </w:rPr>
            </w:pPr>
          </w:p>
        </w:tc>
        <w:tc>
          <w:tcPr>
            <w:tcW w:w="837" w:type="dxa"/>
            <w:tcBorders>
              <w:top w:val="single" w:color="000000" w:sz="6" w:space="0"/>
              <w:left w:val="single" w:color="000000" w:sz="6" w:space="0"/>
              <w:bottom w:val="single" w:color="000000" w:sz="6" w:space="0"/>
              <w:right w:val="single" w:color="000000" w:sz="6" w:space="0"/>
            </w:tcBorders>
            <w:noWrap w:val="0"/>
            <w:vAlign w:val="top"/>
          </w:tcPr>
          <w:p w14:paraId="492EA886">
            <w:pPr>
              <w:pStyle w:val="76"/>
              <w:spacing w:line="360" w:lineRule="auto"/>
              <w:rPr>
                <w:rFonts w:hint="eastAsia" w:ascii="仿宋" w:hAnsi="仿宋" w:eastAsia="仿宋" w:cs="仿宋"/>
                <w:color w:val="auto"/>
                <w:szCs w:val="21"/>
                <w:highlight w:val="none"/>
              </w:rPr>
            </w:pPr>
          </w:p>
        </w:tc>
        <w:tc>
          <w:tcPr>
            <w:tcW w:w="565" w:type="dxa"/>
            <w:tcBorders>
              <w:top w:val="single" w:color="000000" w:sz="6" w:space="0"/>
              <w:left w:val="single" w:color="000000" w:sz="6" w:space="0"/>
              <w:bottom w:val="single" w:color="000000" w:sz="6" w:space="0"/>
            </w:tcBorders>
            <w:noWrap w:val="0"/>
            <w:vAlign w:val="top"/>
          </w:tcPr>
          <w:p w14:paraId="650E3484">
            <w:pPr>
              <w:pStyle w:val="76"/>
              <w:spacing w:line="360" w:lineRule="auto"/>
              <w:rPr>
                <w:rFonts w:hint="eastAsia" w:ascii="仿宋" w:hAnsi="仿宋" w:eastAsia="仿宋" w:cs="仿宋"/>
                <w:color w:val="auto"/>
                <w:szCs w:val="21"/>
                <w:highlight w:val="none"/>
              </w:rPr>
            </w:pPr>
          </w:p>
        </w:tc>
      </w:tr>
      <w:tr w14:paraId="541E54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noWrap w:val="0"/>
            <w:vAlign w:val="top"/>
          </w:tcPr>
          <w:p w14:paraId="34BF9BE5">
            <w:pPr>
              <w:pStyle w:val="76"/>
              <w:spacing w:line="360" w:lineRule="auto"/>
              <w:rPr>
                <w:rFonts w:hint="eastAsia" w:ascii="仿宋" w:hAnsi="仿宋" w:eastAsia="仿宋" w:cs="仿宋"/>
                <w:color w:val="auto"/>
                <w:szCs w:val="21"/>
                <w:highlight w:val="none"/>
              </w:rPr>
            </w:pPr>
          </w:p>
        </w:tc>
        <w:tc>
          <w:tcPr>
            <w:tcW w:w="2249" w:type="dxa"/>
            <w:tcBorders>
              <w:top w:val="single" w:color="000000" w:sz="6" w:space="0"/>
              <w:left w:val="single" w:color="000000" w:sz="6" w:space="0"/>
              <w:bottom w:val="single" w:color="000000" w:sz="6" w:space="0"/>
              <w:right w:val="single" w:color="000000" w:sz="6" w:space="0"/>
            </w:tcBorders>
            <w:noWrap w:val="0"/>
            <w:vAlign w:val="top"/>
          </w:tcPr>
          <w:p w14:paraId="556A3AA8">
            <w:pPr>
              <w:pStyle w:val="76"/>
              <w:spacing w:line="360" w:lineRule="auto"/>
              <w:rPr>
                <w:rFonts w:hint="eastAsia" w:ascii="仿宋" w:hAnsi="仿宋" w:eastAsia="仿宋" w:cs="仿宋"/>
                <w:color w:val="auto"/>
                <w:szCs w:val="21"/>
                <w:highlight w:val="none"/>
              </w:rPr>
            </w:pPr>
          </w:p>
        </w:tc>
        <w:tc>
          <w:tcPr>
            <w:tcW w:w="928" w:type="dxa"/>
            <w:tcBorders>
              <w:top w:val="single" w:color="000000" w:sz="6" w:space="0"/>
              <w:left w:val="single" w:color="000000" w:sz="6" w:space="0"/>
              <w:bottom w:val="single" w:color="000000" w:sz="6" w:space="0"/>
              <w:right w:val="single" w:color="000000" w:sz="6" w:space="0"/>
            </w:tcBorders>
            <w:noWrap w:val="0"/>
            <w:vAlign w:val="top"/>
          </w:tcPr>
          <w:p w14:paraId="23927B05">
            <w:pPr>
              <w:pStyle w:val="76"/>
              <w:spacing w:line="360" w:lineRule="auto"/>
              <w:rPr>
                <w:rFonts w:hint="eastAsia" w:ascii="仿宋" w:hAnsi="仿宋" w:eastAsia="仿宋" w:cs="仿宋"/>
                <w:color w:val="auto"/>
                <w:szCs w:val="21"/>
                <w:highlight w:val="none"/>
              </w:rPr>
            </w:pPr>
          </w:p>
        </w:tc>
        <w:tc>
          <w:tcPr>
            <w:tcW w:w="1008" w:type="dxa"/>
            <w:tcBorders>
              <w:top w:val="single" w:color="000000" w:sz="6" w:space="0"/>
              <w:left w:val="single" w:color="000000" w:sz="6" w:space="0"/>
              <w:bottom w:val="single" w:color="000000" w:sz="6" w:space="0"/>
              <w:right w:val="single" w:color="000000" w:sz="6" w:space="0"/>
            </w:tcBorders>
            <w:noWrap w:val="0"/>
            <w:vAlign w:val="top"/>
          </w:tcPr>
          <w:p w14:paraId="529F784F">
            <w:pPr>
              <w:pStyle w:val="76"/>
              <w:spacing w:line="360" w:lineRule="auto"/>
              <w:rPr>
                <w:rFonts w:hint="eastAsia" w:ascii="仿宋" w:hAnsi="仿宋" w:eastAsia="仿宋" w:cs="仿宋"/>
                <w:color w:val="auto"/>
                <w:szCs w:val="21"/>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vAlign w:val="top"/>
          </w:tcPr>
          <w:p w14:paraId="720361AE">
            <w:pPr>
              <w:pStyle w:val="76"/>
              <w:spacing w:line="360" w:lineRule="auto"/>
              <w:rPr>
                <w:rFonts w:hint="eastAsia" w:ascii="仿宋" w:hAnsi="仿宋" w:eastAsia="仿宋" w:cs="仿宋"/>
                <w:color w:val="auto"/>
                <w:szCs w:val="21"/>
                <w:highlight w:val="none"/>
              </w:rPr>
            </w:pPr>
          </w:p>
        </w:tc>
        <w:tc>
          <w:tcPr>
            <w:tcW w:w="847" w:type="dxa"/>
            <w:tcBorders>
              <w:top w:val="single" w:color="000000" w:sz="6" w:space="0"/>
              <w:left w:val="single" w:color="000000" w:sz="6" w:space="0"/>
              <w:bottom w:val="single" w:color="000000" w:sz="6" w:space="0"/>
              <w:right w:val="single" w:color="000000" w:sz="6" w:space="0"/>
            </w:tcBorders>
            <w:noWrap w:val="0"/>
            <w:vAlign w:val="top"/>
          </w:tcPr>
          <w:p w14:paraId="04CA73B7">
            <w:pPr>
              <w:pStyle w:val="76"/>
              <w:spacing w:line="360" w:lineRule="auto"/>
              <w:rPr>
                <w:rFonts w:hint="eastAsia" w:ascii="仿宋" w:hAnsi="仿宋" w:eastAsia="仿宋" w:cs="仿宋"/>
                <w:color w:val="auto"/>
                <w:szCs w:val="21"/>
                <w:highlight w:val="none"/>
              </w:rPr>
            </w:pPr>
          </w:p>
        </w:tc>
        <w:tc>
          <w:tcPr>
            <w:tcW w:w="837" w:type="dxa"/>
            <w:tcBorders>
              <w:top w:val="single" w:color="000000" w:sz="6" w:space="0"/>
              <w:left w:val="single" w:color="000000" w:sz="6" w:space="0"/>
              <w:bottom w:val="single" w:color="000000" w:sz="6" w:space="0"/>
              <w:right w:val="single" w:color="000000" w:sz="6" w:space="0"/>
            </w:tcBorders>
            <w:noWrap w:val="0"/>
            <w:vAlign w:val="top"/>
          </w:tcPr>
          <w:p w14:paraId="317AA52B">
            <w:pPr>
              <w:pStyle w:val="76"/>
              <w:spacing w:line="360" w:lineRule="auto"/>
              <w:rPr>
                <w:rFonts w:hint="eastAsia" w:ascii="仿宋" w:hAnsi="仿宋" w:eastAsia="仿宋" w:cs="仿宋"/>
                <w:color w:val="auto"/>
                <w:szCs w:val="21"/>
                <w:highlight w:val="none"/>
              </w:rPr>
            </w:pPr>
          </w:p>
        </w:tc>
        <w:tc>
          <w:tcPr>
            <w:tcW w:w="565" w:type="dxa"/>
            <w:tcBorders>
              <w:top w:val="single" w:color="000000" w:sz="6" w:space="0"/>
              <w:left w:val="single" w:color="000000" w:sz="6" w:space="0"/>
              <w:bottom w:val="single" w:color="000000" w:sz="6" w:space="0"/>
            </w:tcBorders>
            <w:noWrap w:val="0"/>
            <w:vAlign w:val="top"/>
          </w:tcPr>
          <w:p w14:paraId="0251FA67">
            <w:pPr>
              <w:pStyle w:val="76"/>
              <w:spacing w:line="360" w:lineRule="auto"/>
              <w:rPr>
                <w:rFonts w:hint="eastAsia" w:ascii="仿宋" w:hAnsi="仿宋" w:eastAsia="仿宋" w:cs="仿宋"/>
                <w:color w:val="auto"/>
                <w:szCs w:val="21"/>
                <w:highlight w:val="none"/>
              </w:rPr>
            </w:pPr>
          </w:p>
        </w:tc>
      </w:tr>
      <w:tr w14:paraId="1E1C76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noWrap w:val="0"/>
            <w:vAlign w:val="top"/>
          </w:tcPr>
          <w:p w14:paraId="7890CAE2">
            <w:pPr>
              <w:pStyle w:val="76"/>
              <w:spacing w:line="360" w:lineRule="auto"/>
              <w:rPr>
                <w:rFonts w:hint="eastAsia" w:ascii="仿宋" w:hAnsi="仿宋" w:eastAsia="仿宋" w:cs="仿宋"/>
                <w:color w:val="auto"/>
                <w:szCs w:val="21"/>
                <w:highlight w:val="none"/>
              </w:rPr>
            </w:pPr>
          </w:p>
        </w:tc>
        <w:tc>
          <w:tcPr>
            <w:tcW w:w="2249" w:type="dxa"/>
            <w:tcBorders>
              <w:top w:val="single" w:color="000000" w:sz="6" w:space="0"/>
              <w:left w:val="single" w:color="000000" w:sz="6" w:space="0"/>
              <w:bottom w:val="single" w:color="000000" w:sz="6" w:space="0"/>
              <w:right w:val="single" w:color="000000" w:sz="6" w:space="0"/>
            </w:tcBorders>
            <w:noWrap w:val="0"/>
            <w:vAlign w:val="top"/>
          </w:tcPr>
          <w:p w14:paraId="0AEDA792">
            <w:pPr>
              <w:pStyle w:val="76"/>
              <w:spacing w:line="360" w:lineRule="auto"/>
              <w:rPr>
                <w:rFonts w:hint="eastAsia" w:ascii="仿宋" w:hAnsi="仿宋" w:eastAsia="仿宋" w:cs="仿宋"/>
                <w:color w:val="auto"/>
                <w:szCs w:val="21"/>
                <w:highlight w:val="none"/>
              </w:rPr>
            </w:pPr>
          </w:p>
        </w:tc>
        <w:tc>
          <w:tcPr>
            <w:tcW w:w="928" w:type="dxa"/>
            <w:tcBorders>
              <w:top w:val="single" w:color="000000" w:sz="6" w:space="0"/>
              <w:left w:val="single" w:color="000000" w:sz="6" w:space="0"/>
              <w:bottom w:val="single" w:color="000000" w:sz="6" w:space="0"/>
              <w:right w:val="single" w:color="000000" w:sz="6" w:space="0"/>
            </w:tcBorders>
            <w:noWrap w:val="0"/>
            <w:vAlign w:val="top"/>
          </w:tcPr>
          <w:p w14:paraId="480E6FE7">
            <w:pPr>
              <w:pStyle w:val="76"/>
              <w:spacing w:line="360" w:lineRule="auto"/>
              <w:rPr>
                <w:rFonts w:hint="eastAsia" w:ascii="仿宋" w:hAnsi="仿宋" w:eastAsia="仿宋" w:cs="仿宋"/>
                <w:color w:val="auto"/>
                <w:szCs w:val="21"/>
                <w:highlight w:val="none"/>
              </w:rPr>
            </w:pPr>
          </w:p>
        </w:tc>
        <w:tc>
          <w:tcPr>
            <w:tcW w:w="1008" w:type="dxa"/>
            <w:tcBorders>
              <w:top w:val="single" w:color="000000" w:sz="6" w:space="0"/>
              <w:left w:val="single" w:color="000000" w:sz="6" w:space="0"/>
              <w:bottom w:val="single" w:color="000000" w:sz="6" w:space="0"/>
              <w:right w:val="single" w:color="000000" w:sz="6" w:space="0"/>
            </w:tcBorders>
            <w:noWrap w:val="0"/>
            <w:vAlign w:val="top"/>
          </w:tcPr>
          <w:p w14:paraId="5150CF2E">
            <w:pPr>
              <w:pStyle w:val="76"/>
              <w:spacing w:line="360" w:lineRule="auto"/>
              <w:rPr>
                <w:rFonts w:hint="eastAsia" w:ascii="仿宋" w:hAnsi="仿宋" w:eastAsia="仿宋" w:cs="仿宋"/>
                <w:color w:val="auto"/>
                <w:szCs w:val="21"/>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vAlign w:val="top"/>
          </w:tcPr>
          <w:p w14:paraId="5348DD17">
            <w:pPr>
              <w:pStyle w:val="76"/>
              <w:spacing w:line="360" w:lineRule="auto"/>
              <w:rPr>
                <w:rFonts w:hint="eastAsia" w:ascii="仿宋" w:hAnsi="仿宋" w:eastAsia="仿宋" w:cs="仿宋"/>
                <w:color w:val="auto"/>
                <w:szCs w:val="21"/>
                <w:highlight w:val="none"/>
              </w:rPr>
            </w:pPr>
          </w:p>
        </w:tc>
        <w:tc>
          <w:tcPr>
            <w:tcW w:w="847" w:type="dxa"/>
            <w:tcBorders>
              <w:top w:val="single" w:color="000000" w:sz="6" w:space="0"/>
              <w:left w:val="single" w:color="000000" w:sz="6" w:space="0"/>
              <w:bottom w:val="single" w:color="000000" w:sz="6" w:space="0"/>
              <w:right w:val="single" w:color="000000" w:sz="6" w:space="0"/>
            </w:tcBorders>
            <w:noWrap w:val="0"/>
            <w:vAlign w:val="top"/>
          </w:tcPr>
          <w:p w14:paraId="51818DFA">
            <w:pPr>
              <w:pStyle w:val="76"/>
              <w:spacing w:line="360" w:lineRule="auto"/>
              <w:rPr>
                <w:rFonts w:hint="eastAsia" w:ascii="仿宋" w:hAnsi="仿宋" w:eastAsia="仿宋" w:cs="仿宋"/>
                <w:color w:val="auto"/>
                <w:szCs w:val="21"/>
                <w:highlight w:val="none"/>
              </w:rPr>
            </w:pPr>
          </w:p>
        </w:tc>
        <w:tc>
          <w:tcPr>
            <w:tcW w:w="837" w:type="dxa"/>
            <w:tcBorders>
              <w:top w:val="single" w:color="000000" w:sz="6" w:space="0"/>
              <w:left w:val="single" w:color="000000" w:sz="6" w:space="0"/>
              <w:bottom w:val="single" w:color="000000" w:sz="6" w:space="0"/>
              <w:right w:val="single" w:color="000000" w:sz="6" w:space="0"/>
            </w:tcBorders>
            <w:noWrap w:val="0"/>
            <w:vAlign w:val="top"/>
          </w:tcPr>
          <w:p w14:paraId="4E766E2D">
            <w:pPr>
              <w:pStyle w:val="76"/>
              <w:spacing w:line="360" w:lineRule="auto"/>
              <w:rPr>
                <w:rFonts w:hint="eastAsia" w:ascii="仿宋" w:hAnsi="仿宋" w:eastAsia="仿宋" w:cs="仿宋"/>
                <w:color w:val="auto"/>
                <w:szCs w:val="21"/>
                <w:highlight w:val="none"/>
              </w:rPr>
            </w:pPr>
          </w:p>
        </w:tc>
        <w:tc>
          <w:tcPr>
            <w:tcW w:w="565" w:type="dxa"/>
            <w:tcBorders>
              <w:top w:val="single" w:color="000000" w:sz="6" w:space="0"/>
              <w:left w:val="single" w:color="000000" w:sz="6" w:space="0"/>
              <w:bottom w:val="single" w:color="000000" w:sz="6" w:space="0"/>
            </w:tcBorders>
            <w:noWrap w:val="0"/>
            <w:vAlign w:val="top"/>
          </w:tcPr>
          <w:p w14:paraId="1794214C">
            <w:pPr>
              <w:pStyle w:val="76"/>
              <w:spacing w:line="360" w:lineRule="auto"/>
              <w:rPr>
                <w:rFonts w:hint="eastAsia" w:ascii="仿宋" w:hAnsi="仿宋" w:eastAsia="仿宋" w:cs="仿宋"/>
                <w:color w:val="auto"/>
                <w:szCs w:val="21"/>
                <w:highlight w:val="none"/>
              </w:rPr>
            </w:pPr>
          </w:p>
        </w:tc>
      </w:tr>
      <w:tr w14:paraId="6882C11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noWrap w:val="0"/>
            <w:vAlign w:val="top"/>
          </w:tcPr>
          <w:p w14:paraId="2ED6D8D7">
            <w:pPr>
              <w:pStyle w:val="76"/>
              <w:spacing w:line="360" w:lineRule="auto"/>
              <w:rPr>
                <w:rFonts w:hint="eastAsia" w:ascii="仿宋" w:hAnsi="仿宋" w:eastAsia="仿宋" w:cs="仿宋"/>
                <w:color w:val="auto"/>
                <w:szCs w:val="21"/>
                <w:highlight w:val="none"/>
              </w:rPr>
            </w:pPr>
          </w:p>
        </w:tc>
        <w:tc>
          <w:tcPr>
            <w:tcW w:w="2249" w:type="dxa"/>
            <w:tcBorders>
              <w:top w:val="single" w:color="000000" w:sz="6" w:space="0"/>
              <w:left w:val="single" w:color="000000" w:sz="6" w:space="0"/>
              <w:bottom w:val="single" w:color="000000" w:sz="6" w:space="0"/>
              <w:right w:val="single" w:color="000000" w:sz="6" w:space="0"/>
            </w:tcBorders>
            <w:noWrap w:val="0"/>
            <w:vAlign w:val="top"/>
          </w:tcPr>
          <w:p w14:paraId="0D4116C6">
            <w:pPr>
              <w:pStyle w:val="76"/>
              <w:spacing w:line="360" w:lineRule="auto"/>
              <w:rPr>
                <w:rFonts w:hint="eastAsia" w:ascii="仿宋" w:hAnsi="仿宋" w:eastAsia="仿宋" w:cs="仿宋"/>
                <w:color w:val="auto"/>
                <w:szCs w:val="21"/>
                <w:highlight w:val="none"/>
              </w:rPr>
            </w:pPr>
          </w:p>
        </w:tc>
        <w:tc>
          <w:tcPr>
            <w:tcW w:w="928" w:type="dxa"/>
            <w:tcBorders>
              <w:top w:val="single" w:color="000000" w:sz="6" w:space="0"/>
              <w:left w:val="single" w:color="000000" w:sz="6" w:space="0"/>
              <w:bottom w:val="single" w:color="000000" w:sz="6" w:space="0"/>
              <w:right w:val="single" w:color="000000" w:sz="6" w:space="0"/>
            </w:tcBorders>
            <w:noWrap w:val="0"/>
            <w:vAlign w:val="top"/>
          </w:tcPr>
          <w:p w14:paraId="6F6DC42E">
            <w:pPr>
              <w:pStyle w:val="76"/>
              <w:spacing w:line="360" w:lineRule="auto"/>
              <w:rPr>
                <w:rFonts w:hint="eastAsia" w:ascii="仿宋" w:hAnsi="仿宋" w:eastAsia="仿宋" w:cs="仿宋"/>
                <w:color w:val="auto"/>
                <w:szCs w:val="21"/>
                <w:highlight w:val="none"/>
              </w:rPr>
            </w:pPr>
          </w:p>
        </w:tc>
        <w:tc>
          <w:tcPr>
            <w:tcW w:w="1008" w:type="dxa"/>
            <w:tcBorders>
              <w:top w:val="single" w:color="000000" w:sz="6" w:space="0"/>
              <w:left w:val="single" w:color="000000" w:sz="6" w:space="0"/>
              <w:bottom w:val="single" w:color="000000" w:sz="6" w:space="0"/>
              <w:right w:val="single" w:color="000000" w:sz="6" w:space="0"/>
            </w:tcBorders>
            <w:noWrap w:val="0"/>
            <w:vAlign w:val="top"/>
          </w:tcPr>
          <w:p w14:paraId="6342DA5A">
            <w:pPr>
              <w:pStyle w:val="76"/>
              <w:spacing w:line="360" w:lineRule="auto"/>
              <w:rPr>
                <w:rFonts w:hint="eastAsia" w:ascii="仿宋" w:hAnsi="仿宋" w:eastAsia="仿宋" w:cs="仿宋"/>
                <w:color w:val="auto"/>
                <w:szCs w:val="21"/>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vAlign w:val="top"/>
          </w:tcPr>
          <w:p w14:paraId="7D3916E7">
            <w:pPr>
              <w:pStyle w:val="76"/>
              <w:spacing w:line="360" w:lineRule="auto"/>
              <w:rPr>
                <w:rFonts w:hint="eastAsia" w:ascii="仿宋" w:hAnsi="仿宋" w:eastAsia="仿宋" w:cs="仿宋"/>
                <w:color w:val="auto"/>
                <w:szCs w:val="21"/>
                <w:highlight w:val="none"/>
              </w:rPr>
            </w:pPr>
          </w:p>
        </w:tc>
        <w:tc>
          <w:tcPr>
            <w:tcW w:w="847" w:type="dxa"/>
            <w:tcBorders>
              <w:top w:val="single" w:color="000000" w:sz="6" w:space="0"/>
              <w:left w:val="single" w:color="000000" w:sz="6" w:space="0"/>
              <w:bottom w:val="single" w:color="000000" w:sz="6" w:space="0"/>
              <w:right w:val="single" w:color="000000" w:sz="6" w:space="0"/>
            </w:tcBorders>
            <w:noWrap w:val="0"/>
            <w:vAlign w:val="top"/>
          </w:tcPr>
          <w:p w14:paraId="4030CCF1">
            <w:pPr>
              <w:pStyle w:val="76"/>
              <w:spacing w:line="360" w:lineRule="auto"/>
              <w:rPr>
                <w:rFonts w:hint="eastAsia" w:ascii="仿宋" w:hAnsi="仿宋" w:eastAsia="仿宋" w:cs="仿宋"/>
                <w:color w:val="auto"/>
                <w:szCs w:val="21"/>
                <w:highlight w:val="none"/>
              </w:rPr>
            </w:pPr>
          </w:p>
        </w:tc>
        <w:tc>
          <w:tcPr>
            <w:tcW w:w="837" w:type="dxa"/>
            <w:tcBorders>
              <w:top w:val="single" w:color="000000" w:sz="6" w:space="0"/>
              <w:left w:val="single" w:color="000000" w:sz="6" w:space="0"/>
              <w:bottom w:val="single" w:color="000000" w:sz="6" w:space="0"/>
              <w:right w:val="single" w:color="000000" w:sz="6" w:space="0"/>
            </w:tcBorders>
            <w:noWrap w:val="0"/>
            <w:vAlign w:val="top"/>
          </w:tcPr>
          <w:p w14:paraId="5758AA8D">
            <w:pPr>
              <w:pStyle w:val="76"/>
              <w:spacing w:line="360" w:lineRule="auto"/>
              <w:rPr>
                <w:rFonts w:hint="eastAsia" w:ascii="仿宋" w:hAnsi="仿宋" w:eastAsia="仿宋" w:cs="仿宋"/>
                <w:color w:val="auto"/>
                <w:szCs w:val="21"/>
                <w:highlight w:val="none"/>
              </w:rPr>
            </w:pPr>
          </w:p>
        </w:tc>
        <w:tc>
          <w:tcPr>
            <w:tcW w:w="565" w:type="dxa"/>
            <w:tcBorders>
              <w:top w:val="single" w:color="000000" w:sz="6" w:space="0"/>
              <w:left w:val="single" w:color="000000" w:sz="6" w:space="0"/>
              <w:bottom w:val="single" w:color="000000" w:sz="6" w:space="0"/>
            </w:tcBorders>
            <w:noWrap w:val="0"/>
            <w:vAlign w:val="top"/>
          </w:tcPr>
          <w:p w14:paraId="6CCD4E13">
            <w:pPr>
              <w:pStyle w:val="76"/>
              <w:spacing w:line="360" w:lineRule="auto"/>
              <w:rPr>
                <w:rFonts w:hint="eastAsia" w:ascii="仿宋" w:hAnsi="仿宋" w:eastAsia="仿宋" w:cs="仿宋"/>
                <w:color w:val="auto"/>
                <w:szCs w:val="21"/>
                <w:highlight w:val="none"/>
              </w:rPr>
            </w:pPr>
          </w:p>
        </w:tc>
      </w:tr>
      <w:tr w14:paraId="10797E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noWrap w:val="0"/>
            <w:vAlign w:val="top"/>
          </w:tcPr>
          <w:p w14:paraId="44793EF8">
            <w:pPr>
              <w:pStyle w:val="76"/>
              <w:spacing w:line="360" w:lineRule="auto"/>
              <w:rPr>
                <w:rFonts w:hint="eastAsia" w:ascii="仿宋" w:hAnsi="仿宋" w:eastAsia="仿宋" w:cs="仿宋"/>
                <w:color w:val="auto"/>
                <w:szCs w:val="21"/>
                <w:highlight w:val="none"/>
              </w:rPr>
            </w:pPr>
          </w:p>
        </w:tc>
        <w:tc>
          <w:tcPr>
            <w:tcW w:w="2249" w:type="dxa"/>
            <w:tcBorders>
              <w:top w:val="single" w:color="000000" w:sz="6" w:space="0"/>
              <w:left w:val="single" w:color="000000" w:sz="6" w:space="0"/>
              <w:bottom w:val="single" w:color="000000" w:sz="6" w:space="0"/>
              <w:right w:val="single" w:color="000000" w:sz="6" w:space="0"/>
            </w:tcBorders>
            <w:noWrap w:val="0"/>
            <w:vAlign w:val="top"/>
          </w:tcPr>
          <w:p w14:paraId="7F7D4527">
            <w:pPr>
              <w:pStyle w:val="76"/>
              <w:spacing w:line="360" w:lineRule="auto"/>
              <w:rPr>
                <w:rFonts w:hint="eastAsia" w:ascii="仿宋" w:hAnsi="仿宋" w:eastAsia="仿宋" w:cs="仿宋"/>
                <w:color w:val="auto"/>
                <w:szCs w:val="21"/>
                <w:highlight w:val="none"/>
              </w:rPr>
            </w:pPr>
          </w:p>
        </w:tc>
        <w:tc>
          <w:tcPr>
            <w:tcW w:w="928" w:type="dxa"/>
            <w:tcBorders>
              <w:top w:val="single" w:color="000000" w:sz="6" w:space="0"/>
              <w:left w:val="single" w:color="000000" w:sz="6" w:space="0"/>
              <w:bottom w:val="single" w:color="000000" w:sz="6" w:space="0"/>
              <w:right w:val="single" w:color="000000" w:sz="6" w:space="0"/>
            </w:tcBorders>
            <w:noWrap w:val="0"/>
            <w:vAlign w:val="top"/>
          </w:tcPr>
          <w:p w14:paraId="616B9A4D">
            <w:pPr>
              <w:pStyle w:val="76"/>
              <w:spacing w:line="360" w:lineRule="auto"/>
              <w:rPr>
                <w:rFonts w:hint="eastAsia" w:ascii="仿宋" w:hAnsi="仿宋" w:eastAsia="仿宋" w:cs="仿宋"/>
                <w:color w:val="auto"/>
                <w:szCs w:val="21"/>
                <w:highlight w:val="none"/>
              </w:rPr>
            </w:pPr>
          </w:p>
        </w:tc>
        <w:tc>
          <w:tcPr>
            <w:tcW w:w="1008" w:type="dxa"/>
            <w:tcBorders>
              <w:top w:val="single" w:color="000000" w:sz="6" w:space="0"/>
              <w:left w:val="single" w:color="000000" w:sz="6" w:space="0"/>
              <w:bottom w:val="single" w:color="000000" w:sz="6" w:space="0"/>
              <w:right w:val="single" w:color="000000" w:sz="6" w:space="0"/>
            </w:tcBorders>
            <w:noWrap w:val="0"/>
            <w:vAlign w:val="top"/>
          </w:tcPr>
          <w:p w14:paraId="27D4F7C3">
            <w:pPr>
              <w:pStyle w:val="76"/>
              <w:spacing w:line="360" w:lineRule="auto"/>
              <w:rPr>
                <w:rFonts w:hint="eastAsia" w:ascii="仿宋" w:hAnsi="仿宋" w:eastAsia="仿宋" w:cs="仿宋"/>
                <w:color w:val="auto"/>
                <w:szCs w:val="21"/>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vAlign w:val="top"/>
          </w:tcPr>
          <w:p w14:paraId="0C056147">
            <w:pPr>
              <w:pStyle w:val="76"/>
              <w:spacing w:line="360" w:lineRule="auto"/>
              <w:rPr>
                <w:rFonts w:hint="eastAsia" w:ascii="仿宋" w:hAnsi="仿宋" w:eastAsia="仿宋" w:cs="仿宋"/>
                <w:color w:val="auto"/>
                <w:szCs w:val="21"/>
                <w:highlight w:val="none"/>
              </w:rPr>
            </w:pPr>
          </w:p>
        </w:tc>
        <w:tc>
          <w:tcPr>
            <w:tcW w:w="847" w:type="dxa"/>
            <w:tcBorders>
              <w:top w:val="single" w:color="000000" w:sz="6" w:space="0"/>
              <w:left w:val="single" w:color="000000" w:sz="6" w:space="0"/>
              <w:bottom w:val="single" w:color="000000" w:sz="6" w:space="0"/>
              <w:right w:val="single" w:color="000000" w:sz="6" w:space="0"/>
            </w:tcBorders>
            <w:noWrap w:val="0"/>
            <w:vAlign w:val="top"/>
          </w:tcPr>
          <w:p w14:paraId="7FC3D1EF">
            <w:pPr>
              <w:pStyle w:val="76"/>
              <w:spacing w:line="360" w:lineRule="auto"/>
              <w:rPr>
                <w:rFonts w:hint="eastAsia" w:ascii="仿宋" w:hAnsi="仿宋" w:eastAsia="仿宋" w:cs="仿宋"/>
                <w:color w:val="auto"/>
                <w:szCs w:val="21"/>
                <w:highlight w:val="none"/>
              </w:rPr>
            </w:pPr>
          </w:p>
        </w:tc>
        <w:tc>
          <w:tcPr>
            <w:tcW w:w="837" w:type="dxa"/>
            <w:tcBorders>
              <w:top w:val="single" w:color="000000" w:sz="6" w:space="0"/>
              <w:left w:val="single" w:color="000000" w:sz="6" w:space="0"/>
              <w:bottom w:val="single" w:color="000000" w:sz="6" w:space="0"/>
              <w:right w:val="single" w:color="000000" w:sz="6" w:space="0"/>
            </w:tcBorders>
            <w:noWrap w:val="0"/>
            <w:vAlign w:val="top"/>
          </w:tcPr>
          <w:p w14:paraId="61540C87">
            <w:pPr>
              <w:pStyle w:val="76"/>
              <w:spacing w:line="360" w:lineRule="auto"/>
              <w:rPr>
                <w:rFonts w:hint="eastAsia" w:ascii="仿宋" w:hAnsi="仿宋" w:eastAsia="仿宋" w:cs="仿宋"/>
                <w:color w:val="auto"/>
                <w:szCs w:val="21"/>
                <w:highlight w:val="none"/>
              </w:rPr>
            </w:pPr>
          </w:p>
        </w:tc>
        <w:tc>
          <w:tcPr>
            <w:tcW w:w="565" w:type="dxa"/>
            <w:tcBorders>
              <w:top w:val="single" w:color="000000" w:sz="6" w:space="0"/>
              <w:left w:val="single" w:color="000000" w:sz="6" w:space="0"/>
              <w:bottom w:val="single" w:color="000000" w:sz="6" w:space="0"/>
            </w:tcBorders>
            <w:noWrap w:val="0"/>
            <w:vAlign w:val="top"/>
          </w:tcPr>
          <w:p w14:paraId="1851BEA9">
            <w:pPr>
              <w:pStyle w:val="76"/>
              <w:spacing w:line="360" w:lineRule="auto"/>
              <w:rPr>
                <w:rFonts w:hint="eastAsia" w:ascii="仿宋" w:hAnsi="仿宋" w:eastAsia="仿宋" w:cs="仿宋"/>
                <w:color w:val="auto"/>
                <w:szCs w:val="21"/>
                <w:highlight w:val="none"/>
              </w:rPr>
            </w:pPr>
          </w:p>
        </w:tc>
      </w:tr>
      <w:tr w14:paraId="238F68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7" w:hRule="atLeast"/>
          <w:jc w:val="center"/>
        </w:trPr>
        <w:tc>
          <w:tcPr>
            <w:tcW w:w="875" w:type="dxa"/>
            <w:tcBorders>
              <w:top w:val="single" w:color="000000" w:sz="6" w:space="0"/>
              <w:bottom w:val="single" w:color="000000" w:sz="6" w:space="0"/>
              <w:right w:val="single" w:color="000000" w:sz="6" w:space="0"/>
            </w:tcBorders>
            <w:noWrap w:val="0"/>
            <w:vAlign w:val="top"/>
          </w:tcPr>
          <w:p w14:paraId="3F30284D">
            <w:pPr>
              <w:pStyle w:val="76"/>
              <w:spacing w:line="360" w:lineRule="auto"/>
              <w:rPr>
                <w:rFonts w:hint="eastAsia" w:ascii="仿宋" w:hAnsi="仿宋" w:eastAsia="仿宋" w:cs="仿宋"/>
                <w:color w:val="auto"/>
                <w:szCs w:val="21"/>
                <w:highlight w:val="none"/>
              </w:rPr>
            </w:pPr>
          </w:p>
        </w:tc>
        <w:tc>
          <w:tcPr>
            <w:tcW w:w="2249" w:type="dxa"/>
            <w:tcBorders>
              <w:top w:val="single" w:color="000000" w:sz="6" w:space="0"/>
              <w:left w:val="single" w:color="000000" w:sz="6" w:space="0"/>
              <w:bottom w:val="single" w:color="000000" w:sz="6" w:space="0"/>
              <w:right w:val="single" w:color="000000" w:sz="6" w:space="0"/>
            </w:tcBorders>
            <w:noWrap w:val="0"/>
            <w:vAlign w:val="top"/>
          </w:tcPr>
          <w:p w14:paraId="711A9145">
            <w:pPr>
              <w:pStyle w:val="76"/>
              <w:spacing w:line="360" w:lineRule="auto"/>
              <w:rPr>
                <w:rFonts w:hint="eastAsia" w:ascii="仿宋" w:hAnsi="仿宋" w:eastAsia="仿宋" w:cs="仿宋"/>
                <w:color w:val="auto"/>
                <w:szCs w:val="21"/>
                <w:highlight w:val="none"/>
              </w:rPr>
            </w:pPr>
          </w:p>
        </w:tc>
        <w:tc>
          <w:tcPr>
            <w:tcW w:w="928" w:type="dxa"/>
            <w:tcBorders>
              <w:top w:val="single" w:color="000000" w:sz="6" w:space="0"/>
              <w:left w:val="single" w:color="000000" w:sz="6" w:space="0"/>
              <w:bottom w:val="single" w:color="000000" w:sz="6" w:space="0"/>
              <w:right w:val="single" w:color="000000" w:sz="6" w:space="0"/>
            </w:tcBorders>
            <w:noWrap w:val="0"/>
            <w:vAlign w:val="top"/>
          </w:tcPr>
          <w:p w14:paraId="5A10FADE">
            <w:pPr>
              <w:pStyle w:val="76"/>
              <w:spacing w:line="360" w:lineRule="auto"/>
              <w:rPr>
                <w:rFonts w:hint="eastAsia" w:ascii="仿宋" w:hAnsi="仿宋" w:eastAsia="仿宋" w:cs="仿宋"/>
                <w:color w:val="auto"/>
                <w:szCs w:val="21"/>
                <w:highlight w:val="none"/>
              </w:rPr>
            </w:pPr>
          </w:p>
        </w:tc>
        <w:tc>
          <w:tcPr>
            <w:tcW w:w="1008" w:type="dxa"/>
            <w:tcBorders>
              <w:top w:val="single" w:color="000000" w:sz="6" w:space="0"/>
              <w:left w:val="single" w:color="000000" w:sz="6" w:space="0"/>
              <w:bottom w:val="single" w:color="000000" w:sz="6" w:space="0"/>
              <w:right w:val="single" w:color="000000" w:sz="6" w:space="0"/>
            </w:tcBorders>
            <w:noWrap w:val="0"/>
            <w:vAlign w:val="top"/>
          </w:tcPr>
          <w:p w14:paraId="4E125E4E">
            <w:pPr>
              <w:pStyle w:val="76"/>
              <w:spacing w:line="360" w:lineRule="auto"/>
              <w:rPr>
                <w:rFonts w:hint="eastAsia" w:ascii="仿宋" w:hAnsi="仿宋" w:eastAsia="仿宋" w:cs="仿宋"/>
                <w:color w:val="auto"/>
                <w:szCs w:val="21"/>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vAlign w:val="top"/>
          </w:tcPr>
          <w:p w14:paraId="4A8E1212">
            <w:pPr>
              <w:pStyle w:val="76"/>
              <w:spacing w:line="360" w:lineRule="auto"/>
              <w:rPr>
                <w:rFonts w:hint="eastAsia" w:ascii="仿宋" w:hAnsi="仿宋" w:eastAsia="仿宋" w:cs="仿宋"/>
                <w:color w:val="auto"/>
                <w:szCs w:val="21"/>
                <w:highlight w:val="none"/>
              </w:rPr>
            </w:pPr>
          </w:p>
        </w:tc>
        <w:tc>
          <w:tcPr>
            <w:tcW w:w="847" w:type="dxa"/>
            <w:tcBorders>
              <w:top w:val="single" w:color="000000" w:sz="6" w:space="0"/>
              <w:left w:val="single" w:color="000000" w:sz="6" w:space="0"/>
              <w:bottom w:val="single" w:color="000000" w:sz="6" w:space="0"/>
              <w:right w:val="single" w:color="000000" w:sz="6" w:space="0"/>
            </w:tcBorders>
            <w:noWrap w:val="0"/>
            <w:vAlign w:val="top"/>
          </w:tcPr>
          <w:p w14:paraId="29C2D772">
            <w:pPr>
              <w:pStyle w:val="76"/>
              <w:spacing w:line="360" w:lineRule="auto"/>
              <w:rPr>
                <w:rFonts w:hint="eastAsia" w:ascii="仿宋" w:hAnsi="仿宋" w:eastAsia="仿宋" w:cs="仿宋"/>
                <w:color w:val="auto"/>
                <w:szCs w:val="21"/>
                <w:highlight w:val="none"/>
              </w:rPr>
            </w:pPr>
          </w:p>
        </w:tc>
        <w:tc>
          <w:tcPr>
            <w:tcW w:w="837" w:type="dxa"/>
            <w:tcBorders>
              <w:top w:val="single" w:color="000000" w:sz="6" w:space="0"/>
              <w:left w:val="single" w:color="000000" w:sz="6" w:space="0"/>
              <w:bottom w:val="single" w:color="000000" w:sz="6" w:space="0"/>
              <w:right w:val="single" w:color="000000" w:sz="6" w:space="0"/>
            </w:tcBorders>
            <w:noWrap w:val="0"/>
            <w:vAlign w:val="top"/>
          </w:tcPr>
          <w:p w14:paraId="22B6E1B5">
            <w:pPr>
              <w:pStyle w:val="76"/>
              <w:spacing w:line="360" w:lineRule="auto"/>
              <w:rPr>
                <w:rFonts w:hint="eastAsia" w:ascii="仿宋" w:hAnsi="仿宋" w:eastAsia="仿宋" w:cs="仿宋"/>
                <w:color w:val="auto"/>
                <w:szCs w:val="21"/>
                <w:highlight w:val="none"/>
              </w:rPr>
            </w:pPr>
          </w:p>
        </w:tc>
        <w:tc>
          <w:tcPr>
            <w:tcW w:w="565" w:type="dxa"/>
            <w:tcBorders>
              <w:top w:val="single" w:color="000000" w:sz="6" w:space="0"/>
              <w:left w:val="single" w:color="000000" w:sz="6" w:space="0"/>
              <w:bottom w:val="single" w:color="000000" w:sz="6" w:space="0"/>
            </w:tcBorders>
            <w:noWrap w:val="0"/>
            <w:vAlign w:val="top"/>
          </w:tcPr>
          <w:p w14:paraId="322D73C0">
            <w:pPr>
              <w:pStyle w:val="76"/>
              <w:spacing w:line="360" w:lineRule="auto"/>
              <w:rPr>
                <w:rFonts w:hint="eastAsia" w:ascii="仿宋" w:hAnsi="仿宋" w:eastAsia="仿宋" w:cs="仿宋"/>
                <w:color w:val="auto"/>
                <w:szCs w:val="21"/>
                <w:highlight w:val="none"/>
              </w:rPr>
            </w:pPr>
          </w:p>
        </w:tc>
      </w:tr>
      <w:tr w14:paraId="3E7D5FE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4" w:hRule="atLeast"/>
          <w:jc w:val="center"/>
        </w:trPr>
        <w:tc>
          <w:tcPr>
            <w:tcW w:w="875" w:type="dxa"/>
            <w:tcBorders>
              <w:top w:val="single" w:color="000000" w:sz="6" w:space="0"/>
              <w:right w:val="single" w:color="000000" w:sz="6" w:space="0"/>
            </w:tcBorders>
            <w:noWrap w:val="0"/>
            <w:vAlign w:val="top"/>
          </w:tcPr>
          <w:p w14:paraId="3C3441D9">
            <w:pPr>
              <w:pStyle w:val="76"/>
              <w:spacing w:line="360" w:lineRule="auto"/>
              <w:rPr>
                <w:rFonts w:hint="eastAsia" w:ascii="仿宋" w:hAnsi="仿宋" w:eastAsia="仿宋" w:cs="仿宋"/>
                <w:color w:val="auto"/>
                <w:szCs w:val="21"/>
                <w:highlight w:val="none"/>
              </w:rPr>
            </w:pPr>
          </w:p>
        </w:tc>
        <w:tc>
          <w:tcPr>
            <w:tcW w:w="2249" w:type="dxa"/>
            <w:tcBorders>
              <w:top w:val="single" w:color="000000" w:sz="6" w:space="0"/>
              <w:left w:val="single" w:color="000000" w:sz="6" w:space="0"/>
              <w:right w:val="single" w:color="000000" w:sz="6" w:space="0"/>
            </w:tcBorders>
            <w:noWrap w:val="0"/>
            <w:vAlign w:val="top"/>
          </w:tcPr>
          <w:p w14:paraId="315F9725">
            <w:pPr>
              <w:pStyle w:val="76"/>
              <w:spacing w:line="360" w:lineRule="auto"/>
              <w:rPr>
                <w:rFonts w:hint="eastAsia" w:ascii="仿宋" w:hAnsi="仿宋" w:eastAsia="仿宋" w:cs="仿宋"/>
                <w:color w:val="auto"/>
                <w:szCs w:val="21"/>
                <w:highlight w:val="none"/>
              </w:rPr>
            </w:pPr>
          </w:p>
        </w:tc>
        <w:tc>
          <w:tcPr>
            <w:tcW w:w="928" w:type="dxa"/>
            <w:tcBorders>
              <w:top w:val="single" w:color="000000" w:sz="6" w:space="0"/>
              <w:left w:val="single" w:color="000000" w:sz="6" w:space="0"/>
              <w:right w:val="single" w:color="000000" w:sz="6" w:space="0"/>
            </w:tcBorders>
            <w:noWrap w:val="0"/>
            <w:vAlign w:val="top"/>
          </w:tcPr>
          <w:p w14:paraId="16916DFE">
            <w:pPr>
              <w:pStyle w:val="76"/>
              <w:spacing w:line="360" w:lineRule="auto"/>
              <w:rPr>
                <w:rFonts w:hint="eastAsia" w:ascii="仿宋" w:hAnsi="仿宋" w:eastAsia="仿宋" w:cs="仿宋"/>
                <w:color w:val="auto"/>
                <w:szCs w:val="21"/>
                <w:highlight w:val="none"/>
              </w:rPr>
            </w:pPr>
          </w:p>
        </w:tc>
        <w:tc>
          <w:tcPr>
            <w:tcW w:w="1008" w:type="dxa"/>
            <w:tcBorders>
              <w:top w:val="single" w:color="000000" w:sz="6" w:space="0"/>
              <w:left w:val="single" w:color="000000" w:sz="6" w:space="0"/>
              <w:right w:val="single" w:color="000000" w:sz="6" w:space="0"/>
            </w:tcBorders>
            <w:noWrap w:val="0"/>
            <w:vAlign w:val="top"/>
          </w:tcPr>
          <w:p w14:paraId="5317E47A">
            <w:pPr>
              <w:pStyle w:val="76"/>
              <w:spacing w:line="360" w:lineRule="auto"/>
              <w:rPr>
                <w:rFonts w:hint="eastAsia" w:ascii="仿宋" w:hAnsi="仿宋" w:eastAsia="仿宋" w:cs="仿宋"/>
                <w:color w:val="auto"/>
                <w:szCs w:val="21"/>
                <w:highlight w:val="none"/>
              </w:rPr>
            </w:pPr>
          </w:p>
        </w:tc>
        <w:tc>
          <w:tcPr>
            <w:tcW w:w="1020" w:type="dxa"/>
            <w:tcBorders>
              <w:top w:val="single" w:color="000000" w:sz="6" w:space="0"/>
              <w:left w:val="single" w:color="000000" w:sz="6" w:space="0"/>
              <w:right w:val="single" w:color="000000" w:sz="6" w:space="0"/>
            </w:tcBorders>
            <w:noWrap w:val="0"/>
            <w:vAlign w:val="top"/>
          </w:tcPr>
          <w:p w14:paraId="5862A78B">
            <w:pPr>
              <w:pStyle w:val="76"/>
              <w:spacing w:line="360" w:lineRule="auto"/>
              <w:rPr>
                <w:rFonts w:hint="eastAsia" w:ascii="仿宋" w:hAnsi="仿宋" w:eastAsia="仿宋" w:cs="仿宋"/>
                <w:color w:val="auto"/>
                <w:szCs w:val="21"/>
                <w:highlight w:val="none"/>
              </w:rPr>
            </w:pPr>
          </w:p>
        </w:tc>
        <w:tc>
          <w:tcPr>
            <w:tcW w:w="847" w:type="dxa"/>
            <w:tcBorders>
              <w:top w:val="single" w:color="000000" w:sz="6" w:space="0"/>
              <w:left w:val="single" w:color="000000" w:sz="6" w:space="0"/>
              <w:right w:val="single" w:color="000000" w:sz="6" w:space="0"/>
            </w:tcBorders>
            <w:noWrap w:val="0"/>
            <w:vAlign w:val="top"/>
          </w:tcPr>
          <w:p w14:paraId="21B21CCC">
            <w:pPr>
              <w:pStyle w:val="76"/>
              <w:spacing w:line="360" w:lineRule="auto"/>
              <w:rPr>
                <w:rFonts w:hint="eastAsia" w:ascii="仿宋" w:hAnsi="仿宋" w:eastAsia="仿宋" w:cs="仿宋"/>
                <w:color w:val="auto"/>
                <w:szCs w:val="21"/>
                <w:highlight w:val="none"/>
              </w:rPr>
            </w:pPr>
          </w:p>
        </w:tc>
        <w:tc>
          <w:tcPr>
            <w:tcW w:w="837" w:type="dxa"/>
            <w:tcBorders>
              <w:top w:val="single" w:color="000000" w:sz="6" w:space="0"/>
              <w:left w:val="single" w:color="000000" w:sz="6" w:space="0"/>
              <w:right w:val="single" w:color="000000" w:sz="6" w:space="0"/>
            </w:tcBorders>
            <w:noWrap w:val="0"/>
            <w:vAlign w:val="top"/>
          </w:tcPr>
          <w:p w14:paraId="460804EF">
            <w:pPr>
              <w:pStyle w:val="76"/>
              <w:spacing w:line="360" w:lineRule="auto"/>
              <w:rPr>
                <w:rFonts w:hint="eastAsia" w:ascii="仿宋" w:hAnsi="仿宋" w:eastAsia="仿宋" w:cs="仿宋"/>
                <w:color w:val="auto"/>
                <w:szCs w:val="21"/>
                <w:highlight w:val="none"/>
              </w:rPr>
            </w:pPr>
          </w:p>
        </w:tc>
        <w:tc>
          <w:tcPr>
            <w:tcW w:w="565" w:type="dxa"/>
            <w:tcBorders>
              <w:top w:val="single" w:color="000000" w:sz="6" w:space="0"/>
              <w:left w:val="single" w:color="000000" w:sz="6" w:space="0"/>
            </w:tcBorders>
            <w:noWrap w:val="0"/>
            <w:vAlign w:val="top"/>
          </w:tcPr>
          <w:p w14:paraId="7B0FBEDE">
            <w:pPr>
              <w:pStyle w:val="76"/>
              <w:spacing w:line="360" w:lineRule="auto"/>
              <w:rPr>
                <w:rFonts w:hint="eastAsia" w:ascii="仿宋" w:hAnsi="仿宋" w:eastAsia="仿宋" w:cs="仿宋"/>
                <w:color w:val="auto"/>
                <w:szCs w:val="21"/>
                <w:highlight w:val="none"/>
              </w:rPr>
            </w:pPr>
          </w:p>
        </w:tc>
      </w:tr>
    </w:tbl>
    <w:p w14:paraId="098AA87D">
      <w:pPr>
        <w:spacing w:before="41"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注：1.请</w:t>
      </w:r>
      <w:r>
        <w:rPr>
          <w:rFonts w:hint="eastAsia" w:ascii="仿宋" w:hAnsi="仿宋" w:eastAsia="仿宋" w:cs="仿宋"/>
          <w:color w:val="auto"/>
          <w:spacing w:val="-2"/>
          <w:szCs w:val="21"/>
          <w:highlight w:val="none"/>
        </w:rPr>
        <w:t>投标人</w:t>
      </w:r>
      <w:r>
        <w:rPr>
          <w:rFonts w:hint="eastAsia" w:ascii="仿宋" w:hAnsi="仿宋" w:eastAsia="仿宋" w:cs="仿宋"/>
          <w:color w:val="auto"/>
          <w:szCs w:val="21"/>
          <w:highlight w:val="none"/>
        </w:rPr>
        <w:t>按照合同签订时间先后顺序填写此表，并按照同一顺序附相关证明材料。</w:t>
      </w:r>
    </w:p>
    <w:p w14:paraId="07760A7C">
      <w:pPr>
        <w:spacing w:before="41" w:line="360" w:lineRule="auto"/>
        <w:jc w:val="left"/>
        <w:rPr>
          <w:rFonts w:hint="eastAsia" w:ascii="仿宋" w:hAnsi="仿宋" w:eastAsia="仿宋" w:cs="仿宋"/>
          <w:color w:val="auto"/>
          <w:highlight w:val="none"/>
        </w:rPr>
      </w:pPr>
      <w:r>
        <w:rPr>
          <w:rFonts w:hint="eastAsia" w:ascii="仿宋" w:hAnsi="仿宋" w:eastAsia="仿宋" w:cs="仿宋"/>
          <w:color w:val="auto"/>
          <w:szCs w:val="21"/>
          <w:highlight w:val="none"/>
        </w:rPr>
        <w:t>2.本表后需提供招标文件要求的有关书面证明材料。</w:t>
      </w:r>
    </w:p>
    <w:p w14:paraId="701DC52B">
      <w:pPr>
        <w:spacing w:before="3"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3.投标人提供虚假合同的，按虚假投标处理。</w:t>
      </w:r>
    </w:p>
    <w:p w14:paraId="52E492B1">
      <w:pPr>
        <w:pStyle w:val="14"/>
        <w:spacing w:line="360" w:lineRule="auto"/>
        <w:rPr>
          <w:rFonts w:hint="eastAsia" w:ascii="仿宋" w:hAnsi="仿宋" w:eastAsia="仿宋" w:cs="仿宋"/>
          <w:color w:val="auto"/>
          <w:sz w:val="21"/>
          <w:szCs w:val="21"/>
          <w:highlight w:val="none"/>
        </w:rPr>
      </w:pPr>
    </w:p>
    <w:p w14:paraId="1D6BBBDC">
      <w:pPr>
        <w:pStyle w:val="14"/>
        <w:spacing w:before="8" w:line="360" w:lineRule="auto"/>
        <w:rPr>
          <w:rFonts w:hint="eastAsia" w:ascii="仿宋" w:hAnsi="仿宋" w:eastAsia="仿宋" w:cs="仿宋"/>
          <w:color w:val="auto"/>
          <w:sz w:val="21"/>
          <w:szCs w:val="21"/>
          <w:highlight w:val="none"/>
        </w:rPr>
      </w:pPr>
    </w:p>
    <w:p w14:paraId="1CE3CFBE">
      <w:pPr>
        <w:pStyle w:val="14"/>
        <w:tabs>
          <w:tab w:val="left" w:pos="3360"/>
          <w:tab w:val="left" w:pos="5041"/>
        </w:tabs>
        <w:spacing w:line="360" w:lineRule="auto"/>
        <w:ind w:left="360"/>
        <w:rPr>
          <w:rFonts w:hint="eastAsia" w:ascii="仿宋" w:hAnsi="仿宋" w:eastAsia="仿宋" w:cs="仿宋"/>
          <w:color w:val="auto"/>
          <w:highlight w:val="none"/>
        </w:rPr>
      </w:pPr>
      <w:r>
        <w:rPr>
          <w:rFonts w:hint="eastAsia" w:ascii="仿宋" w:hAnsi="仿宋" w:eastAsia="仿宋" w:cs="仿宋"/>
          <w:color w:val="auto"/>
          <w:spacing w:val="-2"/>
          <w:highlight w:val="none"/>
          <w:lang w:val="en-US"/>
        </w:rPr>
        <w:t>投标人</w:t>
      </w:r>
      <w:r>
        <w:rPr>
          <w:rFonts w:hint="eastAsia" w:ascii="仿宋" w:hAnsi="仿宋" w:eastAsia="仿宋" w:cs="仿宋"/>
          <w:color w:val="auto"/>
          <w:highlight w:val="none"/>
        </w:rPr>
        <w:t>名称：</w:t>
      </w:r>
      <w:r>
        <w:rPr>
          <w:rFonts w:hint="eastAsia" w:ascii="仿宋" w:hAnsi="仿宋" w:eastAsia="仿宋" w:cs="仿宋"/>
          <w:color w:val="auto"/>
          <w:highlight w:val="none"/>
          <w:u w:val="single"/>
        </w:rPr>
        <w:tab/>
      </w:r>
      <w:r>
        <w:rPr>
          <w:rFonts w:hint="eastAsia" w:ascii="仿宋" w:hAnsi="仿宋" w:eastAsia="仿宋" w:cs="仿宋"/>
          <w:color w:val="auto"/>
          <w:highlight w:val="none"/>
        </w:rPr>
        <w:t>（盖电子公章）</w:t>
      </w:r>
      <w:r>
        <w:rPr>
          <w:rFonts w:hint="eastAsia" w:ascii="仿宋" w:hAnsi="仿宋" w:eastAsia="仿宋" w:cs="仿宋"/>
          <w:color w:val="auto"/>
          <w:highlight w:val="none"/>
        </w:rPr>
        <w:tab/>
      </w:r>
    </w:p>
    <w:p w14:paraId="4DA8CCBF">
      <w:pPr>
        <w:pStyle w:val="14"/>
        <w:tabs>
          <w:tab w:val="left" w:pos="3240"/>
        </w:tabs>
        <w:spacing w:before="160" w:line="360" w:lineRule="auto"/>
        <w:ind w:left="360" w:right="-314"/>
        <w:rPr>
          <w:rFonts w:hint="eastAsia" w:ascii="仿宋" w:hAnsi="仿宋" w:eastAsia="仿宋" w:cs="仿宋"/>
          <w:color w:val="auto"/>
          <w:highlight w:val="none"/>
        </w:rPr>
      </w:pPr>
      <w:r>
        <w:rPr>
          <w:rFonts w:hint="eastAsia" w:ascii="仿宋" w:hAnsi="仿宋" w:eastAsia="仿宋" w:cs="仿宋"/>
          <w:color w:val="auto"/>
          <w:highlight w:val="none"/>
        </w:rPr>
        <w:t>法人代表或其授权人：（签字或</w:t>
      </w:r>
      <w:r>
        <w:rPr>
          <w:rFonts w:hint="eastAsia" w:ascii="仿宋" w:hAnsi="仿宋" w:eastAsia="仿宋" w:cs="仿宋"/>
          <w:color w:val="auto"/>
          <w:highlight w:val="none"/>
          <w:lang w:val="en-US"/>
        </w:rPr>
        <w:t>盖电子</w:t>
      </w:r>
      <w:r>
        <w:rPr>
          <w:rFonts w:hint="eastAsia" w:ascii="仿宋" w:hAnsi="仿宋" w:eastAsia="仿宋" w:cs="仿宋"/>
          <w:color w:val="auto"/>
          <w:highlight w:val="none"/>
        </w:rPr>
        <w:t xml:space="preserve">章） </w:t>
      </w:r>
    </w:p>
    <w:p w14:paraId="63CA52E1">
      <w:pPr>
        <w:pStyle w:val="14"/>
        <w:tabs>
          <w:tab w:val="left" w:pos="3240"/>
          <w:tab w:val="left" w:pos="3535"/>
        </w:tabs>
        <w:spacing w:before="160" w:line="360" w:lineRule="auto"/>
        <w:ind w:left="360" w:right="4863"/>
        <w:rPr>
          <w:rFonts w:hint="eastAsia" w:ascii="仿宋" w:hAnsi="仿宋" w:eastAsia="仿宋" w:cs="仿宋"/>
          <w:color w:val="auto"/>
          <w:highlight w:val="none"/>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ab/>
      </w:r>
      <w:r>
        <w:rPr>
          <w:rFonts w:hint="eastAsia" w:ascii="仿宋" w:hAnsi="仿宋" w:eastAsia="仿宋" w:cs="仿宋"/>
          <w:color w:val="auto"/>
          <w:highlight w:val="none"/>
          <w:u w:val="single"/>
        </w:rPr>
        <w:tab/>
      </w:r>
    </w:p>
    <w:p w14:paraId="066958EF">
      <w:pPr>
        <w:pStyle w:val="65"/>
        <w:spacing w:line="360" w:lineRule="auto"/>
        <w:rPr>
          <w:rFonts w:hint="eastAsia" w:ascii="仿宋" w:hAnsi="仿宋" w:eastAsia="仿宋" w:cs="仿宋"/>
          <w:bCs w:val="0"/>
          <w:color w:val="auto"/>
          <w:sz w:val="24"/>
          <w:szCs w:val="24"/>
          <w:highlight w:val="none"/>
        </w:rPr>
      </w:pPr>
    </w:p>
    <w:p w14:paraId="749A4FDF">
      <w:pPr>
        <w:pStyle w:val="65"/>
        <w:spacing w:line="360" w:lineRule="auto"/>
        <w:rPr>
          <w:rFonts w:hint="eastAsia" w:ascii="仿宋" w:hAnsi="仿宋" w:eastAsia="仿宋" w:cs="仿宋"/>
          <w:bCs w:val="0"/>
          <w:color w:val="auto"/>
          <w:sz w:val="24"/>
          <w:szCs w:val="24"/>
          <w:highlight w:val="none"/>
        </w:rPr>
      </w:pPr>
    </w:p>
    <w:p w14:paraId="07DBB54B">
      <w:pPr>
        <w:pStyle w:val="65"/>
        <w:spacing w:line="360" w:lineRule="auto"/>
        <w:rPr>
          <w:rFonts w:hint="eastAsia" w:ascii="仿宋" w:hAnsi="仿宋" w:eastAsia="仿宋" w:cs="仿宋"/>
          <w:bCs w:val="0"/>
          <w:color w:val="auto"/>
          <w:sz w:val="24"/>
          <w:szCs w:val="24"/>
          <w:highlight w:val="none"/>
        </w:rPr>
        <w:sectPr>
          <w:pgSz w:w="11906" w:h="16838"/>
          <w:pgMar w:top="1440" w:right="1800" w:bottom="1440" w:left="1800" w:header="851" w:footer="992" w:gutter="0"/>
          <w:cols w:space="720" w:num="1"/>
          <w:docGrid w:type="lines" w:linePitch="312" w:charSpace="0"/>
        </w:sectPr>
      </w:pPr>
    </w:p>
    <w:p w14:paraId="5C1ED84B">
      <w:pPr>
        <w:pStyle w:val="65"/>
        <w:spacing w:line="360" w:lineRule="auto"/>
        <w:jc w:val="both"/>
        <w:rPr>
          <w:rFonts w:hint="eastAsia" w:ascii="仿宋" w:hAnsi="仿宋" w:eastAsia="仿宋" w:cs="仿宋"/>
          <w:b/>
          <w:color w:val="auto"/>
          <w:sz w:val="24"/>
          <w:szCs w:val="24"/>
          <w:highlight w:val="none"/>
        </w:rPr>
      </w:pPr>
      <w:bookmarkStart w:id="80" w:name="_Toc31811"/>
      <w:bookmarkStart w:id="81" w:name="_Toc7415"/>
      <w:bookmarkStart w:id="82" w:name="_Toc507399530"/>
      <w:r>
        <w:rPr>
          <w:rFonts w:hint="eastAsia" w:ascii="仿宋" w:hAnsi="仿宋" w:eastAsia="仿宋" w:cs="仿宋"/>
          <w:b/>
          <w:color w:val="auto"/>
          <w:sz w:val="24"/>
          <w:szCs w:val="24"/>
          <w:highlight w:val="none"/>
        </w:rPr>
        <w:t xml:space="preserve">附件4   </w:t>
      </w:r>
      <w:bookmarkStart w:id="83" w:name="_Hlt520355504"/>
      <w:bookmarkEnd w:id="83"/>
      <w:r>
        <w:rPr>
          <w:rFonts w:hint="eastAsia" w:ascii="仿宋" w:hAnsi="仿宋" w:eastAsia="仿宋" w:cs="仿宋"/>
          <w:b/>
          <w:color w:val="auto"/>
          <w:sz w:val="24"/>
          <w:szCs w:val="24"/>
          <w:highlight w:val="none"/>
        </w:rPr>
        <w:t>投标书</w:t>
      </w:r>
      <w:bookmarkEnd w:id="80"/>
      <w:bookmarkEnd w:id="81"/>
      <w:bookmarkEnd w:id="82"/>
    </w:p>
    <w:p w14:paraId="236AA95A">
      <w:pPr>
        <w:pStyle w:val="65"/>
        <w:spacing w:line="360" w:lineRule="auto"/>
        <w:jc w:val="center"/>
        <w:rPr>
          <w:rFonts w:hint="eastAsia" w:ascii="仿宋" w:hAnsi="仿宋" w:eastAsia="仿宋" w:cs="仿宋"/>
          <w:bCs w:val="0"/>
          <w:color w:val="auto"/>
          <w:sz w:val="32"/>
          <w:szCs w:val="32"/>
          <w:highlight w:val="none"/>
        </w:rPr>
      </w:pPr>
      <w:r>
        <w:rPr>
          <w:rFonts w:hint="eastAsia" w:ascii="仿宋" w:hAnsi="仿宋" w:eastAsia="仿宋" w:cs="仿宋"/>
          <w:b/>
          <w:color w:val="auto"/>
          <w:sz w:val="32"/>
          <w:szCs w:val="32"/>
          <w:highlight w:val="none"/>
        </w:rPr>
        <w:t>投标书</w:t>
      </w:r>
    </w:p>
    <w:p w14:paraId="17A81A86">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致：新疆新世纪招标有限公司</w:t>
      </w:r>
    </w:p>
    <w:p w14:paraId="0D31E9A5">
      <w:pPr>
        <w:pStyle w:val="65"/>
        <w:spacing w:line="360" w:lineRule="auto"/>
        <w:rPr>
          <w:rFonts w:hint="eastAsia" w:ascii="仿宋" w:hAnsi="仿宋" w:eastAsia="仿宋" w:cs="仿宋"/>
          <w:bCs w:val="0"/>
          <w:color w:val="auto"/>
          <w:sz w:val="24"/>
          <w:szCs w:val="24"/>
          <w:highlight w:val="none"/>
        </w:rPr>
      </w:pPr>
    </w:p>
    <w:p w14:paraId="54FA5A62">
      <w:pPr>
        <w:pStyle w:val="65"/>
        <w:spacing w:line="360" w:lineRule="auto"/>
        <w:ind w:firstLine="520" w:firstLineChars="200"/>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根据贵方为</w:t>
      </w:r>
      <w:r>
        <w:rPr>
          <w:rFonts w:hint="eastAsia" w:ascii="仿宋" w:hAnsi="仿宋" w:eastAsia="仿宋" w:cs="仿宋"/>
          <w:bCs w:val="0"/>
          <w:color w:val="auto"/>
          <w:sz w:val="24"/>
          <w:szCs w:val="24"/>
          <w:highlight w:val="none"/>
          <w:u w:val="single"/>
        </w:rPr>
        <w:t xml:space="preserve">  (项目名称、招标编号)  </w:t>
      </w:r>
      <w:r>
        <w:rPr>
          <w:rFonts w:hint="eastAsia" w:ascii="仿宋" w:hAnsi="仿宋" w:eastAsia="仿宋" w:cs="仿宋"/>
          <w:bCs w:val="0"/>
          <w:color w:val="auto"/>
          <w:sz w:val="24"/>
          <w:szCs w:val="24"/>
          <w:highlight w:val="none"/>
        </w:rPr>
        <w:t>项目的投标邀请,签字代表</w:t>
      </w:r>
      <w:r>
        <w:rPr>
          <w:rFonts w:hint="eastAsia" w:ascii="仿宋" w:hAnsi="仿宋" w:eastAsia="仿宋" w:cs="仿宋"/>
          <w:bCs w:val="0"/>
          <w:color w:val="auto"/>
          <w:sz w:val="24"/>
          <w:szCs w:val="24"/>
          <w:highlight w:val="none"/>
          <w:u w:val="single"/>
        </w:rPr>
        <w:t>(姓名、职务)</w:t>
      </w:r>
      <w:r>
        <w:rPr>
          <w:rFonts w:hint="eastAsia" w:ascii="仿宋" w:hAnsi="仿宋" w:eastAsia="仿宋" w:cs="仿宋"/>
          <w:bCs w:val="0"/>
          <w:color w:val="auto"/>
          <w:sz w:val="24"/>
          <w:szCs w:val="24"/>
          <w:highlight w:val="none"/>
        </w:rPr>
        <w:t>经正式授权并代表投标人</w:t>
      </w:r>
      <w:r>
        <w:rPr>
          <w:rFonts w:hint="eastAsia" w:ascii="仿宋" w:hAnsi="仿宋" w:eastAsia="仿宋" w:cs="仿宋"/>
          <w:bCs w:val="0"/>
          <w:color w:val="auto"/>
          <w:sz w:val="24"/>
          <w:szCs w:val="24"/>
          <w:highlight w:val="none"/>
          <w:u w:val="single"/>
        </w:rPr>
        <w:t xml:space="preserve">  （投标人名称、地址）  </w:t>
      </w:r>
      <w:r>
        <w:rPr>
          <w:rFonts w:hint="eastAsia" w:ascii="仿宋" w:hAnsi="仿宋" w:eastAsia="仿宋" w:cs="仿宋"/>
          <w:bCs w:val="0"/>
          <w:color w:val="auto"/>
          <w:sz w:val="24"/>
          <w:szCs w:val="24"/>
          <w:highlight w:val="none"/>
        </w:rPr>
        <w:t>提交下述文件，以</w:t>
      </w:r>
      <w:r>
        <w:rPr>
          <w:rFonts w:hint="eastAsia" w:ascii="仿宋" w:hAnsi="仿宋" w:eastAsia="仿宋" w:cs="仿宋"/>
          <w:bCs w:val="0"/>
          <w:color w:val="auto"/>
          <w:sz w:val="24"/>
          <w:szCs w:val="24"/>
          <w:highlight w:val="none"/>
          <w:u w:val="single"/>
        </w:rPr>
        <w:t xml:space="preserve">       </w:t>
      </w:r>
      <w:r>
        <w:rPr>
          <w:rFonts w:hint="eastAsia" w:ascii="仿宋" w:hAnsi="仿宋" w:eastAsia="仿宋" w:cs="仿宋"/>
          <w:bCs w:val="0"/>
          <w:color w:val="auto"/>
          <w:sz w:val="24"/>
          <w:szCs w:val="24"/>
          <w:highlight w:val="none"/>
        </w:rPr>
        <w:t>形式出具的金额为人民币</w:t>
      </w:r>
      <w:r>
        <w:rPr>
          <w:rFonts w:hint="eastAsia" w:ascii="仿宋" w:hAnsi="仿宋" w:eastAsia="仿宋" w:cs="仿宋"/>
          <w:bCs w:val="0"/>
          <w:color w:val="auto"/>
          <w:sz w:val="24"/>
          <w:szCs w:val="24"/>
          <w:highlight w:val="none"/>
          <w:u w:val="single"/>
        </w:rPr>
        <w:t xml:space="preserve">    </w:t>
      </w:r>
      <w:r>
        <w:rPr>
          <w:rFonts w:hint="eastAsia" w:ascii="仿宋" w:hAnsi="仿宋" w:eastAsia="仿宋" w:cs="仿宋"/>
          <w:bCs w:val="0"/>
          <w:color w:val="auto"/>
          <w:sz w:val="24"/>
          <w:szCs w:val="24"/>
          <w:highlight w:val="none"/>
        </w:rPr>
        <w:t>元的投标保证金。并作出如下承诺：</w:t>
      </w:r>
    </w:p>
    <w:p w14:paraId="5343671E">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1、如果我方被确定为中标人，我们将按照招标文件、我方投标文件及双方确认的合同条款的要求执行。</w:t>
      </w:r>
    </w:p>
    <w:p w14:paraId="68D48462">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2、我方保证忠实地执行双方所签的合同，并承担合同规定的责任和义务。</w:t>
      </w:r>
    </w:p>
    <w:p w14:paraId="7FB3934B">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3、我方愿意向贵方提供任何与此报价有关的数据、情况和技术资料。完全理解贵方不一定接受最低价的投标或收到的任何投标。</w:t>
      </w:r>
    </w:p>
    <w:p w14:paraId="770902DB">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4、我方提交的投标文件及报价自提交日期起</w:t>
      </w:r>
      <w:r>
        <w:rPr>
          <w:rFonts w:hint="eastAsia" w:ascii="仿宋" w:hAnsi="仿宋" w:eastAsia="仿宋" w:cs="仿宋"/>
          <w:bCs w:val="0"/>
          <w:color w:val="auto"/>
          <w:sz w:val="24"/>
          <w:szCs w:val="24"/>
          <w:highlight w:val="none"/>
          <w:u w:val="single"/>
        </w:rPr>
        <w:t xml:space="preserve"> 90 </w:t>
      </w:r>
      <w:r>
        <w:rPr>
          <w:rFonts w:hint="eastAsia" w:ascii="仿宋" w:hAnsi="仿宋" w:eastAsia="仿宋" w:cs="仿宋"/>
          <w:bCs w:val="0"/>
          <w:color w:val="auto"/>
          <w:sz w:val="24"/>
          <w:szCs w:val="24"/>
          <w:highlight w:val="none"/>
        </w:rPr>
        <w:t>天有效，并对我方具有约束力。</w:t>
      </w:r>
    </w:p>
    <w:p w14:paraId="0787CB02">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5、我方已详细审查全部招标文件，包括所有补充通知（如果有的话）。我们完全理解并同意放弃对这方面有不明、误解和质疑的权力。</w:t>
      </w:r>
    </w:p>
    <w:p w14:paraId="612B73EF">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6、在规定的开标时间后，投标人保证遵守招标文件中有关保证金的规定。</w:t>
      </w:r>
    </w:p>
    <w:p w14:paraId="079B7EE5">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7、与本投标有关的一切正式往来信函请寄：</w:t>
      </w:r>
    </w:p>
    <w:p w14:paraId="45EF32A5">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地址：</w:t>
      </w:r>
    </w:p>
    <w:p w14:paraId="1C708787">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电话：</w:t>
      </w:r>
    </w:p>
    <w:p w14:paraId="43EC16FB">
      <w:pPr>
        <w:pStyle w:val="65"/>
        <w:spacing w:line="360" w:lineRule="auto"/>
        <w:rPr>
          <w:rFonts w:hint="eastAsia" w:ascii="仿宋" w:hAnsi="仿宋" w:eastAsia="仿宋" w:cs="仿宋"/>
          <w:bCs w:val="0"/>
          <w:color w:val="auto"/>
          <w:sz w:val="24"/>
          <w:szCs w:val="24"/>
          <w:highlight w:val="none"/>
        </w:rPr>
      </w:pPr>
    </w:p>
    <w:p w14:paraId="44D8B866">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投标人：</w:t>
      </w:r>
      <w:r>
        <w:rPr>
          <w:rFonts w:hint="eastAsia" w:ascii="仿宋" w:hAnsi="仿宋" w:eastAsia="仿宋" w:cs="仿宋"/>
          <w:bCs w:val="0"/>
          <w:color w:val="auto"/>
          <w:sz w:val="24"/>
          <w:szCs w:val="24"/>
          <w:highlight w:val="none"/>
          <w:u w:val="single"/>
        </w:rPr>
        <w:tab/>
      </w:r>
      <w:r>
        <w:rPr>
          <w:rFonts w:hint="eastAsia" w:ascii="仿宋" w:hAnsi="仿宋" w:eastAsia="仿宋" w:cs="仿宋"/>
          <w:bCs w:val="0"/>
          <w:color w:val="auto"/>
          <w:sz w:val="24"/>
          <w:szCs w:val="24"/>
          <w:highlight w:val="none"/>
          <w:u w:val="single"/>
        </w:rPr>
        <w:t xml:space="preserve">             （电子公章）</w:t>
      </w:r>
      <w:r>
        <w:rPr>
          <w:rFonts w:hint="eastAsia" w:ascii="仿宋" w:hAnsi="仿宋" w:eastAsia="仿宋" w:cs="仿宋"/>
          <w:bCs w:val="0"/>
          <w:color w:val="auto"/>
          <w:sz w:val="24"/>
          <w:szCs w:val="24"/>
          <w:highlight w:val="none"/>
        </w:rPr>
        <w:tab/>
      </w:r>
    </w:p>
    <w:p w14:paraId="5D2C8E7E">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法定代表人或其授权代理人：</w:t>
      </w:r>
      <w:r>
        <w:rPr>
          <w:rFonts w:hint="eastAsia" w:ascii="仿宋" w:hAnsi="仿宋" w:eastAsia="仿宋" w:cs="仿宋"/>
          <w:bCs w:val="0"/>
          <w:color w:val="auto"/>
          <w:sz w:val="24"/>
          <w:szCs w:val="24"/>
          <w:highlight w:val="none"/>
          <w:u w:val="single"/>
        </w:rPr>
        <w:tab/>
      </w:r>
      <w:r>
        <w:rPr>
          <w:rFonts w:hint="eastAsia" w:ascii="仿宋" w:hAnsi="仿宋" w:eastAsia="仿宋" w:cs="仿宋"/>
          <w:bCs w:val="0"/>
          <w:color w:val="auto"/>
          <w:sz w:val="24"/>
          <w:szCs w:val="24"/>
          <w:highlight w:val="none"/>
          <w:u w:val="single"/>
        </w:rPr>
        <w:t>（签字或盖电子章）</w:t>
      </w:r>
      <w:r>
        <w:rPr>
          <w:rFonts w:hint="eastAsia" w:ascii="仿宋" w:hAnsi="仿宋" w:eastAsia="仿宋" w:cs="仿宋"/>
          <w:bCs w:val="0"/>
          <w:color w:val="auto"/>
          <w:sz w:val="24"/>
          <w:szCs w:val="24"/>
          <w:highlight w:val="none"/>
        </w:rPr>
        <w:tab/>
      </w:r>
    </w:p>
    <w:p w14:paraId="64E807D4">
      <w:pPr>
        <w:pStyle w:val="65"/>
        <w:spacing w:line="360" w:lineRule="auto"/>
        <w:rPr>
          <w:rFonts w:hint="eastAsia" w:ascii="仿宋" w:hAnsi="仿宋" w:eastAsia="仿宋" w:cs="仿宋"/>
          <w:bCs w:val="0"/>
          <w:color w:val="auto"/>
          <w:sz w:val="24"/>
          <w:szCs w:val="24"/>
          <w:highlight w:val="none"/>
        </w:rPr>
      </w:pPr>
    </w:p>
    <w:p w14:paraId="0C6C17D9">
      <w:pPr>
        <w:pStyle w:val="65"/>
        <w:spacing w:line="360" w:lineRule="auto"/>
        <w:rPr>
          <w:rFonts w:hint="eastAsia" w:ascii="仿宋" w:hAnsi="仿宋" w:eastAsia="仿宋" w:cs="仿宋"/>
          <w:bCs w:val="0"/>
          <w:color w:val="auto"/>
          <w:sz w:val="24"/>
          <w:szCs w:val="24"/>
          <w:highlight w:val="none"/>
        </w:rPr>
      </w:pPr>
      <w:r>
        <w:rPr>
          <w:rFonts w:hint="eastAsia" w:ascii="仿宋" w:hAnsi="仿宋" w:eastAsia="仿宋" w:cs="仿宋"/>
          <w:bCs w:val="0"/>
          <w:color w:val="auto"/>
          <w:sz w:val="24"/>
          <w:szCs w:val="24"/>
          <w:highlight w:val="none"/>
        </w:rPr>
        <w:t xml:space="preserve">日期： </w:t>
      </w:r>
      <w:r>
        <w:rPr>
          <w:rFonts w:hint="eastAsia" w:ascii="仿宋" w:hAnsi="仿宋" w:eastAsia="仿宋" w:cs="仿宋"/>
          <w:bCs w:val="0"/>
          <w:color w:val="auto"/>
          <w:sz w:val="24"/>
          <w:szCs w:val="24"/>
          <w:highlight w:val="none"/>
        </w:rPr>
        <w:tab/>
      </w:r>
      <w:r>
        <w:rPr>
          <w:rFonts w:hint="eastAsia" w:ascii="仿宋" w:hAnsi="仿宋" w:eastAsia="仿宋" w:cs="仿宋"/>
          <w:bCs w:val="0"/>
          <w:color w:val="auto"/>
          <w:sz w:val="24"/>
          <w:szCs w:val="24"/>
          <w:highlight w:val="none"/>
        </w:rPr>
        <w:t>年   月   日</w:t>
      </w:r>
    </w:p>
    <w:p w14:paraId="615C2725">
      <w:pPr>
        <w:pStyle w:val="65"/>
        <w:spacing w:line="360" w:lineRule="auto"/>
        <w:rPr>
          <w:rFonts w:hint="eastAsia" w:ascii="仿宋" w:hAnsi="仿宋" w:eastAsia="仿宋" w:cs="仿宋"/>
          <w:bCs w:val="0"/>
          <w:color w:val="auto"/>
          <w:sz w:val="24"/>
          <w:szCs w:val="24"/>
          <w:highlight w:val="none"/>
        </w:rPr>
        <w:sectPr>
          <w:footerReference r:id="rId4" w:type="default"/>
          <w:pgSz w:w="11906" w:h="16838"/>
          <w:pgMar w:top="1440" w:right="1800" w:bottom="1440" w:left="1800" w:header="851" w:footer="992" w:gutter="0"/>
          <w:cols w:space="720" w:num="1"/>
          <w:docGrid w:type="lines" w:linePitch="312" w:charSpace="0"/>
        </w:sectPr>
      </w:pPr>
    </w:p>
    <w:p w14:paraId="7CC608A0">
      <w:pPr>
        <w:spacing w:line="360" w:lineRule="auto"/>
        <w:rPr>
          <w:rFonts w:hint="eastAsia" w:ascii="仿宋" w:hAnsi="仿宋" w:eastAsia="仿宋" w:cs="仿宋"/>
          <w:b/>
          <w:color w:val="auto"/>
          <w:sz w:val="24"/>
          <w:highlight w:val="none"/>
        </w:rPr>
      </w:pPr>
      <w:bookmarkStart w:id="84" w:name="_Toc216582815"/>
      <w:bookmarkStart w:id="85" w:name="_Toc29213"/>
      <w:bookmarkStart w:id="86" w:name="_Toc12105"/>
      <w:bookmarkStart w:id="87" w:name="_Toc507399531"/>
      <w:r>
        <w:rPr>
          <w:rFonts w:hint="eastAsia" w:ascii="仿宋" w:hAnsi="仿宋" w:eastAsia="仿宋" w:cs="仿宋"/>
          <w:b/>
          <w:color w:val="auto"/>
          <w:sz w:val="24"/>
          <w:highlight w:val="none"/>
        </w:rPr>
        <w:t>附件5   投标分项报价表</w:t>
      </w:r>
      <w:bookmarkEnd w:id="84"/>
      <w:bookmarkEnd w:id="85"/>
      <w:bookmarkEnd w:id="86"/>
      <w:bookmarkEnd w:id="87"/>
    </w:p>
    <w:p w14:paraId="0A8ECA9B">
      <w:pPr>
        <w:pStyle w:val="11"/>
        <w:spacing w:line="360" w:lineRule="auto"/>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投标分项报价表</w:t>
      </w:r>
    </w:p>
    <w:p w14:paraId="4FB47BB4">
      <w:pPr>
        <w:pStyle w:val="16"/>
        <w:spacing w:line="360" w:lineRule="auto"/>
        <w:ind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        报价单位：人民币元</w:t>
      </w:r>
    </w:p>
    <w:tbl>
      <w:tblPr>
        <w:tblStyle w:val="31"/>
        <w:tblW w:w="13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879"/>
        <w:gridCol w:w="1472"/>
        <w:gridCol w:w="1946"/>
        <w:gridCol w:w="1030"/>
        <w:gridCol w:w="949"/>
        <w:gridCol w:w="1632"/>
        <w:gridCol w:w="1260"/>
        <w:gridCol w:w="1261"/>
      </w:tblGrid>
      <w:tr w14:paraId="0B09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828" w:type="dxa"/>
            <w:noWrap w:val="0"/>
            <w:vAlign w:val="center"/>
          </w:tcPr>
          <w:p w14:paraId="4CC5797B">
            <w:pPr>
              <w:pStyle w:val="16"/>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879" w:type="dxa"/>
            <w:noWrap w:val="0"/>
            <w:vAlign w:val="center"/>
          </w:tcPr>
          <w:p w14:paraId="63FA39AA">
            <w:pPr>
              <w:pStyle w:val="16"/>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1472" w:type="dxa"/>
            <w:noWrap w:val="0"/>
            <w:vAlign w:val="center"/>
          </w:tcPr>
          <w:p w14:paraId="6B082B63">
            <w:pPr>
              <w:pStyle w:val="16"/>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型号和规格</w:t>
            </w:r>
          </w:p>
        </w:tc>
        <w:tc>
          <w:tcPr>
            <w:tcW w:w="1946" w:type="dxa"/>
            <w:noWrap w:val="0"/>
            <w:vAlign w:val="center"/>
          </w:tcPr>
          <w:p w14:paraId="6AE57C34">
            <w:pPr>
              <w:pStyle w:val="16"/>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原产地和制造商名称</w:t>
            </w:r>
          </w:p>
        </w:tc>
        <w:tc>
          <w:tcPr>
            <w:tcW w:w="1030" w:type="dxa"/>
            <w:noWrap w:val="0"/>
            <w:vAlign w:val="center"/>
          </w:tcPr>
          <w:p w14:paraId="014DB6E0">
            <w:pPr>
              <w:pStyle w:val="16"/>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品牌</w:t>
            </w:r>
          </w:p>
        </w:tc>
        <w:tc>
          <w:tcPr>
            <w:tcW w:w="949" w:type="dxa"/>
            <w:noWrap w:val="0"/>
            <w:vAlign w:val="center"/>
          </w:tcPr>
          <w:p w14:paraId="45E975BC">
            <w:pPr>
              <w:pStyle w:val="16"/>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数量/单位</w:t>
            </w:r>
          </w:p>
        </w:tc>
        <w:tc>
          <w:tcPr>
            <w:tcW w:w="1632" w:type="dxa"/>
            <w:noWrap w:val="0"/>
            <w:vAlign w:val="center"/>
          </w:tcPr>
          <w:p w14:paraId="47560B50">
            <w:pPr>
              <w:pStyle w:val="16"/>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单价</w:t>
            </w:r>
          </w:p>
        </w:tc>
        <w:tc>
          <w:tcPr>
            <w:tcW w:w="1260" w:type="dxa"/>
            <w:noWrap w:val="0"/>
            <w:vAlign w:val="center"/>
          </w:tcPr>
          <w:p w14:paraId="00C06903">
            <w:pPr>
              <w:pStyle w:val="16"/>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合价</w:t>
            </w:r>
          </w:p>
        </w:tc>
        <w:tc>
          <w:tcPr>
            <w:tcW w:w="1261" w:type="dxa"/>
            <w:noWrap w:val="0"/>
            <w:vAlign w:val="center"/>
          </w:tcPr>
          <w:p w14:paraId="51731DF6">
            <w:pPr>
              <w:pStyle w:val="16"/>
              <w:adjustRightInd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1853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28" w:type="dxa"/>
            <w:noWrap w:val="0"/>
            <w:vAlign w:val="center"/>
          </w:tcPr>
          <w:p w14:paraId="50DFA6D0">
            <w:pPr>
              <w:pStyle w:val="16"/>
              <w:adjustRightInd w:val="0"/>
              <w:snapToGrid w:val="0"/>
              <w:spacing w:line="360" w:lineRule="auto"/>
              <w:jc w:val="center"/>
              <w:rPr>
                <w:rFonts w:hint="eastAsia" w:ascii="仿宋" w:hAnsi="仿宋" w:eastAsia="仿宋" w:cs="仿宋"/>
                <w:color w:val="auto"/>
                <w:sz w:val="24"/>
                <w:highlight w:val="none"/>
              </w:rPr>
            </w:pPr>
          </w:p>
        </w:tc>
        <w:tc>
          <w:tcPr>
            <w:tcW w:w="2879" w:type="dxa"/>
            <w:noWrap w:val="0"/>
            <w:vAlign w:val="center"/>
          </w:tcPr>
          <w:p w14:paraId="323A033B">
            <w:pPr>
              <w:pStyle w:val="16"/>
              <w:adjustRightInd w:val="0"/>
              <w:snapToGrid w:val="0"/>
              <w:spacing w:line="360" w:lineRule="auto"/>
              <w:jc w:val="center"/>
              <w:rPr>
                <w:rFonts w:hint="eastAsia" w:ascii="仿宋" w:hAnsi="仿宋" w:eastAsia="仿宋" w:cs="仿宋"/>
                <w:color w:val="auto"/>
                <w:sz w:val="24"/>
                <w:highlight w:val="none"/>
              </w:rPr>
            </w:pPr>
          </w:p>
        </w:tc>
        <w:tc>
          <w:tcPr>
            <w:tcW w:w="1472" w:type="dxa"/>
            <w:noWrap w:val="0"/>
            <w:vAlign w:val="center"/>
          </w:tcPr>
          <w:p w14:paraId="3B81982A">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946" w:type="dxa"/>
            <w:noWrap w:val="0"/>
            <w:vAlign w:val="center"/>
          </w:tcPr>
          <w:p w14:paraId="455F1FF3">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030" w:type="dxa"/>
            <w:noWrap w:val="0"/>
            <w:vAlign w:val="center"/>
          </w:tcPr>
          <w:p w14:paraId="76BE2CB4">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949" w:type="dxa"/>
            <w:noWrap w:val="0"/>
            <w:vAlign w:val="center"/>
          </w:tcPr>
          <w:p w14:paraId="6B5FE301">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632" w:type="dxa"/>
            <w:noWrap w:val="0"/>
            <w:vAlign w:val="center"/>
          </w:tcPr>
          <w:p w14:paraId="7D695BA7">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260" w:type="dxa"/>
            <w:noWrap w:val="0"/>
            <w:vAlign w:val="center"/>
          </w:tcPr>
          <w:p w14:paraId="477292D9">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261" w:type="dxa"/>
            <w:noWrap w:val="0"/>
            <w:vAlign w:val="center"/>
          </w:tcPr>
          <w:p w14:paraId="135EDA85">
            <w:pPr>
              <w:pStyle w:val="16"/>
              <w:adjustRightInd w:val="0"/>
              <w:snapToGrid w:val="0"/>
              <w:spacing w:line="360" w:lineRule="auto"/>
              <w:ind w:hanging="540"/>
              <w:jc w:val="center"/>
              <w:rPr>
                <w:rFonts w:hint="eastAsia" w:ascii="仿宋" w:hAnsi="仿宋" w:eastAsia="仿宋" w:cs="仿宋"/>
                <w:color w:val="auto"/>
                <w:sz w:val="24"/>
                <w:highlight w:val="none"/>
              </w:rPr>
            </w:pPr>
          </w:p>
        </w:tc>
      </w:tr>
      <w:tr w14:paraId="4DB7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28" w:type="dxa"/>
            <w:noWrap w:val="0"/>
            <w:vAlign w:val="center"/>
          </w:tcPr>
          <w:p w14:paraId="7D8D6AEC">
            <w:pPr>
              <w:pStyle w:val="16"/>
              <w:adjustRightInd w:val="0"/>
              <w:snapToGrid w:val="0"/>
              <w:spacing w:line="360" w:lineRule="auto"/>
              <w:jc w:val="center"/>
              <w:rPr>
                <w:rFonts w:hint="eastAsia" w:ascii="仿宋" w:hAnsi="仿宋" w:eastAsia="仿宋" w:cs="仿宋"/>
                <w:color w:val="auto"/>
                <w:sz w:val="24"/>
                <w:highlight w:val="none"/>
              </w:rPr>
            </w:pPr>
          </w:p>
        </w:tc>
        <w:tc>
          <w:tcPr>
            <w:tcW w:w="2879" w:type="dxa"/>
            <w:noWrap w:val="0"/>
            <w:vAlign w:val="center"/>
          </w:tcPr>
          <w:p w14:paraId="7EEE42C7">
            <w:pPr>
              <w:pStyle w:val="16"/>
              <w:adjustRightInd w:val="0"/>
              <w:snapToGrid w:val="0"/>
              <w:spacing w:line="360" w:lineRule="auto"/>
              <w:jc w:val="center"/>
              <w:rPr>
                <w:rFonts w:hint="eastAsia" w:ascii="仿宋" w:hAnsi="仿宋" w:eastAsia="仿宋" w:cs="仿宋"/>
                <w:color w:val="auto"/>
                <w:sz w:val="24"/>
                <w:highlight w:val="none"/>
              </w:rPr>
            </w:pPr>
          </w:p>
        </w:tc>
        <w:tc>
          <w:tcPr>
            <w:tcW w:w="1472" w:type="dxa"/>
            <w:noWrap w:val="0"/>
            <w:vAlign w:val="center"/>
          </w:tcPr>
          <w:p w14:paraId="7EEFC978">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946" w:type="dxa"/>
            <w:noWrap w:val="0"/>
            <w:vAlign w:val="center"/>
          </w:tcPr>
          <w:p w14:paraId="2C467006">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030" w:type="dxa"/>
            <w:noWrap w:val="0"/>
            <w:vAlign w:val="center"/>
          </w:tcPr>
          <w:p w14:paraId="79DE1C90">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949" w:type="dxa"/>
            <w:noWrap w:val="0"/>
            <w:vAlign w:val="center"/>
          </w:tcPr>
          <w:p w14:paraId="5783C9C6">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632" w:type="dxa"/>
            <w:noWrap w:val="0"/>
            <w:vAlign w:val="center"/>
          </w:tcPr>
          <w:p w14:paraId="7AD0C584">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260" w:type="dxa"/>
            <w:noWrap w:val="0"/>
            <w:vAlign w:val="center"/>
          </w:tcPr>
          <w:p w14:paraId="09EFE17F">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261" w:type="dxa"/>
            <w:noWrap w:val="0"/>
            <w:vAlign w:val="center"/>
          </w:tcPr>
          <w:p w14:paraId="4699B4CA">
            <w:pPr>
              <w:pStyle w:val="16"/>
              <w:adjustRightInd w:val="0"/>
              <w:snapToGrid w:val="0"/>
              <w:spacing w:line="360" w:lineRule="auto"/>
              <w:ind w:hanging="540"/>
              <w:jc w:val="center"/>
              <w:rPr>
                <w:rFonts w:hint="eastAsia" w:ascii="仿宋" w:hAnsi="仿宋" w:eastAsia="仿宋" w:cs="仿宋"/>
                <w:color w:val="auto"/>
                <w:sz w:val="24"/>
                <w:highlight w:val="none"/>
              </w:rPr>
            </w:pPr>
          </w:p>
        </w:tc>
      </w:tr>
      <w:tr w14:paraId="040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28" w:type="dxa"/>
            <w:noWrap w:val="0"/>
            <w:vAlign w:val="center"/>
          </w:tcPr>
          <w:p w14:paraId="28EED8C9">
            <w:pPr>
              <w:pStyle w:val="16"/>
              <w:adjustRightInd w:val="0"/>
              <w:snapToGrid w:val="0"/>
              <w:spacing w:line="360" w:lineRule="auto"/>
              <w:jc w:val="center"/>
              <w:rPr>
                <w:rFonts w:hint="eastAsia" w:ascii="仿宋" w:hAnsi="仿宋" w:eastAsia="仿宋" w:cs="仿宋"/>
                <w:color w:val="auto"/>
                <w:sz w:val="24"/>
                <w:highlight w:val="none"/>
              </w:rPr>
            </w:pPr>
          </w:p>
        </w:tc>
        <w:tc>
          <w:tcPr>
            <w:tcW w:w="2879" w:type="dxa"/>
            <w:noWrap w:val="0"/>
            <w:vAlign w:val="center"/>
          </w:tcPr>
          <w:p w14:paraId="6999E760">
            <w:pPr>
              <w:pStyle w:val="16"/>
              <w:adjustRightInd w:val="0"/>
              <w:snapToGrid w:val="0"/>
              <w:spacing w:line="360" w:lineRule="auto"/>
              <w:jc w:val="center"/>
              <w:rPr>
                <w:rFonts w:hint="eastAsia" w:ascii="仿宋" w:hAnsi="仿宋" w:eastAsia="仿宋" w:cs="仿宋"/>
                <w:color w:val="auto"/>
                <w:sz w:val="24"/>
                <w:highlight w:val="none"/>
              </w:rPr>
            </w:pPr>
          </w:p>
        </w:tc>
        <w:tc>
          <w:tcPr>
            <w:tcW w:w="1472" w:type="dxa"/>
            <w:noWrap w:val="0"/>
            <w:vAlign w:val="center"/>
          </w:tcPr>
          <w:p w14:paraId="1D1A2B06">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946" w:type="dxa"/>
            <w:noWrap w:val="0"/>
            <w:vAlign w:val="center"/>
          </w:tcPr>
          <w:p w14:paraId="60EADF2D">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030" w:type="dxa"/>
            <w:noWrap w:val="0"/>
            <w:vAlign w:val="center"/>
          </w:tcPr>
          <w:p w14:paraId="5358BDDB">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949" w:type="dxa"/>
            <w:noWrap w:val="0"/>
            <w:vAlign w:val="center"/>
          </w:tcPr>
          <w:p w14:paraId="78740896">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632" w:type="dxa"/>
            <w:noWrap w:val="0"/>
            <w:vAlign w:val="center"/>
          </w:tcPr>
          <w:p w14:paraId="046052D9">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260" w:type="dxa"/>
            <w:noWrap w:val="0"/>
            <w:vAlign w:val="center"/>
          </w:tcPr>
          <w:p w14:paraId="4AA4703D">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261" w:type="dxa"/>
            <w:noWrap w:val="0"/>
            <w:vAlign w:val="center"/>
          </w:tcPr>
          <w:p w14:paraId="5580EB3A">
            <w:pPr>
              <w:pStyle w:val="16"/>
              <w:adjustRightInd w:val="0"/>
              <w:snapToGrid w:val="0"/>
              <w:spacing w:line="360" w:lineRule="auto"/>
              <w:ind w:hanging="540"/>
              <w:jc w:val="center"/>
              <w:rPr>
                <w:rFonts w:hint="eastAsia" w:ascii="仿宋" w:hAnsi="仿宋" w:eastAsia="仿宋" w:cs="仿宋"/>
                <w:color w:val="auto"/>
                <w:sz w:val="24"/>
                <w:highlight w:val="none"/>
              </w:rPr>
            </w:pPr>
          </w:p>
        </w:tc>
      </w:tr>
      <w:tr w14:paraId="26A6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28" w:type="dxa"/>
            <w:noWrap w:val="0"/>
            <w:vAlign w:val="center"/>
          </w:tcPr>
          <w:p w14:paraId="47A34DA4">
            <w:pPr>
              <w:pStyle w:val="16"/>
              <w:adjustRightInd w:val="0"/>
              <w:snapToGrid w:val="0"/>
              <w:spacing w:line="360" w:lineRule="auto"/>
              <w:jc w:val="center"/>
              <w:rPr>
                <w:rFonts w:hint="eastAsia" w:ascii="仿宋" w:hAnsi="仿宋" w:eastAsia="仿宋" w:cs="仿宋"/>
                <w:color w:val="auto"/>
                <w:sz w:val="24"/>
                <w:highlight w:val="none"/>
              </w:rPr>
            </w:pPr>
          </w:p>
        </w:tc>
        <w:tc>
          <w:tcPr>
            <w:tcW w:w="2879" w:type="dxa"/>
            <w:noWrap w:val="0"/>
            <w:vAlign w:val="center"/>
          </w:tcPr>
          <w:p w14:paraId="6F25A412">
            <w:pPr>
              <w:pStyle w:val="16"/>
              <w:adjustRightInd w:val="0"/>
              <w:snapToGrid w:val="0"/>
              <w:spacing w:line="360" w:lineRule="auto"/>
              <w:jc w:val="center"/>
              <w:rPr>
                <w:rFonts w:hint="eastAsia" w:ascii="仿宋" w:hAnsi="仿宋" w:eastAsia="仿宋" w:cs="仿宋"/>
                <w:color w:val="auto"/>
                <w:sz w:val="24"/>
                <w:highlight w:val="none"/>
              </w:rPr>
            </w:pPr>
          </w:p>
        </w:tc>
        <w:tc>
          <w:tcPr>
            <w:tcW w:w="1472" w:type="dxa"/>
            <w:noWrap w:val="0"/>
            <w:vAlign w:val="center"/>
          </w:tcPr>
          <w:p w14:paraId="46AACB66">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946" w:type="dxa"/>
            <w:noWrap w:val="0"/>
            <w:vAlign w:val="center"/>
          </w:tcPr>
          <w:p w14:paraId="76866501">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030" w:type="dxa"/>
            <w:noWrap w:val="0"/>
            <w:vAlign w:val="center"/>
          </w:tcPr>
          <w:p w14:paraId="55E6EBAB">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949" w:type="dxa"/>
            <w:noWrap w:val="0"/>
            <w:vAlign w:val="center"/>
          </w:tcPr>
          <w:p w14:paraId="7475AA8E">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632" w:type="dxa"/>
            <w:noWrap w:val="0"/>
            <w:vAlign w:val="center"/>
          </w:tcPr>
          <w:p w14:paraId="4AC36BA9">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260" w:type="dxa"/>
            <w:noWrap w:val="0"/>
            <w:vAlign w:val="center"/>
          </w:tcPr>
          <w:p w14:paraId="41F6392A">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261" w:type="dxa"/>
            <w:noWrap w:val="0"/>
            <w:vAlign w:val="center"/>
          </w:tcPr>
          <w:p w14:paraId="6DEC81FC">
            <w:pPr>
              <w:pStyle w:val="16"/>
              <w:adjustRightInd w:val="0"/>
              <w:snapToGrid w:val="0"/>
              <w:spacing w:line="360" w:lineRule="auto"/>
              <w:ind w:hanging="540"/>
              <w:jc w:val="center"/>
              <w:rPr>
                <w:rFonts w:hint="eastAsia" w:ascii="仿宋" w:hAnsi="仿宋" w:eastAsia="仿宋" w:cs="仿宋"/>
                <w:color w:val="auto"/>
                <w:sz w:val="24"/>
                <w:highlight w:val="none"/>
              </w:rPr>
            </w:pPr>
          </w:p>
        </w:tc>
      </w:tr>
      <w:tr w14:paraId="15DB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28" w:type="dxa"/>
            <w:noWrap w:val="0"/>
            <w:vAlign w:val="center"/>
          </w:tcPr>
          <w:p w14:paraId="4B7360B7">
            <w:pPr>
              <w:pStyle w:val="16"/>
              <w:adjustRightInd w:val="0"/>
              <w:snapToGrid w:val="0"/>
              <w:spacing w:line="360" w:lineRule="auto"/>
              <w:jc w:val="center"/>
              <w:rPr>
                <w:rFonts w:hint="eastAsia" w:ascii="仿宋" w:hAnsi="仿宋" w:eastAsia="仿宋" w:cs="仿宋"/>
                <w:color w:val="auto"/>
                <w:sz w:val="24"/>
                <w:highlight w:val="none"/>
              </w:rPr>
            </w:pPr>
          </w:p>
        </w:tc>
        <w:tc>
          <w:tcPr>
            <w:tcW w:w="2879" w:type="dxa"/>
            <w:noWrap w:val="0"/>
            <w:vAlign w:val="center"/>
          </w:tcPr>
          <w:p w14:paraId="16076C4A">
            <w:pPr>
              <w:pStyle w:val="16"/>
              <w:adjustRightInd w:val="0"/>
              <w:snapToGrid w:val="0"/>
              <w:spacing w:line="360" w:lineRule="auto"/>
              <w:jc w:val="center"/>
              <w:rPr>
                <w:rFonts w:hint="eastAsia" w:ascii="仿宋" w:hAnsi="仿宋" w:eastAsia="仿宋" w:cs="仿宋"/>
                <w:color w:val="auto"/>
                <w:sz w:val="24"/>
                <w:highlight w:val="none"/>
              </w:rPr>
            </w:pPr>
          </w:p>
        </w:tc>
        <w:tc>
          <w:tcPr>
            <w:tcW w:w="1472" w:type="dxa"/>
            <w:noWrap w:val="0"/>
            <w:vAlign w:val="center"/>
          </w:tcPr>
          <w:p w14:paraId="4C888F5E">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946" w:type="dxa"/>
            <w:noWrap w:val="0"/>
            <w:vAlign w:val="center"/>
          </w:tcPr>
          <w:p w14:paraId="1FBFFD71">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030" w:type="dxa"/>
            <w:noWrap w:val="0"/>
            <w:vAlign w:val="center"/>
          </w:tcPr>
          <w:p w14:paraId="0A6B1E09">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949" w:type="dxa"/>
            <w:noWrap w:val="0"/>
            <w:vAlign w:val="center"/>
          </w:tcPr>
          <w:p w14:paraId="56A42746">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632" w:type="dxa"/>
            <w:noWrap w:val="0"/>
            <w:vAlign w:val="center"/>
          </w:tcPr>
          <w:p w14:paraId="67843D9C">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260" w:type="dxa"/>
            <w:noWrap w:val="0"/>
            <w:vAlign w:val="center"/>
          </w:tcPr>
          <w:p w14:paraId="168C74EB">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261" w:type="dxa"/>
            <w:noWrap w:val="0"/>
            <w:vAlign w:val="center"/>
          </w:tcPr>
          <w:p w14:paraId="04A5722B">
            <w:pPr>
              <w:pStyle w:val="16"/>
              <w:adjustRightInd w:val="0"/>
              <w:snapToGrid w:val="0"/>
              <w:spacing w:line="360" w:lineRule="auto"/>
              <w:ind w:hanging="540"/>
              <w:jc w:val="center"/>
              <w:rPr>
                <w:rFonts w:hint="eastAsia" w:ascii="仿宋" w:hAnsi="仿宋" w:eastAsia="仿宋" w:cs="仿宋"/>
                <w:color w:val="auto"/>
                <w:sz w:val="24"/>
                <w:highlight w:val="none"/>
              </w:rPr>
            </w:pPr>
          </w:p>
        </w:tc>
      </w:tr>
      <w:tr w14:paraId="3344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28" w:type="dxa"/>
            <w:noWrap w:val="0"/>
            <w:vAlign w:val="center"/>
          </w:tcPr>
          <w:p w14:paraId="34207606">
            <w:pPr>
              <w:pStyle w:val="16"/>
              <w:adjustRightInd w:val="0"/>
              <w:snapToGrid w:val="0"/>
              <w:spacing w:line="360" w:lineRule="auto"/>
              <w:jc w:val="center"/>
              <w:rPr>
                <w:rFonts w:hint="eastAsia" w:ascii="仿宋" w:hAnsi="仿宋" w:eastAsia="仿宋" w:cs="仿宋"/>
                <w:color w:val="auto"/>
                <w:sz w:val="24"/>
                <w:highlight w:val="none"/>
              </w:rPr>
            </w:pPr>
          </w:p>
        </w:tc>
        <w:tc>
          <w:tcPr>
            <w:tcW w:w="2879" w:type="dxa"/>
            <w:noWrap w:val="0"/>
            <w:vAlign w:val="center"/>
          </w:tcPr>
          <w:p w14:paraId="115EE84D">
            <w:pPr>
              <w:pStyle w:val="16"/>
              <w:adjustRightInd w:val="0"/>
              <w:snapToGrid w:val="0"/>
              <w:spacing w:line="360" w:lineRule="auto"/>
              <w:jc w:val="center"/>
              <w:rPr>
                <w:rFonts w:hint="eastAsia" w:ascii="仿宋" w:hAnsi="仿宋" w:eastAsia="仿宋" w:cs="仿宋"/>
                <w:color w:val="auto"/>
                <w:sz w:val="24"/>
                <w:highlight w:val="none"/>
              </w:rPr>
            </w:pPr>
          </w:p>
        </w:tc>
        <w:tc>
          <w:tcPr>
            <w:tcW w:w="1472" w:type="dxa"/>
            <w:noWrap w:val="0"/>
            <w:vAlign w:val="center"/>
          </w:tcPr>
          <w:p w14:paraId="15C257F1">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946" w:type="dxa"/>
            <w:noWrap w:val="0"/>
            <w:vAlign w:val="center"/>
          </w:tcPr>
          <w:p w14:paraId="7110018D">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030" w:type="dxa"/>
            <w:noWrap w:val="0"/>
            <w:vAlign w:val="center"/>
          </w:tcPr>
          <w:p w14:paraId="3A8CB1FA">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949" w:type="dxa"/>
            <w:noWrap w:val="0"/>
            <w:vAlign w:val="center"/>
          </w:tcPr>
          <w:p w14:paraId="6A4FD77C">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632" w:type="dxa"/>
            <w:noWrap w:val="0"/>
            <w:vAlign w:val="center"/>
          </w:tcPr>
          <w:p w14:paraId="6CCAB9F0">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260" w:type="dxa"/>
            <w:noWrap w:val="0"/>
            <w:vAlign w:val="center"/>
          </w:tcPr>
          <w:p w14:paraId="16D1208A">
            <w:pPr>
              <w:pStyle w:val="16"/>
              <w:adjustRightInd w:val="0"/>
              <w:snapToGrid w:val="0"/>
              <w:spacing w:line="360" w:lineRule="auto"/>
              <w:ind w:hanging="540"/>
              <w:jc w:val="center"/>
              <w:rPr>
                <w:rFonts w:hint="eastAsia" w:ascii="仿宋" w:hAnsi="仿宋" w:eastAsia="仿宋" w:cs="仿宋"/>
                <w:color w:val="auto"/>
                <w:sz w:val="24"/>
                <w:highlight w:val="none"/>
              </w:rPr>
            </w:pPr>
          </w:p>
        </w:tc>
        <w:tc>
          <w:tcPr>
            <w:tcW w:w="1261" w:type="dxa"/>
            <w:noWrap w:val="0"/>
            <w:vAlign w:val="center"/>
          </w:tcPr>
          <w:p w14:paraId="6E9D9B73">
            <w:pPr>
              <w:pStyle w:val="16"/>
              <w:adjustRightInd w:val="0"/>
              <w:snapToGrid w:val="0"/>
              <w:spacing w:line="360" w:lineRule="auto"/>
              <w:ind w:hanging="540"/>
              <w:jc w:val="center"/>
              <w:rPr>
                <w:rFonts w:hint="eastAsia" w:ascii="仿宋" w:hAnsi="仿宋" w:eastAsia="仿宋" w:cs="仿宋"/>
                <w:color w:val="auto"/>
                <w:sz w:val="24"/>
                <w:highlight w:val="none"/>
              </w:rPr>
            </w:pPr>
          </w:p>
        </w:tc>
      </w:tr>
      <w:tr w14:paraId="3E12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10736" w:type="dxa"/>
            <w:gridSpan w:val="7"/>
            <w:noWrap w:val="0"/>
            <w:vAlign w:val="center"/>
          </w:tcPr>
          <w:p w14:paraId="37E09A07">
            <w:pPr>
              <w:pStyle w:val="16"/>
              <w:adjustRightInd w:val="0"/>
              <w:snapToGrid w:val="0"/>
              <w:spacing w:line="360" w:lineRule="auto"/>
              <w:ind w:firstLine="219"/>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总价：</w:t>
            </w:r>
          </w:p>
        </w:tc>
        <w:tc>
          <w:tcPr>
            <w:tcW w:w="2521" w:type="dxa"/>
            <w:gridSpan w:val="2"/>
            <w:noWrap w:val="0"/>
            <w:vAlign w:val="center"/>
          </w:tcPr>
          <w:p w14:paraId="4C26585E">
            <w:pPr>
              <w:pStyle w:val="16"/>
              <w:adjustRightInd w:val="0"/>
              <w:snapToGrid w:val="0"/>
              <w:spacing w:line="360" w:lineRule="auto"/>
              <w:ind w:hanging="540"/>
              <w:jc w:val="center"/>
              <w:rPr>
                <w:rFonts w:hint="eastAsia" w:ascii="仿宋" w:hAnsi="仿宋" w:eastAsia="仿宋" w:cs="仿宋"/>
                <w:color w:val="auto"/>
                <w:sz w:val="24"/>
                <w:highlight w:val="none"/>
              </w:rPr>
            </w:pPr>
          </w:p>
        </w:tc>
      </w:tr>
    </w:tbl>
    <w:p w14:paraId="665D7F6A">
      <w:pPr>
        <w:pStyle w:val="16"/>
        <w:spacing w:line="360" w:lineRule="auto"/>
        <w:ind w:left="420" w:leftChars="200"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法定代表人或授权代表（签字或盖电子章）</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09845F22">
      <w:pPr>
        <w:pStyle w:val="16"/>
        <w:spacing w:line="360" w:lineRule="auto"/>
        <w:ind w:left="420" w:leftChars="200"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投标人(盖电子章):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2A66CBC2">
      <w:pPr>
        <w:pStyle w:val="16"/>
        <w:spacing w:line="360" w:lineRule="auto"/>
        <w:ind w:left="420" w:leftChars="200" w:firstLine="42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日    期：</w:t>
      </w:r>
    </w:p>
    <w:p w14:paraId="705312DB">
      <w:pPr>
        <w:pStyle w:val="16"/>
        <w:adjustRightInd w:val="0"/>
        <w:snapToGrid w:val="0"/>
        <w:spacing w:line="360" w:lineRule="auto"/>
        <w:ind w:firstLine="24" w:firstLineChars="10"/>
        <w:rPr>
          <w:rFonts w:hint="eastAsia" w:ascii="仿宋" w:hAnsi="仿宋" w:eastAsia="仿宋" w:cs="仿宋"/>
          <w:color w:val="auto"/>
          <w:sz w:val="24"/>
          <w:highlight w:val="none"/>
        </w:rPr>
      </w:pPr>
    </w:p>
    <w:p w14:paraId="5390AA41">
      <w:pPr>
        <w:pStyle w:val="16"/>
        <w:adjustRightInd w:val="0"/>
        <w:snapToGrid w:val="0"/>
        <w:spacing w:line="360" w:lineRule="auto"/>
        <w:ind w:firstLine="24" w:firstLineChars="10"/>
        <w:rPr>
          <w:rFonts w:hint="eastAsia" w:ascii="仿宋" w:hAnsi="仿宋" w:eastAsia="仿宋" w:cs="仿宋"/>
          <w:color w:val="auto"/>
          <w:sz w:val="24"/>
          <w:highlight w:val="none"/>
        </w:rPr>
      </w:pPr>
      <w:r>
        <w:rPr>
          <w:rFonts w:hint="eastAsia" w:ascii="仿宋" w:hAnsi="仿宋" w:eastAsia="仿宋" w:cs="仿宋"/>
          <w:color w:val="auto"/>
          <w:sz w:val="24"/>
          <w:highlight w:val="none"/>
        </w:rPr>
        <w:t>注: 1.如果投标人认为需要，每种货物填写一份该表。</w:t>
      </w:r>
    </w:p>
    <w:p w14:paraId="10DF5F93">
      <w:pPr>
        <w:pStyle w:val="16"/>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2.如果按单价计算的结果与总价不一致,以单价为准修正总价。</w:t>
      </w:r>
    </w:p>
    <w:p w14:paraId="66DFBA45">
      <w:pPr>
        <w:pStyle w:val="16"/>
        <w:adjustRightInd w:val="0"/>
        <w:snapToGrid w:val="0"/>
        <w:spacing w:line="360" w:lineRule="auto"/>
        <w:ind w:firstLine="501" w:firstLineChars="209"/>
        <w:rPr>
          <w:rFonts w:hint="eastAsia" w:ascii="仿宋" w:hAnsi="仿宋" w:eastAsia="仿宋" w:cs="仿宋"/>
          <w:color w:val="auto"/>
          <w:sz w:val="24"/>
          <w:highlight w:val="none"/>
        </w:rPr>
      </w:pPr>
      <w:r>
        <w:rPr>
          <w:rFonts w:hint="eastAsia" w:ascii="仿宋" w:hAnsi="仿宋" w:eastAsia="仿宋" w:cs="仿宋"/>
          <w:color w:val="auto"/>
          <w:sz w:val="24"/>
          <w:highlight w:val="none"/>
        </w:rPr>
        <w:t>3.如果不提供详细分项报价将视为没有实质性响应招标文件。</w:t>
      </w:r>
    </w:p>
    <w:p w14:paraId="4E70CB7B">
      <w:pPr>
        <w:pStyle w:val="16"/>
        <w:adjustRightInd w:val="0"/>
        <w:snapToGrid w:val="0"/>
        <w:spacing w:line="360" w:lineRule="auto"/>
        <w:ind w:firstLine="24" w:firstLineChars="1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4.上述各项的详细分项报价，应另页描述。</w:t>
      </w:r>
    </w:p>
    <w:p w14:paraId="08E05FB1">
      <w:pPr>
        <w:pStyle w:val="65"/>
        <w:adjustRightInd w:val="0"/>
        <w:snapToGrid w:val="0"/>
        <w:spacing w:before="0" w:after="0" w:line="360" w:lineRule="auto"/>
        <w:ind w:firstLine="26" w:firstLineChars="10"/>
        <w:rPr>
          <w:rFonts w:hint="eastAsia" w:ascii="仿宋" w:hAnsi="仿宋" w:eastAsia="仿宋" w:cs="仿宋"/>
          <w:bCs w:val="0"/>
          <w:color w:val="auto"/>
          <w:sz w:val="24"/>
          <w:szCs w:val="24"/>
          <w:highlight w:val="none"/>
        </w:rPr>
        <w:sectPr>
          <w:pgSz w:w="16838" w:h="11906" w:orient="landscape"/>
          <w:pgMar w:top="1800" w:right="1440" w:bottom="1800" w:left="1440" w:header="851" w:footer="992" w:gutter="0"/>
          <w:cols w:space="720" w:num="1"/>
          <w:docGrid w:type="lines" w:linePitch="312" w:charSpace="0"/>
        </w:sectPr>
      </w:pPr>
      <w:r>
        <w:rPr>
          <w:rFonts w:hint="eastAsia" w:ascii="仿宋" w:hAnsi="仿宋" w:eastAsia="仿宋" w:cs="仿宋"/>
          <w:color w:val="auto"/>
          <w:sz w:val="24"/>
          <w:highlight w:val="none"/>
        </w:rPr>
        <w:t xml:space="preserve">   5.如果开标一览表（报价表）内容与投标文件中明细表内容不一致的，以开标一览表（报价表）内容为准。</w:t>
      </w:r>
    </w:p>
    <w:p w14:paraId="029791FE">
      <w:pPr>
        <w:spacing w:line="360" w:lineRule="auto"/>
        <w:rPr>
          <w:rFonts w:hint="eastAsia" w:ascii="仿宋" w:hAnsi="仿宋" w:eastAsia="仿宋" w:cs="仿宋"/>
          <w:b/>
          <w:color w:val="auto"/>
          <w:sz w:val="24"/>
          <w:highlight w:val="none"/>
        </w:rPr>
      </w:pPr>
      <w:bookmarkStart w:id="88" w:name="_Toc13864"/>
      <w:bookmarkStart w:id="89" w:name="_Toc216582816"/>
      <w:bookmarkStart w:id="90" w:name="_Toc16512"/>
      <w:bookmarkStart w:id="91" w:name="_Toc507399532"/>
      <w:r>
        <w:rPr>
          <w:rFonts w:hint="eastAsia" w:ascii="仿宋" w:hAnsi="仿宋" w:eastAsia="仿宋" w:cs="仿宋"/>
          <w:b/>
          <w:color w:val="auto"/>
          <w:sz w:val="24"/>
          <w:highlight w:val="none"/>
        </w:rPr>
        <w:t>附件6   货物说明一览表</w:t>
      </w:r>
      <w:bookmarkEnd w:id="88"/>
      <w:bookmarkEnd w:id="89"/>
      <w:bookmarkEnd w:id="90"/>
      <w:bookmarkEnd w:id="91"/>
    </w:p>
    <w:p w14:paraId="7F24D966">
      <w:pPr>
        <w:pStyle w:val="16"/>
        <w:spacing w:line="360" w:lineRule="auto"/>
        <w:ind w:hanging="54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货物说明一览表</w:t>
      </w:r>
    </w:p>
    <w:p w14:paraId="0B2CF698">
      <w:pPr>
        <w:pStyle w:val="16"/>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招标编号:                       包号:                      </w:t>
      </w:r>
    </w:p>
    <w:tbl>
      <w:tblPr>
        <w:tblStyle w:val="31"/>
        <w:tblW w:w="13054" w:type="dxa"/>
        <w:tblInd w:w="1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2228"/>
        <w:gridCol w:w="1800"/>
        <w:gridCol w:w="1121"/>
        <w:gridCol w:w="1701"/>
        <w:gridCol w:w="1361"/>
        <w:gridCol w:w="1577"/>
        <w:gridCol w:w="1980"/>
      </w:tblGrid>
      <w:tr w14:paraId="4E2F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noWrap w:val="0"/>
            <w:vAlign w:val="top"/>
          </w:tcPr>
          <w:p w14:paraId="135500D3">
            <w:pPr>
              <w:pStyle w:val="16"/>
              <w:spacing w:line="360" w:lineRule="auto"/>
              <w:jc w:val="center"/>
              <w:rPr>
                <w:rFonts w:hint="eastAsia" w:ascii="仿宋" w:hAnsi="仿宋" w:eastAsia="仿宋" w:cs="仿宋"/>
                <w:color w:val="auto"/>
                <w:sz w:val="24"/>
                <w:highlight w:val="none"/>
              </w:rPr>
            </w:pPr>
            <w:bookmarkStart w:id="92" w:name="_Hlk128941161"/>
            <w:r>
              <w:rPr>
                <w:rFonts w:hint="eastAsia" w:ascii="仿宋" w:hAnsi="仿宋" w:eastAsia="仿宋" w:cs="仿宋"/>
                <w:color w:val="auto"/>
                <w:sz w:val="24"/>
                <w:highlight w:val="none"/>
              </w:rPr>
              <w:t>序号</w:t>
            </w:r>
          </w:p>
        </w:tc>
        <w:tc>
          <w:tcPr>
            <w:tcW w:w="2228" w:type="dxa"/>
            <w:noWrap w:val="0"/>
            <w:vAlign w:val="top"/>
          </w:tcPr>
          <w:p w14:paraId="3AB5E7AD">
            <w:pPr>
              <w:pStyle w:val="16"/>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货物名称</w:t>
            </w:r>
          </w:p>
        </w:tc>
        <w:tc>
          <w:tcPr>
            <w:tcW w:w="1800" w:type="dxa"/>
            <w:noWrap w:val="0"/>
            <w:vAlign w:val="top"/>
          </w:tcPr>
          <w:p w14:paraId="3AB8D207">
            <w:pPr>
              <w:pStyle w:val="16"/>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主要规格</w:t>
            </w:r>
          </w:p>
        </w:tc>
        <w:tc>
          <w:tcPr>
            <w:tcW w:w="1121" w:type="dxa"/>
            <w:noWrap w:val="0"/>
            <w:vAlign w:val="top"/>
          </w:tcPr>
          <w:p w14:paraId="747D2E4D">
            <w:pPr>
              <w:pStyle w:val="16"/>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701" w:type="dxa"/>
            <w:noWrap w:val="0"/>
            <w:vAlign w:val="top"/>
          </w:tcPr>
          <w:p w14:paraId="4D12650F">
            <w:pPr>
              <w:pStyle w:val="16"/>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合同履约期限</w:t>
            </w:r>
          </w:p>
        </w:tc>
        <w:tc>
          <w:tcPr>
            <w:tcW w:w="1361" w:type="dxa"/>
            <w:noWrap w:val="0"/>
            <w:vAlign w:val="top"/>
          </w:tcPr>
          <w:p w14:paraId="6D842685">
            <w:pPr>
              <w:pStyle w:val="16"/>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质保期限</w:t>
            </w:r>
          </w:p>
        </w:tc>
        <w:tc>
          <w:tcPr>
            <w:tcW w:w="1577" w:type="dxa"/>
            <w:noWrap w:val="0"/>
            <w:vAlign w:val="top"/>
          </w:tcPr>
          <w:p w14:paraId="0660BB92">
            <w:pPr>
              <w:pStyle w:val="16"/>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交货地点</w:t>
            </w:r>
          </w:p>
        </w:tc>
        <w:tc>
          <w:tcPr>
            <w:tcW w:w="1980" w:type="dxa"/>
            <w:noWrap w:val="0"/>
            <w:vAlign w:val="top"/>
          </w:tcPr>
          <w:p w14:paraId="4CC00BF3">
            <w:pPr>
              <w:pStyle w:val="16"/>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其它</w:t>
            </w:r>
          </w:p>
        </w:tc>
      </w:tr>
      <w:tr w14:paraId="6B31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noWrap w:val="0"/>
            <w:vAlign w:val="top"/>
          </w:tcPr>
          <w:p w14:paraId="3158FD0B">
            <w:pPr>
              <w:pStyle w:val="16"/>
              <w:spacing w:line="360" w:lineRule="auto"/>
              <w:ind w:left="1079" w:leftChars="257" w:hanging="539"/>
              <w:rPr>
                <w:rFonts w:hint="eastAsia" w:ascii="仿宋" w:hAnsi="仿宋" w:eastAsia="仿宋" w:cs="仿宋"/>
                <w:color w:val="auto"/>
                <w:sz w:val="24"/>
                <w:highlight w:val="none"/>
              </w:rPr>
            </w:pPr>
          </w:p>
        </w:tc>
        <w:tc>
          <w:tcPr>
            <w:tcW w:w="2228" w:type="dxa"/>
            <w:noWrap w:val="0"/>
            <w:vAlign w:val="top"/>
          </w:tcPr>
          <w:p w14:paraId="0E75DF37">
            <w:pPr>
              <w:pStyle w:val="16"/>
              <w:spacing w:line="360" w:lineRule="auto"/>
              <w:ind w:left="1079" w:leftChars="257" w:hanging="539"/>
              <w:rPr>
                <w:rFonts w:hint="eastAsia" w:ascii="仿宋" w:hAnsi="仿宋" w:eastAsia="仿宋" w:cs="仿宋"/>
                <w:color w:val="auto"/>
                <w:sz w:val="24"/>
                <w:highlight w:val="none"/>
              </w:rPr>
            </w:pPr>
          </w:p>
        </w:tc>
        <w:tc>
          <w:tcPr>
            <w:tcW w:w="1800" w:type="dxa"/>
            <w:noWrap w:val="0"/>
            <w:vAlign w:val="top"/>
          </w:tcPr>
          <w:p w14:paraId="3E31F64A">
            <w:pPr>
              <w:pStyle w:val="16"/>
              <w:spacing w:line="360" w:lineRule="auto"/>
              <w:ind w:left="1079" w:leftChars="257" w:hanging="539"/>
              <w:rPr>
                <w:rFonts w:hint="eastAsia" w:ascii="仿宋" w:hAnsi="仿宋" w:eastAsia="仿宋" w:cs="仿宋"/>
                <w:color w:val="auto"/>
                <w:sz w:val="24"/>
                <w:highlight w:val="none"/>
              </w:rPr>
            </w:pPr>
          </w:p>
        </w:tc>
        <w:tc>
          <w:tcPr>
            <w:tcW w:w="1121" w:type="dxa"/>
            <w:noWrap w:val="0"/>
            <w:vAlign w:val="top"/>
          </w:tcPr>
          <w:p w14:paraId="6BBD2271">
            <w:pPr>
              <w:pStyle w:val="16"/>
              <w:spacing w:line="360" w:lineRule="auto"/>
              <w:ind w:left="1079" w:leftChars="257" w:hanging="539"/>
              <w:rPr>
                <w:rFonts w:hint="eastAsia" w:ascii="仿宋" w:hAnsi="仿宋" w:eastAsia="仿宋" w:cs="仿宋"/>
                <w:color w:val="auto"/>
                <w:sz w:val="24"/>
                <w:highlight w:val="none"/>
              </w:rPr>
            </w:pPr>
          </w:p>
        </w:tc>
        <w:tc>
          <w:tcPr>
            <w:tcW w:w="1701" w:type="dxa"/>
            <w:noWrap w:val="0"/>
            <w:vAlign w:val="top"/>
          </w:tcPr>
          <w:p w14:paraId="2EF03FF8">
            <w:pPr>
              <w:pStyle w:val="16"/>
              <w:spacing w:line="360" w:lineRule="auto"/>
              <w:ind w:left="1079" w:leftChars="257" w:hanging="539"/>
              <w:rPr>
                <w:rFonts w:hint="eastAsia" w:ascii="仿宋" w:hAnsi="仿宋" w:eastAsia="仿宋" w:cs="仿宋"/>
                <w:color w:val="auto"/>
                <w:sz w:val="24"/>
                <w:highlight w:val="none"/>
              </w:rPr>
            </w:pPr>
          </w:p>
        </w:tc>
        <w:tc>
          <w:tcPr>
            <w:tcW w:w="1361" w:type="dxa"/>
            <w:noWrap w:val="0"/>
            <w:vAlign w:val="top"/>
          </w:tcPr>
          <w:p w14:paraId="2D3AA745">
            <w:pPr>
              <w:pStyle w:val="16"/>
              <w:spacing w:line="360" w:lineRule="auto"/>
              <w:ind w:left="1079" w:leftChars="257" w:hanging="539"/>
              <w:rPr>
                <w:rFonts w:hint="eastAsia" w:ascii="仿宋" w:hAnsi="仿宋" w:eastAsia="仿宋" w:cs="仿宋"/>
                <w:color w:val="auto"/>
                <w:sz w:val="24"/>
                <w:highlight w:val="none"/>
              </w:rPr>
            </w:pPr>
          </w:p>
        </w:tc>
        <w:tc>
          <w:tcPr>
            <w:tcW w:w="1577" w:type="dxa"/>
            <w:noWrap w:val="0"/>
            <w:vAlign w:val="top"/>
          </w:tcPr>
          <w:p w14:paraId="0E936CB7">
            <w:pPr>
              <w:pStyle w:val="16"/>
              <w:spacing w:line="360" w:lineRule="auto"/>
              <w:ind w:left="1079" w:leftChars="257" w:hanging="539"/>
              <w:rPr>
                <w:rFonts w:hint="eastAsia" w:ascii="仿宋" w:hAnsi="仿宋" w:eastAsia="仿宋" w:cs="仿宋"/>
                <w:color w:val="auto"/>
                <w:sz w:val="24"/>
                <w:highlight w:val="none"/>
              </w:rPr>
            </w:pPr>
          </w:p>
        </w:tc>
        <w:tc>
          <w:tcPr>
            <w:tcW w:w="1980" w:type="dxa"/>
            <w:noWrap w:val="0"/>
            <w:vAlign w:val="top"/>
          </w:tcPr>
          <w:p w14:paraId="6CA9C25B">
            <w:pPr>
              <w:pStyle w:val="16"/>
              <w:spacing w:line="360" w:lineRule="auto"/>
              <w:ind w:left="1079" w:leftChars="257" w:hanging="539"/>
              <w:rPr>
                <w:rFonts w:hint="eastAsia" w:ascii="仿宋" w:hAnsi="仿宋" w:eastAsia="仿宋" w:cs="仿宋"/>
                <w:color w:val="auto"/>
                <w:sz w:val="24"/>
                <w:highlight w:val="none"/>
              </w:rPr>
            </w:pPr>
          </w:p>
        </w:tc>
      </w:tr>
      <w:tr w14:paraId="58EF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noWrap w:val="0"/>
            <w:vAlign w:val="top"/>
          </w:tcPr>
          <w:p w14:paraId="39A8736E">
            <w:pPr>
              <w:pStyle w:val="16"/>
              <w:spacing w:line="360" w:lineRule="auto"/>
              <w:ind w:left="1079" w:leftChars="257" w:hanging="539"/>
              <w:rPr>
                <w:rFonts w:hint="eastAsia" w:ascii="仿宋" w:hAnsi="仿宋" w:eastAsia="仿宋" w:cs="仿宋"/>
                <w:color w:val="auto"/>
                <w:sz w:val="24"/>
                <w:highlight w:val="none"/>
              </w:rPr>
            </w:pPr>
          </w:p>
        </w:tc>
        <w:tc>
          <w:tcPr>
            <w:tcW w:w="2228" w:type="dxa"/>
            <w:noWrap w:val="0"/>
            <w:vAlign w:val="top"/>
          </w:tcPr>
          <w:p w14:paraId="7067B84C">
            <w:pPr>
              <w:pStyle w:val="16"/>
              <w:spacing w:line="360" w:lineRule="auto"/>
              <w:ind w:left="1079" w:leftChars="257" w:hanging="539"/>
              <w:rPr>
                <w:rFonts w:hint="eastAsia" w:ascii="仿宋" w:hAnsi="仿宋" w:eastAsia="仿宋" w:cs="仿宋"/>
                <w:color w:val="auto"/>
                <w:sz w:val="24"/>
                <w:highlight w:val="none"/>
              </w:rPr>
            </w:pPr>
          </w:p>
        </w:tc>
        <w:tc>
          <w:tcPr>
            <w:tcW w:w="1800" w:type="dxa"/>
            <w:noWrap w:val="0"/>
            <w:vAlign w:val="top"/>
          </w:tcPr>
          <w:p w14:paraId="009DA1FF">
            <w:pPr>
              <w:pStyle w:val="16"/>
              <w:spacing w:line="360" w:lineRule="auto"/>
              <w:ind w:left="1079" w:leftChars="257" w:hanging="539"/>
              <w:rPr>
                <w:rFonts w:hint="eastAsia" w:ascii="仿宋" w:hAnsi="仿宋" w:eastAsia="仿宋" w:cs="仿宋"/>
                <w:color w:val="auto"/>
                <w:sz w:val="24"/>
                <w:highlight w:val="none"/>
              </w:rPr>
            </w:pPr>
          </w:p>
        </w:tc>
        <w:tc>
          <w:tcPr>
            <w:tcW w:w="1121" w:type="dxa"/>
            <w:noWrap w:val="0"/>
            <w:vAlign w:val="top"/>
          </w:tcPr>
          <w:p w14:paraId="38081DF0">
            <w:pPr>
              <w:pStyle w:val="16"/>
              <w:spacing w:line="360" w:lineRule="auto"/>
              <w:ind w:left="1079" w:leftChars="257" w:hanging="539"/>
              <w:rPr>
                <w:rFonts w:hint="eastAsia" w:ascii="仿宋" w:hAnsi="仿宋" w:eastAsia="仿宋" w:cs="仿宋"/>
                <w:color w:val="auto"/>
                <w:sz w:val="24"/>
                <w:highlight w:val="none"/>
              </w:rPr>
            </w:pPr>
          </w:p>
        </w:tc>
        <w:tc>
          <w:tcPr>
            <w:tcW w:w="1701" w:type="dxa"/>
            <w:noWrap w:val="0"/>
            <w:vAlign w:val="top"/>
          </w:tcPr>
          <w:p w14:paraId="0A8CB88A">
            <w:pPr>
              <w:pStyle w:val="16"/>
              <w:spacing w:line="360" w:lineRule="auto"/>
              <w:ind w:left="1079" w:leftChars="257" w:hanging="539"/>
              <w:rPr>
                <w:rFonts w:hint="eastAsia" w:ascii="仿宋" w:hAnsi="仿宋" w:eastAsia="仿宋" w:cs="仿宋"/>
                <w:color w:val="auto"/>
                <w:sz w:val="24"/>
                <w:highlight w:val="none"/>
              </w:rPr>
            </w:pPr>
          </w:p>
        </w:tc>
        <w:tc>
          <w:tcPr>
            <w:tcW w:w="1361" w:type="dxa"/>
            <w:noWrap w:val="0"/>
            <w:vAlign w:val="top"/>
          </w:tcPr>
          <w:p w14:paraId="28A39171">
            <w:pPr>
              <w:pStyle w:val="16"/>
              <w:spacing w:line="360" w:lineRule="auto"/>
              <w:ind w:left="1079" w:leftChars="257" w:hanging="539"/>
              <w:rPr>
                <w:rFonts w:hint="eastAsia" w:ascii="仿宋" w:hAnsi="仿宋" w:eastAsia="仿宋" w:cs="仿宋"/>
                <w:color w:val="auto"/>
                <w:sz w:val="24"/>
                <w:highlight w:val="none"/>
              </w:rPr>
            </w:pPr>
          </w:p>
        </w:tc>
        <w:tc>
          <w:tcPr>
            <w:tcW w:w="1577" w:type="dxa"/>
            <w:noWrap w:val="0"/>
            <w:vAlign w:val="top"/>
          </w:tcPr>
          <w:p w14:paraId="5B5B5A9A">
            <w:pPr>
              <w:pStyle w:val="16"/>
              <w:spacing w:line="360" w:lineRule="auto"/>
              <w:ind w:left="1079" w:leftChars="257" w:hanging="539"/>
              <w:rPr>
                <w:rFonts w:hint="eastAsia" w:ascii="仿宋" w:hAnsi="仿宋" w:eastAsia="仿宋" w:cs="仿宋"/>
                <w:color w:val="auto"/>
                <w:sz w:val="24"/>
                <w:highlight w:val="none"/>
              </w:rPr>
            </w:pPr>
          </w:p>
        </w:tc>
        <w:tc>
          <w:tcPr>
            <w:tcW w:w="1980" w:type="dxa"/>
            <w:noWrap w:val="0"/>
            <w:vAlign w:val="top"/>
          </w:tcPr>
          <w:p w14:paraId="3EAB633F">
            <w:pPr>
              <w:pStyle w:val="16"/>
              <w:spacing w:line="360" w:lineRule="auto"/>
              <w:ind w:left="1079" w:leftChars="257" w:hanging="539"/>
              <w:rPr>
                <w:rFonts w:hint="eastAsia" w:ascii="仿宋" w:hAnsi="仿宋" w:eastAsia="仿宋" w:cs="仿宋"/>
                <w:color w:val="auto"/>
                <w:sz w:val="24"/>
                <w:highlight w:val="none"/>
              </w:rPr>
            </w:pPr>
          </w:p>
        </w:tc>
      </w:tr>
      <w:tr w14:paraId="16B4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noWrap w:val="0"/>
            <w:vAlign w:val="top"/>
          </w:tcPr>
          <w:p w14:paraId="04DD8D10">
            <w:pPr>
              <w:pStyle w:val="16"/>
              <w:spacing w:line="360" w:lineRule="auto"/>
              <w:ind w:left="1079" w:leftChars="257" w:hanging="539"/>
              <w:rPr>
                <w:rFonts w:hint="eastAsia" w:ascii="仿宋" w:hAnsi="仿宋" w:eastAsia="仿宋" w:cs="仿宋"/>
                <w:color w:val="auto"/>
                <w:sz w:val="24"/>
                <w:highlight w:val="none"/>
              </w:rPr>
            </w:pPr>
          </w:p>
        </w:tc>
        <w:tc>
          <w:tcPr>
            <w:tcW w:w="2228" w:type="dxa"/>
            <w:noWrap w:val="0"/>
            <w:vAlign w:val="top"/>
          </w:tcPr>
          <w:p w14:paraId="45B8AFCD">
            <w:pPr>
              <w:pStyle w:val="16"/>
              <w:spacing w:line="360" w:lineRule="auto"/>
              <w:ind w:left="1079" w:leftChars="257" w:hanging="539"/>
              <w:rPr>
                <w:rFonts w:hint="eastAsia" w:ascii="仿宋" w:hAnsi="仿宋" w:eastAsia="仿宋" w:cs="仿宋"/>
                <w:color w:val="auto"/>
                <w:sz w:val="24"/>
                <w:highlight w:val="none"/>
              </w:rPr>
            </w:pPr>
          </w:p>
        </w:tc>
        <w:tc>
          <w:tcPr>
            <w:tcW w:w="1800" w:type="dxa"/>
            <w:noWrap w:val="0"/>
            <w:vAlign w:val="top"/>
          </w:tcPr>
          <w:p w14:paraId="2E49436B">
            <w:pPr>
              <w:pStyle w:val="16"/>
              <w:spacing w:line="360" w:lineRule="auto"/>
              <w:ind w:left="1079" w:leftChars="257" w:hanging="539"/>
              <w:rPr>
                <w:rFonts w:hint="eastAsia" w:ascii="仿宋" w:hAnsi="仿宋" w:eastAsia="仿宋" w:cs="仿宋"/>
                <w:color w:val="auto"/>
                <w:sz w:val="24"/>
                <w:highlight w:val="none"/>
              </w:rPr>
            </w:pPr>
          </w:p>
        </w:tc>
        <w:tc>
          <w:tcPr>
            <w:tcW w:w="1121" w:type="dxa"/>
            <w:noWrap w:val="0"/>
            <w:vAlign w:val="top"/>
          </w:tcPr>
          <w:p w14:paraId="3B04D09C">
            <w:pPr>
              <w:pStyle w:val="16"/>
              <w:spacing w:line="360" w:lineRule="auto"/>
              <w:ind w:left="1079" w:leftChars="257" w:hanging="539"/>
              <w:rPr>
                <w:rFonts w:hint="eastAsia" w:ascii="仿宋" w:hAnsi="仿宋" w:eastAsia="仿宋" w:cs="仿宋"/>
                <w:color w:val="auto"/>
                <w:sz w:val="24"/>
                <w:highlight w:val="none"/>
              </w:rPr>
            </w:pPr>
          </w:p>
        </w:tc>
        <w:tc>
          <w:tcPr>
            <w:tcW w:w="1701" w:type="dxa"/>
            <w:noWrap w:val="0"/>
            <w:vAlign w:val="top"/>
          </w:tcPr>
          <w:p w14:paraId="577A68BE">
            <w:pPr>
              <w:pStyle w:val="16"/>
              <w:spacing w:line="360" w:lineRule="auto"/>
              <w:ind w:left="1079" w:leftChars="257" w:hanging="539"/>
              <w:rPr>
                <w:rFonts w:hint="eastAsia" w:ascii="仿宋" w:hAnsi="仿宋" w:eastAsia="仿宋" w:cs="仿宋"/>
                <w:color w:val="auto"/>
                <w:sz w:val="24"/>
                <w:highlight w:val="none"/>
              </w:rPr>
            </w:pPr>
          </w:p>
        </w:tc>
        <w:tc>
          <w:tcPr>
            <w:tcW w:w="1361" w:type="dxa"/>
            <w:noWrap w:val="0"/>
            <w:vAlign w:val="top"/>
          </w:tcPr>
          <w:p w14:paraId="2BF6BB87">
            <w:pPr>
              <w:pStyle w:val="16"/>
              <w:spacing w:line="360" w:lineRule="auto"/>
              <w:ind w:left="1079" w:leftChars="257" w:hanging="539"/>
              <w:rPr>
                <w:rFonts w:hint="eastAsia" w:ascii="仿宋" w:hAnsi="仿宋" w:eastAsia="仿宋" w:cs="仿宋"/>
                <w:color w:val="auto"/>
                <w:sz w:val="24"/>
                <w:highlight w:val="none"/>
              </w:rPr>
            </w:pPr>
          </w:p>
        </w:tc>
        <w:tc>
          <w:tcPr>
            <w:tcW w:w="1577" w:type="dxa"/>
            <w:noWrap w:val="0"/>
            <w:vAlign w:val="top"/>
          </w:tcPr>
          <w:p w14:paraId="38E452D1">
            <w:pPr>
              <w:pStyle w:val="16"/>
              <w:spacing w:line="360" w:lineRule="auto"/>
              <w:ind w:left="1079" w:leftChars="257" w:hanging="539"/>
              <w:rPr>
                <w:rFonts w:hint="eastAsia" w:ascii="仿宋" w:hAnsi="仿宋" w:eastAsia="仿宋" w:cs="仿宋"/>
                <w:color w:val="auto"/>
                <w:sz w:val="24"/>
                <w:highlight w:val="none"/>
              </w:rPr>
            </w:pPr>
          </w:p>
        </w:tc>
        <w:tc>
          <w:tcPr>
            <w:tcW w:w="1980" w:type="dxa"/>
            <w:noWrap w:val="0"/>
            <w:vAlign w:val="top"/>
          </w:tcPr>
          <w:p w14:paraId="43D59A15">
            <w:pPr>
              <w:pStyle w:val="16"/>
              <w:spacing w:line="360" w:lineRule="auto"/>
              <w:ind w:left="1079" w:leftChars="257" w:hanging="539"/>
              <w:rPr>
                <w:rFonts w:hint="eastAsia" w:ascii="仿宋" w:hAnsi="仿宋" w:eastAsia="仿宋" w:cs="仿宋"/>
                <w:color w:val="auto"/>
                <w:sz w:val="24"/>
                <w:highlight w:val="none"/>
              </w:rPr>
            </w:pPr>
          </w:p>
        </w:tc>
      </w:tr>
      <w:tr w14:paraId="364E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noWrap w:val="0"/>
            <w:vAlign w:val="top"/>
          </w:tcPr>
          <w:p w14:paraId="32924856">
            <w:pPr>
              <w:pStyle w:val="16"/>
              <w:spacing w:line="360" w:lineRule="auto"/>
              <w:ind w:left="1079" w:leftChars="257" w:hanging="539"/>
              <w:rPr>
                <w:rFonts w:hint="eastAsia" w:ascii="仿宋" w:hAnsi="仿宋" w:eastAsia="仿宋" w:cs="仿宋"/>
                <w:color w:val="auto"/>
                <w:sz w:val="24"/>
                <w:highlight w:val="none"/>
              </w:rPr>
            </w:pPr>
          </w:p>
        </w:tc>
        <w:tc>
          <w:tcPr>
            <w:tcW w:w="2228" w:type="dxa"/>
            <w:noWrap w:val="0"/>
            <w:vAlign w:val="top"/>
          </w:tcPr>
          <w:p w14:paraId="09AAD68A">
            <w:pPr>
              <w:pStyle w:val="16"/>
              <w:spacing w:line="360" w:lineRule="auto"/>
              <w:ind w:left="1079" w:leftChars="257" w:hanging="539"/>
              <w:rPr>
                <w:rFonts w:hint="eastAsia" w:ascii="仿宋" w:hAnsi="仿宋" w:eastAsia="仿宋" w:cs="仿宋"/>
                <w:color w:val="auto"/>
                <w:sz w:val="24"/>
                <w:highlight w:val="none"/>
              </w:rPr>
            </w:pPr>
          </w:p>
        </w:tc>
        <w:tc>
          <w:tcPr>
            <w:tcW w:w="1800" w:type="dxa"/>
            <w:noWrap w:val="0"/>
            <w:vAlign w:val="top"/>
          </w:tcPr>
          <w:p w14:paraId="3A8F1839">
            <w:pPr>
              <w:pStyle w:val="16"/>
              <w:spacing w:line="360" w:lineRule="auto"/>
              <w:ind w:left="1079" w:leftChars="257" w:hanging="539"/>
              <w:rPr>
                <w:rFonts w:hint="eastAsia" w:ascii="仿宋" w:hAnsi="仿宋" w:eastAsia="仿宋" w:cs="仿宋"/>
                <w:color w:val="auto"/>
                <w:sz w:val="24"/>
                <w:highlight w:val="none"/>
              </w:rPr>
            </w:pPr>
          </w:p>
        </w:tc>
        <w:tc>
          <w:tcPr>
            <w:tcW w:w="1121" w:type="dxa"/>
            <w:noWrap w:val="0"/>
            <w:vAlign w:val="top"/>
          </w:tcPr>
          <w:p w14:paraId="7121AF0D">
            <w:pPr>
              <w:pStyle w:val="16"/>
              <w:spacing w:line="360" w:lineRule="auto"/>
              <w:ind w:left="1079" w:leftChars="257" w:hanging="539"/>
              <w:rPr>
                <w:rFonts w:hint="eastAsia" w:ascii="仿宋" w:hAnsi="仿宋" w:eastAsia="仿宋" w:cs="仿宋"/>
                <w:color w:val="auto"/>
                <w:sz w:val="24"/>
                <w:highlight w:val="none"/>
              </w:rPr>
            </w:pPr>
          </w:p>
        </w:tc>
        <w:tc>
          <w:tcPr>
            <w:tcW w:w="1701" w:type="dxa"/>
            <w:noWrap w:val="0"/>
            <w:vAlign w:val="top"/>
          </w:tcPr>
          <w:p w14:paraId="4DFDF64D">
            <w:pPr>
              <w:pStyle w:val="16"/>
              <w:spacing w:line="360" w:lineRule="auto"/>
              <w:ind w:left="1079" w:leftChars="257" w:hanging="539"/>
              <w:rPr>
                <w:rFonts w:hint="eastAsia" w:ascii="仿宋" w:hAnsi="仿宋" w:eastAsia="仿宋" w:cs="仿宋"/>
                <w:color w:val="auto"/>
                <w:sz w:val="24"/>
                <w:highlight w:val="none"/>
              </w:rPr>
            </w:pPr>
          </w:p>
        </w:tc>
        <w:tc>
          <w:tcPr>
            <w:tcW w:w="1361" w:type="dxa"/>
            <w:noWrap w:val="0"/>
            <w:vAlign w:val="top"/>
          </w:tcPr>
          <w:p w14:paraId="6F4F8711">
            <w:pPr>
              <w:pStyle w:val="16"/>
              <w:spacing w:line="360" w:lineRule="auto"/>
              <w:ind w:left="1079" w:leftChars="257" w:hanging="539"/>
              <w:rPr>
                <w:rFonts w:hint="eastAsia" w:ascii="仿宋" w:hAnsi="仿宋" w:eastAsia="仿宋" w:cs="仿宋"/>
                <w:color w:val="auto"/>
                <w:sz w:val="24"/>
                <w:highlight w:val="none"/>
              </w:rPr>
            </w:pPr>
          </w:p>
        </w:tc>
        <w:tc>
          <w:tcPr>
            <w:tcW w:w="1577" w:type="dxa"/>
            <w:noWrap w:val="0"/>
            <w:vAlign w:val="top"/>
          </w:tcPr>
          <w:p w14:paraId="4363B726">
            <w:pPr>
              <w:pStyle w:val="16"/>
              <w:spacing w:line="360" w:lineRule="auto"/>
              <w:ind w:left="1079" w:leftChars="257" w:hanging="539"/>
              <w:rPr>
                <w:rFonts w:hint="eastAsia" w:ascii="仿宋" w:hAnsi="仿宋" w:eastAsia="仿宋" w:cs="仿宋"/>
                <w:color w:val="auto"/>
                <w:sz w:val="24"/>
                <w:highlight w:val="none"/>
              </w:rPr>
            </w:pPr>
          </w:p>
        </w:tc>
        <w:tc>
          <w:tcPr>
            <w:tcW w:w="1980" w:type="dxa"/>
            <w:noWrap w:val="0"/>
            <w:vAlign w:val="top"/>
          </w:tcPr>
          <w:p w14:paraId="56196941">
            <w:pPr>
              <w:pStyle w:val="16"/>
              <w:spacing w:line="360" w:lineRule="auto"/>
              <w:ind w:left="1079" w:leftChars="257" w:hanging="539"/>
              <w:rPr>
                <w:rFonts w:hint="eastAsia" w:ascii="仿宋" w:hAnsi="仿宋" w:eastAsia="仿宋" w:cs="仿宋"/>
                <w:color w:val="auto"/>
                <w:sz w:val="24"/>
                <w:highlight w:val="none"/>
              </w:rPr>
            </w:pPr>
          </w:p>
        </w:tc>
      </w:tr>
      <w:tr w14:paraId="1520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noWrap w:val="0"/>
            <w:vAlign w:val="top"/>
          </w:tcPr>
          <w:p w14:paraId="0AA35FE3">
            <w:pPr>
              <w:pStyle w:val="16"/>
              <w:spacing w:line="360" w:lineRule="auto"/>
              <w:ind w:left="1079" w:leftChars="257" w:hanging="539"/>
              <w:rPr>
                <w:rFonts w:hint="eastAsia" w:ascii="仿宋" w:hAnsi="仿宋" w:eastAsia="仿宋" w:cs="仿宋"/>
                <w:color w:val="auto"/>
                <w:sz w:val="24"/>
                <w:highlight w:val="none"/>
              </w:rPr>
            </w:pPr>
          </w:p>
        </w:tc>
        <w:tc>
          <w:tcPr>
            <w:tcW w:w="2228" w:type="dxa"/>
            <w:noWrap w:val="0"/>
            <w:vAlign w:val="top"/>
          </w:tcPr>
          <w:p w14:paraId="1D6A035B">
            <w:pPr>
              <w:pStyle w:val="16"/>
              <w:spacing w:line="360" w:lineRule="auto"/>
              <w:ind w:left="1079" w:leftChars="257" w:hanging="539"/>
              <w:rPr>
                <w:rFonts w:hint="eastAsia" w:ascii="仿宋" w:hAnsi="仿宋" w:eastAsia="仿宋" w:cs="仿宋"/>
                <w:color w:val="auto"/>
                <w:sz w:val="24"/>
                <w:highlight w:val="none"/>
              </w:rPr>
            </w:pPr>
          </w:p>
        </w:tc>
        <w:tc>
          <w:tcPr>
            <w:tcW w:w="1800" w:type="dxa"/>
            <w:noWrap w:val="0"/>
            <w:vAlign w:val="top"/>
          </w:tcPr>
          <w:p w14:paraId="1746AA67">
            <w:pPr>
              <w:pStyle w:val="16"/>
              <w:spacing w:line="360" w:lineRule="auto"/>
              <w:ind w:left="1079" w:leftChars="257" w:hanging="539"/>
              <w:rPr>
                <w:rFonts w:hint="eastAsia" w:ascii="仿宋" w:hAnsi="仿宋" w:eastAsia="仿宋" w:cs="仿宋"/>
                <w:color w:val="auto"/>
                <w:sz w:val="24"/>
                <w:highlight w:val="none"/>
              </w:rPr>
            </w:pPr>
          </w:p>
        </w:tc>
        <w:tc>
          <w:tcPr>
            <w:tcW w:w="1121" w:type="dxa"/>
            <w:noWrap w:val="0"/>
            <w:vAlign w:val="top"/>
          </w:tcPr>
          <w:p w14:paraId="783886AD">
            <w:pPr>
              <w:pStyle w:val="16"/>
              <w:spacing w:line="360" w:lineRule="auto"/>
              <w:ind w:left="1079" w:leftChars="257" w:hanging="539"/>
              <w:rPr>
                <w:rFonts w:hint="eastAsia" w:ascii="仿宋" w:hAnsi="仿宋" w:eastAsia="仿宋" w:cs="仿宋"/>
                <w:color w:val="auto"/>
                <w:sz w:val="24"/>
                <w:highlight w:val="none"/>
              </w:rPr>
            </w:pPr>
          </w:p>
        </w:tc>
        <w:tc>
          <w:tcPr>
            <w:tcW w:w="1701" w:type="dxa"/>
            <w:noWrap w:val="0"/>
            <w:vAlign w:val="top"/>
          </w:tcPr>
          <w:p w14:paraId="5B6A5747">
            <w:pPr>
              <w:pStyle w:val="16"/>
              <w:spacing w:line="360" w:lineRule="auto"/>
              <w:ind w:left="1079" w:leftChars="257" w:hanging="539"/>
              <w:rPr>
                <w:rFonts w:hint="eastAsia" w:ascii="仿宋" w:hAnsi="仿宋" w:eastAsia="仿宋" w:cs="仿宋"/>
                <w:color w:val="auto"/>
                <w:sz w:val="24"/>
                <w:highlight w:val="none"/>
              </w:rPr>
            </w:pPr>
          </w:p>
        </w:tc>
        <w:tc>
          <w:tcPr>
            <w:tcW w:w="1361" w:type="dxa"/>
            <w:noWrap w:val="0"/>
            <w:vAlign w:val="top"/>
          </w:tcPr>
          <w:p w14:paraId="0757FD5A">
            <w:pPr>
              <w:pStyle w:val="16"/>
              <w:spacing w:line="360" w:lineRule="auto"/>
              <w:ind w:left="1079" w:leftChars="257" w:hanging="539"/>
              <w:rPr>
                <w:rFonts w:hint="eastAsia" w:ascii="仿宋" w:hAnsi="仿宋" w:eastAsia="仿宋" w:cs="仿宋"/>
                <w:color w:val="auto"/>
                <w:sz w:val="24"/>
                <w:highlight w:val="none"/>
              </w:rPr>
            </w:pPr>
          </w:p>
        </w:tc>
        <w:tc>
          <w:tcPr>
            <w:tcW w:w="1577" w:type="dxa"/>
            <w:noWrap w:val="0"/>
            <w:vAlign w:val="top"/>
          </w:tcPr>
          <w:p w14:paraId="11FC77F0">
            <w:pPr>
              <w:pStyle w:val="16"/>
              <w:spacing w:line="360" w:lineRule="auto"/>
              <w:ind w:left="1079" w:leftChars="257" w:hanging="539"/>
              <w:rPr>
                <w:rFonts w:hint="eastAsia" w:ascii="仿宋" w:hAnsi="仿宋" w:eastAsia="仿宋" w:cs="仿宋"/>
                <w:color w:val="auto"/>
                <w:sz w:val="24"/>
                <w:highlight w:val="none"/>
              </w:rPr>
            </w:pPr>
          </w:p>
        </w:tc>
        <w:tc>
          <w:tcPr>
            <w:tcW w:w="1980" w:type="dxa"/>
            <w:noWrap w:val="0"/>
            <w:vAlign w:val="top"/>
          </w:tcPr>
          <w:p w14:paraId="3AA98392">
            <w:pPr>
              <w:pStyle w:val="16"/>
              <w:spacing w:line="360" w:lineRule="auto"/>
              <w:ind w:left="1079" w:leftChars="257" w:hanging="539"/>
              <w:rPr>
                <w:rFonts w:hint="eastAsia" w:ascii="仿宋" w:hAnsi="仿宋" w:eastAsia="仿宋" w:cs="仿宋"/>
                <w:color w:val="auto"/>
                <w:sz w:val="24"/>
                <w:highlight w:val="none"/>
              </w:rPr>
            </w:pPr>
          </w:p>
        </w:tc>
      </w:tr>
      <w:tr w14:paraId="6C7B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noWrap w:val="0"/>
            <w:vAlign w:val="top"/>
          </w:tcPr>
          <w:p w14:paraId="025496C0">
            <w:pPr>
              <w:pStyle w:val="16"/>
              <w:spacing w:line="360" w:lineRule="auto"/>
              <w:ind w:left="1079" w:leftChars="257" w:hanging="539"/>
              <w:rPr>
                <w:rFonts w:hint="eastAsia" w:ascii="仿宋" w:hAnsi="仿宋" w:eastAsia="仿宋" w:cs="仿宋"/>
                <w:color w:val="auto"/>
                <w:sz w:val="24"/>
                <w:highlight w:val="none"/>
              </w:rPr>
            </w:pPr>
          </w:p>
        </w:tc>
        <w:tc>
          <w:tcPr>
            <w:tcW w:w="2228" w:type="dxa"/>
            <w:noWrap w:val="0"/>
            <w:vAlign w:val="top"/>
          </w:tcPr>
          <w:p w14:paraId="761EAB54">
            <w:pPr>
              <w:pStyle w:val="16"/>
              <w:spacing w:line="360" w:lineRule="auto"/>
              <w:ind w:left="1079" w:leftChars="257" w:hanging="539"/>
              <w:rPr>
                <w:rFonts w:hint="eastAsia" w:ascii="仿宋" w:hAnsi="仿宋" w:eastAsia="仿宋" w:cs="仿宋"/>
                <w:color w:val="auto"/>
                <w:sz w:val="24"/>
                <w:highlight w:val="none"/>
              </w:rPr>
            </w:pPr>
          </w:p>
        </w:tc>
        <w:tc>
          <w:tcPr>
            <w:tcW w:w="1800" w:type="dxa"/>
            <w:noWrap w:val="0"/>
            <w:vAlign w:val="top"/>
          </w:tcPr>
          <w:p w14:paraId="394A5818">
            <w:pPr>
              <w:pStyle w:val="16"/>
              <w:spacing w:line="360" w:lineRule="auto"/>
              <w:ind w:left="1079" w:leftChars="257" w:hanging="539"/>
              <w:rPr>
                <w:rFonts w:hint="eastAsia" w:ascii="仿宋" w:hAnsi="仿宋" w:eastAsia="仿宋" w:cs="仿宋"/>
                <w:color w:val="auto"/>
                <w:sz w:val="24"/>
                <w:highlight w:val="none"/>
              </w:rPr>
            </w:pPr>
          </w:p>
        </w:tc>
        <w:tc>
          <w:tcPr>
            <w:tcW w:w="1121" w:type="dxa"/>
            <w:noWrap w:val="0"/>
            <w:vAlign w:val="top"/>
          </w:tcPr>
          <w:p w14:paraId="01408DAD">
            <w:pPr>
              <w:pStyle w:val="16"/>
              <w:spacing w:line="360" w:lineRule="auto"/>
              <w:ind w:left="1079" w:leftChars="257" w:hanging="539"/>
              <w:rPr>
                <w:rFonts w:hint="eastAsia" w:ascii="仿宋" w:hAnsi="仿宋" w:eastAsia="仿宋" w:cs="仿宋"/>
                <w:color w:val="auto"/>
                <w:sz w:val="24"/>
                <w:highlight w:val="none"/>
              </w:rPr>
            </w:pPr>
          </w:p>
        </w:tc>
        <w:tc>
          <w:tcPr>
            <w:tcW w:w="1701" w:type="dxa"/>
            <w:noWrap w:val="0"/>
            <w:vAlign w:val="top"/>
          </w:tcPr>
          <w:p w14:paraId="5EA00662">
            <w:pPr>
              <w:pStyle w:val="16"/>
              <w:spacing w:line="360" w:lineRule="auto"/>
              <w:ind w:left="1079" w:leftChars="257" w:hanging="539"/>
              <w:rPr>
                <w:rFonts w:hint="eastAsia" w:ascii="仿宋" w:hAnsi="仿宋" w:eastAsia="仿宋" w:cs="仿宋"/>
                <w:color w:val="auto"/>
                <w:sz w:val="24"/>
                <w:highlight w:val="none"/>
              </w:rPr>
            </w:pPr>
          </w:p>
        </w:tc>
        <w:tc>
          <w:tcPr>
            <w:tcW w:w="1361" w:type="dxa"/>
            <w:noWrap w:val="0"/>
            <w:vAlign w:val="top"/>
          </w:tcPr>
          <w:p w14:paraId="6B1E8D04">
            <w:pPr>
              <w:pStyle w:val="16"/>
              <w:spacing w:line="360" w:lineRule="auto"/>
              <w:ind w:left="1079" w:leftChars="257" w:hanging="539"/>
              <w:rPr>
                <w:rFonts w:hint="eastAsia" w:ascii="仿宋" w:hAnsi="仿宋" w:eastAsia="仿宋" w:cs="仿宋"/>
                <w:color w:val="auto"/>
                <w:sz w:val="24"/>
                <w:highlight w:val="none"/>
              </w:rPr>
            </w:pPr>
          </w:p>
        </w:tc>
        <w:tc>
          <w:tcPr>
            <w:tcW w:w="1577" w:type="dxa"/>
            <w:noWrap w:val="0"/>
            <w:vAlign w:val="top"/>
          </w:tcPr>
          <w:p w14:paraId="47FF246F">
            <w:pPr>
              <w:pStyle w:val="16"/>
              <w:spacing w:line="360" w:lineRule="auto"/>
              <w:ind w:left="1079" w:leftChars="257" w:hanging="539"/>
              <w:rPr>
                <w:rFonts w:hint="eastAsia" w:ascii="仿宋" w:hAnsi="仿宋" w:eastAsia="仿宋" w:cs="仿宋"/>
                <w:color w:val="auto"/>
                <w:sz w:val="24"/>
                <w:highlight w:val="none"/>
              </w:rPr>
            </w:pPr>
          </w:p>
        </w:tc>
        <w:tc>
          <w:tcPr>
            <w:tcW w:w="1980" w:type="dxa"/>
            <w:noWrap w:val="0"/>
            <w:vAlign w:val="top"/>
          </w:tcPr>
          <w:p w14:paraId="1666BE59">
            <w:pPr>
              <w:pStyle w:val="16"/>
              <w:spacing w:line="360" w:lineRule="auto"/>
              <w:ind w:left="1079" w:leftChars="257" w:hanging="539"/>
              <w:rPr>
                <w:rFonts w:hint="eastAsia" w:ascii="仿宋" w:hAnsi="仿宋" w:eastAsia="仿宋" w:cs="仿宋"/>
                <w:color w:val="auto"/>
                <w:sz w:val="24"/>
                <w:highlight w:val="none"/>
              </w:rPr>
            </w:pPr>
          </w:p>
        </w:tc>
      </w:tr>
      <w:tr w14:paraId="58687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noWrap w:val="0"/>
            <w:vAlign w:val="top"/>
          </w:tcPr>
          <w:p w14:paraId="495453BF">
            <w:pPr>
              <w:pStyle w:val="16"/>
              <w:spacing w:line="360" w:lineRule="auto"/>
              <w:ind w:left="1079" w:leftChars="257" w:hanging="539"/>
              <w:rPr>
                <w:rFonts w:hint="eastAsia" w:ascii="仿宋" w:hAnsi="仿宋" w:eastAsia="仿宋" w:cs="仿宋"/>
                <w:color w:val="auto"/>
                <w:sz w:val="24"/>
                <w:highlight w:val="none"/>
              </w:rPr>
            </w:pPr>
          </w:p>
        </w:tc>
        <w:tc>
          <w:tcPr>
            <w:tcW w:w="2228" w:type="dxa"/>
            <w:noWrap w:val="0"/>
            <w:vAlign w:val="top"/>
          </w:tcPr>
          <w:p w14:paraId="3580B15A">
            <w:pPr>
              <w:pStyle w:val="16"/>
              <w:spacing w:line="360" w:lineRule="auto"/>
              <w:ind w:left="1079" w:leftChars="257" w:hanging="539"/>
              <w:rPr>
                <w:rFonts w:hint="eastAsia" w:ascii="仿宋" w:hAnsi="仿宋" w:eastAsia="仿宋" w:cs="仿宋"/>
                <w:color w:val="auto"/>
                <w:sz w:val="24"/>
                <w:highlight w:val="none"/>
              </w:rPr>
            </w:pPr>
          </w:p>
        </w:tc>
        <w:tc>
          <w:tcPr>
            <w:tcW w:w="1800" w:type="dxa"/>
            <w:noWrap w:val="0"/>
            <w:vAlign w:val="top"/>
          </w:tcPr>
          <w:p w14:paraId="2C157DFC">
            <w:pPr>
              <w:pStyle w:val="16"/>
              <w:spacing w:line="360" w:lineRule="auto"/>
              <w:ind w:left="1079" w:leftChars="257" w:hanging="539"/>
              <w:rPr>
                <w:rFonts w:hint="eastAsia" w:ascii="仿宋" w:hAnsi="仿宋" w:eastAsia="仿宋" w:cs="仿宋"/>
                <w:color w:val="auto"/>
                <w:sz w:val="24"/>
                <w:highlight w:val="none"/>
              </w:rPr>
            </w:pPr>
          </w:p>
        </w:tc>
        <w:tc>
          <w:tcPr>
            <w:tcW w:w="1121" w:type="dxa"/>
            <w:noWrap w:val="0"/>
            <w:vAlign w:val="top"/>
          </w:tcPr>
          <w:p w14:paraId="54EBE6FB">
            <w:pPr>
              <w:pStyle w:val="16"/>
              <w:spacing w:line="360" w:lineRule="auto"/>
              <w:ind w:left="1079" w:leftChars="257" w:hanging="539"/>
              <w:rPr>
                <w:rFonts w:hint="eastAsia" w:ascii="仿宋" w:hAnsi="仿宋" w:eastAsia="仿宋" w:cs="仿宋"/>
                <w:color w:val="auto"/>
                <w:sz w:val="24"/>
                <w:highlight w:val="none"/>
              </w:rPr>
            </w:pPr>
          </w:p>
        </w:tc>
        <w:tc>
          <w:tcPr>
            <w:tcW w:w="1701" w:type="dxa"/>
            <w:noWrap w:val="0"/>
            <w:vAlign w:val="top"/>
          </w:tcPr>
          <w:p w14:paraId="78B103E8">
            <w:pPr>
              <w:pStyle w:val="16"/>
              <w:spacing w:line="360" w:lineRule="auto"/>
              <w:ind w:left="1079" w:leftChars="257" w:hanging="539"/>
              <w:rPr>
                <w:rFonts w:hint="eastAsia" w:ascii="仿宋" w:hAnsi="仿宋" w:eastAsia="仿宋" w:cs="仿宋"/>
                <w:color w:val="auto"/>
                <w:sz w:val="24"/>
                <w:highlight w:val="none"/>
              </w:rPr>
            </w:pPr>
          </w:p>
        </w:tc>
        <w:tc>
          <w:tcPr>
            <w:tcW w:w="1361" w:type="dxa"/>
            <w:noWrap w:val="0"/>
            <w:vAlign w:val="top"/>
          </w:tcPr>
          <w:p w14:paraId="3037481B">
            <w:pPr>
              <w:pStyle w:val="16"/>
              <w:spacing w:line="360" w:lineRule="auto"/>
              <w:ind w:left="1079" w:leftChars="257" w:hanging="539"/>
              <w:rPr>
                <w:rFonts w:hint="eastAsia" w:ascii="仿宋" w:hAnsi="仿宋" w:eastAsia="仿宋" w:cs="仿宋"/>
                <w:color w:val="auto"/>
                <w:sz w:val="24"/>
                <w:highlight w:val="none"/>
              </w:rPr>
            </w:pPr>
          </w:p>
        </w:tc>
        <w:tc>
          <w:tcPr>
            <w:tcW w:w="1577" w:type="dxa"/>
            <w:noWrap w:val="0"/>
            <w:vAlign w:val="top"/>
          </w:tcPr>
          <w:p w14:paraId="7D2C28EC">
            <w:pPr>
              <w:pStyle w:val="16"/>
              <w:spacing w:line="360" w:lineRule="auto"/>
              <w:ind w:left="1079" w:leftChars="257" w:hanging="539"/>
              <w:rPr>
                <w:rFonts w:hint="eastAsia" w:ascii="仿宋" w:hAnsi="仿宋" w:eastAsia="仿宋" w:cs="仿宋"/>
                <w:color w:val="auto"/>
                <w:sz w:val="24"/>
                <w:highlight w:val="none"/>
              </w:rPr>
            </w:pPr>
          </w:p>
        </w:tc>
        <w:tc>
          <w:tcPr>
            <w:tcW w:w="1980" w:type="dxa"/>
            <w:noWrap w:val="0"/>
            <w:vAlign w:val="top"/>
          </w:tcPr>
          <w:p w14:paraId="22024AE8">
            <w:pPr>
              <w:pStyle w:val="16"/>
              <w:spacing w:line="360" w:lineRule="auto"/>
              <w:ind w:left="1079" w:leftChars="257" w:hanging="539"/>
              <w:rPr>
                <w:rFonts w:hint="eastAsia" w:ascii="仿宋" w:hAnsi="仿宋" w:eastAsia="仿宋" w:cs="仿宋"/>
                <w:color w:val="auto"/>
                <w:sz w:val="24"/>
                <w:highlight w:val="none"/>
              </w:rPr>
            </w:pPr>
          </w:p>
        </w:tc>
      </w:tr>
      <w:tr w14:paraId="6A3E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dxa"/>
            <w:noWrap w:val="0"/>
            <w:vAlign w:val="top"/>
          </w:tcPr>
          <w:p w14:paraId="411DD09C">
            <w:pPr>
              <w:pStyle w:val="16"/>
              <w:spacing w:line="360" w:lineRule="auto"/>
              <w:ind w:left="1079" w:leftChars="257" w:hanging="539"/>
              <w:rPr>
                <w:rFonts w:hint="eastAsia" w:ascii="仿宋" w:hAnsi="仿宋" w:eastAsia="仿宋" w:cs="仿宋"/>
                <w:color w:val="auto"/>
                <w:sz w:val="24"/>
                <w:highlight w:val="none"/>
              </w:rPr>
            </w:pPr>
          </w:p>
        </w:tc>
        <w:tc>
          <w:tcPr>
            <w:tcW w:w="2228" w:type="dxa"/>
            <w:noWrap w:val="0"/>
            <w:vAlign w:val="top"/>
          </w:tcPr>
          <w:p w14:paraId="048B9788">
            <w:pPr>
              <w:pStyle w:val="16"/>
              <w:spacing w:line="360" w:lineRule="auto"/>
              <w:ind w:left="1079" w:leftChars="257" w:hanging="539"/>
              <w:rPr>
                <w:rFonts w:hint="eastAsia" w:ascii="仿宋" w:hAnsi="仿宋" w:eastAsia="仿宋" w:cs="仿宋"/>
                <w:color w:val="auto"/>
                <w:sz w:val="24"/>
                <w:highlight w:val="none"/>
              </w:rPr>
            </w:pPr>
          </w:p>
        </w:tc>
        <w:tc>
          <w:tcPr>
            <w:tcW w:w="1800" w:type="dxa"/>
            <w:noWrap w:val="0"/>
            <w:vAlign w:val="top"/>
          </w:tcPr>
          <w:p w14:paraId="67004079">
            <w:pPr>
              <w:pStyle w:val="16"/>
              <w:spacing w:line="360" w:lineRule="auto"/>
              <w:ind w:left="1079" w:leftChars="257" w:hanging="539"/>
              <w:rPr>
                <w:rFonts w:hint="eastAsia" w:ascii="仿宋" w:hAnsi="仿宋" w:eastAsia="仿宋" w:cs="仿宋"/>
                <w:color w:val="auto"/>
                <w:sz w:val="24"/>
                <w:highlight w:val="none"/>
              </w:rPr>
            </w:pPr>
          </w:p>
        </w:tc>
        <w:tc>
          <w:tcPr>
            <w:tcW w:w="1121" w:type="dxa"/>
            <w:noWrap w:val="0"/>
            <w:vAlign w:val="top"/>
          </w:tcPr>
          <w:p w14:paraId="3FAEC747">
            <w:pPr>
              <w:pStyle w:val="16"/>
              <w:spacing w:line="360" w:lineRule="auto"/>
              <w:ind w:left="1079" w:leftChars="257" w:hanging="539"/>
              <w:rPr>
                <w:rFonts w:hint="eastAsia" w:ascii="仿宋" w:hAnsi="仿宋" w:eastAsia="仿宋" w:cs="仿宋"/>
                <w:color w:val="auto"/>
                <w:sz w:val="24"/>
                <w:highlight w:val="none"/>
              </w:rPr>
            </w:pPr>
          </w:p>
        </w:tc>
        <w:tc>
          <w:tcPr>
            <w:tcW w:w="1701" w:type="dxa"/>
            <w:noWrap w:val="0"/>
            <w:vAlign w:val="top"/>
          </w:tcPr>
          <w:p w14:paraId="58532953">
            <w:pPr>
              <w:pStyle w:val="16"/>
              <w:spacing w:line="360" w:lineRule="auto"/>
              <w:ind w:left="1079" w:leftChars="257" w:hanging="539"/>
              <w:rPr>
                <w:rFonts w:hint="eastAsia" w:ascii="仿宋" w:hAnsi="仿宋" w:eastAsia="仿宋" w:cs="仿宋"/>
                <w:color w:val="auto"/>
                <w:sz w:val="24"/>
                <w:highlight w:val="none"/>
              </w:rPr>
            </w:pPr>
          </w:p>
        </w:tc>
        <w:tc>
          <w:tcPr>
            <w:tcW w:w="1361" w:type="dxa"/>
            <w:noWrap w:val="0"/>
            <w:vAlign w:val="top"/>
          </w:tcPr>
          <w:p w14:paraId="1278A441">
            <w:pPr>
              <w:pStyle w:val="16"/>
              <w:spacing w:line="360" w:lineRule="auto"/>
              <w:ind w:left="1079" w:leftChars="257" w:hanging="539"/>
              <w:rPr>
                <w:rFonts w:hint="eastAsia" w:ascii="仿宋" w:hAnsi="仿宋" w:eastAsia="仿宋" w:cs="仿宋"/>
                <w:color w:val="auto"/>
                <w:sz w:val="24"/>
                <w:highlight w:val="none"/>
              </w:rPr>
            </w:pPr>
          </w:p>
        </w:tc>
        <w:tc>
          <w:tcPr>
            <w:tcW w:w="1577" w:type="dxa"/>
            <w:noWrap w:val="0"/>
            <w:vAlign w:val="top"/>
          </w:tcPr>
          <w:p w14:paraId="2D1A4D24">
            <w:pPr>
              <w:pStyle w:val="16"/>
              <w:spacing w:line="360" w:lineRule="auto"/>
              <w:ind w:left="1079" w:leftChars="257" w:hanging="539"/>
              <w:rPr>
                <w:rFonts w:hint="eastAsia" w:ascii="仿宋" w:hAnsi="仿宋" w:eastAsia="仿宋" w:cs="仿宋"/>
                <w:color w:val="auto"/>
                <w:sz w:val="24"/>
                <w:highlight w:val="none"/>
              </w:rPr>
            </w:pPr>
          </w:p>
        </w:tc>
        <w:tc>
          <w:tcPr>
            <w:tcW w:w="1980" w:type="dxa"/>
            <w:noWrap w:val="0"/>
            <w:vAlign w:val="top"/>
          </w:tcPr>
          <w:p w14:paraId="4F4E17DD">
            <w:pPr>
              <w:pStyle w:val="16"/>
              <w:spacing w:line="360" w:lineRule="auto"/>
              <w:ind w:left="1079" w:leftChars="257" w:hanging="539"/>
              <w:rPr>
                <w:rFonts w:hint="eastAsia" w:ascii="仿宋" w:hAnsi="仿宋" w:eastAsia="仿宋" w:cs="仿宋"/>
                <w:color w:val="auto"/>
                <w:sz w:val="24"/>
                <w:highlight w:val="none"/>
              </w:rPr>
            </w:pPr>
          </w:p>
        </w:tc>
      </w:tr>
      <w:bookmarkEnd w:id="92"/>
    </w:tbl>
    <w:p w14:paraId="5F7D7E52">
      <w:pPr>
        <w:pStyle w:val="16"/>
        <w:spacing w:line="360" w:lineRule="auto"/>
        <w:ind w:left="1079" w:leftChars="257" w:hanging="539"/>
        <w:rPr>
          <w:rFonts w:hint="eastAsia" w:ascii="仿宋" w:hAnsi="仿宋" w:eastAsia="仿宋" w:cs="仿宋"/>
          <w:color w:val="auto"/>
          <w:sz w:val="24"/>
          <w:highlight w:val="none"/>
        </w:rPr>
      </w:pPr>
    </w:p>
    <w:p w14:paraId="3F728D65">
      <w:pPr>
        <w:pStyle w:val="14"/>
        <w:tabs>
          <w:tab w:val="left" w:pos="3240"/>
          <w:tab w:val="left" w:pos="3535"/>
          <w:tab w:val="left" w:pos="4921"/>
          <w:tab w:val="left" w:pos="8620"/>
        </w:tabs>
        <w:spacing w:line="360" w:lineRule="auto"/>
        <w:ind w:right="4863"/>
        <w:rPr>
          <w:rFonts w:hint="eastAsia" w:ascii="仿宋" w:hAnsi="仿宋" w:eastAsia="仿宋" w:cs="仿宋"/>
          <w:color w:val="auto"/>
          <w:highlight w:val="none"/>
          <w:u w:val="single"/>
        </w:rPr>
      </w:pPr>
      <w:r>
        <w:rPr>
          <w:rFonts w:hint="eastAsia" w:ascii="仿宋" w:hAnsi="仿宋" w:eastAsia="仿宋" w:cs="仿宋"/>
          <w:color w:val="auto"/>
          <w:highlight w:val="none"/>
          <w:lang w:val="en-US"/>
        </w:rPr>
        <w:t>投标人</w:t>
      </w:r>
      <w:r>
        <w:rPr>
          <w:rFonts w:hint="eastAsia" w:ascii="仿宋" w:hAnsi="仿宋" w:eastAsia="仿宋" w:cs="仿宋"/>
          <w:color w:val="auto"/>
          <w:highlight w:val="none"/>
        </w:rPr>
        <w:t>名称：</w:t>
      </w:r>
      <w:r>
        <w:rPr>
          <w:rFonts w:hint="eastAsia" w:ascii="仿宋" w:hAnsi="仿宋" w:eastAsia="仿宋" w:cs="仿宋"/>
          <w:color w:val="auto"/>
          <w:highlight w:val="none"/>
          <w:u w:val="single"/>
        </w:rPr>
        <w:tab/>
      </w:r>
      <w:r>
        <w:rPr>
          <w:rFonts w:hint="eastAsia" w:ascii="仿宋" w:hAnsi="仿宋" w:eastAsia="仿宋" w:cs="仿宋"/>
          <w:color w:val="auto"/>
          <w:highlight w:val="none"/>
          <w:u w:val="single"/>
        </w:rPr>
        <w:tab/>
      </w:r>
      <w:r>
        <w:rPr>
          <w:rFonts w:hint="eastAsia" w:ascii="仿宋" w:hAnsi="仿宋" w:eastAsia="仿宋" w:cs="仿宋"/>
          <w:color w:val="auto"/>
          <w:highlight w:val="none"/>
          <w:u w:val="single"/>
        </w:rPr>
        <w:t>（盖电子公章）</w:t>
      </w:r>
    </w:p>
    <w:p w14:paraId="2A6D31CD">
      <w:pPr>
        <w:pStyle w:val="14"/>
        <w:tabs>
          <w:tab w:val="left" w:pos="3240"/>
          <w:tab w:val="left" w:pos="4921"/>
          <w:tab w:val="left" w:pos="8620"/>
        </w:tabs>
        <w:spacing w:line="360" w:lineRule="auto"/>
        <w:ind w:right="-314"/>
        <w:rPr>
          <w:rFonts w:hint="eastAsia" w:ascii="仿宋" w:hAnsi="仿宋" w:eastAsia="仿宋" w:cs="仿宋"/>
          <w:color w:val="auto"/>
          <w:highlight w:val="none"/>
          <w:u w:val="single"/>
        </w:rPr>
      </w:pPr>
      <w:r>
        <w:rPr>
          <w:rFonts w:hint="eastAsia" w:ascii="仿宋" w:hAnsi="仿宋" w:eastAsia="仿宋" w:cs="仿宋"/>
          <w:color w:val="auto"/>
          <w:highlight w:val="none"/>
        </w:rPr>
        <w:t>法人代表或其授权人：（签字或</w:t>
      </w:r>
      <w:r>
        <w:rPr>
          <w:rFonts w:hint="eastAsia" w:ascii="仿宋" w:hAnsi="仿宋" w:eastAsia="仿宋" w:cs="仿宋"/>
          <w:color w:val="auto"/>
          <w:highlight w:val="none"/>
          <w:lang w:val="en-US"/>
        </w:rPr>
        <w:t>盖电子</w:t>
      </w:r>
      <w:r>
        <w:rPr>
          <w:rFonts w:hint="eastAsia" w:ascii="仿宋" w:hAnsi="仿宋" w:eastAsia="仿宋" w:cs="仿宋"/>
          <w:color w:val="auto"/>
          <w:highlight w:val="none"/>
        </w:rPr>
        <w:t>章）</w:t>
      </w:r>
    </w:p>
    <w:p w14:paraId="68F09C7B">
      <w:pPr>
        <w:pStyle w:val="65"/>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u w:val="single"/>
        </w:rPr>
        <w:tab/>
      </w:r>
    </w:p>
    <w:p w14:paraId="5E5623D8">
      <w:pPr>
        <w:pStyle w:val="65"/>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 各项货物详细技术性能应另页描述。</w:t>
      </w:r>
    </w:p>
    <w:p w14:paraId="1870ECDD">
      <w:pPr>
        <w:pStyle w:val="65"/>
        <w:spacing w:line="360" w:lineRule="auto"/>
        <w:rPr>
          <w:rFonts w:hint="eastAsia" w:ascii="仿宋" w:hAnsi="仿宋" w:eastAsia="仿宋" w:cs="仿宋"/>
          <w:color w:val="auto"/>
          <w:sz w:val="24"/>
          <w:highlight w:val="none"/>
        </w:rPr>
        <w:sectPr>
          <w:pgSz w:w="16838" w:h="11906" w:orient="landscape"/>
          <w:pgMar w:top="1800" w:right="1440" w:bottom="1800" w:left="1440" w:header="851" w:footer="992" w:gutter="0"/>
          <w:cols w:space="720" w:num="1"/>
          <w:docGrid w:type="lines" w:linePitch="312" w:charSpace="0"/>
        </w:sectPr>
      </w:pPr>
    </w:p>
    <w:p w14:paraId="54388849">
      <w:pPr>
        <w:spacing w:line="360" w:lineRule="auto"/>
        <w:rPr>
          <w:rFonts w:hint="eastAsia" w:ascii="仿宋" w:hAnsi="仿宋" w:eastAsia="仿宋" w:cs="仿宋"/>
          <w:b/>
          <w:color w:val="auto"/>
          <w:sz w:val="24"/>
          <w:highlight w:val="none"/>
        </w:rPr>
      </w:pPr>
      <w:bookmarkStart w:id="93" w:name="_Toc29754"/>
      <w:bookmarkStart w:id="94" w:name="_Toc32182"/>
      <w:bookmarkStart w:id="95" w:name="_Toc507399533"/>
      <w:bookmarkStart w:id="96" w:name="_Toc216582817"/>
      <w:r>
        <w:rPr>
          <w:rFonts w:hint="eastAsia" w:ascii="仿宋" w:hAnsi="仿宋" w:eastAsia="仿宋" w:cs="仿宋"/>
          <w:b/>
          <w:color w:val="auto"/>
          <w:sz w:val="24"/>
          <w:highlight w:val="none"/>
        </w:rPr>
        <w:t>附件7   技术规格偏离表</w:t>
      </w:r>
      <w:bookmarkEnd w:id="93"/>
      <w:bookmarkEnd w:id="94"/>
      <w:bookmarkEnd w:id="95"/>
      <w:bookmarkEnd w:id="96"/>
    </w:p>
    <w:p w14:paraId="28BD8FA1">
      <w:pPr>
        <w:pStyle w:val="16"/>
        <w:spacing w:line="360" w:lineRule="auto"/>
        <w:ind w:left="1080" w:leftChars="257" w:hanging="540"/>
        <w:jc w:val="cente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技术规格偏离表</w:t>
      </w:r>
    </w:p>
    <w:p w14:paraId="2D83B486">
      <w:pPr>
        <w:pStyle w:val="16"/>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tbl>
      <w:tblPr>
        <w:tblStyle w:val="31"/>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407"/>
        <w:gridCol w:w="2044"/>
        <w:gridCol w:w="1791"/>
        <w:gridCol w:w="2010"/>
      </w:tblGrid>
      <w:tr w14:paraId="4A1A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925" w:type="dxa"/>
            <w:noWrap w:val="0"/>
            <w:vAlign w:val="center"/>
          </w:tcPr>
          <w:p w14:paraId="159F28C3">
            <w:pPr>
              <w:pStyle w:val="16"/>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407" w:type="dxa"/>
            <w:noWrap w:val="0"/>
            <w:vAlign w:val="center"/>
          </w:tcPr>
          <w:p w14:paraId="3B50BA38">
            <w:pPr>
              <w:pStyle w:val="16"/>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货物名称</w:t>
            </w:r>
          </w:p>
        </w:tc>
        <w:tc>
          <w:tcPr>
            <w:tcW w:w="2044" w:type="dxa"/>
            <w:noWrap w:val="0"/>
            <w:vAlign w:val="center"/>
          </w:tcPr>
          <w:p w14:paraId="367E2FF6">
            <w:pPr>
              <w:pStyle w:val="16"/>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招标文件条款号及招标规格</w:t>
            </w:r>
          </w:p>
        </w:tc>
        <w:tc>
          <w:tcPr>
            <w:tcW w:w="1791" w:type="dxa"/>
            <w:noWrap w:val="0"/>
            <w:vAlign w:val="center"/>
          </w:tcPr>
          <w:p w14:paraId="19F2C1EC">
            <w:pPr>
              <w:pStyle w:val="16"/>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投标规格</w:t>
            </w:r>
          </w:p>
        </w:tc>
        <w:tc>
          <w:tcPr>
            <w:tcW w:w="2010" w:type="dxa"/>
            <w:noWrap w:val="0"/>
            <w:vAlign w:val="center"/>
          </w:tcPr>
          <w:p w14:paraId="199F575C">
            <w:pPr>
              <w:pStyle w:val="16"/>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偏离说明</w:t>
            </w:r>
          </w:p>
        </w:tc>
      </w:tr>
      <w:tr w14:paraId="26A3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noWrap w:val="0"/>
            <w:vAlign w:val="top"/>
          </w:tcPr>
          <w:p w14:paraId="5B975C00">
            <w:pPr>
              <w:pStyle w:val="16"/>
              <w:spacing w:line="360" w:lineRule="auto"/>
              <w:ind w:left="1080" w:leftChars="257" w:hanging="540"/>
              <w:rPr>
                <w:rFonts w:hint="eastAsia" w:ascii="仿宋" w:hAnsi="仿宋" w:eastAsia="仿宋" w:cs="仿宋"/>
                <w:color w:val="auto"/>
                <w:szCs w:val="21"/>
                <w:highlight w:val="none"/>
              </w:rPr>
            </w:pPr>
          </w:p>
        </w:tc>
        <w:tc>
          <w:tcPr>
            <w:tcW w:w="1407" w:type="dxa"/>
            <w:noWrap w:val="0"/>
            <w:vAlign w:val="top"/>
          </w:tcPr>
          <w:p w14:paraId="64DA42BB">
            <w:pPr>
              <w:pStyle w:val="16"/>
              <w:spacing w:line="360" w:lineRule="auto"/>
              <w:ind w:left="1080" w:leftChars="257" w:hanging="540"/>
              <w:rPr>
                <w:rFonts w:hint="eastAsia" w:ascii="仿宋" w:hAnsi="仿宋" w:eastAsia="仿宋" w:cs="仿宋"/>
                <w:color w:val="auto"/>
                <w:szCs w:val="21"/>
                <w:highlight w:val="none"/>
              </w:rPr>
            </w:pPr>
          </w:p>
        </w:tc>
        <w:tc>
          <w:tcPr>
            <w:tcW w:w="2044" w:type="dxa"/>
            <w:noWrap w:val="0"/>
            <w:vAlign w:val="top"/>
          </w:tcPr>
          <w:p w14:paraId="22347CE0">
            <w:pPr>
              <w:pStyle w:val="16"/>
              <w:spacing w:line="360" w:lineRule="auto"/>
              <w:ind w:left="1080" w:leftChars="257" w:hanging="540"/>
              <w:rPr>
                <w:rFonts w:hint="eastAsia" w:ascii="仿宋" w:hAnsi="仿宋" w:eastAsia="仿宋" w:cs="仿宋"/>
                <w:color w:val="auto"/>
                <w:szCs w:val="21"/>
                <w:highlight w:val="none"/>
              </w:rPr>
            </w:pPr>
          </w:p>
        </w:tc>
        <w:tc>
          <w:tcPr>
            <w:tcW w:w="1791" w:type="dxa"/>
            <w:noWrap w:val="0"/>
            <w:vAlign w:val="top"/>
          </w:tcPr>
          <w:p w14:paraId="5D964538">
            <w:pPr>
              <w:pStyle w:val="16"/>
              <w:spacing w:line="360" w:lineRule="auto"/>
              <w:ind w:left="1080" w:leftChars="257" w:hanging="540"/>
              <w:rPr>
                <w:rFonts w:hint="eastAsia" w:ascii="仿宋" w:hAnsi="仿宋" w:eastAsia="仿宋" w:cs="仿宋"/>
                <w:color w:val="auto"/>
                <w:szCs w:val="21"/>
                <w:highlight w:val="none"/>
              </w:rPr>
            </w:pPr>
          </w:p>
        </w:tc>
        <w:tc>
          <w:tcPr>
            <w:tcW w:w="2010" w:type="dxa"/>
            <w:noWrap w:val="0"/>
            <w:vAlign w:val="top"/>
          </w:tcPr>
          <w:p w14:paraId="16C4EA4A">
            <w:pPr>
              <w:pStyle w:val="16"/>
              <w:spacing w:line="360" w:lineRule="auto"/>
              <w:ind w:left="1080" w:leftChars="257" w:hanging="540"/>
              <w:rPr>
                <w:rFonts w:hint="eastAsia" w:ascii="仿宋" w:hAnsi="仿宋" w:eastAsia="仿宋" w:cs="仿宋"/>
                <w:color w:val="auto"/>
                <w:szCs w:val="21"/>
                <w:highlight w:val="none"/>
              </w:rPr>
            </w:pPr>
          </w:p>
        </w:tc>
      </w:tr>
      <w:tr w14:paraId="453E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noWrap w:val="0"/>
            <w:vAlign w:val="top"/>
          </w:tcPr>
          <w:p w14:paraId="5BADCB26">
            <w:pPr>
              <w:pStyle w:val="16"/>
              <w:spacing w:line="360" w:lineRule="auto"/>
              <w:ind w:left="1080" w:leftChars="257" w:hanging="540"/>
              <w:rPr>
                <w:rFonts w:hint="eastAsia" w:ascii="仿宋" w:hAnsi="仿宋" w:eastAsia="仿宋" w:cs="仿宋"/>
                <w:color w:val="auto"/>
                <w:szCs w:val="21"/>
                <w:highlight w:val="none"/>
              </w:rPr>
            </w:pPr>
          </w:p>
        </w:tc>
        <w:tc>
          <w:tcPr>
            <w:tcW w:w="1407" w:type="dxa"/>
            <w:noWrap w:val="0"/>
            <w:vAlign w:val="top"/>
          </w:tcPr>
          <w:p w14:paraId="3BB48674">
            <w:pPr>
              <w:pStyle w:val="16"/>
              <w:spacing w:line="360" w:lineRule="auto"/>
              <w:ind w:left="1080" w:leftChars="257" w:hanging="540"/>
              <w:rPr>
                <w:rFonts w:hint="eastAsia" w:ascii="仿宋" w:hAnsi="仿宋" w:eastAsia="仿宋" w:cs="仿宋"/>
                <w:color w:val="auto"/>
                <w:szCs w:val="21"/>
                <w:highlight w:val="none"/>
              </w:rPr>
            </w:pPr>
          </w:p>
        </w:tc>
        <w:tc>
          <w:tcPr>
            <w:tcW w:w="2044" w:type="dxa"/>
            <w:noWrap w:val="0"/>
            <w:vAlign w:val="top"/>
          </w:tcPr>
          <w:p w14:paraId="084DF820">
            <w:pPr>
              <w:pStyle w:val="16"/>
              <w:spacing w:line="360" w:lineRule="auto"/>
              <w:ind w:left="1080" w:leftChars="257" w:hanging="540"/>
              <w:rPr>
                <w:rFonts w:hint="eastAsia" w:ascii="仿宋" w:hAnsi="仿宋" w:eastAsia="仿宋" w:cs="仿宋"/>
                <w:color w:val="auto"/>
                <w:szCs w:val="21"/>
                <w:highlight w:val="none"/>
              </w:rPr>
            </w:pPr>
          </w:p>
        </w:tc>
        <w:tc>
          <w:tcPr>
            <w:tcW w:w="1791" w:type="dxa"/>
            <w:noWrap w:val="0"/>
            <w:vAlign w:val="top"/>
          </w:tcPr>
          <w:p w14:paraId="24E4918A">
            <w:pPr>
              <w:pStyle w:val="16"/>
              <w:spacing w:line="360" w:lineRule="auto"/>
              <w:ind w:left="1080" w:leftChars="257" w:hanging="540"/>
              <w:rPr>
                <w:rFonts w:hint="eastAsia" w:ascii="仿宋" w:hAnsi="仿宋" w:eastAsia="仿宋" w:cs="仿宋"/>
                <w:color w:val="auto"/>
                <w:szCs w:val="21"/>
                <w:highlight w:val="none"/>
              </w:rPr>
            </w:pPr>
          </w:p>
        </w:tc>
        <w:tc>
          <w:tcPr>
            <w:tcW w:w="2010" w:type="dxa"/>
            <w:noWrap w:val="0"/>
            <w:vAlign w:val="top"/>
          </w:tcPr>
          <w:p w14:paraId="2180FD75">
            <w:pPr>
              <w:pStyle w:val="16"/>
              <w:spacing w:line="360" w:lineRule="auto"/>
              <w:ind w:left="1080" w:leftChars="257" w:hanging="540"/>
              <w:rPr>
                <w:rFonts w:hint="eastAsia" w:ascii="仿宋" w:hAnsi="仿宋" w:eastAsia="仿宋" w:cs="仿宋"/>
                <w:color w:val="auto"/>
                <w:szCs w:val="21"/>
                <w:highlight w:val="none"/>
              </w:rPr>
            </w:pPr>
          </w:p>
        </w:tc>
      </w:tr>
      <w:tr w14:paraId="2413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noWrap w:val="0"/>
            <w:vAlign w:val="top"/>
          </w:tcPr>
          <w:p w14:paraId="661D13BA">
            <w:pPr>
              <w:pStyle w:val="16"/>
              <w:spacing w:line="360" w:lineRule="auto"/>
              <w:ind w:left="1080" w:leftChars="257" w:hanging="540"/>
              <w:rPr>
                <w:rFonts w:hint="eastAsia" w:ascii="仿宋" w:hAnsi="仿宋" w:eastAsia="仿宋" w:cs="仿宋"/>
                <w:color w:val="auto"/>
                <w:szCs w:val="21"/>
                <w:highlight w:val="none"/>
              </w:rPr>
            </w:pPr>
          </w:p>
        </w:tc>
        <w:tc>
          <w:tcPr>
            <w:tcW w:w="1407" w:type="dxa"/>
            <w:noWrap w:val="0"/>
            <w:vAlign w:val="top"/>
          </w:tcPr>
          <w:p w14:paraId="74C22D35">
            <w:pPr>
              <w:pStyle w:val="16"/>
              <w:spacing w:line="360" w:lineRule="auto"/>
              <w:ind w:left="1080" w:leftChars="257" w:hanging="540"/>
              <w:rPr>
                <w:rFonts w:hint="eastAsia" w:ascii="仿宋" w:hAnsi="仿宋" w:eastAsia="仿宋" w:cs="仿宋"/>
                <w:color w:val="auto"/>
                <w:szCs w:val="21"/>
                <w:highlight w:val="none"/>
              </w:rPr>
            </w:pPr>
          </w:p>
        </w:tc>
        <w:tc>
          <w:tcPr>
            <w:tcW w:w="2044" w:type="dxa"/>
            <w:noWrap w:val="0"/>
            <w:vAlign w:val="top"/>
          </w:tcPr>
          <w:p w14:paraId="4E0E5DE7">
            <w:pPr>
              <w:pStyle w:val="16"/>
              <w:spacing w:line="360" w:lineRule="auto"/>
              <w:ind w:left="1080" w:leftChars="257" w:hanging="540"/>
              <w:rPr>
                <w:rFonts w:hint="eastAsia" w:ascii="仿宋" w:hAnsi="仿宋" w:eastAsia="仿宋" w:cs="仿宋"/>
                <w:color w:val="auto"/>
                <w:szCs w:val="21"/>
                <w:highlight w:val="none"/>
              </w:rPr>
            </w:pPr>
          </w:p>
        </w:tc>
        <w:tc>
          <w:tcPr>
            <w:tcW w:w="1791" w:type="dxa"/>
            <w:noWrap w:val="0"/>
            <w:vAlign w:val="top"/>
          </w:tcPr>
          <w:p w14:paraId="34D644CB">
            <w:pPr>
              <w:pStyle w:val="16"/>
              <w:spacing w:line="360" w:lineRule="auto"/>
              <w:ind w:left="1080" w:leftChars="257" w:hanging="540"/>
              <w:rPr>
                <w:rFonts w:hint="eastAsia" w:ascii="仿宋" w:hAnsi="仿宋" w:eastAsia="仿宋" w:cs="仿宋"/>
                <w:color w:val="auto"/>
                <w:szCs w:val="21"/>
                <w:highlight w:val="none"/>
              </w:rPr>
            </w:pPr>
          </w:p>
        </w:tc>
        <w:tc>
          <w:tcPr>
            <w:tcW w:w="2010" w:type="dxa"/>
            <w:noWrap w:val="0"/>
            <w:vAlign w:val="top"/>
          </w:tcPr>
          <w:p w14:paraId="7D1ECC17">
            <w:pPr>
              <w:pStyle w:val="16"/>
              <w:spacing w:line="360" w:lineRule="auto"/>
              <w:ind w:left="1080" w:leftChars="257" w:hanging="540"/>
              <w:rPr>
                <w:rFonts w:hint="eastAsia" w:ascii="仿宋" w:hAnsi="仿宋" w:eastAsia="仿宋" w:cs="仿宋"/>
                <w:color w:val="auto"/>
                <w:szCs w:val="21"/>
                <w:highlight w:val="none"/>
              </w:rPr>
            </w:pPr>
          </w:p>
        </w:tc>
      </w:tr>
      <w:tr w14:paraId="786F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noWrap w:val="0"/>
            <w:vAlign w:val="top"/>
          </w:tcPr>
          <w:p w14:paraId="0CB75A5D">
            <w:pPr>
              <w:pStyle w:val="16"/>
              <w:spacing w:line="360" w:lineRule="auto"/>
              <w:ind w:left="1080" w:leftChars="257" w:hanging="540"/>
              <w:rPr>
                <w:rFonts w:hint="eastAsia" w:ascii="仿宋" w:hAnsi="仿宋" w:eastAsia="仿宋" w:cs="仿宋"/>
                <w:color w:val="auto"/>
                <w:szCs w:val="21"/>
                <w:highlight w:val="none"/>
              </w:rPr>
            </w:pPr>
          </w:p>
        </w:tc>
        <w:tc>
          <w:tcPr>
            <w:tcW w:w="1407" w:type="dxa"/>
            <w:noWrap w:val="0"/>
            <w:vAlign w:val="top"/>
          </w:tcPr>
          <w:p w14:paraId="4A40D62C">
            <w:pPr>
              <w:pStyle w:val="16"/>
              <w:spacing w:line="360" w:lineRule="auto"/>
              <w:ind w:left="1080" w:leftChars="257" w:hanging="540"/>
              <w:rPr>
                <w:rFonts w:hint="eastAsia" w:ascii="仿宋" w:hAnsi="仿宋" w:eastAsia="仿宋" w:cs="仿宋"/>
                <w:color w:val="auto"/>
                <w:szCs w:val="21"/>
                <w:highlight w:val="none"/>
              </w:rPr>
            </w:pPr>
          </w:p>
        </w:tc>
        <w:tc>
          <w:tcPr>
            <w:tcW w:w="2044" w:type="dxa"/>
            <w:noWrap w:val="0"/>
            <w:vAlign w:val="top"/>
          </w:tcPr>
          <w:p w14:paraId="20B51976">
            <w:pPr>
              <w:pStyle w:val="16"/>
              <w:spacing w:line="360" w:lineRule="auto"/>
              <w:ind w:left="1080" w:leftChars="257" w:hanging="540"/>
              <w:rPr>
                <w:rFonts w:hint="eastAsia" w:ascii="仿宋" w:hAnsi="仿宋" w:eastAsia="仿宋" w:cs="仿宋"/>
                <w:color w:val="auto"/>
                <w:szCs w:val="21"/>
                <w:highlight w:val="none"/>
              </w:rPr>
            </w:pPr>
          </w:p>
        </w:tc>
        <w:tc>
          <w:tcPr>
            <w:tcW w:w="1791" w:type="dxa"/>
            <w:noWrap w:val="0"/>
            <w:vAlign w:val="top"/>
          </w:tcPr>
          <w:p w14:paraId="66E2BBB7">
            <w:pPr>
              <w:pStyle w:val="16"/>
              <w:spacing w:line="360" w:lineRule="auto"/>
              <w:ind w:left="1080" w:leftChars="257" w:hanging="540"/>
              <w:rPr>
                <w:rFonts w:hint="eastAsia" w:ascii="仿宋" w:hAnsi="仿宋" w:eastAsia="仿宋" w:cs="仿宋"/>
                <w:color w:val="auto"/>
                <w:szCs w:val="21"/>
                <w:highlight w:val="none"/>
              </w:rPr>
            </w:pPr>
          </w:p>
        </w:tc>
        <w:tc>
          <w:tcPr>
            <w:tcW w:w="2010" w:type="dxa"/>
            <w:noWrap w:val="0"/>
            <w:vAlign w:val="top"/>
          </w:tcPr>
          <w:p w14:paraId="4B6D3165">
            <w:pPr>
              <w:pStyle w:val="16"/>
              <w:spacing w:line="360" w:lineRule="auto"/>
              <w:ind w:left="1080" w:leftChars="257" w:hanging="540"/>
              <w:rPr>
                <w:rFonts w:hint="eastAsia" w:ascii="仿宋" w:hAnsi="仿宋" w:eastAsia="仿宋" w:cs="仿宋"/>
                <w:color w:val="auto"/>
                <w:szCs w:val="21"/>
                <w:highlight w:val="none"/>
              </w:rPr>
            </w:pPr>
          </w:p>
        </w:tc>
      </w:tr>
      <w:tr w14:paraId="35EC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noWrap w:val="0"/>
            <w:vAlign w:val="top"/>
          </w:tcPr>
          <w:p w14:paraId="250AADF2">
            <w:pPr>
              <w:pStyle w:val="16"/>
              <w:spacing w:line="360" w:lineRule="auto"/>
              <w:ind w:left="1080" w:leftChars="257" w:hanging="540"/>
              <w:rPr>
                <w:rFonts w:hint="eastAsia" w:ascii="仿宋" w:hAnsi="仿宋" w:eastAsia="仿宋" w:cs="仿宋"/>
                <w:color w:val="auto"/>
                <w:szCs w:val="21"/>
                <w:highlight w:val="none"/>
              </w:rPr>
            </w:pPr>
          </w:p>
        </w:tc>
        <w:tc>
          <w:tcPr>
            <w:tcW w:w="1407" w:type="dxa"/>
            <w:noWrap w:val="0"/>
            <w:vAlign w:val="top"/>
          </w:tcPr>
          <w:p w14:paraId="7EFF082D">
            <w:pPr>
              <w:pStyle w:val="16"/>
              <w:spacing w:line="360" w:lineRule="auto"/>
              <w:ind w:left="1080" w:leftChars="257" w:hanging="540"/>
              <w:rPr>
                <w:rFonts w:hint="eastAsia" w:ascii="仿宋" w:hAnsi="仿宋" w:eastAsia="仿宋" w:cs="仿宋"/>
                <w:color w:val="auto"/>
                <w:szCs w:val="21"/>
                <w:highlight w:val="none"/>
              </w:rPr>
            </w:pPr>
          </w:p>
        </w:tc>
        <w:tc>
          <w:tcPr>
            <w:tcW w:w="2044" w:type="dxa"/>
            <w:noWrap w:val="0"/>
            <w:vAlign w:val="top"/>
          </w:tcPr>
          <w:p w14:paraId="7C21EBFC">
            <w:pPr>
              <w:pStyle w:val="16"/>
              <w:spacing w:line="360" w:lineRule="auto"/>
              <w:ind w:left="1080" w:leftChars="257" w:hanging="540"/>
              <w:rPr>
                <w:rFonts w:hint="eastAsia" w:ascii="仿宋" w:hAnsi="仿宋" w:eastAsia="仿宋" w:cs="仿宋"/>
                <w:color w:val="auto"/>
                <w:szCs w:val="21"/>
                <w:highlight w:val="none"/>
              </w:rPr>
            </w:pPr>
          </w:p>
        </w:tc>
        <w:tc>
          <w:tcPr>
            <w:tcW w:w="1791" w:type="dxa"/>
            <w:noWrap w:val="0"/>
            <w:vAlign w:val="top"/>
          </w:tcPr>
          <w:p w14:paraId="799587CB">
            <w:pPr>
              <w:pStyle w:val="16"/>
              <w:spacing w:line="360" w:lineRule="auto"/>
              <w:ind w:left="1080" w:leftChars="257" w:hanging="540"/>
              <w:rPr>
                <w:rFonts w:hint="eastAsia" w:ascii="仿宋" w:hAnsi="仿宋" w:eastAsia="仿宋" w:cs="仿宋"/>
                <w:color w:val="auto"/>
                <w:szCs w:val="21"/>
                <w:highlight w:val="none"/>
              </w:rPr>
            </w:pPr>
          </w:p>
        </w:tc>
        <w:tc>
          <w:tcPr>
            <w:tcW w:w="2010" w:type="dxa"/>
            <w:noWrap w:val="0"/>
            <w:vAlign w:val="top"/>
          </w:tcPr>
          <w:p w14:paraId="6F03B1F9">
            <w:pPr>
              <w:pStyle w:val="16"/>
              <w:spacing w:line="360" w:lineRule="auto"/>
              <w:ind w:left="1080" w:leftChars="257" w:hanging="540"/>
              <w:rPr>
                <w:rFonts w:hint="eastAsia" w:ascii="仿宋" w:hAnsi="仿宋" w:eastAsia="仿宋" w:cs="仿宋"/>
                <w:color w:val="auto"/>
                <w:szCs w:val="21"/>
                <w:highlight w:val="none"/>
              </w:rPr>
            </w:pPr>
          </w:p>
        </w:tc>
      </w:tr>
      <w:tr w14:paraId="23EE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noWrap w:val="0"/>
            <w:vAlign w:val="top"/>
          </w:tcPr>
          <w:p w14:paraId="09CA6DBC">
            <w:pPr>
              <w:pStyle w:val="16"/>
              <w:spacing w:line="360" w:lineRule="auto"/>
              <w:ind w:left="1080" w:leftChars="257" w:hanging="540"/>
              <w:rPr>
                <w:rFonts w:hint="eastAsia" w:ascii="仿宋" w:hAnsi="仿宋" w:eastAsia="仿宋" w:cs="仿宋"/>
                <w:color w:val="auto"/>
                <w:szCs w:val="21"/>
                <w:highlight w:val="none"/>
              </w:rPr>
            </w:pPr>
          </w:p>
        </w:tc>
        <w:tc>
          <w:tcPr>
            <w:tcW w:w="1407" w:type="dxa"/>
            <w:noWrap w:val="0"/>
            <w:vAlign w:val="top"/>
          </w:tcPr>
          <w:p w14:paraId="2D78020F">
            <w:pPr>
              <w:pStyle w:val="16"/>
              <w:spacing w:line="360" w:lineRule="auto"/>
              <w:ind w:left="1080" w:leftChars="257" w:hanging="540"/>
              <w:rPr>
                <w:rFonts w:hint="eastAsia" w:ascii="仿宋" w:hAnsi="仿宋" w:eastAsia="仿宋" w:cs="仿宋"/>
                <w:color w:val="auto"/>
                <w:szCs w:val="21"/>
                <w:highlight w:val="none"/>
              </w:rPr>
            </w:pPr>
          </w:p>
        </w:tc>
        <w:tc>
          <w:tcPr>
            <w:tcW w:w="2044" w:type="dxa"/>
            <w:noWrap w:val="0"/>
            <w:vAlign w:val="top"/>
          </w:tcPr>
          <w:p w14:paraId="74F56447">
            <w:pPr>
              <w:pStyle w:val="16"/>
              <w:spacing w:line="360" w:lineRule="auto"/>
              <w:ind w:left="1080" w:leftChars="257" w:hanging="540"/>
              <w:rPr>
                <w:rFonts w:hint="eastAsia" w:ascii="仿宋" w:hAnsi="仿宋" w:eastAsia="仿宋" w:cs="仿宋"/>
                <w:color w:val="auto"/>
                <w:szCs w:val="21"/>
                <w:highlight w:val="none"/>
              </w:rPr>
            </w:pPr>
          </w:p>
        </w:tc>
        <w:tc>
          <w:tcPr>
            <w:tcW w:w="1791" w:type="dxa"/>
            <w:noWrap w:val="0"/>
            <w:vAlign w:val="top"/>
          </w:tcPr>
          <w:p w14:paraId="15C150C3">
            <w:pPr>
              <w:pStyle w:val="16"/>
              <w:spacing w:line="360" w:lineRule="auto"/>
              <w:ind w:left="1080" w:leftChars="257" w:hanging="540"/>
              <w:rPr>
                <w:rFonts w:hint="eastAsia" w:ascii="仿宋" w:hAnsi="仿宋" w:eastAsia="仿宋" w:cs="仿宋"/>
                <w:color w:val="auto"/>
                <w:szCs w:val="21"/>
                <w:highlight w:val="none"/>
              </w:rPr>
            </w:pPr>
          </w:p>
        </w:tc>
        <w:tc>
          <w:tcPr>
            <w:tcW w:w="2010" w:type="dxa"/>
            <w:noWrap w:val="0"/>
            <w:vAlign w:val="top"/>
          </w:tcPr>
          <w:p w14:paraId="5DC7D28F">
            <w:pPr>
              <w:pStyle w:val="16"/>
              <w:spacing w:line="360" w:lineRule="auto"/>
              <w:ind w:left="1080" w:leftChars="257" w:hanging="540"/>
              <w:rPr>
                <w:rFonts w:hint="eastAsia" w:ascii="仿宋" w:hAnsi="仿宋" w:eastAsia="仿宋" w:cs="仿宋"/>
                <w:color w:val="auto"/>
                <w:szCs w:val="21"/>
                <w:highlight w:val="none"/>
              </w:rPr>
            </w:pPr>
          </w:p>
        </w:tc>
      </w:tr>
      <w:tr w14:paraId="7A64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25" w:type="dxa"/>
            <w:noWrap w:val="0"/>
            <w:vAlign w:val="top"/>
          </w:tcPr>
          <w:p w14:paraId="26CFD451">
            <w:pPr>
              <w:pStyle w:val="16"/>
              <w:spacing w:line="360" w:lineRule="auto"/>
              <w:ind w:left="1080" w:leftChars="257" w:hanging="540"/>
              <w:rPr>
                <w:rFonts w:hint="eastAsia" w:ascii="仿宋" w:hAnsi="仿宋" w:eastAsia="仿宋" w:cs="仿宋"/>
                <w:color w:val="auto"/>
                <w:szCs w:val="21"/>
                <w:highlight w:val="none"/>
              </w:rPr>
            </w:pPr>
          </w:p>
        </w:tc>
        <w:tc>
          <w:tcPr>
            <w:tcW w:w="1407" w:type="dxa"/>
            <w:noWrap w:val="0"/>
            <w:vAlign w:val="top"/>
          </w:tcPr>
          <w:p w14:paraId="219FD22B">
            <w:pPr>
              <w:pStyle w:val="16"/>
              <w:spacing w:line="360" w:lineRule="auto"/>
              <w:ind w:left="1080" w:leftChars="257" w:hanging="540"/>
              <w:rPr>
                <w:rFonts w:hint="eastAsia" w:ascii="仿宋" w:hAnsi="仿宋" w:eastAsia="仿宋" w:cs="仿宋"/>
                <w:color w:val="auto"/>
                <w:szCs w:val="21"/>
                <w:highlight w:val="none"/>
              </w:rPr>
            </w:pPr>
          </w:p>
        </w:tc>
        <w:tc>
          <w:tcPr>
            <w:tcW w:w="2044" w:type="dxa"/>
            <w:noWrap w:val="0"/>
            <w:vAlign w:val="top"/>
          </w:tcPr>
          <w:p w14:paraId="13C3BD0D">
            <w:pPr>
              <w:pStyle w:val="16"/>
              <w:spacing w:line="360" w:lineRule="auto"/>
              <w:ind w:left="1080" w:leftChars="257" w:hanging="540"/>
              <w:rPr>
                <w:rFonts w:hint="eastAsia" w:ascii="仿宋" w:hAnsi="仿宋" w:eastAsia="仿宋" w:cs="仿宋"/>
                <w:color w:val="auto"/>
                <w:szCs w:val="21"/>
                <w:highlight w:val="none"/>
              </w:rPr>
            </w:pPr>
          </w:p>
        </w:tc>
        <w:tc>
          <w:tcPr>
            <w:tcW w:w="1791" w:type="dxa"/>
            <w:noWrap w:val="0"/>
            <w:vAlign w:val="top"/>
          </w:tcPr>
          <w:p w14:paraId="7871CAAB">
            <w:pPr>
              <w:pStyle w:val="16"/>
              <w:spacing w:line="360" w:lineRule="auto"/>
              <w:ind w:left="1080" w:leftChars="257" w:hanging="540"/>
              <w:rPr>
                <w:rFonts w:hint="eastAsia" w:ascii="仿宋" w:hAnsi="仿宋" w:eastAsia="仿宋" w:cs="仿宋"/>
                <w:color w:val="auto"/>
                <w:szCs w:val="21"/>
                <w:highlight w:val="none"/>
              </w:rPr>
            </w:pPr>
          </w:p>
        </w:tc>
        <w:tc>
          <w:tcPr>
            <w:tcW w:w="2010" w:type="dxa"/>
            <w:noWrap w:val="0"/>
            <w:vAlign w:val="top"/>
          </w:tcPr>
          <w:p w14:paraId="7E63A961">
            <w:pPr>
              <w:pStyle w:val="16"/>
              <w:spacing w:line="360" w:lineRule="auto"/>
              <w:ind w:left="1080" w:leftChars="257" w:hanging="540"/>
              <w:rPr>
                <w:rFonts w:hint="eastAsia" w:ascii="仿宋" w:hAnsi="仿宋" w:eastAsia="仿宋" w:cs="仿宋"/>
                <w:color w:val="auto"/>
                <w:szCs w:val="21"/>
                <w:highlight w:val="none"/>
              </w:rPr>
            </w:pPr>
          </w:p>
        </w:tc>
      </w:tr>
    </w:tbl>
    <w:p w14:paraId="4BC84D0F">
      <w:pPr>
        <w:pStyle w:val="16"/>
        <w:adjustRightInd w:val="0"/>
        <w:snapToGrid w:val="0"/>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w:t>
      </w:r>
    </w:p>
    <w:p w14:paraId="09706C0B">
      <w:pPr>
        <w:pStyle w:val="16"/>
        <w:adjustRightInd w:val="0"/>
        <w:snapToGrid w:val="0"/>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1.有偏离的技术条款须在该表中逐一列明，并在“投标文件的技术条款”栏填写具体应答内容， 在“偏离说明”中说明偏离具体情形。若无偏离请在“投标文件的技术条款”中填写“无偏离”。</w:t>
      </w:r>
    </w:p>
    <w:p w14:paraId="059D91F5">
      <w:pPr>
        <w:pStyle w:val="16"/>
        <w:adjustRightInd w:val="0"/>
        <w:snapToGrid w:val="0"/>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2.未声明部分将被视为已接受投标文件要求，签约时未经采购人同意不得改变。</w:t>
      </w:r>
    </w:p>
    <w:p w14:paraId="22D2C68E">
      <w:pPr>
        <w:pStyle w:val="16"/>
        <w:adjustRightInd w:val="0"/>
        <w:snapToGrid w:val="0"/>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3.投标人可根据其投标内容进一步细化上述表格，并可增添其它表格或说明以便进一步明确投标内容。</w:t>
      </w:r>
    </w:p>
    <w:p w14:paraId="44C42974">
      <w:pPr>
        <w:pStyle w:val="16"/>
        <w:spacing w:line="360" w:lineRule="auto"/>
        <w:ind w:left="1080" w:leftChars="257" w:hanging="540"/>
        <w:rPr>
          <w:rFonts w:hint="eastAsia" w:ascii="仿宋" w:hAnsi="仿宋" w:eastAsia="仿宋" w:cs="仿宋"/>
          <w:color w:val="auto"/>
          <w:sz w:val="24"/>
          <w:highlight w:val="none"/>
        </w:rPr>
      </w:pPr>
    </w:p>
    <w:p w14:paraId="7F28CBCE">
      <w:pPr>
        <w:pStyle w:val="16"/>
        <w:spacing w:line="360" w:lineRule="auto"/>
        <w:ind w:left="1080" w:leftChars="257" w:hanging="540"/>
        <w:rPr>
          <w:rFonts w:hint="eastAsia" w:ascii="仿宋" w:hAnsi="仿宋" w:eastAsia="仿宋" w:cs="仿宋"/>
          <w:color w:val="auto"/>
          <w:sz w:val="24"/>
          <w:highlight w:val="none"/>
        </w:rPr>
      </w:pPr>
    </w:p>
    <w:p w14:paraId="2D77F982">
      <w:pPr>
        <w:pStyle w:val="16"/>
        <w:spacing w:line="360" w:lineRule="auto"/>
        <w:ind w:firstLine="600" w:firstLineChars="250"/>
        <w:rPr>
          <w:rFonts w:hint="eastAsia" w:ascii="仿宋" w:hAnsi="仿宋" w:eastAsia="仿宋" w:cs="仿宋"/>
          <w:color w:val="auto"/>
          <w:sz w:val="24"/>
          <w:highlight w:val="none"/>
        </w:rPr>
      </w:pPr>
      <w:bookmarkStart w:id="97" w:name="_Toc507399534"/>
      <w:bookmarkStart w:id="98" w:name="_Toc25702"/>
      <w:bookmarkStart w:id="99" w:name="_Toc23907"/>
      <w:bookmarkStart w:id="100" w:name="_Toc216582818"/>
      <w:r>
        <w:rPr>
          <w:rFonts w:hint="eastAsia" w:ascii="仿宋" w:hAnsi="仿宋" w:eastAsia="仿宋" w:cs="仿宋"/>
          <w:color w:val="auto"/>
          <w:sz w:val="24"/>
          <w:highlight w:val="none"/>
        </w:rPr>
        <w:t>法定代表人或授权代表（签字或盖电子章）</w:t>
      </w:r>
      <w:r>
        <w:rPr>
          <w:rFonts w:hint="eastAsia" w:ascii="仿宋" w:hAnsi="仿宋" w:eastAsia="仿宋" w:cs="仿宋"/>
          <w:color w:val="auto"/>
          <w:sz w:val="24"/>
          <w:highlight w:val="none"/>
          <w:u w:val="single"/>
        </w:rPr>
        <w:tab/>
      </w:r>
    </w:p>
    <w:p w14:paraId="221A6CED">
      <w:pPr>
        <w:pStyle w:val="16"/>
        <w:tabs>
          <w:tab w:val="left" w:pos="5580"/>
        </w:tabs>
        <w:spacing w:line="360" w:lineRule="auto"/>
        <w:ind w:left="1079" w:leftChars="257" w:hanging="53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投标人(盖电子章):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03FDD6BC">
      <w:pPr>
        <w:pStyle w:val="16"/>
        <w:tabs>
          <w:tab w:val="left" w:pos="5580"/>
        </w:tabs>
        <w:spacing w:line="360" w:lineRule="auto"/>
        <w:ind w:left="1079" w:leftChars="257" w:hanging="53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日期：</w:t>
      </w:r>
    </w:p>
    <w:p w14:paraId="18065F3A">
      <w:pPr>
        <w:pStyle w:val="65"/>
        <w:spacing w:line="360" w:lineRule="auto"/>
        <w:rPr>
          <w:rFonts w:hint="eastAsia" w:ascii="仿宋" w:hAnsi="仿宋" w:eastAsia="仿宋" w:cs="仿宋"/>
          <w:color w:val="auto"/>
          <w:sz w:val="24"/>
          <w:highlight w:val="none"/>
        </w:rPr>
        <w:sectPr>
          <w:pgSz w:w="11906" w:h="16838"/>
          <w:pgMar w:top="1440" w:right="1800" w:bottom="1440" w:left="1800" w:header="851" w:footer="992" w:gutter="0"/>
          <w:cols w:space="720" w:num="1"/>
          <w:docGrid w:type="lines" w:linePitch="312" w:charSpace="0"/>
        </w:sectPr>
      </w:pPr>
    </w:p>
    <w:p w14:paraId="4FE9970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附件8   商务条款偏离表</w:t>
      </w:r>
      <w:bookmarkEnd w:id="97"/>
      <w:bookmarkEnd w:id="98"/>
      <w:bookmarkEnd w:id="99"/>
      <w:bookmarkEnd w:id="100"/>
    </w:p>
    <w:p w14:paraId="31D4836B">
      <w:pPr>
        <w:pStyle w:val="16"/>
        <w:spacing w:line="360" w:lineRule="auto"/>
        <w:ind w:left="1080" w:leftChars="257" w:hanging="54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商务条款偏离表</w:t>
      </w:r>
    </w:p>
    <w:p w14:paraId="44EABEDE">
      <w:pPr>
        <w:pStyle w:val="16"/>
        <w:spacing w:line="360" w:lineRule="auto"/>
        <w:ind w:left="1080" w:leftChars="257" w:hanging="540"/>
        <w:rPr>
          <w:rFonts w:hint="eastAsia" w:ascii="仿宋" w:hAnsi="仿宋" w:eastAsia="仿宋" w:cs="仿宋"/>
          <w:color w:val="auto"/>
          <w:sz w:val="24"/>
          <w:highlight w:val="none"/>
        </w:rPr>
      </w:pPr>
    </w:p>
    <w:p w14:paraId="7F4D5F54">
      <w:pPr>
        <w:pStyle w:val="16"/>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                      招标编号:             包号:</w:t>
      </w:r>
    </w:p>
    <w:p w14:paraId="5434D742">
      <w:pPr>
        <w:pStyle w:val="16"/>
        <w:spacing w:line="360" w:lineRule="auto"/>
        <w:ind w:left="1080" w:leftChars="257" w:hanging="540"/>
        <w:rPr>
          <w:rFonts w:hint="eastAsia" w:ascii="仿宋" w:hAnsi="仿宋" w:eastAsia="仿宋" w:cs="仿宋"/>
          <w:color w:val="auto"/>
          <w:sz w:val="24"/>
          <w:highlight w:val="none"/>
        </w:rPr>
      </w:pPr>
    </w:p>
    <w:tbl>
      <w:tblPr>
        <w:tblStyle w:val="31"/>
        <w:tblW w:w="8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2870"/>
        <w:gridCol w:w="2853"/>
        <w:gridCol w:w="1365"/>
      </w:tblGrid>
      <w:tr w14:paraId="2E0A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31" w:type="dxa"/>
            <w:noWrap w:val="0"/>
            <w:vAlign w:val="center"/>
          </w:tcPr>
          <w:p w14:paraId="21598B77">
            <w:pPr>
              <w:pStyle w:val="16"/>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2870" w:type="dxa"/>
            <w:noWrap w:val="0"/>
            <w:vAlign w:val="center"/>
          </w:tcPr>
          <w:p w14:paraId="373C9129">
            <w:pPr>
              <w:pStyle w:val="16"/>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招标文件的商务条款</w:t>
            </w:r>
          </w:p>
        </w:tc>
        <w:tc>
          <w:tcPr>
            <w:tcW w:w="2853" w:type="dxa"/>
            <w:noWrap w:val="0"/>
            <w:vAlign w:val="center"/>
          </w:tcPr>
          <w:p w14:paraId="7BB9F7B7">
            <w:pPr>
              <w:pStyle w:val="16"/>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投标文件的商务条款</w:t>
            </w:r>
          </w:p>
        </w:tc>
        <w:tc>
          <w:tcPr>
            <w:tcW w:w="1365" w:type="dxa"/>
            <w:noWrap w:val="0"/>
            <w:vAlign w:val="center"/>
          </w:tcPr>
          <w:p w14:paraId="2CFB6D9A">
            <w:pPr>
              <w:pStyle w:val="16"/>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偏离说明</w:t>
            </w:r>
          </w:p>
        </w:tc>
      </w:tr>
      <w:tr w14:paraId="365A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noWrap w:val="0"/>
            <w:vAlign w:val="top"/>
          </w:tcPr>
          <w:p w14:paraId="7F8BD5A9">
            <w:pPr>
              <w:pStyle w:val="16"/>
              <w:spacing w:line="360" w:lineRule="auto"/>
              <w:ind w:left="1080" w:leftChars="257" w:hanging="540"/>
              <w:rPr>
                <w:rFonts w:hint="eastAsia" w:ascii="仿宋" w:hAnsi="仿宋" w:eastAsia="仿宋" w:cs="仿宋"/>
                <w:color w:val="auto"/>
                <w:szCs w:val="21"/>
                <w:highlight w:val="none"/>
              </w:rPr>
            </w:pPr>
          </w:p>
        </w:tc>
        <w:tc>
          <w:tcPr>
            <w:tcW w:w="2870" w:type="dxa"/>
            <w:noWrap w:val="0"/>
            <w:vAlign w:val="top"/>
          </w:tcPr>
          <w:p w14:paraId="76794F44">
            <w:pPr>
              <w:pStyle w:val="16"/>
              <w:spacing w:line="360" w:lineRule="auto"/>
              <w:ind w:left="1080" w:leftChars="257" w:hanging="540"/>
              <w:jc w:val="center"/>
              <w:rPr>
                <w:rFonts w:hint="eastAsia" w:ascii="仿宋" w:hAnsi="仿宋" w:eastAsia="仿宋" w:cs="仿宋"/>
                <w:color w:val="auto"/>
                <w:szCs w:val="21"/>
                <w:highlight w:val="none"/>
              </w:rPr>
            </w:pPr>
          </w:p>
        </w:tc>
        <w:tc>
          <w:tcPr>
            <w:tcW w:w="2853" w:type="dxa"/>
            <w:noWrap w:val="0"/>
            <w:vAlign w:val="top"/>
          </w:tcPr>
          <w:p w14:paraId="3541A182">
            <w:pPr>
              <w:pStyle w:val="16"/>
              <w:spacing w:line="360" w:lineRule="auto"/>
              <w:ind w:left="1080" w:leftChars="257" w:hanging="540"/>
              <w:jc w:val="center"/>
              <w:rPr>
                <w:rFonts w:hint="eastAsia" w:ascii="仿宋" w:hAnsi="仿宋" w:eastAsia="仿宋" w:cs="仿宋"/>
                <w:color w:val="auto"/>
                <w:szCs w:val="21"/>
                <w:highlight w:val="none"/>
              </w:rPr>
            </w:pPr>
          </w:p>
        </w:tc>
        <w:tc>
          <w:tcPr>
            <w:tcW w:w="1365" w:type="dxa"/>
            <w:noWrap w:val="0"/>
            <w:vAlign w:val="top"/>
          </w:tcPr>
          <w:p w14:paraId="4572D155">
            <w:pPr>
              <w:pStyle w:val="16"/>
              <w:spacing w:line="360" w:lineRule="auto"/>
              <w:ind w:left="1080" w:leftChars="257" w:hanging="540"/>
              <w:rPr>
                <w:rFonts w:hint="eastAsia" w:ascii="仿宋" w:hAnsi="仿宋" w:eastAsia="仿宋" w:cs="仿宋"/>
                <w:color w:val="auto"/>
                <w:szCs w:val="21"/>
                <w:highlight w:val="none"/>
              </w:rPr>
            </w:pPr>
          </w:p>
        </w:tc>
      </w:tr>
      <w:tr w14:paraId="471A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noWrap w:val="0"/>
            <w:vAlign w:val="top"/>
          </w:tcPr>
          <w:p w14:paraId="54F05378">
            <w:pPr>
              <w:pStyle w:val="16"/>
              <w:spacing w:line="360" w:lineRule="auto"/>
              <w:ind w:left="1080" w:leftChars="257" w:hanging="540"/>
              <w:rPr>
                <w:rFonts w:hint="eastAsia" w:ascii="仿宋" w:hAnsi="仿宋" w:eastAsia="仿宋" w:cs="仿宋"/>
                <w:color w:val="auto"/>
                <w:szCs w:val="21"/>
                <w:highlight w:val="none"/>
              </w:rPr>
            </w:pPr>
          </w:p>
        </w:tc>
        <w:tc>
          <w:tcPr>
            <w:tcW w:w="2870" w:type="dxa"/>
            <w:noWrap w:val="0"/>
            <w:vAlign w:val="top"/>
          </w:tcPr>
          <w:p w14:paraId="3DB0359D">
            <w:pPr>
              <w:pStyle w:val="16"/>
              <w:spacing w:line="360" w:lineRule="auto"/>
              <w:ind w:left="1080" w:leftChars="257" w:hanging="540"/>
              <w:rPr>
                <w:rFonts w:hint="eastAsia" w:ascii="仿宋" w:hAnsi="仿宋" w:eastAsia="仿宋" w:cs="仿宋"/>
                <w:color w:val="auto"/>
                <w:szCs w:val="21"/>
                <w:highlight w:val="none"/>
              </w:rPr>
            </w:pPr>
          </w:p>
        </w:tc>
        <w:tc>
          <w:tcPr>
            <w:tcW w:w="2853" w:type="dxa"/>
            <w:noWrap w:val="0"/>
            <w:vAlign w:val="top"/>
          </w:tcPr>
          <w:p w14:paraId="1B1480AE">
            <w:pPr>
              <w:pStyle w:val="16"/>
              <w:spacing w:line="360" w:lineRule="auto"/>
              <w:ind w:left="1080" w:leftChars="257" w:hanging="540"/>
              <w:rPr>
                <w:rFonts w:hint="eastAsia" w:ascii="仿宋" w:hAnsi="仿宋" w:eastAsia="仿宋" w:cs="仿宋"/>
                <w:color w:val="auto"/>
                <w:szCs w:val="21"/>
                <w:highlight w:val="none"/>
              </w:rPr>
            </w:pPr>
          </w:p>
        </w:tc>
        <w:tc>
          <w:tcPr>
            <w:tcW w:w="1365" w:type="dxa"/>
            <w:noWrap w:val="0"/>
            <w:vAlign w:val="top"/>
          </w:tcPr>
          <w:p w14:paraId="55EE0B04">
            <w:pPr>
              <w:pStyle w:val="16"/>
              <w:spacing w:line="360" w:lineRule="auto"/>
              <w:ind w:left="1080" w:leftChars="257" w:hanging="540"/>
              <w:rPr>
                <w:rFonts w:hint="eastAsia" w:ascii="仿宋" w:hAnsi="仿宋" w:eastAsia="仿宋" w:cs="仿宋"/>
                <w:color w:val="auto"/>
                <w:szCs w:val="21"/>
                <w:highlight w:val="none"/>
              </w:rPr>
            </w:pPr>
          </w:p>
        </w:tc>
      </w:tr>
      <w:tr w14:paraId="23DD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noWrap w:val="0"/>
            <w:vAlign w:val="top"/>
          </w:tcPr>
          <w:p w14:paraId="5D0A1689">
            <w:pPr>
              <w:pStyle w:val="16"/>
              <w:spacing w:line="360" w:lineRule="auto"/>
              <w:ind w:left="1080" w:leftChars="257" w:hanging="540"/>
              <w:rPr>
                <w:rFonts w:hint="eastAsia" w:ascii="仿宋" w:hAnsi="仿宋" w:eastAsia="仿宋" w:cs="仿宋"/>
                <w:color w:val="auto"/>
                <w:szCs w:val="21"/>
                <w:highlight w:val="none"/>
              </w:rPr>
            </w:pPr>
          </w:p>
        </w:tc>
        <w:tc>
          <w:tcPr>
            <w:tcW w:w="2870" w:type="dxa"/>
            <w:noWrap w:val="0"/>
            <w:vAlign w:val="top"/>
          </w:tcPr>
          <w:p w14:paraId="1897C83B">
            <w:pPr>
              <w:pStyle w:val="16"/>
              <w:spacing w:line="360" w:lineRule="auto"/>
              <w:ind w:left="1080" w:leftChars="257" w:hanging="540"/>
              <w:rPr>
                <w:rFonts w:hint="eastAsia" w:ascii="仿宋" w:hAnsi="仿宋" w:eastAsia="仿宋" w:cs="仿宋"/>
                <w:color w:val="auto"/>
                <w:szCs w:val="21"/>
                <w:highlight w:val="none"/>
              </w:rPr>
            </w:pPr>
          </w:p>
        </w:tc>
        <w:tc>
          <w:tcPr>
            <w:tcW w:w="2853" w:type="dxa"/>
            <w:noWrap w:val="0"/>
            <w:vAlign w:val="top"/>
          </w:tcPr>
          <w:p w14:paraId="2566C155">
            <w:pPr>
              <w:pStyle w:val="16"/>
              <w:spacing w:line="360" w:lineRule="auto"/>
              <w:ind w:left="1080" w:leftChars="257" w:hanging="540"/>
              <w:rPr>
                <w:rFonts w:hint="eastAsia" w:ascii="仿宋" w:hAnsi="仿宋" w:eastAsia="仿宋" w:cs="仿宋"/>
                <w:color w:val="auto"/>
                <w:szCs w:val="21"/>
                <w:highlight w:val="none"/>
              </w:rPr>
            </w:pPr>
          </w:p>
        </w:tc>
        <w:tc>
          <w:tcPr>
            <w:tcW w:w="1365" w:type="dxa"/>
            <w:noWrap w:val="0"/>
            <w:vAlign w:val="top"/>
          </w:tcPr>
          <w:p w14:paraId="5C04F80B">
            <w:pPr>
              <w:pStyle w:val="16"/>
              <w:spacing w:line="360" w:lineRule="auto"/>
              <w:ind w:left="1080" w:leftChars="257" w:hanging="540"/>
              <w:rPr>
                <w:rFonts w:hint="eastAsia" w:ascii="仿宋" w:hAnsi="仿宋" w:eastAsia="仿宋" w:cs="仿宋"/>
                <w:color w:val="auto"/>
                <w:szCs w:val="21"/>
                <w:highlight w:val="none"/>
              </w:rPr>
            </w:pPr>
          </w:p>
        </w:tc>
      </w:tr>
      <w:tr w14:paraId="48A6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noWrap w:val="0"/>
            <w:vAlign w:val="top"/>
          </w:tcPr>
          <w:p w14:paraId="3C7E620B">
            <w:pPr>
              <w:pStyle w:val="16"/>
              <w:spacing w:line="360" w:lineRule="auto"/>
              <w:ind w:left="1080" w:leftChars="257" w:hanging="540"/>
              <w:rPr>
                <w:rFonts w:hint="eastAsia" w:ascii="仿宋" w:hAnsi="仿宋" w:eastAsia="仿宋" w:cs="仿宋"/>
                <w:color w:val="auto"/>
                <w:szCs w:val="21"/>
                <w:highlight w:val="none"/>
              </w:rPr>
            </w:pPr>
          </w:p>
        </w:tc>
        <w:tc>
          <w:tcPr>
            <w:tcW w:w="2870" w:type="dxa"/>
            <w:noWrap w:val="0"/>
            <w:vAlign w:val="top"/>
          </w:tcPr>
          <w:p w14:paraId="4E491BAC">
            <w:pPr>
              <w:pStyle w:val="16"/>
              <w:spacing w:line="360" w:lineRule="auto"/>
              <w:ind w:left="1080" w:leftChars="257" w:hanging="540"/>
              <w:rPr>
                <w:rFonts w:hint="eastAsia" w:ascii="仿宋" w:hAnsi="仿宋" w:eastAsia="仿宋" w:cs="仿宋"/>
                <w:color w:val="auto"/>
                <w:szCs w:val="21"/>
                <w:highlight w:val="none"/>
              </w:rPr>
            </w:pPr>
          </w:p>
        </w:tc>
        <w:tc>
          <w:tcPr>
            <w:tcW w:w="2853" w:type="dxa"/>
            <w:noWrap w:val="0"/>
            <w:vAlign w:val="top"/>
          </w:tcPr>
          <w:p w14:paraId="2266852D">
            <w:pPr>
              <w:pStyle w:val="16"/>
              <w:spacing w:line="360" w:lineRule="auto"/>
              <w:ind w:left="1080" w:leftChars="257" w:hanging="540"/>
              <w:rPr>
                <w:rFonts w:hint="eastAsia" w:ascii="仿宋" w:hAnsi="仿宋" w:eastAsia="仿宋" w:cs="仿宋"/>
                <w:color w:val="auto"/>
                <w:szCs w:val="21"/>
                <w:highlight w:val="none"/>
              </w:rPr>
            </w:pPr>
          </w:p>
        </w:tc>
        <w:tc>
          <w:tcPr>
            <w:tcW w:w="1365" w:type="dxa"/>
            <w:noWrap w:val="0"/>
            <w:vAlign w:val="top"/>
          </w:tcPr>
          <w:p w14:paraId="151449A8">
            <w:pPr>
              <w:pStyle w:val="16"/>
              <w:spacing w:line="360" w:lineRule="auto"/>
              <w:ind w:left="1080" w:leftChars="257" w:hanging="540"/>
              <w:rPr>
                <w:rFonts w:hint="eastAsia" w:ascii="仿宋" w:hAnsi="仿宋" w:eastAsia="仿宋" w:cs="仿宋"/>
                <w:color w:val="auto"/>
                <w:szCs w:val="21"/>
                <w:highlight w:val="none"/>
              </w:rPr>
            </w:pPr>
          </w:p>
        </w:tc>
      </w:tr>
      <w:tr w14:paraId="1CD4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noWrap w:val="0"/>
            <w:vAlign w:val="top"/>
          </w:tcPr>
          <w:p w14:paraId="143F771B">
            <w:pPr>
              <w:pStyle w:val="16"/>
              <w:spacing w:line="360" w:lineRule="auto"/>
              <w:ind w:left="1080" w:leftChars="257" w:hanging="540"/>
              <w:rPr>
                <w:rFonts w:hint="eastAsia" w:ascii="仿宋" w:hAnsi="仿宋" w:eastAsia="仿宋" w:cs="仿宋"/>
                <w:color w:val="auto"/>
                <w:szCs w:val="21"/>
                <w:highlight w:val="none"/>
              </w:rPr>
            </w:pPr>
          </w:p>
        </w:tc>
        <w:tc>
          <w:tcPr>
            <w:tcW w:w="2870" w:type="dxa"/>
            <w:noWrap w:val="0"/>
            <w:vAlign w:val="top"/>
          </w:tcPr>
          <w:p w14:paraId="31CCE3C8">
            <w:pPr>
              <w:pStyle w:val="16"/>
              <w:spacing w:line="360" w:lineRule="auto"/>
              <w:ind w:left="1080" w:leftChars="257" w:hanging="540"/>
              <w:rPr>
                <w:rFonts w:hint="eastAsia" w:ascii="仿宋" w:hAnsi="仿宋" w:eastAsia="仿宋" w:cs="仿宋"/>
                <w:color w:val="auto"/>
                <w:szCs w:val="21"/>
                <w:highlight w:val="none"/>
              </w:rPr>
            </w:pPr>
          </w:p>
        </w:tc>
        <w:tc>
          <w:tcPr>
            <w:tcW w:w="2853" w:type="dxa"/>
            <w:noWrap w:val="0"/>
            <w:vAlign w:val="top"/>
          </w:tcPr>
          <w:p w14:paraId="2A3059BC">
            <w:pPr>
              <w:pStyle w:val="16"/>
              <w:spacing w:line="360" w:lineRule="auto"/>
              <w:ind w:left="1080" w:leftChars="257" w:hanging="540"/>
              <w:rPr>
                <w:rFonts w:hint="eastAsia" w:ascii="仿宋" w:hAnsi="仿宋" w:eastAsia="仿宋" w:cs="仿宋"/>
                <w:color w:val="auto"/>
                <w:szCs w:val="21"/>
                <w:highlight w:val="none"/>
              </w:rPr>
            </w:pPr>
          </w:p>
        </w:tc>
        <w:tc>
          <w:tcPr>
            <w:tcW w:w="1365" w:type="dxa"/>
            <w:noWrap w:val="0"/>
            <w:vAlign w:val="top"/>
          </w:tcPr>
          <w:p w14:paraId="7154D414">
            <w:pPr>
              <w:pStyle w:val="16"/>
              <w:spacing w:line="360" w:lineRule="auto"/>
              <w:ind w:left="1080" w:leftChars="257" w:hanging="540"/>
              <w:rPr>
                <w:rFonts w:hint="eastAsia" w:ascii="仿宋" w:hAnsi="仿宋" w:eastAsia="仿宋" w:cs="仿宋"/>
                <w:color w:val="auto"/>
                <w:szCs w:val="21"/>
                <w:highlight w:val="none"/>
              </w:rPr>
            </w:pPr>
          </w:p>
        </w:tc>
      </w:tr>
      <w:tr w14:paraId="00F9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noWrap w:val="0"/>
            <w:vAlign w:val="top"/>
          </w:tcPr>
          <w:p w14:paraId="5F828F1E">
            <w:pPr>
              <w:pStyle w:val="16"/>
              <w:spacing w:line="360" w:lineRule="auto"/>
              <w:ind w:left="1080" w:leftChars="257" w:hanging="540"/>
              <w:rPr>
                <w:rFonts w:hint="eastAsia" w:ascii="仿宋" w:hAnsi="仿宋" w:eastAsia="仿宋" w:cs="仿宋"/>
                <w:color w:val="auto"/>
                <w:szCs w:val="21"/>
                <w:highlight w:val="none"/>
              </w:rPr>
            </w:pPr>
          </w:p>
        </w:tc>
        <w:tc>
          <w:tcPr>
            <w:tcW w:w="2870" w:type="dxa"/>
            <w:noWrap w:val="0"/>
            <w:vAlign w:val="top"/>
          </w:tcPr>
          <w:p w14:paraId="2BC392C4">
            <w:pPr>
              <w:pStyle w:val="16"/>
              <w:spacing w:line="360" w:lineRule="auto"/>
              <w:ind w:left="1080" w:leftChars="257" w:hanging="540"/>
              <w:rPr>
                <w:rFonts w:hint="eastAsia" w:ascii="仿宋" w:hAnsi="仿宋" w:eastAsia="仿宋" w:cs="仿宋"/>
                <w:color w:val="auto"/>
                <w:szCs w:val="21"/>
                <w:highlight w:val="none"/>
              </w:rPr>
            </w:pPr>
          </w:p>
        </w:tc>
        <w:tc>
          <w:tcPr>
            <w:tcW w:w="2853" w:type="dxa"/>
            <w:noWrap w:val="0"/>
            <w:vAlign w:val="top"/>
          </w:tcPr>
          <w:p w14:paraId="578DD22D">
            <w:pPr>
              <w:pStyle w:val="16"/>
              <w:spacing w:line="360" w:lineRule="auto"/>
              <w:ind w:left="1080" w:leftChars="257" w:hanging="540"/>
              <w:rPr>
                <w:rFonts w:hint="eastAsia" w:ascii="仿宋" w:hAnsi="仿宋" w:eastAsia="仿宋" w:cs="仿宋"/>
                <w:color w:val="auto"/>
                <w:szCs w:val="21"/>
                <w:highlight w:val="none"/>
              </w:rPr>
            </w:pPr>
          </w:p>
        </w:tc>
        <w:tc>
          <w:tcPr>
            <w:tcW w:w="1365" w:type="dxa"/>
            <w:noWrap w:val="0"/>
            <w:vAlign w:val="top"/>
          </w:tcPr>
          <w:p w14:paraId="72753A27">
            <w:pPr>
              <w:pStyle w:val="16"/>
              <w:spacing w:line="360" w:lineRule="auto"/>
              <w:ind w:left="1080" w:leftChars="257" w:hanging="540"/>
              <w:rPr>
                <w:rFonts w:hint="eastAsia" w:ascii="仿宋" w:hAnsi="仿宋" w:eastAsia="仿宋" w:cs="仿宋"/>
                <w:color w:val="auto"/>
                <w:szCs w:val="21"/>
                <w:highlight w:val="none"/>
              </w:rPr>
            </w:pPr>
          </w:p>
        </w:tc>
      </w:tr>
      <w:tr w14:paraId="31F6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131" w:type="dxa"/>
            <w:noWrap w:val="0"/>
            <w:vAlign w:val="top"/>
          </w:tcPr>
          <w:p w14:paraId="1C8D16AC">
            <w:pPr>
              <w:pStyle w:val="16"/>
              <w:spacing w:line="360" w:lineRule="auto"/>
              <w:ind w:left="1080" w:leftChars="257" w:hanging="540"/>
              <w:rPr>
                <w:rFonts w:hint="eastAsia" w:ascii="仿宋" w:hAnsi="仿宋" w:eastAsia="仿宋" w:cs="仿宋"/>
                <w:color w:val="auto"/>
                <w:szCs w:val="21"/>
                <w:highlight w:val="none"/>
              </w:rPr>
            </w:pPr>
          </w:p>
        </w:tc>
        <w:tc>
          <w:tcPr>
            <w:tcW w:w="2870" w:type="dxa"/>
            <w:noWrap w:val="0"/>
            <w:vAlign w:val="top"/>
          </w:tcPr>
          <w:p w14:paraId="1C3879F8">
            <w:pPr>
              <w:pStyle w:val="16"/>
              <w:spacing w:line="360" w:lineRule="auto"/>
              <w:ind w:left="1080" w:leftChars="257" w:hanging="540"/>
              <w:rPr>
                <w:rFonts w:hint="eastAsia" w:ascii="仿宋" w:hAnsi="仿宋" w:eastAsia="仿宋" w:cs="仿宋"/>
                <w:color w:val="auto"/>
                <w:szCs w:val="21"/>
                <w:highlight w:val="none"/>
              </w:rPr>
            </w:pPr>
          </w:p>
        </w:tc>
        <w:tc>
          <w:tcPr>
            <w:tcW w:w="2853" w:type="dxa"/>
            <w:noWrap w:val="0"/>
            <w:vAlign w:val="top"/>
          </w:tcPr>
          <w:p w14:paraId="0FAE4E31">
            <w:pPr>
              <w:pStyle w:val="16"/>
              <w:spacing w:line="360" w:lineRule="auto"/>
              <w:ind w:left="1080" w:leftChars="257" w:hanging="540"/>
              <w:rPr>
                <w:rFonts w:hint="eastAsia" w:ascii="仿宋" w:hAnsi="仿宋" w:eastAsia="仿宋" w:cs="仿宋"/>
                <w:color w:val="auto"/>
                <w:szCs w:val="21"/>
                <w:highlight w:val="none"/>
              </w:rPr>
            </w:pPr>
          </w:p>
        </w:tc>
        <w:tc>
          <w:tcPr>
            <w:tcW w:w="1365" w:type="dxa"/>
            <w:noWrap w:val="0"/>
            <w:vAlign w:val="top"/>
          </w:tcPr>
          <w:p w14:paraId="2DE0996B">
            <w:pPr>
              <w:pStyle w:val="16"/>
              <w:spacing w:line="360" w:lineRule="auto"/>
              <w:ind w:left="1080" w:leftChars="257" w:hanging="540"/>
              <w:rPr>
                <w:rFonts w:hint="eastAsia" w:ascii="仿宋" w:hAnsi="仿宋" w:eastAsia="仿宋" w:cs="仿宋"/>
                <w:color w:val="auto"/>
                <w:szCs w:val="21"/>
                <w:highlight w:val="none"/>
              </w:rPr>
            </w:pPr>
          </w:p>
        </w:tc>
      </w:tr>
    </w:tbl>
    <w:p w14:paraId="1D11AE9E">
      <w:pPr>
        <w:pStyle w:val="16"/>
        <w:adjustRightInd w:val="0"/>
        <w:snapToGrid w:val="0"/>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注：1.有偏离的商务条款须在该表中逐一列明，并在“投标文件的商务条款”栏填写具体应答内容，在“偏离说明”中说明偏离具体情形。若无偏离请在“投标文件的商务条款”中填写“无偏离”。</w:t>
      </w:r>
    </w:p>
    <w:p w14:paraId="7847AAB6">
      <w:pPr>
        <w:pStyle w:val="16"/>
        <w:adjustRightInd w:val="0"/>
        <w:snapToGrid w:val="0"/>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2.未声明部分将被视为已接受招标文件要求，签约时未经招标方同意不得改变。</w:t>
      </w:r>
    </w:p>
    <w:p w14:paraId="7B9CF467">
      <w:pPr>
        <w:pStyle w:val="16"/>
        <w:adjustRightInd w:val="0"/>
        <w:snapToGrid w:val="0"/>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3.投标人可根据其投标内容进一步细化上述表格，并可增添其它表格或说明以便进一步明确响应内容。</w:t>
      </w:r>
    </w:p>
    <w:p w14:paraId="63843051">
      <w:pPr>
        <w:pStyle w:val="16"/>
        <w:spacing w:line="360" w:lineRule="auto"/>
        <w:rPr>
          <w:rFonts w:hint="eastAsia" w:ascii="仿宋" w:hAnsi="仿宋" w:eastAsia="仿宋" w:cs="仿宋"/>
          <w:color w:val="auto"/>
          <w:szCs w:val="21"/>
          <w:highlight w:val="none"/>
        </w:rPr>
      </w:pPr>
    </w:p>
    <w:p w14:paraId="22A4809C">
      <w:pPr>
        <w:pStyle w:val="16"/>
        <w:spacing w:line="360" w:lineRule="auto"/>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法定代表人或授权代表（签字或盖电子章）</w:t>
      </w:r>
      <w:r>
        <w:rPr>
          <w:rFonts w:hint="eastAsia" w:ascii="仿宋" w:hAnsi="仿宋" w:eastAsia="仿宋" w:cs="仿宋"/>
          <w:color w:val="auto"/>
          <w:sz w:val="24"/>
          <w:highlight w:val="none"/>
          <w:u w:val="single"/>
        </w:rPr>
        <w:tab/>
      </w:r>
    </w:p>
    <w:p w14:paraId="1A888420">
      <w:pPr>
        <w:pStyle w:val="16"/>
        <w:tabs>
          <w:tab w:val="left" w:pos="5580"/>
        </w:tabs>
        <w:spacing w:line="360" w:lineRule="auto"/>
        <w:ind w:left="1079" w:leftChars="257" w:hanging="539"/>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投标人(盖电子章):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762EA8E8">
      <w:pPr>
        <w:pStyle w:val="16"/>
        <w:tabs>
          <w:tab w:val="left" w:pos="5580"/>
        </w:tabs>
        <w:spacing w:line="360" w:lineRule="auto"/>
        <w:ind w:left="1079" w:leftChars="257" w:hanging="539"/>
        <w:rPr>
          <w:rFonts w:hint="eastAsia" w:ascii="仿宋" w:hAnsi="仿宋" w:eastAsia="仿宋" w:cs="仿宋"/>
          <w:color w:val="auto"/>
          <w:sz w:val="24"/>
          <w:highlight w:val="none"/>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color w:val="auto"/>
          <w:sz w:val="24"/>
          <w:highlight w:val="none"/>
        </w:rPr>
        <w:t>日期：</w:t>
      </w:r>
    </w:p>
    <w:p w14:paraId="57A6AEF9">
      <w:pPr>
        <w:pStyle w:val="16"/>
        <w:spacing w:line="360" w:lineRule="auto"/>
        <w:rPr>
          <w:rFonts w:hint="eastAsia" w:ascii="仿宋" w:hAnsi="仿宋" w:eastAsia="仿宋" w:cs="仿宋"/>
          <w:b/>
          <w:color w:val="auto"/>
          <w:sz w:val="24"/>
          <w:szCs w:val="24"/>
          <w:highlight w:val="none"/>
        </w:rPr>
      </w:pPr>
      <w:bookmarkStart w:id="101" w:name="_Ref467988543"/>
      <w:bookmarkStart w:id="102" w:name="_Toc520356224"/>
      <w:bookmarkStart w:id="103" w:name="_Toc480942355"/>
      <w:bookmarkStart w:id="104" w:name="_Toc216582819"/>
      <w:bookmarkStart w:id="105" w:name="_Toc9592"/>
      <w:bookmarkStart w:id="106" w:name="_Toc507399535"/>
      <w:bookmarkStart w:id="107" w:name="_Toc20238"/>
      <w:r>
        <w:rPr>
          <w:rFonts w:hint="eastAsia" w:ascii="仿宋" w:hAnsi="仿宋" w:eastAsia="仿宋" w:cs="仿宋"/>
          <w:b/>
          <w:color w:val="auto"/>
          <w:sz w:val="24"/>
          <w:szCs w:val="24"/>
          <w:highlight w:val="none"/>
        </w:rPr>
        <w:t xml:space="preserve">附件9   </w:t>
      </w:r>
      <w:bookmarkEnd w:id="101"/>
      <w:bookmarkEnd w:id="102"/>
      <w:bookmarkEnd w:id="103"/>
      <w:bookmarkEnd w:id="104"/>
      <w:bookmarkEnd w:id="105"/>
      <w:bookmarkEnd w:id="106"/>
      <w:bookmarkEnd w:id="107"/>
      <w:bookmarkStart w:id="108" w:name="_Hlt520273973"/>
      <w:bookmarkEnd w:id="108"/>
      <w:bookmarkStart w:id="109" w:name="_Hlt520274407"/>
      <w:bookmarkEnd w:id="109"/>
      <w:bookmarkStart w:id="110" w:name="_Hlt520350918"/>
      <w:bookmarkEnd w:id="110"/>
      <w:bookmarkStart w:id="111" w:name="_Hlt520273711"/>
      <w:bookmarkEnd w:id="111"/>
      <w:bookmarkStart w:id="112" w:name="_Hlt520274393"/>
      <w:bookmarkEnd w:id="112"/>
      <w:bookmarkStart w:id="113" w:name="_Hlt520274065"/>
      <w:bookmarkEnd w:id="113"/>
      <w:bookmarkStart w:id="114" w:name="_Hlt520343000"/>
      <w:bookmarkEnd w:id="114"/>
      <w:bookmarkStart w:id="115" w:name="_Hlt520350957"/>
      <w:bookmarkEnd w:id="115"/>
      <w:bookmarkStart w:id="116" w:name="_Hlt520343392"/>
      <w:bookmarkEnd w:id="116"/>
      <w:bookmarkStart w:id="117" w:name="_Hlt520274911"/>
      <w:bookmarkEnd w:id="117"/>
      <w:bookmarkStart w:id="118" w:name="_Hlt520271212"/>
      <w:bookmarkEnd w:id="118"/>
      <w:bookmarkStart w:id="119" w:name="_Toc216582821"/>
      <w:bookmarkStart w:id="120" w:name="_Toc216513801"/>
      <w:r>
        <w:rPr>
          <w:rFonts w:hint="eastAsia" w:ascii="仿宋" w:hAnsi="仿宋" w:eastAsia="仿宋" w:cs="仿宋"/>
          <w:b/>
          <w:color w:val="auto"/>
          <w:sz w:val="24"/>
          <w:szCs w:val="24"/>
          <w:highlight w:val="none"/>
        </w:rPr>
        <w:t>分项报价承诺函</w:t>
      </w:r>
    </w:p>
    <w:p w14:paraId="2736BFF4">
      <w:pPr>
        <w:spacing w:line="360" w:lineRule="auto"/>
        <w:ind w:left="1080" w:leftChars="257" w:hanging="540"/>
        <w:rPr>
          <w:rFonts w:hint="eastAsia" w:ascii="仿宋" w:hAnsi="仿宋" w:eastAsia="仿宋" w:cs="仿宋"/>
          <w:b/>
          <w:color w:val="auto"/>
          <w:sz w:val="24"/>
          <w:highlight w:val="none"/>
        </w:rPr>
      </w:pPr>
    </w:p>
    <w:p w14:paraId="0BB82561">
      <w:pPr>
        <w:spacing w:line="360" w:lineRule="auto"/>
        <w:ind w:left="1080" w:leftChars="257" w:hanging="540"/>
        <w:jc w:val="center"/>
        <w:rPr>
          <w:rFonts w:hint="eastAsia" w:ascii="仿宋" w:hAnsi="仿宋" w:eastAsia="仿宋" w:cs="仿宋"/>
          <w:b/>
          <w:bCs/>
          <w:color w:val="auto"/>
          <w:sz w:val="24"/>
          <w:highlight w:val="none"/>
        </w:rPr>
      </w:pPr>
      <w:r>
        <w:rPr>
          <w:rFonts w:hint="eastAsia" w:ascii="仿宋" w:hAnsi="仿宋" w:eastAsia="仿宋" w:cs="仿宋"/>
          <w:b/>
          <w:color w:val="auto"/>
          <w:sz w:val="24"/>
          <w:szCs w:val="24"/>
          <w:highlight w:val="none"/>
        </w:rPr>
        <w:t>分项报价承诺函</w:t>
      </w:r>
    </w:p>
    <w:bookmarkEnd w:id="119"/>
    <w:bookmarkEnd w:id="120"/>
    <w:p w14:paraId="6A1913B1">
      <w:pPr>
        <w:pStyle w:val="29"/>
        <w:ind w:firstLine="210"/>
        <w:rPr>
          <w:rFonts w:hint="eastAsia" w:ascii="仿宋" w:hAnsi="仿宋" w:eastAsia="仿宋" w:cs="仿宋"/>
        </w:rPr>
      </w:pPr>
    </w:p>
    <w:p w14:paraId="71E95248">
      <w:pPr>
        <w:widowControl/>
        <w:adjustRightInd w:val="0"/>
        <w:snapToGrid w:val="0"/>
        <w:spacing w:line="360" w:lineRule="auto"/>
        <w:jc w:val="left"/>
        <w:rPr>
          <w:rFonts w:hint="eastAsia" w:ascii="仿宋" w:hAnsi="仿宋" w:eastAsia="仿宋" w:cs="仿宋"/>
          <w:spacing w:val="6"/>
          <w:kern w:val="0"/>
          <w:sz w:val="24"/>
          <w:szCs w:val="24"/>
        </w:rPr>
      </w:pPr>
      <w:r>
        <w:rPr>
          <w:rFonts w:hint="eastAsia" w:ascii="仿宋" w:hAnsi="仿宋" w:eastAsia="仿宋" w:cs="仿宋"/>
          <w:spacing w:val="6"/>
          <w:kern w:val="0"/>
          <w:sz w:val="24"/>
          <w:szCs w:val="24"/>
          <w:u w:val="single"/>
        </w:rPr>
        <w:t xml:space="preserve">    采购人    </w:t>
      </w:r>
      <w:r>
        <w:rPr>
          <w:rFonts w:hint="eastAsia" w:ascii="仿宋" w:hAnsi="仿宋" w:eastAsia="仿宋" w:cs="仿宋"/>
          <w:spacing w:val="6"/>
          <w:kern w:val="0"/>
          <w:sz w:val="24"/>
          <w:szCs w:val="24"/>
        </w:rPr>
        <w:t>：</w:t>
      </w:r>
    </w:p>
    <w:p w14:paraId="2634A170">
      <w:pPr>
        <w:spacing w:line="360" w:lineRule="auto"/>
        <w:ind w:firstLine="480" w:firstLineChars="200"/>
        <w:rPr>
          <w:rFonts w:hint="eastAsia" w:ascii="仿宋" w:hAnsi="仿宋" w:eastAsia="仿宋" w:cs="仿宋"/>
          <w:bCs/>
          <w:sz w:val="24"/>
          <w:szCs w:val="24"/>
          <w:shd w:val="clear" w:color="auto" w:fill="FFFFFF"/>
        </w:rPr>
      </w:pPr>
      <w:r>
        <w:rPr>
          <w:rFonts w:hint="eastAsia" w:ascii="仿宋" w:hAnsi="仿宋" w:eastAsia="仿宋" w:cs="仿宋"/>
          <w:bCs/>
          <w:sz w:val="24"/>
          <w:szCs w:val="24"/>
          <w:shd w:val="clear" w:color="auto" w:fill="FFFFFF"/>
        </w:rPr>
        <w:t>我公司参加贵单位组织的</w:t>
      </w:r>
      <w:r>
        <w:rPr>
          <w:rFonts w:hint="eastAsia" w:ascii="仿宋" w:hAnsi="仿宋" w:eastAsia="仿宋" w:cs="仿宋"/>
          <w:bCs/>
          <w:sz w:val="24"/>
          <w:szCs w:val="24"/>
          <w:u w:val="single"/>
          <w:shd w:val="clear" w:color="auto" w:fill="FFFFFF"/>
        </w:rPr>
        <w:t xml:space="preserve">           </w:t>
      </w:r>
      <w:r>
        <w:rPr>
          <w:rFonts w:hint="eastAsia" w:ascii="仿宋" w:hAnsi="仿宋" w:eastAsia="仿宋" w:cs="仿宋"/>
          <w:bCs/>
          <w:sz w:val="24"/>
          <w:szCs w:val="24"/>
          <w:shd w:val="clear" w:color="auto" w:fill="FFFFFF"/>
        </w:rPr>
        <w:t>(项目名称)招标活动，郑重承诺：我单位所填分项报价表中的单价时请合理分配产品利润，产品单价不得出现严重偏离市场单价金额情况（如出现视为价格歧视情形）；后续确实出现上述情形，采购人可针对该产品进行三方询价，以询价后均价作为单价修订偏离实际单价，签订合同。修订单价后产生的优惠，视为我单位自行让利行为。</w:t>
      </w:r>
    </w:p>
    <w:p w14:paraId="4949E5D6">
      <w:pPr>
        <w:spacing w:line="360" w:lineRule="auto"/>
        <w:ind w:firstLine="480" w:firstLineChars="200"/>
        <w:rPr>
          <w:rFonts w:hint="eastAsia" w:ascii="仿宋" w:hAnsi="仿宋" w:eastAsia="仿宋" w:cs="仿宋"/>
          <w:bCs/>
          <w:sz w:val="24"/>
          <w:szCs w:val="24"/>
          <w:shd w:val="clear" w:color="auto" w:fill="FFFFFF"/>
        </w:rPr>
      </w:pPr>
      <w:r>
        <w:rPr>
          <w:rFonts w:hint="eastAsia" w:ascii="仿宋" w:hAnsi="仿宋" w:eastAsia="仿宋" w:cs="仿宋"/>
          <w:bCs/>
          <w:sz w:val="24"/>
          <w:szCs w:val="24"/>
          <w:shd w:val="clear" w:color="auto" w:fill="FFFFFF"/>
        </w:rPr>
        <w:t>特此承诺！</w:t>
      </w:r>
    </w:p>
    <w:p w14:paraId="4B22433B">
      <w:pPr>
        <w:widowControl/>
        <w:adjustRightInd w:val="0"/>
        <w:snapToGrid w:val="0"/>
        <w:spacing w:line="360" w:lineRule="auto"/>
        <w:ind w:firstLine="504" w:firstLineChars="200"/>
        <w:rPr>
          <w:rFonts w:hint="eastAsia" w:ascii="仿宋" w:hAnsi="仿宋" w:eastAsia="仿宋" w:cs="仿宋"/>
          <w:spacing w:val="6"/>
          <w:kern w:val="0"/>
          <w:sz w:val="24"/>
          <w:szCs w:val="24"/>
        </w:rPr>
      </w:pPr>
    </w:p>
    <w:p w14:paraId="1D6F3A56">
      <w:pPr>
        <w:widowControl/>
        <w:adjustRightInd w:val="0"/>
        <w:snapToGrid w:val="0"/>
        <w:spacing w:line="360" w:lineRule="auto"/>
        <w:ind w:firstLine="504" w:firstLineChars="200"/>
        <w:rPr>
          <w:rFonts w:hint="eastAsia" w:ascii="仿宋" w:hAnsi="仿宋" w:eastAsia="仿宋" w:cs="仿宋"/>
          <w:spacing w:val="6"/>
          <w:kern w:val="0"/>
          <w:sz w:val="24"/>
          <w:szCs w:val="24"/>
        </w:rPr>
      </w:pPr>
    </w:p>
    <w:p w14:paraId="17BF0650">
      <w:pPr>
        <w:widowControl/>
        <w:adjustRightInd w:val="0"/>
        <w:snapToGrid w:val="0"/>
        <w:spacing w:line="360" w:lineRule="auto"/>
        <w:ind w:firstLine="504" w:firstLineChars="200"/>
        <w:rPr>
          <w:rFonts w:hint="eastAsia" w:ascii="仿宋" w:hAnsi="仿宋" w:eastAsia="仿宋" w:cs="仿宋"/>
          <w:spacing w:val="6"/>
          <w:kern w:val="0"/>
          <w:sz w:val="24"/>
          <w:szCs w:val="24"/>
        </w:rPr>
      </w:pPr>
    </w:p>
    <w:p w14:paraId="08718590">
      <w:pPr>
        <w:widowControl/>
        <w:adjustRightInd w:val="0"/>
        <w:snapToGrid w:val="0"/>
        <w:spacing w:line="360" w:lineRule="auto"/>
        <w:ind w:firstLine="504" w:firstLineChars="200"/>
        <w:rPr>
          <w:rFonts w:hint="eastAsia" w:ascii="仿宋" w:hAnsi="仿宋" w:eastAsia="仿宋" w:cs="仿宋"/>
          <w:spacing w:val="6"/>
          <w:kern w:val="0"/>
          <w:sz w:val="24"/>
          <w:szCs w:val="24"/>
        </w:rPr>
      </w:pPr>
    </w:p>
    <w:p w14:paraId="3179164E">
      <w:pPr>
        <w:pStyle w:val="16"/>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法定代表人或授权代表（签字或盖电子章）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lang w:val="en-US" w:eastAsia="zh-CN"/>
        </w:rPr>
        <w:t xml:space="preserve">  </w:t>
      </w:r>
    </w:p>
    <w:p w14:paraId="425CD4C5">
      <w:pPr>
        <w:pStyle w:val="16"/>
        <w:tabs>
          <w:tab w:val="left" w:pos="5580"/>
        </w:tabs>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投标人(盖电子章):</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ab/>
      </w:r>
    </w:p>
    <w:p w14:paraId="622462D2">
      <w:pPr>
        <w:pStyle w:val="16"/>
        <w:tabs>
          <w:tab w:val="left" w:pos="5580"/>
        </w:tabs>
        <w:spacing w:line="360" w:lineRule="auto"/>
        <w:rPr>
          <w:rFonts w:hint="eastAsia" w:ascii="仿宋" w:hAnsi="仿宋" w:eastAsia="仿宋" w:cs="仿宋"/>
          <w:color w:val="auto"/>
          <w:sz w:val="24"/>
          <w:highlight w:val="none"/>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color w:val="auto"/>
          <w:sz w:val="24"/>
          <w:highlight w:val="none"/>
        </w:rPr>
        <w:t>日期：</w:t>
      </w:r>
    </w:p>
    <w:p w14:paraId="6A6B7CB6">
      <w:pPr>
        <w:pStyle w:val="16"/>
        <w:spacing w:line="360" w:lineRule="auto"/>
        <w:rPr>
          <w:rFonts w:hint="eastAsia" w:ascii="仿宋" w:hAnsi="仿宋" w:eastAsia="仿宋" w:cs="仿宋"/>
          <w:b/>
          <w:color w:val="auto"/>
          <w:sz w:val="24"/>
          <w:szCs w:val="24"/>
          <w:highlight w:val="none"/>
        </w:rPr>
      </w:pPr>
      <w:bookmarkStart w:id="121" w:name="_Toc1502"/>
      <w:bookmarkStart w:id="122" w:name="_Toc14711"/>
      <w:r>
        <w:rPr>
          <w:rFonts w:hint="eastAsia" w:ascii="仿宋" w:hAnsi="仿宋" w:eastAsia="仿宋" w:cs="仿宋"/>
          <w:b/>
          <w:color w:val="auto"/>
          <w:sz w:val="24"/>
          <w:szCs w:val="24"/>
          <w:highlight w:val="none"/>
        </w:rPr>
        <w:t>附件10-1</w:t>
      </w:r>
      <w:bookmarkStart w:id="123" w:name="_Toc71631935"/>
      <w:r>
        <w:rPr>
          <w:rFonts w:hint="eastAsia" w:ascii="仿宋" w:hAnsi="仿宋" w:eastAsia="仿宋" w:cs="仿宋"/>
          <w:b/>
          <w:color w:val="auto"/>
          <w:sz w:val="24"/>
          <w:szCs w:val="24"/>
          <w:highlight w:val="none"/>
        </w:rPr>
        <w:t xml:space="preserve"> 中小企业声明函</w:t>
      </w:r>
      <w:bookmarkEnd w:id="123"/>
      <w:r>
        <w:rPr>
          <w:rFonts w:hint="eastAsia" w:ascii="仿宋" w:hAnsi="仿宋" w:eastAsia="仿宋" w:cs="仿宋"/>
          <w:b/>
          <w:color w:val="auto"/>
          <w:sz w:val="24"/>
          <w:szCs w:val="24"/>
          <w:highlight w:val="none"/>
        </w:rPr>
        <w:t>（如是）</w:t>
      </w:r>
      <w:bookmarkEnd w:id="121"/>
      <w:bookmarkEnd w:id="122"/>
    </w:p>
    <w:p w14:paraId="4183EBD1">
      <w:pPr>
        <w:spacing w:line="588" w:lineRule="exact"/>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中小企业声明函（货物）</w:t>
      </w:r>
    </w:p>
    <w:p w14:paraId="180FF552">
      <w:pPr>
        <w:pStyle w:val="17"/>
        <w:numPr>
          <w:ilvl w:val="0"/>
          <w:numId w:val="0"/>
        </w:numPr>
        <w:tabs>
          <w:tab w:val="clear" w:pos="2040"/>
        </w:tabs>
        <w:rPr>
          <w:rFonts w:hint="eastAsia" w:ascii="仿宋" w:hAnsi="仿宋" w:eastAsia="仿宋" w:cs="仿宋"/>
        </w:rPr>
      </w:pPr>
    </w:p>
    <w:p w14:paraId="4C51F348">
      <w:pPr>
        <w:rPr>
          <w:rFonts w:hint="eastAsia" w:ascii="仿宋" w:hAnsi="仿宋" w:eastAsia="仿宋" w:cs="仿宋"/>
        </w:rPr>
      </w:pPr>
    </w:p>
    <w:p w14:paraId="7840607E">
      <w:pPr>
        <w:pStyle w:val="16"/>
        <w:tabs>
          <w:tab w:val="left" w:pos="5580"/>
        </w:tabs>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本公司（联合体）郑重声明，根据《政府采购促进中小企业发展管理办法》（财库﹝2020﹞46 号）的规定，本公司（联合体）参加</w:t>
      </w:r>
      <w:r>
        <w:rPr>
          <w:rFonts w:hint="eastAsia" w:ascii="仿宋" w:hAnsi="仿宋" w:eastAsia="仿宋" w:cs="仿宋"/>
          <w:i/>
          <w:color w:val="auto"/>
          <w:sz w:val="24"/>
          <w:highlight w:val="none"/>
          <w:u w:val="single"/>
        </w:rPr>
        <w:t>（单位名称）</w:t>
      </w:r>
      <w:r>
        <w:rPr>
          <w:rFonts w:hint="eastAsia" w:ascii="仿宋" w:hAnsi="仿宋" w:eastAsia="仿宋" w:cs="仿宋"/>
          <w:color w:val="auto"/>
          <w:sz w:val="24"/>
          <w:highlight w:val="none"/>
        </w:rPr>
        <w:t>的</w:t>
      </w:r>
      <w:r>
        <w:rPr>
          <w:rFonts w:hint="eastAsia" w:ascii="仿宋" w:hAnsi="仿宋" w:eastAsia="仿宋" w:cs="仿宋"/>
          <w:i/>
          <w:color w:val="auto"/>
          <w:sz w:val="24"/>
          <w:highlight w:val="none"/>
          <w:u w:val="single"/>
        </w:rPr>
        <w:t>（项目名称）</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14:paraId="33DE855E">
      <w:pPr>
        <w:pStyle w:val="16"/>
        <w:tabs>
          <w:tab w:val="left" w:pos="5580"/>
        </w:tabs>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 </w:t>
      </w:r>
      <w:r>
        <w:rPr>
          <w:rFonts w:hint="eastAsia" w:ascii="仿宋" w:hAnsi="仿宋" w:eastAsia="仿宋" w:cs="仿宋"/>
          <w:i/>
          <w:color w:val="auto"/>
          <w:sz w:val="24"/>
          <w:highlight w:val="none"/>
          <w:u w:val="single"/>
        </w:rPr>
        <w:t>（标的名称）</w:t>
      </w:r>
      <w:r>
        <w:rPr>
          <w:rFonts w:hint="eastAsia" w:ascii="仿宋" w:hAnsi="仿宋" w:eastAsia="仿宋" w:cs="仿宋"/>
          <w:color w:val="auto"/>
          <w:sz w:val="24"/>
          <w:highlight w:val="none"/>
        </w:rPr>
        <w:t xml:space="preserve"> ，属于</w:t>
      </w:r>
      <w:r>
        <w:rPr>
          <w:rFonts w:hint="eastAsia" w:ascii="仿宋" w:hAnsi="仿宋" w:eastAsia="仿宋" w:cs="仿宋"/>
          <w:i/>
          <w:color w:val="auto"/>
          <w:sz w:val="24"/>
          <w:highlight w:val="none"/>
          <w:u w:val="single"/>
        </w:rPr>
        <w:t>（采购文件中明确的所属行业）</w:t>
      </w:r>
      <w:r>
        <w:rPr>
          <w:rFonts w:hint="eastAsia" w:ascii="仿宋" w:hAnsi="仿宋" w:eastAsia="仿宋" w:cs="仿宋"/>
          <w:color w:val="auto"/>
          <w:sz w:val="24"/>
          <w:highlight w:val="none"/>
        </w:rPr>
        <w:t>行业；制造商为</w:t>
      </w:r>
      <w:r>
        <w:rPr>
          <w:rFonts w:hint="eastAsia" w:ascii="仿宋" w:hAnsi="仿宋" w:eastAsia="仿宋" w:cs="仿宋"/>
          <w:i/>
          <w:color w:val="auto"/>
          <w:sz w:val="24"/>
          <w:highlight w:val="none"/>
          <w:u w:val="single"/>
        </w:rPr>
        <w:t>（企业名称）</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i/>
          <w:color w:val="auto"/>
          <w:sz w:val="24"/>
          <w:highlight w:val="none"/>
          <w:u w:val="single"/>
        </w:rPr>
        <w:t>（中型企业、小型企业、微型企业）</w:t>
      </w:r>
      <w:r>
        <w:rPr>
          <w:rFonts w:hint="eastAsia" w:ascii="仿宋" w:hAnsi="仿宋" w:eastAsia="仿宋" w:cs="仿宋"/>
          <w:color w:val="auto"/>
          <w:sz w:val="24"/>
          <w:highlight w:val="none"/>
        </w:rPr>
        <w:t>；</w:t>
      </w:r>
    </w:p>
    <w:p w14:paraId="0D8291B6">
      <w:pPr>
        <w:pStyle w:val="16"/>
        <w:tabs>
          <w:tab w:val="left" w:pos="5580"/>
        </w:tabs>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 </w:t>
      </w:r>
      <w:r>
        <w:rPr>
          <w:rFonts w:hint="eastAsia" w:ascii="仿宋" w:hAnsi="仿宋" w:eastAsia="仿宋" w:cs="仿宋"/>
          <w:color w:val="auto"/>
          <w:sz w:val="24"/>
          <w:highlight w:val="none"/>
          <w:u w:val="single"/>
        </w:rPr>
        <w:t>（</w:t>
      </w:r>
      <w:r>
        <w:rPr>
          <w:rFonts w:hint="eastAsia" w:ascii="仿宋" w:hAnsi="仿宋" w:eastAsia="仿宋" w:cs="仿宋"/>
          <w:i/>
          <w:color w:val="auto"/>
          <w:sz w:val="24"/>
          <w:highlight w:val="none"/>
          <w:u w:val="single"/>
        </w:rPr>
        <w:t>标的名称）</w:t>
      </w:r>
      <w:r>
        <w:rPr>
          <w:rFonts w:hint="eastAsia" w:ascii="仿宋" w:hAnsi="仿宋" w:eastAsia="仿宋" w:cs="仿宋"/>
          <w:color w:val="auto"/>
          <w:sz w:val="24"/>
          <w:highlight w:val="none"/>
        </w:rPr>
        <w:t xml:space="preserve"> ，属于</w:t>
      </w:r>
      <w:r>
        <w:rPr>
          <w:rFonts w:hint="eastAsia" w:ascii="仿宋" w:hAnsi="仿宋" w:eastAsia="仿宋" w:cs="仿宋"/>
          <w:i/>
          <w:color w:val="auto"/>
          <w:sz w:val="24"/>
          <w:highlight w:val="none"/>
          <w:u w:val="single"/>
        </w:rPr>
        <w:t>（采购文件中明确的所属行业）</w:t>
      </w:r>
      <w:r>
        <w:rPr>
          <w:rFonts w:hint="eastAsia" w:ascii="仿宋" w:hAnsi="仿宋" w:eastAsia="仿宋" w:cs="仿宋"/>
          <w:color w:val="auto"/>
          <w:sz w:val="24"/>
          <w:highlight w:val="none"/>
        </w:rPr>
        <w:t>行业；制造商为</w:t>
      </w:r>
      <w:r>
        <w:rPr>
          <w:rFonts w:hint="eastAsia" w:ascii="仿宋" w:hAnsi="仿宋" w:eastAsia="仿宋" w:cs="仿宋"/>
          <w:i/>
          <w:color w:val="auto"/>
          <w:sz w:val="24"/>
          <w:highlight w:val="none"/>
          <w:u w:val="single"/>
        </w:rPr>
        <w:t>（企业名称）</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i/>
          <w:color w:val="auto"/>
          <w:sz w:val="24"/>
          <w:highlight w:val="none"/>
          <w:u w:val="single"/>
        </w:rPr>
        <w:t>（中型企业、小型企业、微型企业）</w:t>
      </w:r>
      <w:r>
        <w:rPr>
          <w:rFonts w:hint="eastAsia" w:ascii="仿宋" w:hAnsi="仿宋" w:eastAsia="仿宋" w:cs="仿宋"/>
          <w:color w:val="auto"/>
          <w:sz w:val="24"/>
          <w:highlight w:val="none"/>
        </w:rPr>
        <w:t>；</w:t>
      </w:r>
    </w:p>
    <w:p w14:paraId="65C3E20D">
      <w:pPr>
        <w:pStyle w:val="16"/>
        <w:tabs>
          <w:tab w:val="left" w:pos="5580"/>
        </w:tabs>
        <w:adjustRightInd w:val="0"/>
        <w:snapToGrid w:val="0"/>
        <w:spacing w:line="360" w:lineRule="auto"/>
        <w:ind w:left="46" w:hanging="45" w:hangingChars="19"/>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3A1F7A8">
      <w:pPr>
        <w:pStyle w:val="16"/>
        <w:tabs>
          <w:tab w:val="left" w:pos="5580"/>
        </w:tabs>
        <w:adjustRightInd w:val="0"/>
        <w:snapToGrid w:val="0"/>
        <w:spacing w:line="360" w:lineRule="auto"/>
        <w:ind w:firstLine="491" w:firstLineChars="205"/>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665AAC2">
      <w:pPr>
        <w:pStyle w:val="16"/>
        <w:tabs>
          <w:tab w:val="left" w:pos="5580"/>
        </w:tabs>
        <w:adjustRightInd w:val="0"/>
        <w:snapToGrid w:val="0"/>
        <w:spacing w:line="360" w:lineRule="auto"/>
        <w:ind w:firstLine="491" w:firstLineChars="205"/>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D687797">
      <w:pPr>
        <w:pStyle w:val="16"/>
        <w:tabs>
          <w:tab w:val="left" w:pos="5580"/>
        </w:tabs>
        <w:adjustRightInd w:val="0"/>
        <w:snapToGrid w:val="0"/>
        <w:spacing w:line="360" w:lineRule="auto"/>
        <w:ind w:hanging="527"/>
        <w:rPr>
          <w:rFonts w:hint="eastAsia" w:ascii="仿宋" w:hAnsi="仿宋" w:eastAsia="仿宋" w:cs="仿宋"/>
          <w:color w:val="auto"/>
          <w:sz w:val="24"/>
          <w:highlight w:val="none"/>
        </w:rPr>
      </w:pPr>
    </w:p>
    <w:p w14:paraId="6639D549">
      <w:pPr>
        <w:pStyle w:val="16"/>
        <w:tabs>
          <w:tab w:val="left" w:pos="5580"/>
        </w:tabs>
        <w:adjustRightInd w:val="0"/>
        <w:snapToGrid w:val="0"/>
        <w:spacing w:line="360" w:lineRule="auto"/>
        <w:ind w:hanging="527"/>
        <w:rPr>
          <w:rFonts w:hint="eastAsia" w:ascii="仿宋" w:hAnsi="仿宋" w:eastAsia="仿宋" w:cs="仿宋"/>
          <w:color w:val="auto"/>
          <w:sz w:val="24"/>
          <w:highlight w:val="none"/>
        </w:rPr>
      </w:pPr>
    </w:p>
    <w:p w14:paraId="50848240">
      <w:pPr>
        <w:pStyle w:val="16"/>
        <w:tabs>
          <w:tab w:val="left" w:pos="5580"/>
        </w:tabs>
        <w:adjustRightInd w:val="0"/>
        <w:snapToGrid w:val="0"/>
        <w:spacing w:line="360" w:lineRule="auto"/>
        <w:ind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企业名称（盖电子章）：</w:t>
      </w:r>
    </w:p>
    <w:p w14:paraId="15A6905C">
      <w:pPr>
        <w:pStyle w:val="16"/>
        <w:tabs>
          <w:tab w:val="left" w:pos="5580"/>
        </w:tabs>
        <w:adjustRightInd w:val="0"/>
        <w:snapToGrid w:val="0"/>
        <w:spacing w:line="360" w:lineRule="auto"/>
        <w:ind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p w14:paraId="55786CA3">
      <w:pPr>
        <w:pStyle w:val="16"/>
        <w:tabs>
          <w:tab w:val="left" w:pos="5580"/>
        </w:tabs>
        <w:adjustRightInd w:val="0"/>
        <w:snapToGrid w:val="0"/>
        <w:spacing w:line="360" w:lineRule="auto"/>
        <w:ind w:hanging="527"/>
        <w:rPr>
          <w:rFonts w:hint="eastAsia" w:ascii="仿宋" w:hAnsi="仿宋" w:eastAsia="仿宋" w:cs="仿宋"/>
          <w:color w:val="auto"/>
          <w:sz w:val="24"/>
          <w:highlight w:val="none"/>
        </w:rPr>
      </w:pPr>
    </w:p>
    <w:p w14:paraId="05155425">
      <w:pPr>
        <w:pStyle w:val="16"/>
        <w:tabs>
          <w:tab w:val="left" w:pos="5580"/>
        </w:tabs>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注1、从业人员、营业收入、资产总额填报上一年度数据，无上一年度数据的新成立企业可不填报。</w:t>
      </w:r>
    </w:p>
    <w:p w14:paraId="55943F57">
      <w:pPr>
        <w:pStyle w:val="16"/>
        <w:tabs>
          <w:tab w:val="left" w:pos="5580"/>
        </w:tabs>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2、请在本表中填写</w:t>
      </w:r>
      <w:r>
        <w:rPr>
          <w:rFonts w:hint="eastAsia" w:ascii="仿宋" w:hAnsi="仿宋" w:eastAsia="仿宋" w:cs="仿宋"/>
          <w:color w:val="auto"/>
          <w:sz w:val="24"/>
          <w:highlight w:val="none"/>
          <w:u w:val="single"/>
        </w:rPr>
        <w:t>投标人须知前附表</w:t>
      </w:r>
      <w:r>
        <w:rPr>
          <w:rFonts w:hint="eastAsia" w:ascii="仿宋" w:hAnsi="仿宋" w:eastAsia="仿宋" w:cs="仿宋"/>
          <w:color w:val="auto"/>
          <w:sz w:val="24"/>
          <w:highlight w:val="none"/>
        </w:rPr>
        <w:t>中写明的中小企业行业类别。</w:t>
      </w:r>
    </w:p>
    <w:p w14:paraId="3442606E">
      <w:pPr>
        <w:pStyle w:val="65"/>
        <w:adjustRightInd w:val="0"/>
        <w:snapToGrid w:val="0"/>
        <w:spacing w:before="0"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3、制造商如为监狱企业或残疾人福利性单位的，视同为小型、微型企业，请填写此声明函，并需要出具相应的声明函和证明文件（格式后附）。</w:t>
      </w:r>
    </w:p>
    <w:p w14:paraId="2E9B3E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32083294">
      <w:pPr>
        <w:pStyle w:val="26"/>
        <w:spacing w:line="360" w:lineRule="auto"/>
        <w:rPr>
          <w:rFonts w:hint="eastAsia" w:ascii="仿宋" w:hAnsi="仿宋" w:eastAsia="仿宋" w:cs="仿宋"/>
          <w:b/>
          <w:color w:val="auto"/>
          <w:highlight w:val="none"/>
        </w:rPr>
      </w:pPr>
      <w:bookmarkStart w:id="124" w:name="_Toc71631936"/>
      <w:bookmarkStart w:id="125" w:name="_Toc5109"/>
      <w:bookmarkStart w:id="126" w:name="_Toc17478"/>
      <w:r>
        <w:rPr>
          <w:rFonts w:hint="eastAsia" w:ascii="仿宋" w:hAnsi="仿宋" w:eastAsia="仿宋" w:cs="仿宋"/>
          <w:b/>
          <w:color w:val="auto"/>
          <w:highlight w:val="none"/>
        </w:rPr>
        <w:t>附件10-2  监狱企业声明函</w:t>
      </w:r>
      <w:bookmarkEnd w:id="124"/>
      <w:r>
        <w:rPr>
          <w:rFonts w:hint="eastAsia" w:ascii="仿宋" w:hAnsi="仿宋" w:eastAsia="仿宋" w:cs="仿宋"/>
          <w:b/>
          <w:color w:val="auto"/>
          <w:highlight w:val="none"/>
        </w:rPr>
        <w:t>（如是）</w:t>
      </w:r>
      <w:bookmarkEnd w:id="125"/>
      <w:bookmarkEnd w:id="126"/>
    </w:p>
    <w:p w14:paraId="61ECD948">
      <w:pPr>
        <w:adjustRightInd w:val="0"/>
        <w:snapToGrid w:val="0"/>
        <w:spacing w:line="360" w:lineRule="auto"/>
        <w:rPr>
          <w:rFonts w:hint="eastAsia" w:ascii="仿宋" w:hAnsi="仿宋" w:eastAsia="仿宋" w:cs="仿宋"/>
          <w:b/>
          <w:color w:val="auto"/>
          <w:kern w:val="0"/>
          <w:sz w:val="24"/>
          <w:highlight w:val="none"/>
        </w:rPr>
      </w:pPr>
    </w:p>
    <w:p w14:paraId="31EE0EB7">
      <w:pPr>
        <w:widowControl/>
        <w:adjustRightInd w:val="0"/>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本单位郑重声明，本单位在参加</w:t>
      </w:r>
      <w:r>
        <w:rPr>
          <w:rFonts w:hint="eastAsia" w:ascii="仿宋" w:hAnsi="仿宋" w:eastAsia="仿宋" w:cs="仿宋"/>
          <w:color w:val="auto"/>
          <w:kern w:val="0"/>
          <w:sz w:val="24"/>
          <w:highlight w:val="none"/>
          <w:u w:val="single"/>
        </w:rPr>
        <w:t>（采购人名称）</w:t>
      </w:r>
      <w:r>
        <w:rPr>
          <w:rFonts w:hint="eastAsia" w:ascii="仿宋" w:hAnsi="仿宋" w:eastAsia="仿宋" w:cs="仿宋"/>
          <w:color w:val="auto"/>
          <w:kern w:val="0"/>
          <w:sz w:val="24"/>
          <w:highlight w:val="none"/>
        </w:rPr>
        <w:t>的</w:t>
      </w:r>
      <w:r>
        <w:rPr>
          <w:rFonts w:hint="eastAsia" w:ascii="仿宋" w:hAnsi="仿宋" w:eastAsia="仿宋" w:cs="仿宋"/>
          <w:color w:val="auto"/>
          <w:kern w:val="0"/>
          <w:sz w:val="24"/>
          <w:highlight w:val="none"/>
          <w:u w:val="single"/>
        </w:rPr>
        <w:t>（招标项目名称）</w:t>
      </w:r>
      <w:r>
        <w:rPr>
          <w:rFonts w:hint="eastAsia" w:ascii="仿宋" w:hAnsi="仿宋" w:eastAsia="仿宋" w:cs="仿宋"/>
          <w:color w:val="auto"/>
          <w:kern w:val="0"/>
          <w:sz w:val="24"/>
          <w:highlight w:val="none"/>
        </w:rPr>
        <w:t>项目采购活动提供以下监狱企业制造的货物（或监狱企业承担的工程、或监狱企业承接的服务），具体情况如下：（按照实际情况勾选或填空）</w:t>
      </w:r>
    </w:p>
    <w:p w14:paraId="7549B6C3">
      <w:pPr>
        <w:widowControl/>
        <w:adjustRightInd w:val="0"/>
        <w:snapToGrid w:val="0"/>
        <w:spacing w:line="360" w:lineRule="auto"/>
        <w:ind w:firstLine="360" w:firstLineChars="1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（制造商名称）</w:t>
      </w:r>
      <w:r>
        <w:rPr>
          <w:rFonts w:hint="eastAsia" w:ascii="仿宋" w:hAnsi="仿宋" w:eastAsia="仿宋" w:cs="仿宋"/>
          <w:color w:val="auto"/>
          <w:kern w:val="0"/>
          <w:sz w:val="24"/>
          <w:highlight w:val="none"/>
        </w:rPr>
        <w:t>属于监狱企业，后附省级以上监狱管理局、戒毒管理局（含新疆生产建设兵团）出具的属于监狱企业的证明文件。</w:t>
      </w:r>
    </w:p>
    <w:p w14:paraId="183B6C27">
      <w:pPr>
        <w:widowControl/>
        <w:adjustRightInd w:val="0"/>
        <w:snapToGrid w:val="0"/>
        <w:spacing w:line="360" w:lineRule="auto"/>
        <w:ind w:firstLine="42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u w:val="single"/>
        </w:rPr>
        <w:t>（制造商名称）</w:t>
      </w:r>
      <w:r>
        <w:rPr>
          <w:rFonts w:hint="eastAsia" w:ascii="仿宋" w:hAnsi="仿宋" w:eastAsia="仿宋" w:cs="仿宋"/>
          <w:color w:val="auto"/>
          <w:kern w:val="0"/>
          <w:sz w:val="24"/>
          <w:highlight w:val="none"/>
        </w:rPr>
        <w:t>属于监狱企业并作为联合体一方，其提供协议合同金额占到共同投标协议合同总金额的比例为。后附省级以上监狱管理局、戒毒管理局（含新疆生产建设兵团）出具的属于监狱企业的证明文件。</w:t>
      </w:r>
    </w:p>
    <w:p w14:paraId="1AB730A6">
      <w:pPr>
        <w:widowControl/>
        <w:adjustRightInd w:val="0"/>
        <w:snapToGrid w:val="0"/>
        <w:spacing w:line="360" w:lineRule="auto"/>
        <w:ind w:firstLine="42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u w:val="single"/>
        </w:rPr>
        <w:t>（制造商名称）</w:t>
      </w:r>
      <w:r>
        <w:rPr>
          <w:rFonts w:hint="eastAsia" w:ascii="仿宋" w:hAnsi="仿宋" w:eastAsia="仿宋" w:cs="仿宋"/>
          <w:color w:val="auto"/>
          <w:kern w:val="0"/>
          <w:sz w:val="24"/>
          <w:highlight w:val="none"/>
        </w:rPr>
        <w:t>属于监狱企业并作为分包方，其提供协议合同金额占到分包意向协议合同总金额的比例为。后附省级以上监狱管理局、戒毒管理局（含新疆生产建设兵团）出具的属于监狱企业的证明文件。</w:t>
      </w:r>
    </w:p>
    <w:p w14:paraId="7DA0B6F5">
      <w:pPr>
        <w:widowControl/>
        <w:adjustRightInd w:val="0"/>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本单位对上述声明的真实性负责。如有虚假，将依法承担相应责任。</w:t>
      </w:r>
    </w:p>
    <w:p w14:paraId="25737984">
      <w:pPr>
        <w:widowControl/>
        <w:adjustRightInd w:val="0"/>
        <w:snapToGrid w:val="0"/>
        <w:spacing w:line="360" w:lineRule="auto"/>
        <w:jc w:val="left"/>
        <w:rPr>
          <w:rFonts w:hint="eastAsia" w:ascii="仿宋" w:hAnsi="仿宋" w:eastAsia="仿宋" w:cs="仿宋"/>
          <w:color w:val="auto"/>
          <w:kern w:val="0"/>
          <w:sz w:val="24"/>
          <w:highlight w:val="none"/>
        </w:rPr>
      </w:pPr>
    </w:p>
    <w:p w14:paraId="033CE41A">
      <w:pPr>
        <w:pStyle w:val="21"/>
        <w:spacing w:line="360" w:lineRule="auto"/>
        <w:rPr>
          <w:rFonts w:hint="eastAsia" w:ascii="仿宋" w:hAnsi="仿宋" w:eastAsia="仿宋" w:cs="仿宋"/>
          <w:color w:val="auto"/>
          <w:highlight w:val="none"/>
        </w:rPr>
      </w:pPr>
    </w:p>
    <w:p w14:paraId="59CA47F6">
      <w:pPr>
        <w:widowControl/>
        <w:adjustRightInd w:val="0"/>
        <w:snapToGrid w:val="0"/>
        <w:spacing w:line="360" w:lineRule="auto"/>
        <w:jc w:val="left"/>
        <w:rPr>
          <w:rFonts w:hint="eastAsia" w:ascii="仿宋" w:hAnsi="仿宋" w:eastAsia="仿宋" w:cs="仿宋"/>
          <w:color w:val="auto"/>
          <w:kern w:val="0"/>
          <w:sz w:val="24"/>
          <w:highlight w:val="none"/>
        </w:rPr>
      </w:pPr>
    </w:p>
    <w:p w14:paraId="3AF09F67">
      <w:pPr>
        <w:widowControl/>
        <w:adjustRightInd w:val="0"/>
        <w:snapToGrid w:val="0"/>
        <w:spacing w:line="360" w:lineRule="auto"/>
        <w:jc w:val="left"/>
        <w:rPr>
          <w:rFonts w:hint="eastAsia" w:ascii="仿宋" w:hAnsi="仿宋" w:eastAsia="仿宋" w:cs="仿宋"/>
          <w:color w:val="auto"/>
          <w:kern w:val="0"/>
          <w:sz w:val="24"/>
          <w:highlight w:val="none"/>
        </w:rPr>
      </w:pPr>
    </w:p>
    <w:p w14:paraId="6907A7CB">
      <w:pPr>
        <w:adjustRightInd w:val="0"/>
        <w:snapToGrid w:val="0"/>
        <w:spacing w:line="360" w:lineRule="auto"/>
        <w:ind w:firstLine="5301" w:firstLineChars="2200"/>
        <w:rPr>
          <w:rFonts w:hint="eastAsia" w:ascii="仿宋" w:hAnsi="仿宋" w:eastAsia="仿宋" w:cs="仿宋"/>
          <w:b/>
          <w:color w:val="auto"/>
          <w:kern w:val="0"/>
          <w:sz w:val="24"/>
          <w:highlight w:val="none"/>
        </w:rPr>
      </w:pPr>
    </w:p>
    <w:p w14:paraId="4BA19E31">
      <w:pPr>
        <w:adjustRightInd w:val="0"/>
        <w:snapToGrid w:val="0"/>
        <w:spacing w:line="360" w:lineRule="auto"/>
        <w:ind w:firstLine="5280" w:firstLineChars="2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单位名称（盖电子章）：</w:t>
      </w:r>
    </w:p>
    <w:p w14:paraId="6ADA0E3A">
      <w:pPr>
        <w:widowControl/>
        <w:adjustRightInd w:val="0"/>
        <w:snapToGrid w:val="0"/>
        <w:spacing w:line="360" w:lineRule="auto"/>
        <w:ind w:firstLine="5280" w:firstLineChars="2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  期：</w:t>
      </w:r>
    </w:p>
    <w:p w14:paraId="1278D3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64FC9ADC">
      <w:pPr>
        <w:spacing w:line="360" w:lineRule="auto"/>
        <w:rPr>
          <w:rFonts w:hint="eastAsia" w:ascii="仿宋" w:hAnsi="仿宋" w:eastAsia="仿宋" w:cs="仿宋"/>
          <w:b/>
          <w:color w:val="auto"/>
          <w:sz w:val="24"/>
          <w:highlight w:val="none"/>
        </w:rPr>
      </w:pPr>
      <w:bookmarkStart w:id="127" w:name="_Toc71631937"/>
      <w:bookmarkStart w:id="128" w:name="_Toc19189"/>
      <w:bookmarkStart w:id="129" w:name="_Toc28543"/>
      <w:bookmarkStart w:id="130" w:name="OLE_LINK14"/>
      <w:bookmarkStart w:id="131" w:name="OLE_LINK13"/>
      <w:r>
        <w:rPr>
          <w:rFonts w:hint="eastAsia" w:ascii="仿宋" w:hAnsi="仿宋" w:eastAsia="仿宋" w:cs="仿宋"/>
          <w:b/>
          <w:color w:val="auto"/>
          <w:sz w:val="24"/>
          <w:highlight w:val="none"/>
        </w:rPr>
        <w:t>附件10-3  残疾人福利性单位声明函</w:t>
      </w:r>
      <w:bookmarkEnd w:id="127"/>
      <w:r>
        <w:rPr>
          <w:rFonts w:hint="eastAsia" w:ascii="仿宋" w:hAnsi="仿宋" w:eastAsia="仿宋" w:cs="仿宋"/>
          <w:b/>
          <w:color w:val="auto"/>
          <w:sz w:val="24"/>
          <w:highlight w:val="none"/>
        </w:rPr>
        <w:t>（如是）</w:t>
      </w:r>
      <w:bookmarkEnd w:id="128"/>
      <w:bookmarkEnd w:id="129"/>
    </w:p>
    <w:bookmarkEnd w:id="130"/>
    <w:bookmarkEnd w:id="131"/>
    <w:p w14:paraId="7894F1E1">
      <w:pPr>
        <w:spacing w:line="360" w:lineRule="auto"/>
        <w:ind w:hanging="540"/>
        <w:jc w:val="center"/>
        <w:rPr>
          <w:rFonts w:hint="eastAsia" w:ascii="仿宋" w:hAnsi="仿宋" w:eastAsia="仿宋" w:cs="仿宋"/>
          <w:color w:val="auto"/>
          <w:kern w:val="0"/>
          <w:sz w:val="24"/>
          <w:szCs w:val="20"/>
          <w:highlight w:val="none"/>
        </w:rPr>
      </w:pPr>
    </w:p>
    <w:p w14:paraId="0BE12864">
      <w:pPr>
        <w:spacing w:line="360" w:lineRule="auto"/>
        <w:ind w:firstLine="567"/>
        <w:rPr>
          <w:rFonts w:hint="eastAsia" w:ascii="仿宋" w:hAnsi="仿宋" w:eastAsia="仿宋" w:cs="仿宋"/>
          <w:color w:val="auto"/>
          <w:kern w:val="0"/>
          <w:sz w:val="24"/>
          <w:szCs w:val="20"/>
          <w:highlight w:val="none"/>
        </w:rPr>
      </w:pPr>
    </w:p>
    <w:p w14:paraId="0B25A1E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8A0A0B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本单位对上述声明的真实性负责。如有虚假，将依法承担相应责任。</w:t>
      </w:r>
    </w:p>
    <w:p w14:paraId="331BF88F">
      <w:pPr>
        <w:spacing w:line="360" w:lineRule="auto"/>
        <w:ind w:firstLine="480" w:firstLineChars="200"/>
        <w:rPr>
          <w:rFonts w:hint="eastAsia" w:ascii="仿宋" w:hAnsi="仿宋" w:eastAsia="仿宋" w:cs="仿宋"/>
          <w:color w:val="auto"/>
          <w:kern w:val="0"/>
          <w:sz w:val="24"/>
          <w:highlight w:val="none"/>
        </w:rPr>
      </w:pPr>
    </w:p>
    <w:p w14:paraId="3BBF6DBA">
      <w:pPr>
        <w:spacing w:line="360" w:lineRule="auto"/>
        <w:ind w:firstLine="624" w:firstLineChars="200"/>
        <w:rPr>
          <w:rFonts w:hint="eastAsia" w:ascii="仿宋" w:hAnsi="仿宋" w:eastAsia="仿宋" w:cs="仿宋"/>
          <w:color w:val="auto"/>
          <w:spacing w:val="6"/>
          <w:sz w:val="30"/>
          <w:szCs w:val="30"/>
          <w:highlight w:val="none"/>
        </w:rPr>
      </w:pPr>
    </w:p>
    <w:p w14:paraId="4810CAB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单位名称（盖电子章）：</w:t>
      </w:r>
    </w:p>
    <w:p w14:paraId="4EB1548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日  期：</w:t>
      </w:r>
    </w:p>
    <w:p w14:paraId="0BA4F8A8">
      <w:pPr>
        <w:spacing w:line="360" w:lineRule="auto"/>
        <w:ind w:left="1080" w:leftChars="257" w:hanging="540"/>
        <w:jc w:val="center"/>
        <w:rPr>
          <w:rFonts w:hint="eastAsia" w:ascii="仿宋" w:hAnsi="仿宋" w:eastAsia="仿宋" w:cs="仿宋"/>
          <w:b/>
          <w:color w:val="auto"/>
          <w:kern w:val="0"/>
          <w:sz w:val="24"/>
          <w:szCs w:val="20"/>
          <w:highlight w:val="none"/>
        </w:rPr>
      </w:pPr>
    </w:p>
    <w:p w14:paraId="20426604">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lang w:val="en-US" w:eastAsia="zh-CN"/>
        </w:rPr>
        <w:t xml:space="preserve">附件10-4   </w:t>
      </w:r>
      <w:r>
        <w:rPr>
          <w:rStyle w:val="34"/>
          <w:rFonts w:hint="eastAsia" w:ascii="仿宋" w:hAnsi="仿宋" w:eastAsia="仿宋" w:cs="仿宋"/>
          <w:i w:val="0"/>
          <w:iCs w:val="0"/>
          <w:caps w:val="0"/>
          <w:color w:val="auto"/>
          <w:spacing w:val="0"/>
          <w:sz w:val="24"/>
          <w:szCs w:val="24"/>
          <w:highlight w:val="none"/>
          <w:shd w:val="clear" w:color="auto" w:fill="FFFFFF"/>
        </w:rPr>
        <w:t>关于符合本国产品标准的声明函</w:t>
      </w:r>
    </w:p>
    <w:p w14:paraId="50EFBE0B">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55B5ECEC">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5A028498">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w:t>
      </w:r>
      <w:r>
        <w:rPr>
          <w:rStyle w:val="36"/>
          <w:rFonts w:hint="eastAsia" w:ascii="仿宋" w:hAnsi="仿宋" w:eastAsia="仿宋" w:cs="仿宋"/>
          <w:i w:val="0"/>
          <w:iCs w:val="0"/>
          <w:caps w:val="0"/>
          <w:color w:val="auto"/>
          <w:spacing w:val="0"/>
          <w:sz w:val="24"/>
          <w:szCs w:val="24"/>
          <w:highlight w:val="none"/>
          <w:shd w:val="clear" w:color="auto" w:fill="FFFFFF"/>
        </w:rPr>
        <w:t>（产品名称1）</w:t>
      </w:r>
      <w:r>
        <w:rPr>
          <w:rStyle w:val="36"/>
          <w:rFonts w:hint="eastAsia" w:ascii="仿宋" w:hAnsi="仿宋" w:eastAsia="仿宋" w:cs="仿宋"/>
          <w:i w:val="0"/>
          <w:iCs w:val="0"/>
          <w:caps w:val="0"/>
          <w:color w:val="auto"/>
          <w:spacing w:val="0"/>
          <w:sz w:val="24"/>
          <w:szCs w:val="24"/>
          <w:highlight w:val="none"/>
          <w:shd w:val="clear" w:color="auto" w:fill="FFFFFF"/>
          <w:vertAlign w:val="superscript"/>
        </w:rPr>
        <w:t>1</w:t>
      </w:r>
      <w:r>
        <w:rPr>
          <w:rFonts w:hint="eastAsia" w:ascii="仿宋" w:hAnsi="仿宋" w:eastAsia="仿宋" w:cs="仿宋"/>
          <w:i w:val="0"/>
          <w:iCs w:val="0"/>
          <w:caps w:val="0"/>
          <w:color w:val="auto"/>
          <w:spacing w:val="0"/>
          <w:sz w:val="24"/>
          <w:szCs w:val="24"/>
          <w:highlight w:val="none"/>
          <w:shd w:val="clear" w:color="auto" w:fill="FFFFFF"/>
        </w:rPr>
        <w:t>，生产厂为</w:t>
      </w:r>
      <w:r>
        <w:rPr>
          <w:rStyle w:val="36"/>
          <w:rFonts w:hint="eastAsia" w:ascii="仿宋" w:hAnsi="仿宋" w:eastAsia="仿宋" w:cs="仿宋"/>
          <w:i w:val="0"/>
          <w:iCs w:val="0"/>
          <w:caps w:val="0"/>
          <w:color w:val="auto"/>
          <w:spacing w:val="0"/>
          <w:sz w:val="24"/>
          <w:szCs w:val="24"/>
          <w:highlight w:val="none"/>
          <w:shd w:val="clear" w:color="auto" w:fill="FFFFFF"/>
        </w:rPr>
        <w:t>（厂名）</w:t>
      </w:r>
      <w:r>
        <w:rPr>
          <w:rStyle w:val="36"/>
          <w:rFonts w:hint="eastAsia" w:ascii="仿宋" w:hAnsi="仿宋" w:eastAsia="仿宋" w:cs="仿宋"/>
          <w:i w:val="0"/>
          <w:iCs w:val="0"/>
          <w:caps w:val="0"/>
          <w:color w:val="auto"/>
          <w:spacing w:val="0"/>
          <w:sz w:val="24"/>
          <w:szCs w:val="24"/>
          <w:highlight w:val="none"/>
          <w:shd w:val="clear" w:color="auto" w:fill="FFFFFF"/>
          <w:vertAlign w:val="superscript"/>
        </w:rPr>
        <w:t>2</w:t>
      </w:r>
      <w:r>
        <w:rPr>
          <w:rFonts w:hint="eastAsia" w:ascii="仿宋" w:hAnsi="仿宋" w:eastAsia="仿宋" w:cs="仿宋"/>
          <w:i w:val="0"/>
          <w:iCs w:val="0"/>
          <w:caps w:val="0"/>
          <w:color w:val="auto"/>
          <w:spacing w:val="0"/>
          <w:sz w:val="24"/>
          <w:szCs w:val="24"/>
          <w:highlight w:val="none"/>
          <w:shd w:val="clear" w:color="auto" w:fill="FFFFFF"/>
        </w:rPr>
        <w:t>，厂址为</w:t>
      </w:r>
      <w:r>
        <w:rPr>
          <w:rStyle w:val="36"/>
          <w:rFonts w:hint="eastAsia" w:ascii="仿宋" w:hAnsi="仿宋" w:eastAsia="仿宋" w:cs="仿宋"/>
          <w:i w:val="0"/>
          <w:iCs w:val="0"/>
          <w:caps w:val="0"/>
          <w:color w:val="auto"/>
          <w:spacing w:val="0"/>
          <w:sz w:val="24"/>
          <w:szCs w:val="24"/>
          <w:highlight w:val="none"/>
          <w:shd w:val="clear" w:color="auto" w:fill="FFFFFF"/>
        </w:rPr>
        <w:t>（生产厂址）</w:t>
      </w:r>
      <w:r>
        <w:rPr>
          <w:rFonts w:hint="eastAsia" w:ascii="仿宋" w:hAnsi="仿宋" w:eastAsia="仿宋" w:cs="仿宋"/>
          <w:i w:val="0"/>
          <w:iCs w:val="0"/>
          <w:caps w:val="0"/>
          <w:color w:val="auto"/>
          <w:spacing w:val="0"/>
          <w:sz w:val="24"/>
          <w:szCs w:val="24"/>
          <w:highlight w:val="none"/>
          <w:shd w:val="clear" w:color="auto" w:fill="FFFFFF"/>
        </w:rPr>
        <w:t>。</w:t>
      </w:r>
      <w:r>
        <w:rPr>
          <w:rStyle w:val="36"/>
          <w:rFonts w:hint="eastAsia" w:ascii="仿宋" w:hAnsi="仿宋" w:eastAsia="仿宋" w:cs="仿宋"/>
          <w:i w:val="0"/>
          <w:iCs w:val="0"/>
          <w:caps w:val="0"/>
          <w:color w:val="auto"/>
          <w:spacing w:val="0"/>
          <w:sz w:val="24"/>
          <w:szCs w:val="24"/>
          <w:highlight w:val="none"/>
          <w:shd w:val="clear" w:color="auto" w:fill="FFFFFF"/>
        </w:rPr>
        <w:t>（产品名称1）</w:t>
      </w:r>
      <w:r>
        <w:rPr>
          <w:rFonts w:hint="eastAsia" w:ascii="仿宋" w:hAnsi="仿宋" w:eastAsia="仿宋" w:cs="仿宋"/>
          <w:i w:val="0"/>
          <w:iCs w:val="0"/>
          <w:caps w:val="0"/>
          <w:color w:val="auto"/>
          <w:spacing w:val="0"/>
          <w:sz w:val="24"/>
          <w:szCs w:val="24"/>
          <w:highlight w:val="none"/>
          <w:shd w:val="clear" w:color="auto" w:fill="FFFFFF"/>
        </w:rPr>
        <w:t>的中国境内生产的组件成本占比≥</w:t>
      </w:r>
      <w:r>
        <w:rPr>
          <w:rStyle w:val="36"/>
          <w:rFonts w:hint="eastAsia" w:ascii="仿宋" w:hAnsi="仿宋" w:eastAsia="仿宋" w:cs="仿宋"/>
          <w:i w:val="0"/>
          <w:iCs w:val="0"/>
          <w:caps w:val="0"/>
          <w:color w:val="auto"/>
          <w:spacing w:val="0"/>
          <w:sz w:val="24"/>
          <w:szCs w:val="24"/>
          <w:highlight w:val="none"/>
          <w:shd w:val="clear" w:color="auto" w:fill="FFFFFF"/>
        </w:rPr>
        <w:t>（规定比例）</w:t>
      </w:r>
      <w:r>
        <w:rPr>
          <w:rStyle w:val="36"/>
          <w:rFonts w:hint="eastAsia" w:ascii="仿宋" w:hAnsi="仿宋" w:eastAsia="仿宋" w:cs="仿宋"/>
          <w:i w:val="0"/>
          <w:iCs w:val="0"/>
          <w:caps w:val="0"/>
          <w:color w:val="auto"/>
          <w:spacing w:val="0"/>
          <w:sz w:val="24"/>
          <w:szCs w:val="24"/>
          <w:highlight w:val="none"/>
          <w:shd w:val="clear" w:color="auto" w:fill="FFFFFF"/>
          <w:vertAlign w:val="superscript"/>
        </w:rPr>
        <w:t>3</w:t>
      </w:r>
      <w:r>
        <w:rPr>
          <w:rFonts w:hint="eastAsia" w:ascii="仿宋" w:hAnsi="仿宋" w:eastAsia="仿宋" w:cs="仿宋"/>
          <w:i w:val="0"/>
          <w:iCs w:val="0"/>
          <w:caps w:val="0"/>
          <w:color w:val="auto"/>
          <w:spacing w:val="0"/>
          <w:sz w:val="24"/>
          <w:szCs w:val="24"/>
          <w:highlight w:val="none"/>
          <w:shd w:val="clear" w:color="auto" w:fill="FFFFFF"/>
        </w:rPr>
        <w:t>。</w:t>
      </w:r>
      <w:r>
        <w:rPr>
          <w:rStyle w:val="36"/>
          <w:rFonts w:hint="eastAsia" w:ascii="仿宋" w:hAnsi="仿宋" w:eastAsia="仿宋" w:cs="仿宋"/>
          <w:i w:val="0"/>
          <w:iCs w:val="0"/>
          <w:caps w:val="0"/>
          <w:color w:val="auto"/>
          <w:spacing w:val="0"/>
          <w:sz w:val="24"/>
          <w:szCs w:val="24"/>
          <w:highlight w:val="none"/>
          <w:shd w:val="clear" w:color="auto" w:fill="FFFFFF"/>
        </w:rPr>
        <w:t>（产品名称1）</w:t>
      </w:r>
      <w:r>
        <w:rPr>
          <w:rFonts w:hint="eastAsia" w:ascii="仿宋" w:hAnsi="仿宋" w:eastAsia="仿宋" w:cs="仿宋"/>
          <w:i w:val="0"/>
          <w:iCs w:val="0"/>
          <w:caps w:val="0"/>
          <w:color w:val="auto"/>
          <w:spacing w:val="0"/>
          <w:sz w:val="24"/>
          <w:szCs w:val="24"/>
          <w:highlight w:val="none"/>
          <w:shd w:val="clear" w:color="auto" w:fill="FFFFFF"/>
        </w:rPr>
        <w:t>的</w:t>
      </w:r>
      <w:r>
        <w:rPr>
          <w:rStyle w:val="36"/>
          <w:rFonts w:hint="eastAsia" w:ascii="仿宋" w:hAnsi="仿宋" w:eastAsia="仿宋" w:cs="仿宋"/>
          <w:i w:val="0"/>
          <w:iCs w:val="0"/>
          <w:caps w:val="0"/>
          <w:color w:val="auto"/>
          <w:spacing w:val="0"/>
          <w:sz w:val="24"/>
          <w:szCs w:val="24"/>
          <w:highlight w:val="none"/>
          <w:shd w:val="clear" w:color="auto" w:fill="FFFFFF"/>
        </w:rPr>
        <w:t>（关键组件）</w:t>
      </w:r>
      <w:r>
        <w:rPr>
          <w:rStyle w:val="36"/>
          <w:rFonts w:hint="eastAsia" w:ascii="仿宋" w:hAnsi="仿宋" w:eastAsia="仿宋" w:cs="仿宋"/>
          <w:i w:val="0"/>
          <w:iCs w:val="0"/>
          <w:caps w:val="0"/>
          <w:color w:val="auto"/>
          <w:spacing w:val="0"/>
          <w:sz w:val="24"/>
          <w:szCs w:val="24"/>
          <w:highlight w:val="none"/>
          <w:shd w:val="clear" w:color="auto" w:fill="FFFFFF"/>
          <w:vertAlign w:val="superscript"/>
        </w:rPr>
        <w:t>4</w:t>
      </w:r>
      <w:r>
        <w:rPr>
          <w:rFonts w:hint="eastAsia" w:ascii="仿宋" w:hAnsi="仿宋" w:eastAsia="仿宋" w:cs="仿宋"/>
          <w:i w:val="0"/>
          <w:iCs w:val="0"/>
          <w:caps w:val="0"/>
          <w:color w:val="auto"/>
          <w:spacing w:val="0"/>
          <w:sz w:val="24"/>
          <w:szCs w:val="24"/>
          <w:highlight w:val="none"/>
          <w:shd w:val="clear" w:color="auto" w:fill="FFFFFF"/>
        </w:rPr>
        <w:t>在中国境内生产。</w:t>
      </w:r>
      <w:r>
        <w:rPr>
          <w:rStyle w:val="36"/>
          <w:rFonts w:hint="eastAsia" w:ascii="仿宋" w:hAnsi="仿宋" w:eastAsia="仿宋" w:cs="仿宋"/>
          <w:i w:val="0"/>
          <w:iCs w:val="0"/>
          <w:caps w:val="0"/>
          <w:color w:val="auto"/>
          <w:spacing w:val="0"/>
          <w:sz w:val="24"/>
          <w:szCs w:val="24"/>
          <w:highlight w:val="none"/>
          <w:shd w:val="clear" w:color="auto" w:fill="FFFFFF"/>
        </w:rPr>
        <w:t>（产品名称1）</w:t>
      </w:r>
      <w:r>
        <w:rPr>
          <w:rFonts w:hint="eastAsia" w:ascii="仿宋" w:hAnsi="仿宋" w:eastAsia="仿宋" w:cs="仿宋"/>
          <w:i w:val="0"/>
          <w:iCs w:val="0"/>
          <w:caps w:val="0"/>
          <w:color w:val="auto"/>
          <w:spacing w:val="0"/>
          <w:sz w:val="24"/>
          <w:szCs w:val="24"/>
          <w:highlight w:val="none"/>
          <w:shd w:val="clear" w:color="auto" w:fill="FFFFFF"/>
        </w:rPr>
        <w:t>的</w:t>
      </w:r>
      <w:r>
        <w:rPr>
          <w:rStyle w:val="36"/>
          <w:rFonts w:hint="eastAsia" w:ascii="仿宋" w:hAnsi="仿宋" w:eastAsia="仿宋" w:cs="仿宋"/>
          <w:i w:val="0"/>
          <w:iCs w:val="0"/>
          <w:caps w:val="0"/>
          <w:color w:val="auto"/>
          <w:spacing w:val="0"/>
          <w:sz w:val="24"/>
          <w:szCs w:val="24"/>
          <w:highlight w:val="none"/>
          <w:shd w:val="clear" w:color="auto" w:fill="FFFFFF"/>
        </w:rPr>
        <w:t>（关键工序）</w:t>
      </w:r>
      <w:r>
        <w:rPr>
          <w:rStyle w:val="36"/>
          <w:rFonts w:hint="eastAsia" w:ascii="仿宋" w:hAnsi="仿宋" w:eastAsia="仿宋" w:cs="仿宋"/>
          <w:i w:val="0"/>
          <w:iCs w:val="0"/>
          <w:caps w:val="0"/>
          <w:color w:val="auto"/>
          <w:spacing w:val="0"/>
          <w:sz w:val="24"/>
          <w:szCs w:val="24"/>
          <w:highlight w:val="none"/>
          <w:shd w:val="clear" w:color="auto" w:fill="FFFFFF"/>
          <w:vertAlign w:val="superscript"/>
        </w:rPr>
        <w:t>5</w:t>
      </w:r>
      <w:r>
        <w:rPr>
          <w:rFonts w:hint="eastAsia" w:ascii="仿宋" w:hAnsi="仿宋" w:eastAsia="仿宋" w:cs="仿宋"/>
          <w:i w:val="0"/>
          <w:iCs w:val="0"/>
          <w:caps w:val="0"/>
          <w:color w:val="auto"/>
          <w:spacing w:val="0"/>
          <w:sz w:val="24"/>
          <w:szCs w:val="24"/>
          <w:highlight w:val="none"/>
          <w:shd w:val="clear" w:color="auto" w:fill="FFFFFF"/>
        </w:rPr>
        <w:t>在中国境内完成。</w:t>
      </w:r>
    </w:p>
    <w:p w14:paraId="3305684E">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w:t>
      </w:r>
      <w:r>
        <w:rPr>
          <w:rStyle w:val="36"/>
          <w:rFonts w:hint="eastAsia" w:ascii="仿宋" w:hAnsi="仿宋" w:eastAsia="仿宋" w:cs="仿宋"/>
          <w:i w:val="0"/>
          <w:iCs w:val="0"/>
          <w:caps w:val="0"/>
          <w:color w:val="auto"/>
          <w:spacing w:val="0"/>
          <w:sz w:val="24"/>
          <w:szCs w:val="24"/>
          <w:highlight w:val="none"/>
          <w:shd w:val="clear" w:color="auto" w:fill="FFFFFF"/>
        </w:rPr>
        <w:t>（产品名称2）</w:t>
      </w:r>
      <w:r>
        <w:rPr>
          <w:rFonts w:hint="eastAsia" w:ascii="仿宋" w:hAnsi="仿宋" w:eastAsia="仿宋" w:cs="仿宋"/>
          <w:i w:val="0"/>
          <w:iCs w:val="0"/>
          <w:caps w:val="0"/>
          <w:color w:val="auto"/>
          <w:spacing w:val="0"/>
          <w:sz w:val="24"/>
          <w:szCs w:val="24"/>
          <w:highlight w:val="none"/>
          <w:shd w:val="clear" w:color="auto" w:fill="FFFFFF"/>
        </w:rPr>
        <w:t>，生产厂为</w:t>
      </w:r>
      <w:r>
        <w:rPr>
          <w:rStyle w:val="36"/>
          <w:rFonts w:hint="eastAsia" w:ascii="仿宋" w:hAnsi="仿宋" w:eastAsia="仿宋" w:cs="仿宋"/>
          <w:i w:val="0"/>
          <w:iCs w:val="0"/>
          <w:caps w:val="0"/>
          <w:color w:val="auto"/>
          <w:spacing w:val="0"/>
          <w:sz w:val="24"/>
          <w:szCs w:val="24"/>
          <w:highlight w:val="none"/>
          <w:shd w:val="clear" w:color="auto" w:fill="FFFFFF"/>
        </w:rPr>
        <w:t>（厂名）</w:t>
      </w:r>
      <w:r>
        <w:rPr>
          <w:rFonts w:hint="eastAsia" w:ascii="仿宋" w:hAnsi="仿宋" w:eastAsia="仿宋" w:cs="仿宋"/>
          <w:i w:val="0"/>
          <w:iCs w:val="0"/>
          <w:caps w:val="0"/>
          <w:color w:val="auto"/>
          <w:spacing w:val="0"/>
          <w:sz w:val="24"/>
          <w:szCs w:val="24"/>
          <w:highlight w:val="none"/>
          <w:shd w:val="clear" w:color="auto" w:fill="FFFFFF"/>
        </w:rPr>
        <w:t>，厂址为</w:t>
      </w:r>
      <w:r>
        <w:rPr>
          <w:rStyle w:val="36"/>
          <w:rFonts w:hint="eastAsia" w:ascii="仿宋" w:hAnsi="仿宋" w:eastAsia="仿宋" w:cs="仿宋"/>
          <w:i w:val="0"/>
          <w:iCs w:val="0"/>
          <w:caps w:val="0"/>
          <w:color w:val="auto"/>
          <w:spacing w:val="0"/>
          <w:sz w:val="24"/>
          <w:szCs w:val="24"/>
          <w:highlight w:val="none"/>
          <w:shd w:val="clear" w:color="auto" w:fill="FFFFFF"/>
        </w:rPr>
        <w:t>（生产厂址）</w:t>
      </w:r>
      <w:r>
        <w:rPr>
          <w:rFonts w:hint="eastAsia" w:ascii="仿宋" w:hAnsi="仿宋" w:eastAsia="仿宋" w:cs="仿宋"/>
          <w:i w:val="0"/>
          <w:iCs w:val="0"/>
          <w:caps w:val="0"/>
          <w:color w:val="auto"/>
          <w:spacing w:val="0"/>
          <w:sz w:val="24"/>
          <w:szCs w:val="24"/>
          <w:highlight w:val="none"/>
          <w:shd w:val="clear" w:color="auto" w:fill="FFFFFF"/>
        </w:rPr>
        <w:t>。</w:t>
      </w:r>
      <w:r>
        <w:rPr>
          <w:rStyle w:val="36"/>
          <w:rFonts w:hint="eastAsia" w:ascii="仿宋" w:hAnsi="仿宋" w:eastAsia="仿宋" w:cs="仿宋"/>
          <w:i w:val="0"/>
          <w:iCs w:val="0"/>
          <w:caps w:val="0"/>
          <w:color w:val="auto"/>
          <w:spacing w:val="0"/>
          <w:sz w:val="24"/>
          <w:szCs w:val="24"/>
          <w:highlight w:val="none"/>
          <w:shd w:val="clear" w:color="auto" w:fill="FFFFFF"/>
        </w:rPr>
        <w:t>（产品名称2）</w:t>
      </w:r>
      <w:r>
        <w:rPr>
          <w:rFonts w:hint="eastAsia" w:ascii="仿宋" w:hAnsi="仿宋" w:eastAsia="仿宋" w:cs="仿宋"/>
          <w:i w:val="0"/>
          <w:iCs w:val="0"/>
          <w:caps w:val="0"/>
          <w:color w:val="auto"/>
          <w:spacing w:val="0"/>
          <w:sz w:val="24"/>
          <w:szCs w:val="24"/>
          <w:highlight w:val="none"/>
          <w:shd w:val="clear" w:color="auto" w:fill="FFFFFF"/>
        </w:rPr>
        <w:t>的中国境内生产的组件成本占比≥</w:t>
      </w:r>
      <w:r>
        <w:rPr>
          <w:rStyle w:val="36"/>
          <w:rFonts w:hint="eastAsia" w:ascii="仿宋" w:hAnsi="仿宋" w:eastAsia="仿宋" w:cs="仿宋"/>
          <w:i w:val="0"/>
          <w:iCs w:val="0"/>
          <w:caps w:val="0"/>
          <w:color w:val="auto"/>
          <w:spacing w:val="0"/>
          <w:sz w:val="24"/>
          <w:szCs w:val="24"/>
          <w:highlight w:val="none"/>
          <w:shd w:val="clear" w:color="auto" w:fill="FFFFFF"/>
        </w:rPr>
        <w:t>（规定比例）</w:t>
      </w:r>
      <w:r>
        <w:rPr>
          <w:rFonts w:hint="eastAsia" w:ascii="仿宋" w:hAnsi="仿宋" w:eastAsia="仿宋" w:cs="仿宋"/>
          <w:i w:val="0"/>
          <w:iCs w:val="0"/>
          <w:caps w:val="0"/>
          <w:color w:val="auto"/>
          <w:spacing w:val="0"/>
          <w:sz w:val="24"/>
          <w:szCs w:val="24"/>
          <w:highlight w:val="none"/>
          <w:shd w:val="clear" w:color="auto" w:fill="FFFFFF"/>
        </w:rPr>
        <w:t>。</w:t>
      </w:r>
      <w:r>
        <w:rPr>
          <w:rStyle w:val="36"/>
          <w:rFonts w:hint="eastAsia" w:ascii="仿宋" w:hAnsi="仿宋" w:eastAsia="仿宋" w:cs="仿宋"/>
          <w:i w:val="0"/>
          <w:iCs w:val="0"/>
          <w:caps w:val="0"/>
          <w:color w:val="auto"/>
          <w:spacing w:val="0"/>
          <w:sz w:val="24"/>
          <w:szCs w:val="24"/>
          <w:highlight w:val="none"/>
          <w:shd w:val="clear" w:color="auto" w:fill="FFFFFF"/>
        </w:rPr>
        <w:t>（产品名称2）</w:t>
      </w:r>
      <w:r>
        <w:rPr>
          <w:rFonts w:hint="eastAsia" w:ascii="仿宋" w:hAnsi="仿宋" w:eastAsia="仿宋" w:cs="仿宋"/>
          <w:i w:val="0"/>
          <w:iCs w:val="0"/>
          <w:caps w:val="0"/>
          <w:color w:val="auto"/>
          <w:spacing w:val="0"/>
          <w:sz w:val="24"/>
          <w:szCs w:val="24"/>
          <w:highlight w:val="none"/>
          <w:shd w:val="clear" w:color="auto" w:fill="FFFFFF"/>
        </w:rPr>
        <w:t>的</w:t>
      </w:r>
      <w:r>
        <w:rPr>
          <w:rStyle w:val="36"/>
          <w:rFonts w:hint="eastAsia" w:ascii="仿宋" w:hAnsi="仿宋" w:eastAsia="仿宋" w:cs="仿宋"/>
          <w:i w:val="0"/>
          <w:iCs w:val="0"/>
          <w:caps w:val="0"/>
          <w:color w:val="auto"/>
          <w:spacing w:val="0"/>
          <w:sz w:val="24"/>
          <w:szCs w:val="24"/>
          <w:highlight w:val="none"/>
          <w:shd w:val="clear" w:color="auto" w:fill="FFFFFF"/>
        </w:rPr>
        <w:t>（关键组件）</w:t>
      </w:r>
      <w:r>
        <w:rPr>
          <w:rFonts w:hint="eastAsia" w:ascii="仿宋" w:hAnsi="仿宋" w:eastAsia="仿宋" w:cs="仿宋"/>
          <w:i w:val="0"/>
          <w:iCs w:val="0"/>
          <w:caps w:val="0"/>
          <w:color w:val="auto"/>
          <w:spacing w:val="0"/>
          <w:sz w:val="24"/>
          <w:szCs w:val="24"/>
          <w:highlight w:val="none"/>
          <w:shd w:val="clear" w:color="auto" w:fill="FFFFFF"/>
        </w:rPr>
        <w:t>在中国境内生产。</w:t>
      </w:r>
      <w:r>
        <w:rPr>
          <w:rStyle w:val="36"/>
          <w:rFonts w:hint="eastAsia" w:ascii="仿宋" w:hAnsi="仿宋" w:eastAsia="仿宋" w:cs="仿宋"/>
          <w:i w:val="0"/>
          <w:iCs w:val="0"/>
          <w:caps w:val="0"/>
          <w:color w:val="auto"/>
          <w:spacing w:val="0"/>
          <w:sz w:val="24"/>
          <w:szCs w:val="24"/>
          <w:highlight w:val="none"/>
          <w:shd w:val="clear" w:color="auto" w:fill="FFFFFF"/>
        </w:rPr>
        <w:t>（产品名称2）</w:t>
      </w:r>
      <w:r>
        <w:rPr>
          <w:rFonts w:hint="eastAsia" w:ascii="仿宋" w:hAnsi="仿宋" w:eastAsia="仿宋" w:cs="仿宋"/>
          <w:i w:val="0"/>
          <w:iCs w:val="0"/>
          <w:caps w:val="0"/>
          <w:color w:val="auto"/>
          <w:spacing w:val="0"/>
          <w:sz w:val="24"/>
          <w:szCs w:val="24"/>
          <w:highlight w:val="none"/>
          <w:shd w:val="clear" w:color="auto" w:fill="FFFFFF"/>
        </w:rPr>
        <w:t>的</w:t>
      </w:r>
      <w:r>
        <w:rPr>
          <w:rStyle w:val="36"/>
          <w:rFonts w:hint="eastAsia" w:ascii="仿宋" w:hAnsi="仿宋" w:eastAsia="仿宋" w:cs="仿宋"/>
          <w:i w:val="0"/>
          <w:iCs w:val="0"/>
          <w:caps w:val="0"/>
          <w:color w:val="auto"/>
          <w:spacing w:val="0"/>
          <w:sz w:val="24"/>
          <w:szCs w:val="24"/>
          <w:highlight w:val="none"/>
          <w:shd w:val="clear" w:color="auto" w:fill="FFFFFF"/>
        </w:rPr>
        <w:t>（关键工序）</w:t>
      </w:r>
      <w:r>
        <w:rPr>
          <w:rFonts w:hint="eastAsia" w:ascii="仿宋" w:hAnsi="仿宋" w:eastAsia="仿宋" w:cs="仿宋"/>
          <w:i w:val="0"/>
          <w:iCs w:val="0"/>
          <w:caps w:val="0"/>
          <w:color w:val="auto"/>
          <w:spacing w:val="0"/>
          <w:sz w:val="24"/>
          <w:szCs w:val="24"/>
          <w:highlight w:val="none"/>
          <w:shd w:val="clear" w:color="auto" w:fill="FFFFFF"/>
        </w:rPr>
        <w:t>在中国境内完成。</w:t>
      </w:r>
    </w:p>
    <w:p w14:paraId="1026417B">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w:t>
      </w:r>
    </w:p>
    <w:p w14:paraId="2BE88BB1">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本公司（单位）对上述声明内容的真实性负责。如有虚假，愿承担相应法律责任。</w:t>
      </w:r>
    </w:p>
    <w:p w14:paraId="517968FA">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jc w:val="right"/>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公司（单位）名称（盖章）：      </w:t>
      </w:r>
    </w:p>
    <w:p w14:paraId="53EE5354">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jc w:val="right"/>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日期：　　　　　年　　月　日    </w:t>
      </w:r>
    </w:p>
    <w:p w14:paraId="619EAC59">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20E7E225">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4F71885C">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u w:val="single"/>
          <w:shd w:val="clear" w:color="auto" w:fill="FFFFFF"/>
          <w:lang w:val="en-US" w:eastAsia="zh-CN"/>
        </w:rPr>
      </w:pPr>
      <w:r>
        <w:rPr>
          <w:rFonts w:hint="eastAsia" w:ascii="仿宋" w:hAnsi="仿宋" w:eastAsia="仿宋" w:cs="仿宋"/>
          <w:i w:val="0"/>
          <w:iCs w:val="0"/>
          <w:caps w:val="0"/>
          <w:color w:val="auto"/>
          <w:spacing w:val="0"/>
          <w:sz w:val="24"/>
          <w:szCs w:val="24"/>
          <w:highlight w:val="none"/>
          <w:u w:val="single"/>
          <w:shd w:val="clear" w:color="auto" w:fill="FFFFFF"/>
          <w:lang w:val="en-US" w:eastAsia="zh-CN"/>
        </w:rPr>
        <w:t xml:space="preserve">                                                                         </w:t>
      </w:r>
    </w:p>
    <w:p w14:paraId="15B96317">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1.产品如有型号，请在“产品名称”栏一并填写。</w:t>
      </w:r>
    </w:p>
    <w:p w14:paraId="29A57D8B">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2.生产厂名与厂址应与生产厂营业执照载明的相关信息保持一致。</w:t>
      </w:r>
    </w:p>
    <w:p w14:paraId="0D51CB8A">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3.该产品的中国境内生产的组件成本占比相关要求实施前，“规定比例”栏可不填，下同。</w:t>
      </w:r>
    </w:p>
    <w:p w14:paraId="3484D4BE">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4.该产品的关键组件要求实施前，“关键组件”栏可不填，下同。</w:t>
      </w:r>
    </w:p>
    <w:p w14:paraId="01D692C8">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5.该产品的关键工序要求实施前，“关键工序”栏可不填，下同。</w:t>
      </w:r>
    </w:p>
    <w:p w14:paraId="4C37D252">
      <w:pPr>
        <w:spacing w:line="360" w:lineRule="auto"/>
        <w:ind w:firstLine="504" w:firstLineChars="200"/>
        <w:rPr>
          <w:rFonts w:hint="eastAsia" w:ascii="仿宋" w:hAnsi="仿宋" w:eastAsia="仿宋" w:cs="仿宋"/>
          <w:color w:val="auto"/>
          <w:spacing w:val="6"/>
          <w:sz w:val="24"/>
          <w:szCs w:val="24"/>
          <w:highlight w:val="none"/>
        </w:rPr>
      </w:pPr>
    </w:p>
    <w:p w14:paraId="43B7E095">
      <w:pP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0200D778">
      <w:pPr>
        <w:spacing w:line="360" w:lineRule="auto"/>
        <w:rPr>
          <w:rFonts w:hint="eastAsia" w:ascii="仿宋" w:hAnsi="仿宋" w:eastAsia="仿宋" w:cs="仿宋"/>
          <w:color w:val="auto"/>
          <w:sz w:val="24"/>
          <w:highlight w:val="none"/>
        </w:rPr>
      </w:pPr>
    </w:p>
    <w:p w14:paraId="1FE9877A">
      <w:pPr>
        <w:pStyle w:val="65"/>
        <w:adjustRightInd w:val="0"/>
        <w:snapToGrid w:val="0"/>
        <w:spacing w:before="0" w:after="0" w:line="360" w:lineRule="auto"/>
        <w:rPr>
          <w:rFonts w:hint="eastAsia" w:ascii="仿宋" w:hAnsi="仿宋" w:eastAsia="仿宋" w:cs="仿宋"/>
          <w:b/>
          <w:bCs w:val="0"/>
          <w:color w:val="auto"/>
          <w:sz w:val="24"/>
          <w:highlight w:val="none"/>
        </w:rPr>
      </w:pPr>
      <w:bookmarkStart w:id="132" w:name="_Toc29152"/>
      <w:bookmarkStart w:id="133" w:name="_Toc71631940"/>
      <w:bookmarkStart w:id="134" w:name="_Toc20607"/>
      <w:r>
        <w:rPr>
          <w:rFonts w:hint="eastAsia" w:ascii="仿宋" w:hAnsi="仿宋" w:eastAsia="仿宋" w:cs="仿宋"/>
          <w:b/>
          <w:bCs w:val="0"/>
          <w:color w:val="auto"/>
          <w:sz w:val="24"/>
          <w:highlight w:val="none"/>
        </w:rPr>
        <w:t>附件1</w:t>
      </w:r>
      <w:bookmarkStart w:id="135" w:name="_Toc2582330"/>
      <w:bookmarkStart w:id="136" w:name="_Toc532473516"/>
      <w:r>
        <w:rPr>
          <w:rFonts w:hint="eastAsia" w:ascii="仿宋" w:hAnsi="仿宋" w:eastAsia="仿宋" w:cs="仿宋"/>
          <w:b/>
          <w:bCs w:val="0"/>
          <w:color w:val="auto"/>
          <w:sz w:val="24"/>
          <w:highlight w:val="none"/>
        </w:rPr>
        <w:t>1  评审所需要的其他商务文件</w:t>
      </w:r>
      <w:bookmarkEnd w:id="132"/>
      <w:bookmarkEnd w:id="133"/>
      <w:bookmarkEnd w:id="134"/>
      <w:bookmarkEnd w:id="135"/>
      <w:bookmarkEnd w:id="136"/>
    </w:p>
    <w:p w14:paraId="0D2893BF">
      <w:pPr>
        <w:pStyle w:val="65"/>
        <w:adjustRightInd w:val="0"/>
        <w:snapToGrid w:val="0"/>
        <w:spacing w:before="0" w:after="0" w:line="360" w:lineRule="auto"/>
        <w:rPr>
          <w:rFonts w:hint="eastAsia" w:ascii="仿宋" w:hAnsi="仿宋" w:eastAsia="仿宋" w:cs="仿宋"/>
          <w:b/>
          <w:bCs w:val="0"/>
          <w:color w:val="auto"/>
          <w:sz w:val="24"/>
          <w:highlight w:val="none"/>
        </w:rPr>
      </w:pPr>
    </w:p>
    <w:p w14:paraId="07AA263A">
      <w:pPr>
        <w:pStyle w:val="65"/>
        <w:spacing w:line="360" w:lineRule="auto"/>
        <w:ind w:right="-92" w:rightChars="-44"/>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注：后附根据招标文件的要求和投标人认为需要提供的资料</w:t>
      </w:r>
      <w:r>
        <w:rPr>
          <w:rFonts w:hint="eastAsia" w:ascii="仿宋" w:hAnsi="仿宋" w:eastAsia="仿宋" w:cs="仿宋"/>
          <w:color w:val="auto"/>
          <w:sz w:val="24"/>
          <w:szCs w:val="24"/>
          <w:highlight w:val="none"/>
          <w:lang w:eastAsia="zh-CN"/>
        </w:rPr>
        <w:t>。</w:t>
      </w:r>
    </w:p>
    <w:p w14:paraId="6D38A1E0">
      <w:pPr>
        <w:pStyle w:val="65"/>
        <w:adjustRightInd w:val="0"/>
        <w:snapToGrid w:val="0"/>
        <w:spacing w:before="0" w:after="0" w:line="360" w:lineRule="auto"/>
        <w:rPr>
          <w:rFonts w:hint="eastAsia" w:ascii="仿宋" w:hAnsi="仿宋" w:eastAsia="仿宋" w:cs="仿宋"/>
          <w:b/>
          <w:bCs w:val="0"/>
          <w:color w:val="auto"/>
          <w:sz w:val="24"/>
          <w:highlight w:val="none"/>
        </w:rPr>
      </w:pPr>
    </w:p>
    <w:p w14:paraId="60A6ED1E">
      <w:pPr>
        <w:spacing w:line="360" w:lineRule="auto"/>
        <w:rPr>
          <w:rFonts w:hint="eastAsia" w:ascii="仿宋" w:hAnsi="仿宋" w:eastAsia="仿宋" w:cs="仿宋"/>
          <w:b/>
          <w:color w:val="auto"/>
          <w:sz w:val="24"/>
          <w:highlight w:val="none"/>
        </w:rPr>
      </w:pPr>
      <w:bookmarkStart w:id="137" w:name="_Toc71631941"/>
      <w:r>
        <w:rPr>
          <w:rFonts w:hint="eastAsia" w:ascii="仿宋" w:hAnsi="仿宋" w:eastAsia="仿宋" w:cs="仿宋"/>
          <w:b/>
          <w:color w:val="auto"/>
          <w:sz w:val="24"/>
          <w:highlight w:val="none"/>
        </w:rPr>
        <w:br w:type="page"/>
      </w:r>
    </w:p>
    <w:p w14:paraId="40239A9E">
      <w:pPr>
        <w:pStyle w:val="65"/>
        <w:adjustRightInd w:val="0"/>
        <w:snapToGrid w:val="0"/>
        <w:spacing w:before="0" w:after="0" w:line="360" w:lineRule="auto"/>
        <w:rPr>
          <w:rFonts w:hint="eastAsia" w:ascii="仿宋" w:hAnsi="仿宋" w:eastAsia="仿宋" w:cs="仿宋"/>
          <w:b/>
          <w:bCs w:val="0"/>
          <w:color w:val="auto"/>
          <w:sz w:val="24"/>
          <w:highlight w:val="none"/>
        </w:rPr>
      </w:pPr>
      <w:bookmarkStart w:id="138" w:name="_Toc29840"/>
      <w:bookmarkStart w:id="139" w:name="_Toc2602"/>
      <w:r>
        <w:rPr>
          <w:rFonts w:hint="eastAsia" w:ascii="仿宋" w:hAnsi="仿宋" w:eastAsia="仿宋" w:cs="仿宋"/>
          <w:b/>
          <w:bCs w:val="0"/>
          <w:color w:val="auto"/>
          <w:sz w:val="24"/>
          <w:highlight w:val="none"/>
        </w:rPr>
        <w:t>附件12  投标文件还应包括的技术文件</w:t>
      </w:r>
      <w:bookmarkEnd w:id="137"/>
      <w:bookmarkEnd w:id="138"/>
      <w:bookmarkEnd w:id="139"/>
    </w:p>
    <w:p w14:paraId="252F1C47">
      <w:pPr>
        <w:pStyle w:val="65"/>
        <w:adjustRightInd w:val="0"/>
        <w:snapToGrid w:val="0"/>
        <w:spacing w:before="0" w:after="0" w:line="360" w:lineRule="auto"/>
        <w:rPr>
          <w:rFonts w:hint="eastAsia" w:ascii="仿宋" w:hAnsi="仿宋" w:eastAsia="仿宋" w:cs="仿宋"/>
          <w:color w:val="auto"/>
          <w:sz w:val="24"/>
          <w:highlight w:val="none"/>
        </w:rPr>
      </w:pPr>
    </w:p>
    <w:p w14:paraId="0839511D">
      <w:pPr>
        <w:pStyle w:val="65"/>
        <w:adjustRightInd w:val="0"/>
        <w:snapToGrid w:val="0"/>
        <w:spacing w:before="0"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投标人应根据招标文件第五章、第六章的规定自行编写， 详细叙述拟提供产品/服务情况。</w:t>
      </w:r>
    </w:p>
    <w:p w14:paraId="0493665D">
      <w:pPr>
        <w:pStyle w:val="65"/>
        <w:adjustRightInd w:val="0"/>
        <w:snapToGrid w:val="0"/>
        <w:spacing w:before="0"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包括，但不限于：</w:t>
      </w:r>
    </w:p>
    <w:p w14:paraId="45883D70">
      <w:pPr>
        <w:pStyle w:val="65"/>
        <w:adjustRightInd w:val="0"/>
        <w:snapToGrid w:val="0"/>
        <w:spacing w:before="0"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1.投标人应提交证明文件，证明其拟供的合同项下的货物及服务的合格性符合招标文件规定。该证明文件是投标文件的一部分。上款所述的证明文件，可以是文字资料、图纸和数据。</w:t>
      </w:r>
    </w:p>
    <w:p w14:paraId="2BA8187E">
      <w:pPr>
        <w:pStyle w:val="65"/>
        <w:adjustRightInd w:val="0"/>
        <w:snapToGrid w:val="0"/>
        <w:spacing w:before="0"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2.主要采购需求和性能的详细说明。</w:t>
      </w:r>
    </w:p>
    <w:p w14:paraId="27B7FCD6">
      <w:pPr>
        <w:pStyle w:val="65"/>
        <w:adjustRightInd w:val="0"/>
        <w:snapToGrid w:val="0"/>
        <w:spacing w:before="0"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3.从采购人开始使用至招标文件规定的服务期内正常、连续地使用所必须的备件和专用工具清单，包括备件和专用工具的货源及现行价格。</w:t>
      </w:r>
    </w:p>
    <w:p w14:paraId="4345A62D">
      <w:pPr>
        <w:pStyle w:val="65"/>
        <w:adjustRightInd w:val="0"/>
        <w:snapToGrid w:val="0"/>
        <w:spacing w:before="0"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4.对照招标文件技术规格，逐条说明所提供服务已对招标文件的技术规格做出了实质性的响应，或申明与技术规格条文的偏差和例外。</w:t>
      </w:r>
    </w:p>
    <w:p w14:paraId="75ACEA65">
      <w:pPr>
        <w:pStyle w:val="65"/>
        <w:adjustRightInd w:val="0"/>
        <w:snapToGrid w:val="0"/>
        <w:spacing w:before="0"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实施及服务方案</w:t>
      </w:r>
    </w:p>
    <w:p w14:paraId="1EF9C93A">
      <w:pPr>
        <w:pStyle w:val="65"/>
        <w:adjustRightInd w:val="0"/>
        <w:snapToGrid w:val="0"/>
        <w:spacing w:before="0"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售后服务方案</w:t>
      </w:r>
    </w:p>
    <w:p w14:paraId="3F80E4B4">
      <w:pPr>
        <w:pStyle w:val="65"/>
        <w:adjustRightInd w:val="0"/>
        <w:snapToGrid w:val="0"/>
        <w:spacing w:before="0"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培训方案</w:t>
      </w:r>
    </w:p>
    <w:p w14:paraId="5F2F0D29">
      <w:pPr>
        <w:pStyle w:val="65"/>
        <w:adjustRightInd w:val="0"/>
        <w:snapToGrid w:val="0"/>
        <w:spacing w:before="0"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人员配置方案</w:t>
      </w:r>
    </w:p>
    <w:p w14:paraId="4DFC0810">
      <w:pPr>
        <w:pStyle w:val="65"/>
        <w:adjustRightInd w:val="0"/>
        <w:snapToGrid w:val="0"/>
        <w:spacing w:before="0"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.招标文件要求的或投标人认为有必要提供的其他技术文件；</w:t>
      </w:r>
    </w:p>
    <w:p w14:paraId="60746C39">
      <w:pPr>
        <w:pStyle w:val="65"/>
        <w:adjustRightInd w:val="0"/>
        <w:snapToGrid w:val="0"/>
        <w:spacing w:before="0"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.投标人认为其它需要说明的事宜。</w:t>
      </w:r>
    </w:p>
    <w:p w14:paraId="67D84911">
      <w:pP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169C3326">
      <w:pPr>
        <w:pStyle w:val="65"/>
        <w:spacing w:line="360" w:lineRule="auto"/>
        <w:jc w:val="center"/>
        <w:outlineLvl w:val="0"/>
        <w:rPr>
          <w:rFonts w:hint="eastAsia" w:ascii="仿宋" w:hAnsi="仿宋" w:eastAsia="仿宋" w:cs="仿宋"/>
          <w:b/>
          <w:color w:val="auto"/>
          <w:sz w:val="32"/>
          <w:szCs w:val="32"/>
          <w:highlight w:val="yellow"/>
        </w:rPr>
      </w:pPr>
      <w:bookmarkStart w:id="140" w:name="_Toc2241"/>
      <w:r>
        <w:rPr>
          <w:rFonts w:hint="eastAsia" w:ascii="仿宋" w:hAnsi="仿宋" w:eastAsia="仿宋" w:cs="仿宋"/>
          <w:b/>
          <w:color w:val="auto"/>
          <w:sz w:val="32"/>
          <w:szCs w:val="32"/>
          <w:highlight w:val="yellow"/>
        </w:rPr>
        <w:t>第</w:t>
      </w:r>
      <w:r>
        <w:rPr>
          <w:rFonts w:hint="eastAsia" w:ascii="仿宋" w:hAnsi="仿宋" w:eastAsia="仿宋" w:cs="仿宋"/>
          <w:b/>
          <w:color w:val="auto"/>
          <w:sz w:val="32"/>
          <w:szCs w:val="32"/>
          <w:highlight w:val="yellow"/>
          <w:lang w:val="en-US" w:eastAsia="zh-CN"/>
        </w:rPr>
        <w:t>八</w:t>
      </w:r>
      <w:r>
        <w:rPr>
          <w:rFonts w:hint="eastAsia" w:ascii="仿宋" w:hAnsi="仿宋" w:eastAsia="仿宋" w:cs="仿宋"/>
          <w:b/>
          <w:color w:val="auto"/>
          <w:sz w:val="32"/>
          <w:szCs w:val="32"/>
          <w:highlight w:val="yellow"/>
        </w:rPr>
        <w:t>章  补充条款</w:t>
      </w:r>
      <w:bookmarkEnd w:id="140"/>
    </w:p>
    <w:p w14:paraId="75153865">
      <w:pPr>
        <w:spacing w:line="360" w:lineRule="auto"/>
        <w:outlineLvl w:val="1"/>
        <w:rPr>
          <w:rFonts w:hint="eastAsia" w:ascii="仿宋" w:hAnsi="仿宋" w:eastAsia="仿宋" w:cs="仿宋"/>
          <w:color w:val="auto"/>
          <w:spacing w:val="6"/>
          <w:sz w:val="24"/>
          <w:szCs w:val="24"/>
          <w:highlight w:val="none"/>
        </w:rPr>
      </w:pPr>
      <w:bookmarkStart w:id="141" w:name="_Toc26055"/>
      <w:bookmarkStart w:id="142" w:name="_Toc30027"/>
      <w:r>
        <w:rPr>
          <w:rFonts w:hint="eastAsia" w:ascii="仿宋" w:hAnsi="仿宋" w:eastAsia="仿宋" w:cs="仿宋"/>
          <w:color w:val="auto"/>
          <w:spacing w:val="6"/>
          <w:sz w:val="24"/>
          <w:szCs w:val="24"/>
          <w:highlight w:val="none"/>
        </w:rPr>
        <w:t>附件</w:t>
      </w:r>
      <w:r>
        <w:rPr>
          <w:rFonts w:hint="eastAsia" w:ascii="仿宋" w:hAnsi="仿宋" w:eastAsia="仿宋" w:cs="仿宋"/>
          <w:color w:val="auto"/>
          <w:spacing w:val="6"/>
          <w:sz w:val="24"/>
          <w:szCs w:val="24"/>
          <w:highlight w:val="none"/>
          <w:lang w:val="en-US" w:eastAsia="zh-CN"/>
        </w:rPr>
        <w:t>一</w:t>
      </w:r>
      <w:r>
        <w:rPr>
          <w:rFonts w:hint="eastAsia" w:ascii="仿宋" w:hAnsi="仿宋" w:eastAsia="仿宋" w:cs="仿宋"/>
          <w:color w:val="auto"/>
          <w:spacing w:val="6"/>
          <w:sz w:val="24"/>
          <w:szCs w:val="24"/>
          <w:highlight w:val="none"/>
        </w:rPr>
        <w:t>、</w:t>
      </w:r>
      <w:r>
        <w:rPr>
          <w:rFonts w:hint="eastAsia" w:ascii="仿宋" w:hAnsi="仿宋" w:eastAsia="仿宋" w:cs="仿宋"/>
          <w:color w:val="auto"/>
          <w:spacing w:val="6"/>
          <w:sz w:val="24"/>
          <w:szCs w:val="24"/>
          <w:highlight w:val="none"/>
          <w:lang w:val="en-US" w:eastAsia="zh-CN"/>
        </w:rPr>
        <w:t>中小企业扶持政策</w:t>
      </w:r>
      <w:bookmarkEnd w:id="141"/>
      <w:bookmarkEnd w:id="142"/>
    </w:p>
    <w:p w14:paraId="4C82FA6D">
      <w:pPr>
        <w:spacing w:line="360" w:lineRule="auto"/>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关于印发中小企业划型标准规定的通知</w:t>
      </w:r>
    </w:p>
    <w:p w14:paraId="40F51F79">
      <w:pPr>
        <w:spacing w:line="360" w:lineRule="auto"/>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工信部联企业〔2011〕300号</w:t>
      </w:r>
    </w:p>
    <w:p w14:paraId="6C84249C">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各省、自治区、直辖市人民政府，国务院各部委、各直属机构及有关单位：</w:t>
      </w:r>
    </w:p>
    <w:p w14:paraId="056058AA">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0BC8A50">
      <w:pPr>
        <w:spacing w:line="360" w:lineRule="auto"/>
        <w:ind w:firstLine="504" w:firstLineChars="200"/>
        <w:jc w:val="right"/>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工业和信息化部</w:t>
      </w:r>
    </w:p>
    <w:p w14:paraId="337BE4FD">
      <w:pPr>
        <w:spacing w:line="360" w:lineRule="auto"/>
        <w:ind w:firstLine="504" w:firstLineChars="200"/>
        <w:jc w:val="right"/>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国家统计局</w:t>
      </w:r>
    </w:p>
    <w:p w14:paraId="549E3802">
      <w:pPr>
        <w:spacing w:line="360" w:lineRule="auto"/>
        <w:ind w:firstLine="504" w:firstLineChars="200"/>
        <w:jc w:val="right"/>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国家发展和改革委员会</w:t>
      </w:r>
    </w:p>
    <w:p w14:paraId="7E0AA283">
      <w:pPr>
        <w:spacing w:line="360" w:lineRule="auto"/>
        <w:ind w:firstLine="504" w:firstLineChars="200"/>
        <w:jc w:val="right"/>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财政部</w:t>
      </w:r>
    </w:p>
    <w:p w14:paraId="431FCB33">
      <w:pPr>
        <w:spacing w:line="360" w:lineRule="auto"/>
        <w:ind w:firstLine="504" w:firstLineChars="200"/>
        <w:jc w:val="right"/>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二○一一年六月十八日</w:t>
      </w:r>
    </w:p>
    <w:p w14:paraId="06017EAD">
      <w:pPr>
        <w:spacing w:line="360" w:lineRule="auto"/>
        <w:ind w:firstLine="504" w:firstLineChars="200"/>
        <w:rPr>
          <w:rFonts w:hint="eastAsia" w:ascii="仿宋" w:hAnsi="仿宋" w:eastAsia="仿宋" w:cs="仿宋"/>
          <w:color w:val="auto"/>
          <w:spacing w:val="6"/>
          <w:sz w:val="24"/>
          <w:szCs w:val="24"/>
          <w:highlight w:val="none"/>
        </w:rPr>
      </w:pPr>
    </w:p>
    <w:p w14:paraId="57B79F58">
      <w:pPr>
        <w:spacing w:line="360" w:lineRule="auto"/>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中小企业划型标准规定</w:t>
      </w:r>
    </w:p>
    <w:p w14:paraId="4ADC196A">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一、根据《中华人民共和国中小企业促进法》和《国务院关于进一步促进中小企业发展的若干意见》(国发〔2009〕36号)，制定本规定。</w:t>
      </w:r>
    </w:p>
    <w:p w14:paraId="5082C63B">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二、中小企业划分为中型、小型、微型三种类型，具体标准根据企业从业人员、营业收入、资产总额等指标，结合行业特点制定。</w:t>
      </w:r>
    </w:p>
    <w:p w14:paraId="74F90391">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C4858B5">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四、各行业划型标准为：</w:t>
      </w:r>
    </w:p>
    <w:p w14:paraId="1C5A2DBF">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1D62D7F3">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F460B1E">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33EC55F">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2929851">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6A6F91E">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4D4A40E">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F9D5CCC">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B15AE6C">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087C783">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4FD9C3F">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EE8AEC5">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59EE28">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4E50098">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C963B75">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5B92571">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（十六）其他未列明行业。从业人员300人以下的为中小微型企业。其中，从业人员100人及以上的为中型企业；从业人员10人及以上的为小型企业；从业人员10人以下的为微型企业。</w:t>
      </w:r>
    </w:p>
    <w:p w14:paraId="26C16AF3">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五、企业类型的划分以统计部门的统计数据为依据。</w:t>
      </w:r>
    </w:p>
    <w:p w14:paraId="050315FD">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六、本规定适用于在中华人民共和国境内依法设立的各类所有制和各种组织形式的企业。个体工商户和本规定以外的行业，参照本规定进行划型。</w:t>
      </w:r>
    </w:p>
    <w:p w14:paraId="0EE9926B">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63207B1F">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八、本规定由工业和信息化部、国家统计局会同有关部门根据《国民经济行业分类》修订情况和企业发展变化情况适时修订。</w:t>
      </w:r>
    </w:p>
    <w:p w14:paraId="722863D8">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九、本规定由工业和信息化部、国家统计局会同有关部门负责解释。</w:t>
      </w:r>
    </w:p>
    <w:p w14:paraId="2AE869EE">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十、本规定自发布之日起执行，原国家经贸委、原国家计委、财政部和国家统计局2003年颁布的《中小企业标准暂行规定》同时废止。</w:t>
      </w:r>
    </w:p>
    <w:p w14:paraId="143DD749">
      <w:pP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br w:type="page"/>
      </w:r>
    </w:p>
    <w:p w14:paraId="33351C8D">
      <w:pPr>
        <w:spacing w:line="360" w:lineRule="auto"/>
        <w:outlineLvl w:val="1"/>
        <w:rPr>
          <w:rFonts w:hint="eastAsia" w:ascii="仿宋" w:hAnsi="仿宋" w:eastAsia="仿宋" w:cs="仿宋"/>
          <w:color w:val="auto"/>
          <w:spacing w:val="6"/>
          <w:sz w:val="24"/>
          <w:szCs w:val="24"/>
          <w:highlight w:val="none"/>
        </w:rPr>
      </w:pPr>
      <w:bookmarkStart w:id="143" w:name="_Toc15980"/>
      <w:bookmarkStart w:id="144" w:name="_Toc15249"/>
      <w:r>
        <w:rPr>
          <w:rFonts w:hint="eastAsia" w:ascii="仿宋" w:hAnsi="仿宋" w:eastAsia="仿宋" w:cs="仿宋"/>
          <w:color w:val="auto"/>
          <w:spacing w:val="6"/>
          <w:sz w:val="24"/>
          <w:szCs w:val="24"/>
          <w:highlight w:val="none"/>
        </w:rPr>
        <w:t>附件</w:t>
      </w:r>
      <w:r>
        <w:rPr>
          <w:rFonts w:hint="eastAsia" w:ascii="仿宋" w:hAnsi="仿宋" w:eastAsia="仿宋" w:cs="仿宋"/>
          <w:color w:val="auto"/>
          <w:spacing w:val="6"/>
          <w:sz w:val="24"/>
          <w:szCs w:val="24"/>
          <w:highlight w:val="none"/>
          <w:lang w:val="en-US" w:eastAsia="zh-CN"/>
        </w:rPr>
        <w:t>二</w:t>
      </w:r>
      <w:r>
        <w:rPr>
          <w:rFonts w:hint="eastAsia" w:ascii="仿宋" w:hAnsi="仿宋" w:eastAsia="仿宋" w:cs="仿宋"/>
          <w:color w:val="auto"/>
          <w:spacing w:val="6"/>
          <w:sz w:val="24"/>
          <w:szCs w:val="24"/>
          <w:highlight w:val="none"/>
        </w:rPr>
        <w:t>、</w:t>
      </w:r>
      <w:r>
        <w:rPr>
          <w:rFonts w:hint="eastAsia" w:ascii="仿宋" w:hAnsi="仿宋" w:eastAsia="仿宋" w:cs="仿宋"/>
          <w:color w:val="auto"/>
          <w:spacing w:val="6"/>
          <w:sz w:val="24"/>
          <w:szCs w:val="24"/>
          <w:highlight w:val="none"/>
          <w:lang w:val="en-US" w:eastAsia="zh-CN"/>
        </w:rPr>
        <w:t>残疾人企业扶持政策</w:t>
      </w:r>
      <w:bookmarkEnd w:id="143"/>
      <w:bookmarkEnd w:id="144"/>
    </w:p>
    <w:p w14:paraId="379ADE5B">
      <w:pPr>
        <w:spacing w:line="360" w:lineRule="auto"/>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关于促进残疾人就业政府采购政策的通知</w:t>
      </w:r>
      <w:r>
        <w:rPr>
          <w:rFonts w:hint="eastAsia" w:ascii="仿宋" w:hAnsi="仿宋" w:eastAsia="仿宋" w:cs="仿宋"/>
          <w:color w:val="auto"/>
          <w:spacing w:val="6"/>
          <w:sz w:val="24"/>
          <w:szCs w:val="24"/>
          <w:highlight w:val="none"/>
        </w:rPr>
        <w:br w:type="textWrapping"/>
      </w:r>
      <w:r>
        <w:rPr>
          <w:rFonts w:hint="eastAsia" w:ascii="仿宋" w:hAnsi="仿宋" w:eastAsia="仿宋" w:cs="仿宋"/>
          <w:color w:val="auto"/>
          <w:spacing w:val="6"/>
          <w:sz w:val="24"/>
          <w:szCs w:val="24"/>
          <w:highlight w:val="none"/>
        </w:rPr>
        <w:t>财库〔2017〕141号</w:t>
      </w:r>
    </w:p>
    <w:p w14:paraId="199836F0">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5AFA78D4">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为了发挥政府采购促进残疾人就业的作用，进一步保障残疾人权益，依照《政府采购法》、《残疾人保障法》等法律法规及相关规定，现就促进残疾人就业政府采购政策通知如下：</w:t>
      </w:r>
    </w:p>
    <w:p w14:paraId="569A4845">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一、享受政府采购支持政策的残疾人福利性单位应当同时满足以下条件：</w:t>
      </w:r>
    </w:p>
    <w:p w14:paraId="2F0BEB9D">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（一）安置的残疾人占本单位在职职工人数的比例不低于25%（含25%），并且安置的残疾人人数不少于10人（含10人）；</w:t>
      </w:r>
    </w:p>
    <w:p w14:paraId="7673E209">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（二）依法与安置的每位残疾人签订了一年以上（含一年）的劳动合同或服务协议；</w:t>
      </w:r>
    </w:p>
    <w:p w14:paraId="7FD2B2E8">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（三）为安置的每位残疾人按月足额缴纳了基本养老保险、基本医疗保险、失业保险、工伤保险和生育保险等社会保险费；</w:t>
      </w:r>
    </w:p>
    <w:p w14:paraId="5C0139FC">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（四）通过银行等金融机构向安置的每位残疾人，按月支付了不低于单位所在区县适用的经省级人民政府批准的月最低工资标准的工资；</w:t>
      </w:r>
    </w:p>
    <w:p w14:paraId="1EF53BAB">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（五）提供本单位制造的货物、承担的工程或者服务（以下简称产品），或者提供其他残疾人福利性单位制造的货物（不包括使用非残疾人福利性单位注册商标的货物）。</w:t>
      </w:r>
    </w:p>
    <w:p w14:paraId="56E502F8">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7997023">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6040608F">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中标、成交供应商为残疾人福利性单位的，采购人或者其委托的采购代理机构应当随中标、成交结果同时公告其《残疾人福利性单位声明函》，接受社会监督。</w:t>
      </w:r>
    </w:p>
    <w:p w14:paraId="7F6ACCDB">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供应商提供的《残疾人福利性单位声明函》与事实不符的，依照《政府采购法》第七十七条第一款的规定追究法律责任。</w:t>
      </w:r>
    </w:p>
    <w:p w14:paraId="1807D4B2">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55E85EB4">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四、采购人采购公开招标数额标准以上的货物或者服务，因落实促进残疾人就业政策的需要，依法履行有关报批程序后，可采用公开招标以外的采购方式。</w:t>
      </w:r>
    </w:p>
    <w:p w14:paraId="4FD3EBCD">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4714ECC2">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7B21106E">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七、本通知自2017年10月1日起执行。</w:t>
      </w:r>
    </w:p>
    <w:p w14:paraId="0A7A9D59">
      <w:pPr>
        <w:pStyle w:val="11"/>
        <w:ind w:firstLine="480"/>
        <w:rPr>
          <w:rFonts w:hint="eastAsia" w:ascii="仿宋" w:hAnsi="仿宋" w:eastAsia="仿宋" w:cs="仿宋"/>
          <w:color w:val="auto"/>
          <w:highlight w:val="none"/>
        </w:rPr>
      </w:pPr>
    </w:p>
    <w:p w14:paraId="5F9733E8">
      <w:pPr>
        <w:spacing w:line="360" w:lineRule="auto"/>
        <w:jc w:val="right"/>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财政部</w:t>
      </w:r>
      <w:r>
        <w:rPr>
          <w:rFonts w:hint="eastAsia" w:ascii="仿宋" w:hAnsi="仿宋" w:eastAsia="仿宋" w:cs="仿宋"/>
          <w:color w:val="auto"/>
          <w:spacing w:val="6"/>
          <w:sz w:val="24"/>
          <w:szCs w:val="24"/>
          <w:highlight w:val="none"/>
        </w:rPr>
        <w:br w:type="textWrapping"/>
      </w:r>
      <w:r>
        <w:rPr>
          <w:rFonts w:hint="eastAsia" w:ascii="仿宋" w:hAnsi="仿宋" w:eastAsia="仿宋" w:cs="仿宋"/>
          <w:color w:val="auto"/>
          <w:spacing w:val="6"/>
          <w:sz w:val="24"/>
          <w:szCs w:val="24"/>
          <w:highlight w:val="none"/>
        </w:rPr>
        <w:t>民政部</w:t>
      </w:r>
      <w:r>
        <w:rPr>
          <w:rFonts w:hint="eastAsia" w:ascii="仿宋" w:hAnsi="仿宋" w:eastAsia="仿宋" w:cs="仿宋"/>
          <w:color w:val="auto"/>
          <w:spacing w:val="6"/>
          <w:sz w:val="24"/>
          <w:szCs w:val="24"/>
          <w:highlight w:val="none"/>
        </w:rPr>
        <w:br w:type="textWrapping"/>
      </w:r>
      <w:r>
        <w:rPr>
          <w:rFonts w:hint="eastAsia" w:ascii="仿宋" w:hAnsi="仿宋" w:eastAsia="仿宋" w:cs="仿宋"/>
          <w:color w:val="auto"/>
          <w:spacing w:val="6"/>
          <w:sz w:val="24"/>
          <w:szCs w:val="24"/>
          <w:highlight w:val="none"/>
        </w:rPr>
        <w:t>中国残疾人联合会</w:t>
      </w:r>
      <w:r>
        <w:rPr>
          <w:rFonts w:hint="eastAsia" w:ascii="仿宋" w:hAnsi="仿宋" w:eastAsia="仿宋" w:cs="仿宋"/>
          <w:color w:val="auto"/>
          <w:spacing w:val="6"/>
          <w:sz w:val="24"/>
          <w:szCs w:val="24"/>
          <w:highlight w:val="none"/>
        </w:rPr>
        <w:br w:type="textWrapping"/>
      </w:r>
      <w:r>
        <w:rPr>
          <w:rFonts w:hint="eastAsia" w:ascii="仿宋" w:hAnsi="仿宋" w:eastAsia="仿宋" w:cs="仿宋"/>
          <w:color w:val="auto"/>
          <w:spacing w:val="6"/>
          <w:sz w:val="24"/>
          <w:szCs w:val="24"/>
          <w:highlight w:val="none"/>
        </w:rPr>
        <w:t>2017年8月22日</w:t>
      </w:r>
    </w:p>
    <w:p w14:paraId="7B4B12EE">
      <w:pP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br w:type="page"/>
      </w:r>
    </w:p>
    <w:p w14:paraId="7741C75B">
      <w:pPr>
        <w:spacing w:line="360" w:lineRule="auto"/>
        <w:outlineLvl w:val="1"/>
        <w:rPr>
          <w:rFonts w:hint="eastAsia" w:ascii="仿宋" w:hAnsi="仿宋" w:eastAsia="仿宋" w:cs="仿宋"/>
          <w:color w:val="auto"/>
          <w:spacing w:val="6"/>
          <w:sz w:val="24"/>
          <w:szCs w:val="24"/>
          <w:highlight w:val="none"/>
        </w:rPr>
      </w:pPr>
      <w:bookmarkStart w:id="145" w:name="_Toc31085"/>
      <w:bookmarkStart w:id="146" w:name="_Toc23851"/>
      <w:r>
        <w:rPr>
          <w:rFonts w:hint="eastAsia" w:ascii="仿宋" w:hAnsi="仿宋" w:eastAsia="仿宋" w:cs="仿宋"/>
          <w:color w:val="auto"/>
          <w:spacing w:val="6"/>
          <w:sz w:val="24"/>
          <w:szCs w:val="24"/>
          <w:highlight w:val="none"/>
        </w:rPr>
        <w:t>附件</w:t>
      </w:r>
      <w:r>
        <w:rPr>
          <w:rFonts w:hint="eastAsia" w:ascii="仿宋" w:hAnsi="仿宋" w:eastAsia="仿宋" w:cs="仿宋"/>
          <w:color w:val="auto"/>
          <w:spacing w:val="6"/>
          <w:sz w:val="24"/>
          <w:szCs w:val="24"/>
          <w:highlight w:val="none"/>
          <w:lang w:val="en-US" w:eastAsia="zh-CN"/>
        </w:rPr>
        <w:t>三</w:t>
      </w:r>
      <w:r>
        <w:rPr>
          <w:rFonts w:hint="eastAsia" w:ascii="仿宋" w:hAnsi="仿宋" w:eastAsia="仿宋" w:cs="仿宋"/>
          <w:color w:val="auto"/>
          <w:spacing w:val="6"/>
          <w:sz w:val="24"/>
          <w:szCs w:val="24"/>
          <w:highlight w:val="none"/>
        </w:rPr>
        <w:t>、</w:t>
      </w:r>
      <w:r>
        <w:rPr>
          <w:rFonts w:hint="eastAsia" w:ascii="仿宋" w:hAnsi="仿宋" w:eastAsia="仿宋" w:cs="仿宋"/>
          <w:color w:val="auto"/>
          <w:spacing w:val="6"/>
          <w:sz w:val="24"/>
          <w:szCs w:val="24"/>
          <w:highlight w:val="none"/>
          <w:lang w:val="en-US" w:eastAsia="zh-CN"/>
        </w:rPr>
        <w:t>监狱扶持政策</w:t>
      </w:r>
      <w:bookmarkEnd w:id="145"/>
      <w:bookmarkEnd w:id="146"/>
    </w:p>
    <w:p w14:paraId="367AD1C4">
      <w:pPr>
        <w:spacing w:line="360" w:lineRule="auto"/>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财政部 司法部关于政府采购支持</w:t>
      </w:r>
    </w:p>
    <w:p w14:paraId="676A94EB">
      <w:pPr>
        <w:spacing w:line="360" w:lineRule="auto"/>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监狱企业发展有关问题的通知</w:t>
      </w:r>
    </w:p>
    <w:p w14:paraId="4236DA82">
      <w:pPr>
        <w:spacing w:line="360" w:lineRule="auto"/>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财库〔2014〕68号</w:t>
      </w:r>
    </w:p>
    <w:p w14:paraId="27C054CC">
      <w:pPr>
        <w:spacing w:line="360" w:lineRule="auto"/>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r>
        <w:rPr>
          <w:rFonts w:hint="eastAsia" w:ascii="仿宋" w:hAnsi="仿宋" w:eastAsia="仿宋" w:cs="仿宋"/>
          <w:color w:val="auto"/>
          <w:spacing w:val="6"/>
          <w:sz w:val="24"/>
          <w:szCs w:val="24"/>
          <w:highlight w:val="none"/>
        </w:rPr>
        <w:br w:type="textWrapping"/>
      </w:r>
      <w:r>
        <w:rPr>
          <w:rFonts w:hint="eastAsia" w:ascii="仿宋" w:hAnsi="仿宋" w:eastAsia="仿宋" w:cs="仿宋"/>
          <w:color w:val="auto"/>
          <w:spacing w:val="6"/>
          <w:sz w:val="24"/>
          <w:szCs w:val="24"/>
          <w:highlight w:val="none"/>
        </w:rPr>
        <w:t>　　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r>
        <w:rPr>
          <w:rFonts w:hint="eastAsia" w:ascii="仿宋" w:hAnsi="仿宋" w:eastAsia="仿宋" w:cs="仿宋"/>
          <w:color w:val="auto"/>
          <w:spacing w:val="6"/>
          <w:sz w:val="24"/>
          <w:szCs w:val="24"/>
          <w:highlight w:val="none"/>
        </w:rPr>
        <w:br w:type="textWrapping"/>
      </w:r>
      <w:r>
        <w:rPr>
          <w:rFonts w:hint="eastAsia" w:ascii="仿宋" w:hAnsi="仿宋" w:eastAsia="仿宋" w:cs="仿宋"/>
          <w:color w:val="auto"/>
          <w:spacing w:val="6"/>
          <w:sz w:val="24"/>
          <w:szCs w:val="24"/>
          <w:highlight w:val="none"/>
        </w:rPr>
        <w:t>　　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r>
        <w:rPr>
          <w:rFonts w:hint="eastAsia" w:ascii="仿宋" w:hAnsi="仿宋" w:eastAsia="仿宋" w:cs="仿宋"/>
          <w:color w:val="auto"/>
          <w:spacing w:val="6"/>
          <w:sz w:val="24"/>
          <w:szCs w:val="24"/>
          <w:highlight w:val="none"/>
        </w:rPr>
        <w:br w:type="textWrapping"/>
      </w:r>
      <w:r>
        <w:rPr>
          <w:rFonts w:hint="eastAsia" w:ascii="仿宋" w:hAnsi="仿宋" w:eastAsia="仿宋" w:cs="仿宋"/>
          <w:color w:val="auto"/>
          <w:spacing w:val="6"/>
          <w:sz w:val="24"/>
          <w:szCs w:val="24"/>
          <w:highlight w:val="none"/>
        </w:rPr>
        <w:t>　　二、在政府采购活动中，监狱企业视同小型、微型企业，享受预留份额、评审中价格扣除等政府采购促进中小企业发展的政府采购政策。向监狱企业采购的金额，计入面向中小企业采购的统计数据。</w:t>
      </w:r>
      <w:r>
        <w:rPr>
          <w:rFonts w:hint="eastAsia" w:ascii="仿宋" w:hAnsi="仿宋" w:eastAsia="仿宋" w:cs="仿宋"/>
          <w:color w:val="auto"/>
          <w:spacing w:val="6"/>
          <w:sz w:val="24"/>
          <w:szCs w:val="24"/>
          <w:highlight w:val="none"/>
        </w:rPr>
        <w:br w:type="textWrapping"/>
      </w:r>
      <w:r>
        <w:rPr>
          <w:rFonts w:hint="eastAsia" w:ascii="仿宋" w:hAnsi="仿宋" w:eastAsia="仿宋" w:cs="仿宋"/>
          <w:color w:val="auto"/>
          <w:spacing w:val="6"/>
          <w:sz w:val="24"/>
          <w:szCs w:val="24"/>
          <w:highlight w:val="none"/>
        </w:rPr>
        <w:t>　　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r>
        <w:rPr>
          <w:rFonts w:hint="eastAsia" w:ascii="仿宋" w:hAnsi="仿宋" w:eastAsia="仿宋" w:cs="仿宋"/>
          <w:color w:val="auto"/>
          <w:spacing w:val="6"/>
          <w:sz w:val="24"/>
          <w:szCs w:val="24"/>
          <w:highlight w:val="none"/>
        </w:rPr>
        <w:br w:type="textWrapping"/>
      </w:r>
      <w:r>
        <w:rPr>
          <w:rFonts w:hint="eastAsia" w:ascii="仿宋" w:hAnsi="仿宋" w:eastAsia="仿宋" w:cs="仿宋"/>
          <w:color w:val="auto"/>
          <w:spacing w:val="6"/>
          <w:sz w:val="24"/>
          <w:szCs w:val="24"/>
          <w:highlight w:val="none"/>
        </w:rPr>
        <w:t>　　四、各地区可以结合本地区实际，对监狱企业生产的办公用品、家具用具、车辆维修和提供的保养服务、消防设备等，提出预留份额等政府采购支持措施，加大对监狱企业产品的采购力度。</w:t>
      </w:r>
      <w:r>
        <w:rPr>
          <w:rFonts w:hint="eastAsia" w:ascii="仿宋" w:hAnsi="仿宋" w:eastAsia="仿宋" w:cs="仿宋"/>
          <w:color w:val="auto"/>
          <w:spacing w:val="6"/>
          <w:sz w:val="24"/>
          <w:szCs w:val="24"/>
          <w:highlight w:val="none"/>
        </w:rPr>
        <w:br w:type="textWrapping"/>
      </w:r>
      <w:r>
        <w:rPr>
          <w:rFonts w:hint="eastAsia" w:ascii="仿宋" w:hAnsi="仿宋" w:eastAsia="仿宋" w:cs="仿宋"/>
          <w:color w:val="auto"/>
          <w:spacing w:val="6"/>
          <w:sz w:val="24"/>
          <w:szCs w:val="24"/>
          <w:highlight w:val="none"/>
        </w:rPr>
        <w:t>　　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4B6DFF1F">
      <w:pPr>
        <w:pStyle w:val="11"/>
        <w:ind w:firstLine="480"/>
        <w:rPr>
          <w:rFonts w:hint="eastAsia" w:ascii="仿宋" w:hAnsi="仿宋" w:eastAsia="仿宋" w:cs="仿宋"/>
          <w:color w:val="auto"/>
          <w:highlight w:val="none"/>
        </w:rPr>
      </w:pPr>
    </w:p>
    <w:p w14:paraId="10DC8733">
      <w:pPr>
        <w:spacing w:line="360" w:lineRule="auto"/>
        <w:jc w:val="right"/>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中华人民共和国财政部</w:t>
      </w:r>
      <w:r>
        <w:rPr>
          <w:rFonts w:hint="eastAsia" w:ascii="仿宋" w:hAnsi="仿宋" w:eastAsia="仿宋" w:cs="仿宋"/>
          <w:color w:val="auto"/>
          <w:spacing w:val="6"/>
          <w:sz w:val="24"/>
          <w:szCs w:val="24"/>
          <w:highlight w:val="none"/>
        </w:rPr>
        <w:br w:type="textWrapping"/>
      </w:r>
      <w:r>
        <w:rPr>
          <w:rFonts w:hint="eastAsia" w:ascii="仿宋" w:hAnsi="仿宋" w:eastAsia="仿宋" w:cs="仿宋"/>
          <w:color w:val="auto"/>
          <w:spacing w:val="6"/>
          <w:sz w:val="24"/>
          <w:szCs w:val="24"/>
          <w:highlight w:val="none"/>
        </w:rPr>
        <w:t>中华人民共和国司法部</w:t>
      </w:r>
      <w:r>
        <w:rPr>
          <w:rFonts w:hint="eastAsia" w:ascii="仿宋" w:hAnsi="仿宋" w:eastAsia="仿宋" w:cs="仿宋"/>
          <w:color w:val="auto"/>
          <w:spacing w:val="6"/>
          <w:sz w:val="24"/>
          <w:szCs w:val="24"/>
          <w:highlight w:val="none"/>
        </w:rPr>
        <w:br w:type="textWrapping"/>
      </w:r>
      <w:r>
        <w:rPr>
          <w:rFonts w:hint="eastAsia" w:ascii="仿宋" w:hAnsi="仿宋" w:eastAsia="仿宋" w:cs="仿宋"/>
          <w:color w:val="auto"/>
          <w:spacing w:val="6"/>
          <w:sz w:val="24"/>
          <w:szCs w:val="24"/>
          <w:highlight w:val="none"/>
        </w:rPr>
        <w:t>2014年6月10日</w:t>
      </w:r>
    </w:p>
    <w:p w14:paraId="489FEB52">
      <w:pP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br w:type="page"/>
      </w:r>
    </w:p>
    <w:p w14:paraId="48DC2073">
      <w:pPr>
        <w:spacing w:line="360" w:lineRule="auto"/>
        <w:outlineLvl w:val="1"/>
        <w:rPr>
          <w:rFonts w:hint="eastAsia" w:ascii="仿宋" w:hAnsi="仿宋" w:eastAsia="仿宋" w:cs="仿宋"/>
          <w:color w:val="auto"/>
          <w:spacing w:val="6"/>
          <w:sz w:val="24"/>
          <w:szCs w:val="24"/>
          <w:highlight w:val="none"/>
        </w:rPr>
      </w:pPr>
      <w:bookmarkStart w:id="147" w:name="_Toc23837"/>
      <w:r>
        <w:rPr>
          <w:rFonts w:hint="eastAsia" w:ascii="仿宋" w:hAnsi="仿宋" w:eastAsia="仿宋" w:cs="仿宋"/>
          <w:color w:val="auto"/>
          <w:spacing w:val="6"/>
          <w:sz w:val="24"/>
          <w:szCs w:val="24"/>
          <w:highlight w:val="none"/>
        </w:rPr>
        <w:t>附件</w:t>
      </w:r>
      <w:r>
        <w:rPr>
          <w:rFonts w:hint="eastAsia" w:ascii="仿宋" w:hAnsi="仿宋" w:eastAsia="仿宋" w:cs="仿宋"/>
          <w:color w:val="auto"/>
          <w:spacing w:val="6"/>
          <w:sz w:val="24"/>
          <w:szCs w:val="24"/>
          <w:highlight w:val="none"/>
          <w:lang w:val="en-US" w:eastAsia="zh-CN"/>
        </w:rPr>
        <w:t>四</w:t>
      </w:r>
      <w:r>
        <w:rPr>
          <w:rFonts w:hint="eastAsia" w:ascii="仿宋" w:hAnsi="仿宋" w:eastAsia="仿宋" w:cs="仿宋"/>
          <w:color w:val="auto"/>
          <w:spacing w:val="6"/>
          <w:sz w:val="24"/>
          <w:szCs w:val="24"/>
          <w:highlight w:val="none"/>
        </w:rPr>
        <w:t>、实施本国产品标准及相关政策</w:t>
      </w:r>
      <w:bookmarkEnd w:id="147"/>
    </w:p>
    <w:p w14:paraId="2EB4276E">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20" w:beforeAutospacing="0" w:after="20" w:afterAutospacing="0" w:line="360" w:lineRule="auto"/>
        <w:ind w:left="0" w:right="0" w:firstLine="0"/>
        <w:textAlignment w:val="baseline"/>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vertAlign w:val="baseline"/>
        </w:rPr>
        <w:t> </w:t>
      </w:r>
    </w:p>
    <w:p w14:paraId="22911186">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0"/>
        <w:jc w:val="center"/>
        <w:rPr>
          <w:rFonts w:hint="eastAsia" w:ascii="仿宋" w:hAnsi="仿宋" w:eastAsia="仿宋" w:cs="仿宋"/>
          <w:i w:val="0"/>
          <w:iCs w:val="0"/>
          <w:caps w:val="0"/>
          <w:color w:val="auto"/>
          <w:spacing w:val="0"/>
          <w:sz w:val="24"/>
          <w:szCs w:val="24"/>
          <w:highlight w:val="none"/>
        </w:rPr>
      </w:pPr>
      <w:r>
        <w:rPr>
          <w:rStyle w:val="34"/>
          <w:rFonts w:hint="eastAsia" w:ascii="仿宋" w:hAnsi="仿宋" w:eastAsia="仿宋" w:cs="仿宋"/>
          <w:i w:val="0"/>
          <w:iCs w:val="0"/>
          <w:caps w:val="0"/>
          <w:color w:val="auto"/>
          <w:spacing w:val="0"/>
          <w:sz w:val="24"/>
          <w:szCs w:val="24"/>
          <w:highlight w:val="none"/>
          <w:shd w:val="clear" w:color="auto" w:fill="FFFFFF"/>
        </w:rPr>
        <w:t>国务院办公厅关于在政府采购中</w:t>
      </w:r>
    </w:p>
    <w:p w14:paraId="5D43277B">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0"/>
        <w:jc w:val="center"/>
        <w:rPr>
          <w:rFonts w:hint="eastAsia" w:ascii="仿宋" w:hAnsi="仿宋" w:eastAsia="仿宋" w:cs="仿宋"/>
          <w:i w:val="0"/>
          <w:iCs w:val="0"/>
          <w:caps w:val="0"/>
          <w:color w:val="auto"/>
          <w:spacing w:val="0"/>
          <w:sz w:val="24"/>
          <w:szCs w:val="24"/>
          <w:highlight w:val="none"/>
        </w:rPr>
      </w:pPr>
      <w:r>
        <w:rPr>
          <w:rStyle w:val="34"/>
          <w:rFonts w:hint="eastAsia" w:ascii="仿宋" w:hAnsi="仿宋" w:eastAsia="仿宋" w:cs="仿宋"/>
          <w:i w:val="0"/>
          <w:iCs w:val="0"/>
          <w:caps w:val="0"/>
          <w:color w:val="auto"/>
          <w:spacing w:val="0"/>
          <w:sz w:val="24"/>
          <w:szCs w:val="24"/>
          <w:highlight w:val="none"/>
          <w:shd w:val="clear" w:color="auto" w:fill="FFFFFF"/>
        </w:rPr>
        <w:t>实施本国产品标准及相关政策的通知</w:t>
      </w:r>
    </w:p>
    <w:p w14:paraId="6B83E503">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37ED738B">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0"/>
        <w:jc w:val="right"/>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国办发〔2025〕34号  </w:t>
      </w:r>
    </w:p>
    <w:p w14:paraId="3CEFB127">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各省、自治区、直辖市人民政府，国务院各部委、各直属机构：</w:t>
      </w:r>
    </w:p>
    <w:p w14:paraId="01225D4A">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14:paraId="4DC764F0">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Style w:val="34"/>
          <w:rFonts w:hint="eastAsia" w:ascii="仿宋" w:hAnsi="仿宋" w:eastAsia="仿宋" w:cs="仿宋"/>
          <w:i w:val="0"/>
          <w:iCs w:val="0"/>
          <w:caps w:val="0"/>
          <w:color w:val="auto"/>
          <w:spacing w:val="0"/>
          <w:sz w:val="24"/>
          <w:szCs w:val="24"/>
          <w:highlight w:val="none"/>
          <w:shd w:val="clear" w:color="auto" w:fill="FFFFFF"/>
        </w:rPr>
        <w:t>一、本国产品标准</w:t>
      </w:r>
    </w:p>
    <w:p w14:paraId="199AC27B">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本国产品应当符合以下条件：</w:t>
      </w:r>
    </w:p>
    <w:p w14:paraId="29BFB0C2">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（一）在中国境内生产</w:t>
      </w:r>
    </w:p>
    <w:p w14:paraId="6AFFF4A8">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产品应当在中国境内生产，即在中华人民共和国关境内实现从原材料、组件到产品的属性改变。</w:t>
      </w:r>
    </w:p>
    <w:p w14:paraId="414D1230">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属性改变是指经过制造、加工或者组装等工序，产生完全不同于原材料、组件的新产品，并具有新的名称和特征（用途）。属性改变不包括以下细微操作：</w:t>
      </w:r>
    </w:p>
    <w:p w14:paraId="79252737">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1.为确保产品在运输或者储存期间保持某种状态而进行的操作；</w:t>
      </w:r>
    </w:p>
    <w:p w14:paraId="3F41C858">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2.为产品运输或者销售进行的包装或者展示；</w:t>
      </w:r>
    </w:p>
    <w:p w14:paraId="42F5B814">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3.在产品或者其包装上粘贴或者印刷品牌、标志、标识以及其他用于区别的标记；</w:t>
      </w:r>
    </w:p>
    <w:p w14:paraId="5C671B14">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4.简单的上漆、磨光和分装；</w:t>
      </w:r>
    </w:p>
    <w:p w14:paraId="057208DC">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5.其他不属于属性改变的情形。</w:t>
      </w:r>
    </w:p>
    <w:p w14:paraId="1E3A2AE0">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（二）在中国境内生产的组件成本占比达到规定比例</w:t>
      </w:r>
    </w:p>
    <w:p w14:paraId="3352C2E7">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产品在中国境内生产的组件成本占比应当达到规定比例，计算公式为：</w:t>
      </w:r>
    </w:p>
    <w:p w14:paraId="10C65556">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drawing>
          <wp:inline distT="0" distB="0" distL="114300" distR="114300">
            <wp:extent cx="2733675" cy="390525"/>
            <wp:effectExtent l="0" t="0" r="9525" b="317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8"/>
                    <a:stretch>
                      <a:fillRect/>
                    </a:stretch>
                  </pic:blipFill>
                  <pic:spPr>
                    <a:xfrm>
                      <a:off x="0" y="0"/>
                      <a:ext cx="2733675" cy="390525"/>
                    </a:xfrm>
                    <a:prstGeom prst="rect">
                      <a:avLst/>
                    </a:prstGeom>
                    <a:noFill/>
                    <a:ln>
                      <a:noFill/>
                    </a:ln>
                  </pic:spPr>
                </pic:pic>
              </a:graphicData>
            </a:graphic>
          </wp:inline>
        </w:drawing>
      </w:r>
    </w:p>
    <w:p w14:paraId="0F7C1816">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7A57D856">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（三）特定产品的关键组件、关键工序符合相关要求</w:t>
      </w:r>
    </w:p>
    <w:p w14:paraId="76BED5F2">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对特定产品，在符合本通知第一条第（一）项和第（二）项条件的基础上，应当符合财政部会同有关行业主管部门确定的其关键组件、关键工序在中国境内生产、完成等要求。</w:t>
      </w:r>
    </w:p>
    <w:p w14:paraId="75701C10">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4DC71F22">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Style w:val="34"/>
          <w:rFonts w:hint="eastAsia" w:ascii="仿宋" w:hAnsi="仿宋" w:eastAsia="仿宋" w:cs="仿宋"/>
          <w:i w:val="0"/>
          <w:iCs w:val="0"/>
          <w:caps w:val="0"/>
          <w:color w:val="auto"/>
          <w:spacing w:val="0"/>
          <w:sz w:val="24"/>
          <w:szCs w:val="24"/>
          <w:highlight w:val="none"/>
          <w:shd w:val="clear" w:color="auto" w:fill="FFFFFF"/>
        </w:rPr>
        <w:t>二、本国产品标准的适用范围</w:t>
      </w:r>
    </w:p>
    <w:p w14:paraId="7CF59569">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2A10FCA">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Style w:val="34"/>
          <w:rFonts w:hint="eastAsia" w:ascii="仿宋" w:hAnsi="仿宋" w:eastAsia="仿宋" w:cs="仿宋"/>
          <w:i w:val="0"/>
          <w:iCs w:val="0"/>
          <w:caps w:val="0"/>
          <w:color w:val="auto"/>
          <w:spacing w:val="0"/>
          <w:sz w:val="24"/>
          <w:szCs w:val="24"/>
          <w:highlight w:val="none"/>
          <w:shd w:val="clear" w:color="auto" w:fill="FFFFFF"/>
        </w:rPr>
        <w:t>三、对本国产品的支持政策</w:t>
      </w:r>
    </w:p>
    <w:p w14:paraId="753355E4">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政府采购活动中既有本国产品又有非本国产品参与竞争的，依法对本国产品给予价格评审优惠，对本国产品的报价给予20%的价格扣除，用扣除后的价格参与评审。</w:t>
      </w:r>
    </w:p>
    <w:p w14:paraId="0E1EBF60">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121ABA3">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Style w:val="34"/>
          <w:rFonts w:hint="eastAsia" w:ascii="仿宋" w:hAnsi="仿宋" w:eastAsia="仿宋" w:cs="仿宋"/>
          <w:i w:val="0"/>
          <w:iCs w:val="0"/>
          <w:caps w:val="0"/>
          <w:color w:val="auto"/>
          <w:spacing w:val="0"/>
          <w:sz w:val="24"/>
          <w:szCs w:val="24"/>
          <w:highlight w:val="none"/>
          <w:shd w:val="clear" w:color="auto" w:fill="FFFFFF"/>
        </w:rPr>
        <w:t>四、政策执行要求</w:t>
      </w:r>
    </w:p>
    <w:p w14:paraId="5F7544FF">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（一）产品在中国境内生产的组件成本核算规则。产品在中国境内生产的组件成本，按照《中国境内生产的组件成本核算基本规则》（见附件1）计算。</w:t>
      </w:r>
    </w:p>
    <w:p w14:paraId="3FD2FE8D">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二）有关证明文件。采购人、采购代理机构应当在采购文件中明确要求供应商对其提供的产品出具《关于符合本国产品标准的声明函》（样式见附件2，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28F77158">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采购人、采购代理机构应当随中标、成交结果同时公告中标、成交供应商提供的《声明函》或有关证明文件。</w:t>
      </w:r>
    </w:p>
    <w:p w14:paraId="6C6EFEAF">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14:paraId="0DDC3CF3">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（四）中华人民共和国缔结或者共同参加的国际条约、协定对政府采购中本国产品政策另有规定的，按照有关条约、协定执行。</w:t>
      </w:r>
    </w:p>
    <w:p w14:paraId="154E5E52">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Style w:val="34"/>
          <w:rFonts w:hint="eastAsia" w:ascii="仿宋" w:hAnsi="仿宋" w:eastAsia="仿宋" w:cs="仿宋"/>
          <w:i w:val="0"/>
          <w:iCs w:val="0"/>
          <w:caps w:val="0"/>
          <w:color w:val="auto"/>
          <w:spacing w:val="0"/>
          <w:sz w:val="24"/>
          <w:szCs w:val="24"/>
          <w:highlight w:val="none"/>
          <w:shd w:val="clear" w:color="auto" w:fill="FFFFFF"/>
        </w:rPr>
        <w:t>五、争议处理</w:t>
      </w:r>
    </w:p>
    <w:p w14:paraId="45669C90">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14:paraId="31D740F3">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（一）政府采购投诉处理、监督检查中，对产品或组件是否在中国境内生产存在争议的，按照以下原则处理：</w:t>
      </w:r>
    </w:p>
    <w:p w14:paraId="5C60BE60">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14:paraId="42470C83">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14:paraId="4B7C6501">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14:paraId="1D92EABD">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14:paraId="55816AE9">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0C34FFFE">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本通知自2026年1月1日起施行。</w:t>
      </w:r>
    </w:p>
    <w:p w14:paraId="53F3416A">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附件：1.中国境内生产的组件成本核算基本规则</w:t>
      </w:r>
    </w:p>
    <w:p w14:paraId="0ABE192F">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　　　2.关于符合本国产品标准的声明函</w:t>
      </w:r>
    </w:p>
    <w:p w14:paraId="501DDE41">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0"/>
        <w:jc w:val="right"/>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国务院办公厅         </w:t>
      </w:r>
    </w:p>
    <w:p w14:paraId="3A45E29A">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0"/>
        <w:jc w:val="right"/>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2025年9月28日    </w:t>
      </w:r>
    </w:p>
    <w:p w14:paraId="0773DCEF">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2C106651">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49425BB6">
      <w:pPr>
        <w:rPr>
          <w:rStyle w:val="34"/>
          <w:rFonts w:hint="eastAsia" w:ascii="仿宋" w:hAnsi="仿宋" w:eastAsia="仿宋" w:cs="仿宋"/>
          <w:i w:val="0"/>
          <w:iCs w:val="0"/>
          <w:caps w:val="0"/>
          <w:color w:val="auto"/>
          <w:spacing w:val="0"/>
          <w:sz w:val="24"/>
          <w:szCs w:val="24"/>
          <w:highlight w:val="none"/>
          <w:shd w:val="clear" w:color="auto" w:fill="FFFFFF"/>
        </w:rPr>
      </w:pPr>
      <w:r>
        <w:rPr>
          <w:rStyle w:val="34"/>
          <w:rFonts w:hint="eastAsia" w:ascii="仿宋" w:hAnsi="仿宋" w:eastAsia="仿宋" w:cs="仿宋"/>
          <w:i w:val="0"/>
          <w:iCs w:val="0"/>
          <w:caps w:val="0"/>
          <w:color w:val="auto"/>
          <w:spacing w:val="0"/>
          <w:sz w:val="24"/>
          <w:szCs w:val="24"/>
          <w:highlight w:val="none"/>
          <w:shd w:val="clear" w:color="auto" w:fill="FFFFFF"/>
        </w:rPr>
        <w:br w:type="page"/>
      </w:r>
    </w:p>
    <w:p w14:paraId="342AA0B9">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0"/>
        <w:rPr>
          <w:rFonts w:hint="eastAsia" w:ascii="仿宋" w:hAnsi="仿宋" w:eastAsia="仿宋" w:cs="仿宋"/>
          <w:i w:val="0"/>
          <w:iCs w:val="0"/>
          <w:caps w:val="0"/>
          <w:color w:val="auto"/>
          <w:spacing w:val="0"/>
          <w:sz w:val="24"/>
          <w:szCs w:val="24"/>
          <w:highlight w:val="none"/>
        </w:rPr>
      </w:pPr>
      <w:r>
        <w:rPr>
          <w:rStyle w:val="34"/>
          <w:rFonts w:hint="eastAsia" w:ascii="仿宋" w:hAnsi="仿宋" w:eastAsia="仿宋" w:cs="仿宋"/>
          <w:i w:val="0"/>
          <w:iCs w:val="0"/>
          <w:caps w:val="0"/>
          <w:color w:val="auto"/>
          <w:spacing w:val="0"/>
          <w:sz w:val="24"/>
          <w:szCs w:val="24"/>
          <w:highlight w:val="none"/>
          <w:shd w:val="clear" w:color="auto" w:fill="FFFFFF"/>
        </w:rPr>
        <w:t>附件1</w:t>
      </w:r>
    </w:p>
    <w:p w14:paraId="754FD9B2">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6EA3845E">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0"/>
        <w:jc w:val="center"/>
        <w:rPr>
          <w:rFonts w:hint="eastAsia" w:ascii="仿宋" w:hAnsi="仿宋" w:eastAsia="仿宋" w:cs="仿宋"/>
          <w:i w:val="0"/>
          <w:iCs w:val="0"/>
          <w:caps w:val="0"/>
          <w:color w:val="auto"/>
          <w:spacing w:val="0"/>
          <w:sz w:val="24"/>
          <w:szCs w:val="24"/>
          <w:highlight w:val="none"/>
        </w:rPr>
      </w:pPr>
      <w:r>
        <w:rPr>
          <w:rStyle w:val="34"/>
          <w:rFonts w:hint="eastAsia" w:ascii="仿宋" w:hAnsi="仿宋" w:eastAsia="仿宋" w:cs="仿宋"/>
          <w:i w:val="0"/>
          <w:iCs w:val="0"/>
          <w:caps w:val="0"/>
          <w:color w:val="auto"/>
          <w:spacing w:val="0"/>
          <w:sz w:val="24"/>
          <w:szCs w:val="24"/>
          <w:highlight w:val="none"/>
          <w:shd w:val="clear" w:color="auto" w:fill="FFFFFF"/>
        </w:rPr>
        <w:t>中国境内生产的组件成本核算基本规则</w:t>
      </w:r>
    </w:p>
    <w:p w14:paraId="7610C4BF">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1864C49C">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0680EC8F">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一、产品的一级组件是指直接组成产品的组件。产品的二级组件是指直接组成产品一级组件的组件。一级组件不可分解的，视同二级组件。</w:t>
      </w:r>
    </w:p>
    <w:p w14:paraId="68CFE8B7">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二、二级组件在中国境内生产的，其全部成本计入中国境内生产的组件成本；二级组件不在中国境内生产的，其成本不计入中国境内生产的组件成本。</w:t>
      </w:r>
    </w:p>
    <w:p w14:paraId="76F72524">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三、产品总成本和组件成本以相关会计核算数据、采购合同、进货记录等为基础进行计算。</w:t>
      </w:r>
    </w:p>
    <w:p w14:paraId="28653512">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四、需要对成本核算规则予以进一步明确的其他有关事项，由财政部会同有关部门另行规定。</w:t>
      </w:r>
    </w:p>
    <w:p w14:paraId="36B6B3AA">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46F4A7D4">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3743AD95">
      <w:pPr>
        <w:rPr>
          <w:rStyle w:val="34"/>
          <w:rFonts w:hint="eastAsia" w:ascii="仿宋" w:hAnsi="仿宋" w:eastAsia="仿宋" w:cs="仿宋"/>
          <w:i w:val="0"/>
          <w:iCs w:val="0"/>
          <w:caps w:val="0"/>
          <w:color w:val="auto"/>
          <w:spacing w:val="0"/>
          <w:sz w:val="24"/>
          <w:szCs w:val="24"/>
          <w:highlight w:val="none"/>
          <w:shd w:val="clear" w:color="auto" w:fill="FFFFFF"/>
        </w:rPr>
      </w:pPr>
      <w:r>
        <w:rPr>
          <w:rStyle w:val="34"/>
          <w:rFonts w:hint="eastAsia" w:ascii="仿宋" w:hAnsi="仿宋" w:eastAsia="仿宋" w:cs="仿宋"/>
          <w:i w:val="0"/>
          <w:iCs w:val="0"/>
          <w:caps w:val="0"/>
          <w:color w:val="auto"/>
          <w:spacing w:val="0"/>
          <w:sz w:val="24"/>
          <w:szCs w:val="24"/>
          <w:highlight w:val="none"/>
          <w:shd w:val="clear" w:color="auto" w:fill="FFFFFF"/>
        </w:rPr>
        <w:br w:type="page"/>
      </w:r>
    </w:p>
    <w:p w14:paraId="6DC01BB0">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0"/>
        <w:rPr>
          <w:rFonts w:hint="eastAsia" w:ascii="仿宋" w:hAnsi="仿宋" w:eastAsia="仿宋" w:cs="仿宋"/>
          <w:i w:val="0"/>
          <w:iCs w:val="0"/>
          <w:caps w:val="0"/>
          <w:color w:val="auto"/>
          <w:spacing w:val="0"/>
          <w:sz w:val="24"/>
          <w:szCs w:val="24"/>
          <w:highlight w:val="none"/>
        </w:rPr>
      </w:pPr>
      <w:r>
        <w:rPr>
          <w:rStyle w:val="34"/>
          <w:rFonts w:hint="eastAsia" w:ascii="仿宋" w:hAnsi="仿宋" w:eastAsia="仿宋" w:cs="仿宋"/>
          <w:i w:val="0"/>
          <w:iCs w:val="0"/>
          <w:caps w:val="0"/>
          <w:color w:val="auto"/>
          <w:spacing w:val="0"/>
          <w:sz w:val="24"/>
          <w:szCs w:val="24"/>
          <w:highlight w:val="none"/>
          <w:shd w:val="clear" w:color="auto" w:fill="FFFFFF"/>
        </w:rPr>
        <w:t>附件2</w:t>
      </w:r>
    </w:p>
    <w:p w14:paraId="5E5ADAC1">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2293C689">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0"/>
        <w:jc w:val="center"/>
        <w:rPr>
          <w:rFonts w:hint="eastAsia" w:ascii="仿宋" w:hAnsi="仿宋" w:eastAsia="仿宋" w:cs="仿宋"/>
          <w:i w:val="0"/>
          <w:iCs w:val="0"/>
          <w:caps w:val="0"/>
          <w:color w:val="auto"/>
          <w:spacing w:val="0"/>
          <w:sz w:val="24"/>
          <w:szCs w:val="24"/>
          <w:highlight w:val="none"/>
        </w:rPr>
      </w:pPr>
      <w:r>
        <w:rPr>
          <w:rStyle w:val="34"/>
          <w:rFonts w:hint="eastAsia" w:ascii="仿宋" w:hAnsi="仿宋" w:eastAsia="仿宋" w:cs="仿宋"/>
          <w:i w:val="0"/>
          <w:iCs w:val="0"/>
          <w:caps w:val="0"/>
          <w:color w:val="auto"/>
          <w:spacing w:val="0"/>
          <w:sz w:val="24"/>
          <w:szCs w:val="24"/>
          <w:highlight w:val="none"/>
          <w:shd w:val="clear" w:color="auto" w:fill="FFFFFF"/>
        </w:rPr>
        <w:t>关于符合本国产品标准的声明函</w:t>
      </w:r>
    </w:p>
    <w:p w14:paraId="2309CEA6">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7AD4BA8B">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4A2A85D8">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w:t>
      </w:r>
      <w:r>
        <w:rPr>
          <w:rStyle w:val="36"/>
          <w:rFonts w:hint="eastAsia" w:ascii="仿宋" w:hAnsi="仿宋" w:eastAsia="仿宋" w:cs="仿宋"/>
          <w:i w:val="0"/>
          <w:iCs w:val="0"/>
          <w:caps w:val="0"/>
          <w:color w:val="auto"/>
          <w:spacing w:val="0"/>
          <w:sz w:val="24"/>
          <w:szCs w:val="24"/>
          <w:highlight w:val="none"/>
          <w:shd w:val="clear" w:color="auto" w:fill="FFFFFF"/>
        </w:rPr>
        <w:t>（产品名称1）</w:t>
      </w:r>
      <w:r>
        <w:rPr>
          <w:rStyle w:val="36"/>
          <w:rFonts w:hint="eastAsia" w:ascii="仿宋" w:hAnsi="仿宋" w:eastAsia="仿宋" w:cs="仿宋"/>
          <w:i w:val="0"/>
          <w:iCs w:val="0"/>
          <w:caps w:val="0"/>
          <w:color w:val="auto"/>
          <w:spacing w:val="0"/>
          <w:sz w:val="24"/>
          <w:szCs w:val="24"/>
          <w:highlight w:val="none"/>
          <w:shd w:val="clear" w:color="auto" w:fill="FFFFFF"/>
          <w:vertAlign w:val="superscript"/>
        </w:rPr>
        <w:t>1</w:t>
      </w:r>
      <w:r>
        <w:rPr>
          <w:rFonts w:hint="eastAsia" w:ascii="仿宋" w:hAnsi="仿宋" w:eastAsia="仿宋" w:cs="仿宋"/>
          <w:i w:val="0"/>
          <w:iCs w:val="0"/>
          <w:caps w:val="0"/>
          <w:color w:val="auto"/>
          <w:spacing w:val="0"/>
          <w:sz w:val="24"/>
          <w:szCs w:val="24"/>
          <w:highlight w:val="none"/>
          <w:shd w:val="clear" w:color="auto" w:fill="FFFFFF"/>
        </w:rPr>
        <w:t>，生产厂为</w:t>
      </w:r>
      <w:r>
        <w:rPr>
          <w:rStyle w:val="36"/>
          <w:rFonts w:hint="eastAsia" w:ascii="仿宋" w:hAnsi="仿宋" w:eastAsia="仿宋" w:cs="仿宋"/>
          <w:i w:val="0"/>
          <w:iCs w:val="0"/>
          <w:caps w:val="0"/>
          <w:color w:val="auto"/>
          <w:spacing w:val="0"/>
          <w:sz w:val="24"/>
          <w:szCs w:val="24"/>
          <w:highlight w:val="none"/>
          <w:shd w:val="clear" w:color="auto" w:fill="FFFFFF"/>
        </w:rPr>
        <w:t>（厂名）</w:t>
      </w:r>
      <w:r>
        <w:rPr>
          <w:rStyle w:val="36"/>
          <w:rFonts w:hint="eastAsia" w:ascii="仿宋" w:hAnsi="仿宋" w:eastAsia="仿宋" w:cs="仿宋"/>
          <w:i w:val="0"/>
          <w:iCs w:val="0"/>
          <w:caps w:val="0"/>
          <w:color w:val="auto"/>
          <w:spacing w:val="0"/>
          <w:sz w:val="24"/>
          <w:szCs w:val="24"/>
          <w:highlight w:val="none"/>
          <w:shd w:val="clear" w:color="auto" w:fill="FFFFFF"/>
          <w:vertAlign w:val="superscript"/>
        </w:rPr>
        <w:t>2</w:t>
      </w:r>
      <w:r>
        <w:rPr>
          <w:rFonts w:hint="eastAsia" w:ascii="仿宋" w:hAnsi="仿宋" w:eastAsia="仿宋" w:cs="仿宋"/>
          <w:i w:val="0"/>
          <w:iCs w:val="0"/>
          <w:caps w:val="0"/>
          <w:color w:val="auto"/>
          <w:spacing w:val="0"/>
          <w:sz w:val="24"/>
          <w:szCs w:val="24"/>
          <w:highlight w:val="none"/>
          <w:shd w:val="clear" w:color="auto" w:fill="FFFFFF"/>
        </w:rPr>
        <w:t>，厂址为</w:t>
      </w:r>
      <w:r>
        <w:rPr>
          <w:rStyle w:val="36"/>
          <w:rFonts w:hint="eastAsia" w:ascii="仿宋" w:hAnsi="仿宋" w:eastAsia="仿宋" w:cs="仿宋"/>
          <w:i w:val="0"/>
          <w:iCs w:val="0"/>
          <w:caps w:val="0"/>
          <w:color w:val="auto"/>
          <w:spacing w:val="0"/>
          <w:sz w:val="24"/>
          <w:szCs w:val="24"/>
          <w:highlight w:val="none"/>
          <w:shd w:val="clear" w:color="auto" w:fill="FFFFFF"/>
        </w:rPr>
        <w:t>（生产厂址）</w:t>
      </w:r>
      <w:r>
        <w:rPr>
          <w:rFonts w:hint="eastAsia" w:ascii="仿宋" w:hAnsi="仿宋" w:eastAsia="仿宋" w:cs="仿宋"/>
          <w:i w:val="0"/>
          <w:iCs w:val="0"/>
          <w:caps w:val="0"/>
          <w:color w:val="auto"/>
          <w:spacing w:val="0"/>
          <w:sz w:val="24"/>
          <w:szCs w:val="24"/>
          <w:highlight w:val="none"/>
          <w:shd w:val="clear" w:color="auto" w:fill="FFFFFF"/>
        </w:rPr>
        <w:t>。</w:t>
      </w:r>
      <w:r>
        <w:rPr>
          <w:rStyle w:val="36"/>
          <w:rFonts w:hint="eastAsia" w:ascii="仿宋" w:hAnsi="仿宋" w:eastAsia="仿宋" w:cs="仿宋"/>
          <w:i w:val="0"/>
          <w:iCs w:val="0"/>
          <w:caps w:val="0"/>
          <w:color w:val="auto"/>
          <w:spacing w:val="0"/>
          <w:sz w:val="24"/>
          <w:szCs w:val="24"/>
          <w:highlight w:val="none"/>
          <w:shd w:val="clear" w:color="auto" w:fill="FFFFFF"/>
        </w:rPr>
        <w:t>（产品名称1）</w:t>
      </w:r>
      <w:r>
        <w:rPr>
          <w:rFonts w:hint="eastAsia" w:ascii="仿宋" w:hAnsi="仿宋" w:eastAsia="仿宋" w:cs="仿宋"/>
          <w:i w:val="0"/>
          <w:iCs w:val="0"/>
          <w:caps w:val="0"/>
          <w:color w:val="auto"/>
          <w:spacing w:val="0"/>
          <w:sz w:val="24"/>
          <w:szCs w:val="24"/>
          <w:highlight w:val="none"/>
          <w:shd w:val="clear" w:color="auto" w:fill="FFFFFF"/>
        </w:rPr>
        <w:t>的中国境内生产的组件成本占比≥</w:t>
      </w:r>
      <w:r>
        <w:rPr>
          <w:rStyle w:val="36"/>
          <w:rFonts w:hint="eastAsia" w:ascii="仿宋" w:hAnsi="仿宋" w:eastAsia="仿宋" w:cs="仿宋"/>
          <w:i w:val="0"/>
          <w:iCs w:val="0"/>
          <w:caps w:val="0"/>
          <w:color w:val="auto"/>
          <w:spacing w:val="0"/>
          <w:sz w:val="24"/>
          <w:szCs w:val="24"/>
          <w:highlight w:val="none"/>
          <w:shd w:val="clear" w:color="auto" w:fill="FFFFFF"/>
        </w:rPr>
        <w:t>（规定比例）</w:t>
      </w:r>
      <w:r>
        <w:rPr>
          <w:rStyle w:val="36"/>
          <w:rFonts w:hint="eastAsia" w:ascii="仿宋" w:hAnsi="仿宋" w:eastAsia="仿宋" w:cs="仿宋"/>
          <w:i w:val="0"/>
          <w:iCs w:val="0"/>
          <w:caps w:val="0"/>
          <w:color w:val="auto"/>
          <w:spacing w:val="0"/>
          <w:sz w:val="24"/>
          <w:szCs w:val="24"/>
          <w:highlight w:val="none"/>
          <w:shd w:val="clear" w:color="auto" w:fill="FFFFFF"/>
          <w:vertAlign w:val="superscript"/>
        </w:rPr>
        <w:t>3</w:t>
      </w:r>
      <w:r>
        <w:rPr>
          <w:rFonts w:hint="eastAsia" w:ascii="仿宋" w:hAnsi="仿宋" w:eastAsia="仿宋" w:cs="仿宋"/>
          <w:i w:val="0"/>
          <w:iCs w:val="0"/>
          <w:caps w:val="0"/>
          <w:color w:val="auto"/>
          <w:spacing w:val="0"/>
          <w:sz w:val="24"/>
          <w:szCs w:val="24"/>
          <w:highlight w:val="none"/>
          <w:shd w:val="clear" w:color="auto" w:fill="FFFFFF"/>
        </w:rPr>
        <w:t>。</w:t>
      </w:r>
      <w:r>
        <w:rPr>
          <w:rStyle w:val="36"/>
          <w:rFonts w:hint="eastAsia" w:ascii="仿宋" w:hAnsi="仿宋" w:eastAsia="仿宋" w:cs="仿宋"/>
          <w:i w:val="0"/>
          <w:iCs w:val="0"/>
          <w:caps w:val="0"/>
          <w:color w:val="auto"/>
          <w:spacing w:val="0"/>
          <w:sz w:val="24"/>
          <w:szCs w:val="24"/>
          <w:highlight w:val="none"/>
          <w:shd w:val="clear" w:color="auto" w:fill="FFFFFF"/>
        </w:rPr>
        <w:t>（产品名称1）</w:t>
      </w:r>
      <w:r>
        <w:rPr>
          <w:rFonts w:hint="eastAsia" w:ascii="仿宋" w:hAnsi="仿宋" w:eastAsia="仿宋" w:cs="仿宋"/>
          <w:i w:val="0"/>
          <w:iCs w:val="0"/>
          <w:caps w:val="0"/>
          <w:color w:val="auto"/>
          <w:spacing w:val="0"/>
          <w:sz w:val="24"/>
          <w:szCs w:val="24"/>
          <w:highlight w:val="none"/>
          <w:shd w:val="clear" w:color="auto" w:fill="FFFFFF"/>
        </w:rPr>
        <w:t>的</w:t>
      </w:r>
      <w:r>
        <w:rPr>
          <w:rStyle w:val="36"/>
          <w:rFonts w:hint="eastAsia" w:ascii="仿宋" w:hAnsi="仿宋" w:eastAsia="仿宋" w:cs="仿宋"/>
          <w:i w:val="0"/>
          <w:iCs w:val="0"/>
          <w:caps w:val="0"/>
          <w:color w:val="auto"/>
          <w:spacing w:val="0"/>
          <w:sz w:val="24"/>
          <w:szCs w:val="24"/>
          <w:highlight w:val="none"/>
          <w:shd w:val="clear" w:color="auto" w:fill="FFFFFF"/>
        </w:rPr>
        <w:t>（关键组件）</w:t>
      </w:r>
      <w:r>
        <w:rPr>
          <w:rStyle w:val="36"/>
          <w:rFonts w:hint="eastAsia" w:ascii="仿宋" w:hAnsi="仿宋" w:eastAsia="仿宋" w:cs="仿宋"/>
          <w:i w:val="0"/>
          <w:iCs w:val="0"/>
          <w:caps w:val="0"/>
          <w:color w:val="auto"/>
          <w:spacing w:val="0"/>
          <w:sz w:val="24"/>
          <w:szCs w:val="24"/>
          <w:highlight w:val="none"/>
          <w:shd w:val="clear" w:color="auto" w:fill="FFFFFF"/>
          <w:vertAlign w:val="superscript"/>
        </w:rPr>
        <w:t>4</w:t>
      </w:r>
      <w:r>
        <w:rPr>
          <w:rFonts w:hint="eastAsia" w:ascii="仿宋" w:hAnsi="仿宋" w:eastAsia="仿宋" w:cs="仿宋"/>
          <w:i w:val="0"/>
          <w:iCs w:val="0"/>
          <w:caps w:val="0"/>
          <w:color w:val="auto"/>
          <w:spacing w:val="0"/>
          <w:sz w:val="24"/>
          <w:szCs w:val="24"/>
          <w:highlight w:val="none"/>
          <w:shd w:val="clear" w:color="auto" w:fill="FFFFFF"/>
        </w:rPr>
        <w:t>在中国境内生产。</w:t>
      </w:r>
      <w:r>
        <w:rPr>
          <w:rStyle w:val="36"/>
          <w:rFonts w:hint="eastAsia" w:ascii="仿宋" w:hAnsi="仿宋" w:eastAsia="仿宋" w:cs="仿宋"/>
          <w:i w:val="0"/>
          <w:iCs w:val="0"/>
          <w:caps w:val="0"/>
          <w:color w:val="auto"/>
          <w:spacing w:val="0"/>
          <w:sz w:val="24"/>
          <w:szCs w:val="24"/>
          <w:highlight w:val="none"/>
          <w:shd w:val="clear" w:color="auto" w:fill="FFFFFF"/>
        </w:rPr>
        <w:t>（产品名称1）</w:t>
      </w:r>
      <w:r>
        <w:rPr>
          <w:rFonts w:hint="eastAsia" w:ascii="仿宋" w:hAnsi="仿宋" w:eastAsia="仿宋" w:cs="仿宋"/>
          <w:i w:val="0"/>
          <w:iCs w:val="0"/>
          <w:caps w:val="0"/>
          <w:color w:val="auto"/>
          <w:spacing w:val="0"/>
          <w:sz w:val="24"/>
          <w:szCs w:val="24"/>
          <w:highlight w:val="none"/>
          <w:shd w:val="clear" w:color="auto" w:fill="FFFFFF"/>
        </w:rPr>
        <w:t>的</w:t>
      </w:r>
      <w:r>
        <w:rPr>
          <w:rStyle w:val="36"/>
          <w:rFonts w:hint="eastAsia" w:ascii="仿宋" w:hAnsi="仿宋" w:eastAsia="仿宋" w:cs="仿宋"/>
          <w:i w:val="0"/>
          <w:iCs w:val="0"/>
          <w:caps w:val="0"/>
          <w:color w:val="auto"/>
          <w:spacing w:val="0"/>
          <w:sz w:val="24"/>
          <w:szCs w:val="24"/>
          <w:highlight w:val="none"/>
          <w:shd w:val="clear" w:color="auto" w:fill="FFFFFF"/>
        </w:rPr>
        <w:t>（关键工序）</w:t>
      </w:r>
      <w:r>
        <w:rPr>
          <w:rStyle w:val="36"/>
          <w:rFonts w:hint="eastAsia" w:ascii="仿宋" w:hAnsi="仿宋" w:eastAsia="仿宋" w:cs="仿宋"/>
          <w:i w:val="0"/>
          <w:iCs w:val="0"/>
          <w:caps w:val="0"/>
          <w:color w:val="auto"/>
          <w:spacing w:val="0"/>
          <w:sz w:val="24"/>
          <w:szCs w:val="24"/>
          <w:highlight w:val="none"/>
          <w:shd w:val="clear" w:color="auto" w:fill="FFFFFF"/>
          <w:vertAlign w:val="superscript"/>
        </w:rPr>
        <w:t>5</w:t>
      </w:r>
      <w:r>
        <w:rPr>
          <w:rFonts w:hint="eastAsia" w:ascii="仿宋" w:hAnsi="仿宋" w:eastAsia="仿宋" w:cs="仿宋"/>
          <w:i w:val="0"/>
          <w:iCs w:val="0"/>
          <w:caps w:val="0"/>
          <w:color w:val="auto"/>
          <w:spacing w:val="0"/>
          <w:sz w:val="24"/>
          <w:szCs w:val="24"/>
          <w:highlight w:val="none"/>
          <w:shd w:val="clear" w:color="auto" w:fill="FFFFFF"/>
        </w:rPr>
        <w:t>在中国境内完成。</w:t>
      </w:r>
    </w:p>
    <w:p w14:paraId="2DD762AE">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w:t>
      </w:r>
      <w:r>
        <w:rPr>
          <w:rStyle w:val="36"/>
          <w:rFonts w:hint="eastAsia" w:ascii="仿宋" w:hAnsi="仿宋" w:eastAsia="仿宋" w:cs="仿宋"/>
          <w:i w:val="0"/>
          <w:iCs w:val="0"/>
          <w:caps w:val="0"/>
          <w:color w:val="auto"/>
          <w:spacing w:val="0"/>
          <w:sz w:val="24"/>
          <w:szCs w:val="24"/>
          <w:highlight w:val="none"/>
          <w:shd w:val="clear" w:color="auto" w:fill="FFFFFF"/>
        </w:rPr>
        <w:t>（产品名称2）</w:t>
      </w:r>
      <w:r>
        <w:rPr>
          <w:rFonts w:hint="eastAsia" w:ascii="仿宋" w:hAnsi="仿宋" w:eastAsia="仿宋" w:cs="仿宋"/>
          <w:i w:val="0"/>
          <w:iCs w:val="0"/>
          <w:caps w:val="0"/>
          <w:color w:val="auto"/>
          <w:spacing w:val="0"/>
          <w:sz w:val="24"/>
          <w:szCs w:val="24"/>
          <w:highlight w:val="none"/>
          <w:shd w:val="clear" w:color="auto" w:fill="FFFFFF"/>
        </w:rPr>
        <w:t>，生产厂为</w:t>
      </w:r>
      <w:r>
        <w:rPr>
          <w:rStyle w:val="36"/>
          <w:rFonts w:hint="eastAsia" w:ascii="仿宋" w:hAnsi="仿宋" w:eastAsia="仿宋" w:cs="仿宋"/>
          <w:i w:val="0"/>
          <w:iCs w:val="0"/>
          <w:caps w:val="0"/>
          <w:color w:val="auto"/>
          <w:spacing w:val="0"/>
          <w:sz w:val="24"/>
          <w:szCs w:val="24"/>
          <w:highlight w:val="none"/>
          <w:shd w:val="clear" w:color="auto" w:fill="FFFFFF"/>
        </w:rPr>
        <w:t>（厂名）</w:t>
      </w:r>
      <w:r>
        <w:rPr>
          <w:rFonts w:hint="eastAsia" w:ascii="仿宋" w:hAnsi="仿宋" w:eastAsia="仿宋" w:cs="仿宋"/>
          <w:i w:val="0"/>
          <w:iCs w:val="0"/>
          <w:caps w:val="0"/>
          <w:color w:val="auto"/>
          <w:spacing w:val="0"/>
          <w:sz w:val="24"/>
          <w:szCs w:val="24"/>
          <w:highlight w:val="none"/>
          <w:shd w:val="clear" w:color="auto" w:fill="FFFFFF"/>
        </w:rPr>
        <w:t>，厂址为</w:t>
      </w:r>
      <w:r>
        <w:rPr>
          <w:rStyle w:val="36"/>
          <w:rFonts w:hint="eastAsia" w:ascii="仿宋" w:hAnsi="仿宋" w:eastAsia="仿宋" w:cs="仿宋"/>
          <w:i w:val="0"/>
          <w:iCs w:val="0"/>
          <w:caps w:val="0"/>
          <w:color w:val="auto"/>
          <w:spacing w:val="0"/>
          <w:sz w:val="24"/>
          <w:szCs w:val="24"/>
          <w:highlight w:val="none"/>
          <w:shd w:val="clear" w:color="auto" w:fill="FFFFFF"/>
        </w:rPr>
        <w:t>（生产厂址）</w:t>
      </w:r>
      <w:r>
        <w:rPr>
          <w:rFonts w:hint="eastAsia" w:ascii="仿宋" w:hAnsi="仿宋" w:eastAsia="仿宋" w:cs="仿宋"/>
          <w:i w:val="0"/>
          <w:iCs w:val="0"/>
          <w:caps w:val="0"/>
          <w:color w:val="auto"/>
          <w:spacing w:val="0"/>
          <w:sz w:val="24"/>
          <w:szCs w:val="24"/>
          <w:highlight w:val="none"/>
          <w:shd w:val="clear" w:color="auto" w:fill="FFFFFF"/>
        </w:rPr>
        <w:t>。</w:t>
      </w:r>
      <w:r>
        <w:rPr>
          <w:rStyle w:val="36"/>
          <w:rFonts w:hint="eastAsia" w:ascii="仿宋" w:hAnsi="仿宋" w:eastAsia="仿宋" w:cs="仿宋"/>
          <w:i w:val="0"/>
          <w:iCs w:val="0"/>
          <w:caps w:val="0"/>
          <w:color w:val="auto"/>
          <w:spacing w:val="0"/>
          <w:sz w:val="24"/>
          <w:szCs w:val="24"/>
          <w:highlight w:val="none"/>
          <w:shd w:val="clear" w:color="auto" w:fill="FFFFFF"/>
        </w:rPr>
        <w:t>（产品名称2）</w:t>
      </w:r>
      <w:r>
        <w:rPr>
          <w:rFonts w:hint="eastAsia" w:ascii="仿宋" w:hAnsi="仿宋" w:eastAsia="仿宋" w:cs="仿宋"/>
          <w:i w:val="0"/>
          <w:iCs w:val="0"/>
          <w:caps w:val="0"/>
          <w:color w:val="auto"/>
          <w:spacing w:val="0"/>
          <w:sz w:val="24"/>
          <w:szCs w:val="24"/>
          <w:highlight w:val="none"/>
          <w:shd w:val="clear" w:color="auto" w:fill="FFFFFF"/>
        </w:rPr>
        <w:t>的中国境内生产的组件成本占比≥</w:t>
      </w:r>
      <w:r>
        <w:rPr>
          <w:rStyle w:val="36"/>
          <w:rFonts w:hint="eastAsia" w:ascii="仿宋" w:hAnsi="仿宋" w:eastAsia="仿宋" w:cs="仿宋"/>
          <w:i w:val="0"/>
          <w:iCs w:val="0"/>
          <w:caps w:val="0"/>
          <w:color w:val="auto"/>
          <w:spacing w:val="0"/>
          <w:sz w:val="24"/>
          <w:szCs w:val="24"/>
          <w:highlight w:val="none"/>
          <w:shd w:val="clear" w:color="auto" w:fill="FFFFFF"/>
        </w:rPr>
        <w:t>（规定比例）</w:t>
      </w:r>
      <w:r>
        <w:rPr>
          <w:rFonts w:hint="eastAsia" w:ascii="仿宋" w:hAnsi="仿宋" w:eastAsia="仿宋" w:cs="仿宋"/>
          <w:i w:val="0"/>
          <w:iCs w:val="0"/>
          <w:caps w:val="0"/>
          <w:color w:val="auto"/>
          <w:spacing w:val="0"/>
          <w:sz w:val="24"/>
          <w:szCs w:val="24"/>
          <w:highlight w:val="none"/>
          <w:shd w:val="clear" w:color="auto" w:fill="FFFFFF"/>
        </w:rPr>
        <w:t>。</w:t>
      </w:r>
      <w:r>
        <w:rPr>
          <w:rStyle w:val="36"/>
          <w:rFonts w:hint="eastAsia" w:ascii="仿宋" w:hAnsi="仿宋" w:eastAsia="仿宋" w:cs="仿宋"/>
          <w:i w:val="0"/>
          <w:iCs w:val="0"/>
          <w:caps w:val="0"/>
          <w:color w:val="auto"/>
          <w:spacing w:val="0"/>
          <w:sz w:val="24"/>
          <w:szCs w:val="24"/>
          <w:highlight w:val="none"/>
          <w:shd w:val="clear" w:color="auto" w:fill="FFFFFF"/>
        </w:rPr>
        <w:t>（产品名称2）</w:t>
      </w:r>
      <w:r>
        <w:rPr>
          <w:rFonts w:hint="eastAsia" w:ascii="仿宋" w:hAnsi="仿宋" w:eastAsia="仿宋" w:cs="仿宋"/>
          <w:i w:val="0"/>
          <w:iCs w:val="0"/>
          <w:caps w:val="0"/>
          <w:color w:val="auto"/>
          <w:spacing w:val="0"/>
          <w:sz w:val="24"/>
          <w:szCs w:val="24"/>
          <w:highlight w:val="none"/>
          <w:shd w:val="clear" w:color="auto" w:fill="FFFFFF"/>
        </w:rPr>
        <w:t>的</w:t>
      </w:r>
      <w:r>
        <w:rPr>
          <w:rStyle w:val="36"/>
          <w:rFonts w:hint="eastAsia" w:ascii="仿宋" w:hAnsi="仿宋" w:eastAsia="仿宋" w:cs="仿宋"/>
          <w:i w:val="0"/>
          <w:iCs w:val="0"/>
          <w:caps w:val="0"/>
          <w:color w:val="auto"/>
          <w:spacing w:val="0"/>
          <w:sz w:val="24"/>
          <w:szCs w:val="24"/>
          <w:highlight w:val="none"/>
          <w:shd w:val="clear" w:color="auto" w:fill="FFFFFF"/>
        </w:rPr>
        <w:t>（关键组件）</w:t>
      </w:r>
      <w:r>
        <w:rPr>
          <w:rFonts w:hint="eastAsia" w:ascii="仿宋" w:hAnsi="仿宋" w:eastAsia="仿宋" w:cs="仿宋"/>
          <w:i w:val="0"/>
          <w:iCs w:val="0"/>
          <w:caps w:val="0"/>
          <w:color w:val="auto"/>
          <w:spacing w:val="0"/>
          <w:sz w:val="24"/>
          <w:szCs w:val="24"/>
          <w:highlight w:val="none"/>
          <w:shd w:val="clear" w:color="auto" w:fill="FFFFFF"/>
        </w:rPr>
        <w:t>在中国境内生产。</w:t>
      </w:r>
      <w:r>
        <w:rPr>
          <w:rStyle w:val="36"/>
          <w:rFonts w:hint="eastAsia" w:ascii="仿宋" w:hAnsi="仿宋" w:eastAsia="仿宋" w:cs="仿宋"/>
          <w:i w:val="0"/>
          <w:iCs w:val="0"/>
          <w:caps w:val="0"/>
          <w:color w:val="auto"/>
          <w:spacing w:val="0"/>
          <w:sz w:val="24"/>
          <w:szCs w:val="24"/>
          <w:highlight w:val="none"/>
          <w:shd w:val="clear" w:color="auto" w:fill="FFFFFF"/>
        </w:rPr>
        <w:t>（产品名称2）</w:t>
      </w:r>
      <w:r>
        <w:rPr>
          <w:rFonts w:hint="eastAsia" w:ascii="仿宋" w:hAnsi="仿宋" w:eastAsia="仿宋" w:cs="仿宋"/>
          <w:i w:val="0"/>
          <w:iCs w:val="0"/>
          <w:caps w:val="0"/>
          <w:color w:val="auto"/>
          <w:spacing w:val="0"/>
          <w:sz w:val="24"/>
          <w:szCs w:val="24"/>
          <w:highlight w:val="none"/>
          <w:shd w:val="clear" w:color="auto" w:fill="FFFFFF"/>
        </w:rPr>
        <w:t>的</w:t>
      </w:r>
      <w:r>
        <w:rPr>
          <w:rStyle w:val="36"/>
          <w:rFonts w:hint="eastAsia" w:ascii="仿宋" w:hAnsi="仿宋" w:eastAsia="仿宋" w:cs="仿宋"/>
          <w:i w:val="0"/>
          <w:iCs w:val="0"/>
          <w:caps w:val="0"/>
          <w:color w:val="auto"/>
          <w:spacing w:val="0"/>
          <w:sz w:val="24"/>
          <w:szCs w:val="24"/>
          <w:highlight w:val="none"/>
          <w:shd w:val="clear" w:color="auto" w:fill="FFFFFF"/>
        </w:rPr>
        <w:t>（关键工序）</w:t>
      </w:r>
      <w:r>
        <w:rPr>
          <w:rFonts w:hint="eastAsia" w:ascii="仿宋" w:hAnsi="仿宋" w:eastAsia="仿宋" w:cs="仿宋"/>
          <w:i w:val="0"/>
          <w:iCs w:val="0"/>
          <w:caps w:val="0"/>
          <w:color w:val="auto"/>
          <w:spacing w:val="0"/>
          <w:sz w:val="24"/>
          <w:szCs w:val="24"/>
          <w:highlight w:val="none"/>
          <w:shd w:val="clear" w:color="auto" w:fill="FFFFFF"/>
        </w:rPr>
        <w:t>在中国境内完成。</w:t>
      </w:r>
    </w:p>
    <w:p w14:paraId="3405680F">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w:t>
      </w:r>
    </w:p>
    <w:p w14:paraId="36C52E05">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本公司（单位）对上述声明内容的真实性负责。如有虚假，愿承担相应法律责任。</w:t>
      </w:r>
    </w:p>
    <w:p w14:paraId="728C0F48">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jc w:val="right"/>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公司（单位）名称（盖章）：      </w:t>
      </w:r>
    </w:p>
    <w:p w14:paraId="654ABEF6">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jc w:val="right"/>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日期：　　　　　年　　月　日    </w:t>
      </w:r>
    </w:p>
    <w:p w14:paraId="6C82E957">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2F62FD6C">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p>
    <w:p w14:paraId="1391D1CE">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_____________________________</w:t>
      </w:r>
    </w:p>
    <w:p w14:paraId="1FF44CEB">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1.产品如有型号，请在“产品名称”栏一并填写。</w:t>
      </w:r>
    </w:p>
    <w:p w14:paraId="33BF054C">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2.生产厂名与厂址应与生产厂营业执照载明的相关信息保持一致。</w:t>
      </w:r>
    </w:p>
    <w:p w14:paraId="5FB91749">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3.该产品的中国境内生产的组件成本占比相关要求实施前，“规定比例”栏可不填，下同。</w:t>
      </w:r>
    </w:p>
    <w:p w14:paraId="75E985FE">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4.该产品的关键组件要求实施前，“关键组件”栏可不填，下同。</w:t>
      </w:r>
    </w:p>
    <w:p w14:paraId="19247E93">
      <w:pPr>
        <w:pStyle w:val="2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0" w:beforeAutospacing="0" w:after="20" w:afterAutospacing="0" w:line="360" w:lineRule="auto"/>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5.该产品的关键工序要求实施前，“关键工序”栏可不填，下同。</w:t>
      </w:r>
    </w:p>
    <w:p w14:paraId="24C8EAE5">
      <w:pPr>
        <w:spacing w:line="360" w:lineRule="auto"/>
        <w:rPr>
          <w:rFonts w:hint="eastAsia" w:ascii="仿宋" w:hAnsi="仿宋" w:eastAsia="仿宋" w:cs="仿宋"/>
          <w:color w:val="auto"/>
          <w:sz w:val="24"/>
          <w:szCs w:val="24"/>
          <w:highlight w:val="none"/>
        </w:rPr>
      </w:pPr>
    </w:p>
    <w:p w14:paraId="0DB9102D">
      <w:pPr>
        <w:spacing w:line="360" w:lineRule="auto"/>
        <w:rPr>
          <w:rFonts w:hint="eastAsia" w:ascii="仿宋" w:hAnsi="仿宋" w:eastAsia="仿宋" w:cs="仿宋"/>
          <w:color w:val="auto"/>
          <w:sz w:val="24"/>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F324D0A-24BF-4590-A3EE-57EC730ED176}"/>
  </w:font>
  <w:font w:name="黑体">
    <w:panose1 w:val="02010609060101010101"/>
    <w:charset w:val="86"/>
    <w:family w:val="auto"/>
    <w:pitch w:val="default"/>
    <w:sig w:usb0="800002BF" w:usb1="38CF7CFA" w:usb2="00000016" w:usb3="00000000" w:csb0="00040001" w:csb1="00000000"/>
    <w:embedRegular r:id="rId2" w:fontKey="{D128B746-5F9D-4856-867B-FA8329DD257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7DCFA33-DB37-479A-8939-C3AEF22A38D4}"/>
  </w:font>
  <w:font w:name="仿宋">
    <w:panose1 w:val="02010609060101010101"/>
    <w:charset w:val="86"/>
    <w:family w:val="modern"/>
    <w:pitch w:val="default"/>
    <w:sig w:usb0="800002BF" w:usb1="38CF7CFA" w:usb2="00000016" w:usb3="00000000" w:csb0="00040001" w:csb1="00000000"/>
    <w:embedRegular r:id="rId4" w:fontKey="{DAC34AD2-F70C-4EDE-A24E-71A4562C1212}"/>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embedRegular r:id="rId5" w:fontKey="{8BF3AB9E-18AA-418A-A328-CA95D1F7255E}"/>
  </w:font>
  <w:font w:name="方正仿宋_GBK">
    <w:panose1 w:val="03000509000000000000"/>
    <w:charset w:val="86"/>
    <w:family w:val="auto"/>
    <w:pitch w:val="default"/>
    <w:sig w:usb0="00000001" w:usb1="080E0000" w:usb2="00000000" w:usb3="00000000" w:csb0="00040000" w:csb1="00000000"/>
    <w:embedRegular r:id="rId6" w:fontKey="{2C676172-7631-4A41-8057-D982C1A3C60C}"/>
  </w:font>
  <w:font w:name="方正仿宋_GB2312">
    <w:altName w:val="仿宋"/>
    <w:panose1 w:val="02000000000000000000"/>
    <w:charset w:val="86"/>
    <w:family w:val="auto"/>
    <w:pitch w:val="default"/>
    <w:sig w:usb0="00000000" w:usb1="00000000" w:usb2="00000012" w:usb3="00000000" w:csb0="00040001" w:csb1="00000000"/>
    <w:embedRegular r:id="rId7" w:fontKey="{CFC5F20E-B50B-43E6-BAC9-D464DF22DCEB}"/>
  </w:font>
  <w:font w:name="WPSEMBED1">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5F522">
    <w:pPr>
      <w:pStyle w:val="2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F97351">
                          <w:pPr>
                            <w:pStyle w:val="21"/>
                            <w:jc w:val="center"/>
                          </w:pPr>
                          <w:r>
                            <w:fldChar w:fldCharType="begin"/>
                          </w:r>
                          <w:r>
                            <w:instrText xml:space="preserve">PAGE   \* MERGEFORMAT</w:instrText>
                          </w:r>
                          <w:r>
                            <w:fldChar w:fldCharType="separate"/>
                          </w:r>
                          <w:r>
                            <w:rPr>
                              <w:lang w:val="zh-CN"/>
                            </w:rPr>
                            <w:t>47</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Zm3Yw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N9Zm3YwAgAAYwQAAA4AAAAAAAAAAQAgAAAAHwEAAGRycy9lMm9Eb2MueG1sUEsFBgAA&#10;AAAGAAYAWQEAAMEFAAAAAA==&#10;">
              <v:fill on="f" focussize="0,0"/>
              <v:stroke on="f" weight="0.5pt"/>
              <v:imagedata o:title=""/>
              <o:lock v:ext="edit" aspectratio="f"/>
              <v:textbox inset="0mm,0mm,0mm,0mm" style="mso-fit-shape-to-text:t;">
                <w:txbxContent>
                  <w:p w14:paraId="0AF97351">
                    <w:pPr>
                      <w:pStyle w:val="21"/>
                      <w:jc w:val="center"/>
                    </w:pPr>
                    <w:r>
                      <w:fldChar w:fldCharType="begin"/>
                    </w:r>
                    <w:r>
                      <w:instrText xml:space="preserve">PAGE   \* MERGEFORMAT</w:instrText>
                    </w:r>
                    <w:r>
                      <w:fldChar w:fldCharType="separate"/>
                    </w:r>
                    <w:r>
                      <w:rPr>
                        <w:lang w:val="zh-CN"/>
                      </w:rPr>
                      <w:t>47</w:t>
                    </w:r>
                    <w:r>
                      <w:rPr>
                        <w:lang w:val="zh-CN"/>
                      </w:rPr>
                      <w:fldChar w:fldCharType="end"/>
                    </w:r>
                  </w:p>
                </w:txbxContent>
              </v:textbox>
            </v:shape>
          </w:pict>
        </mc:Fallback>
      </mc:AlternateContent>
    </w:r>
  </w:p>
  <w:p w14:paraId="0B85773D">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4FF19">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140451">
                          <w:pPr>
                            <w:pStyle w:val="21"/>
                            <w:jc w:val="center"/>
                          </w:pPr>
                          <w:r>
                            <w:fldChar w:fldCharType="begin"/>
                          </w:r>
                          <w:r>
                            <w:instrText xml:space="preserve">PAGE   \* MERGEFORMAT</w:instrText>
                          </w:r>
                          <w:r>
                            <w:fldChar w:fldCharType="separate"/>
                          </w:r>
                          <w:r>
                            <w:rPr>
                              <w:lang w:val="zh-CN"/>
                            </w:rPr>
                            <w:t>84</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hGC4yAgAAYw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hRDOFhp++fzv9&#10;+HX6+ZVcRXla62eIerCIC91b02FohnuPy8i6q5yKv+BD4Ie4x4u4oguEx0fTyXSaw8XhGw7Azx6f&#10;W+fDO2EUiUZBHbqXRGWHjQ996BASs2mzbqRMHZSatAW9vnqd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SEYLjICAABjBAAADgAAAAAAAAABACAAAAAfAQAAZHJzL2Uyb0RvYy54bWxQSwUG&#10;AAAAAAYABgBZAQAAwwUAAAAA&#10;">
              <v:fill on="f" focussize="0,0"/>
              <v:stroke on="f" weight="0.5pt"/>
              <v:imagedata o:title=""/>
              <o:lock v:ext="edit" aspectratio="f"/>
              <v:textbox inset="0mm,0mm,0mm,0mm" style="mso-fit-shape-to-text:t;">
                <w:txbxContent>
                  <w:p w14:paraId="0A140451">
                    <w:pPr>
                      <w:pStyle w:val="21"/>
                      <w:jc w:val="center"/>
                    </w:pPr>
                    <w:r>
                      <w:fldChar w:fldCharType="begin"/>
                    </w:r>
                    <w:r>
                      <w:instrText xml:space="preserve">PAGE   \* MERGEFORMAT</w:instrText>
                    </w:r>
                    <w:r>
                      <w:fldChar w:fldCharType="separate"/>
                    </w:r>
                    <w:r>
                      <w:rPr>
                        <w:lang w:val="zh-CN"/>
                      </w:rPr>
                      <w:t>84</w:t>
                    </w:r>
                    <w:r>
                      <w:rPr>
                        <w:lang w:val="zh-CN"/>
                      </w:rPr>
                      <w:fldChar w:fldCharType="end"/>
                    </w:r>
                  </w:p>
                </w:txbxContent>
              </v:textbox>
            </v:shape>
          </w:pict>
        </mc:Fallback>
      </mc:AlternateContent>
    </w:r>
  </w:p>
  <w:p w14:paraId="596CB825">
    <w:pPr>
      <w:pStyle w:val="21"/>
      <w:ind w:right="360"/>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AFB37"/>
    <w:multiLevelType w:val="singleLevel"/>
    <w:tmpl w:val="806AFB37"/>
    <w:lvl w:ilvl="0" w:tentative="0">
      <w:start w:val="1"/>
      <w:numFmt w:val="decimal"/>
      <w:pStyle w:val="17"/>
      <w:lvlText w:val="%1."/>
      <w:lvlJc w:val="left"/>
      <w:pPr>
        <w:tabs>
          <w:tab w:val="left" w:pos="2040"/>
        </w:tabs>
        <w:ind w:left="2040" w:hanging="360"/>
      </w:pPr>
    </w:lvl>
  </w:abstractNum>
  <w:abstractNum w:abstractNumId="1">
    <w:nsid w:val="F5C8F0E9"/>
    <w:multiLevelType w:val="singleLevel"/>
    <w:tmpl w:val="F5C8F0E9"/>
    <w:lvl w:ilvl="0" w:tentative="0">
      <w:start w:val="36"/>
      <w:numFmt w:val="decimal"/>
      <w:suff w:val="space"/>
      <w:lvlText w:val="%1."/>
      <w:lvlJc w:val="left"/>
    </w:lvl>
  </w:abstractNum>
  <w:abstractNum w:abstractNumId="2">
    <w:nsid w:val="00000007"/>
    <w:multiLevelType w:val="singleLevel"/>
    <w:tmpl w:val="00000007"/>
    <w:lvl w:ilvl="0" w:tentative="0">
      <w:start w:val="2"/>
      <w:numFmt w:val="decimal"/>
      <w:suff w:val="nothing"/>
      <w:lvlText w:val="（%1）"/>
      <w:lvlJc w:val="left"/>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WPS Office" w15:userId="30265820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isplayBackgroundShape w:val="1"/>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YzMDexNDU0NDI3tzBU0lEKTi0uzszPAykwMq4FAKFMgB8tAAAA"/>
    <w:docVar w:name="6359F84100001FF0" w:val=" "/>
    <w:docVar w:name="635A039700006930" w:val=" "/>
    <w:docVar w:name="6371AD530000D27A" w:val=" "/>
    <w:docVar w:name="63BF5A530000F05C" w:val=" "/>
    <w:docVar w:name="63BF60730000DBE3" w:val=" "/>
    <w:docVar w:name="63E1F6C200007E79" w:val=" "/>
    <w:docVar w:name="63E210FD0000F54F" w:val=" "/>
    <w:docVar w:name="63E3035A0000B0C4" w:val=" "/>
    <w:docVar w:name="commondata" w:val="eyJoZGlkIjoiMzVmZDExZWMyMTMwN2U2MWE5MzI4Y2VhZGEwYjAxYzUifQ=="/>
    <w:docVar w:name="EN.InstantFormat" w:val="&lt;ENInstantFormat&gt;&lt;Enabled&gt;1&lt;/Enabled&gt;&lt;ScanUnformatted&gt;1&lt;/ScanUnformatted&gt;&lt;ScanChanges&gt;1&lt;/ScanChanges&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zhangsj.enl&lt;/item&gt;&lt;/Libraries&gt;&lt;/ENLibraries&gt;"/>
    <w:docVar w:name="KGWebUrl" w:val="http://172.31.146.15:8082/BPFWeb//OfficeTemplateServerNew.jsp?loadFilePath=null"/>
    <w:docVar w:name="KSO_WPS_MARK_KEY" w:val="e244026f-9e90-495d-a4a7-ad45ce8ea236"/>
    <w:docVar w:name="NE.Ref{001F8953-6500-42B2-A208-79775E15BE6B}" w:val=" ADDIN NE.Ref.{001F8953-6500-42B2-A208-79775E15BE6B}&lt;Citation&gt;&lt;Group&gt;&lt;References&gt;&lt;Item&gt;&lt;ID&gt;515&lt;/ID&gt;&lt;UID&gt;{5FABCBC0-B75E-4B64-9FA1-D26DF7C5EE05}&lt;/UID&gt;&lt;Title&gt;基于统计指导的飞蛾扑火算法求解大规模优化问题&lt;/Title&gt;&lt;Template&gt;Journal Article&lt;/Template&gt;&lt;Star&gt;0&lt;/Star&gt;&lt;Tag&gt;0&lt;/Tag&gt;&lt;Author&gt;刘小龙&lt;/Author&gt;&lt;Year&gt;2020&lt;/Year&gt;&lt;Details&gt;&lt;_author_adr&gt;华南理工大学工商管理学院;&lt;/_author_adr&gt;&lt;_collection_scope&gt;CSCD;PKU;EI&lt;/_collection_scope&gt;&lt;_created&gt;63655951&lt;/_created&gt;&lt;_db_provider&gt;CNKI&lt;/_db_provider&gt;&lt;_isbn&gt;1001-0920&lt;/_isbn&gt;&lt;_issue&gt;04&lt;/_issue&gt;&lt;_journal&gt;控制与决策&lt;/_journal&gt;&lt;_keywords&gt;大规模优化问题;飞蛾扑火优化算法;函数优化;视距因子;缩放因子;统计指导&lt;/_keywords&gt;&lt;_modified&gt;63655951&lt;/_modified&gt;&lt;_pages&gt;901-908&lt;/_pages&gt;&lt;_volume&gt;35&lt;/_volume&gt;&lt;_translated_author&gt;Liu, Xiaolong&lt;/_translated_author&gt;&lt;/Details&gt;&lt;Extra&gt;&lt;DBUID&gt;{F96A950B-833F-4880-A151-76DA2D6A2879}&lt;/DBUID&gt;&lt;/Extra&gt;&lt;/Item&gt;&lt;/References&gt;&lt;/Group&gt;&lt;/Citation&gt;_x000a_"/>
    <w:docVar w:name="NE.Ref{0035F539-8023-430E-9315-0A7541F76A50}" w:val=" ADDIN NE.Ref.{0035F539-8023-430E-9315-0A7541F76A50}&lt;Citation&gt;&lt;Group&gt;&lt;References&gt;&lt;Item&gt;&lt;ID&gt;1029&lt;/ID&gt;&lt;UID&gt;{92ED74A1-D5C7-45C8-AD54-BDE959F7ACE6}&lt;/UID&gt;&lt;Title&gt;Coordinated control of HVDC sending system with large-scale DFIG-based wind farm under mono-polar blocking fault&lt;/Title&gt;&lt;Template&gt;Journal Article&lt;/Template&gt;&lt;Star&gt;0&lt;/Star&gt;&lt;Tag&gt;0&lt;/Tag&gt;&lt;Author&gt;Zhang, T; Yao, J; Pei, J X; Luo, Y; Zhang, H L; Liu, K; Wang, J&lt;/Author&gt;&lt;Year&gt;2020&lt;/Year&gt;&lt;Details&gt;&lt;_alternate_title&gt;INTERNATIONAL JOURNAL OF ELECTRICAL POWER &amp;amp; ENERGY SYSTEMS&lt;/_alternate_title&gt;&lt;_author_adr&gt;Chongqing Univ, Sch Elect Engn, State Key Lab Power Transmiss Equipment &amp;amp; Syst Se, Chongqing 400044, Peoples R China&lt;/_author_adr&gt;&lt;_cited_count&gt;5&lt;/_cited_count&gt;&lt;_date_display&gt;2020&lt;/_date_display&gt;&lt;_date&gt;2020-01-01&lt;/_date&gt;&lt;_doi&gt;10.1016/j.ijepes.2020.105943&lt;/_doi&gt;&lt;_journal&gt;INTERNATIONAL JOURNAL OF ELECTRICAL POWER &amp;amp; ENERGY SYSTEMS&lt;/_journal&gt;&lt;_keywords&gt;LCC-HVDC mono-polar blocking; HVDC sending system; DFIG-based wind farm; Coordinated control&lt;/_keywords&gt;&lt;_volume&gt;119&lt;/_volume&gt;&lt;_created&gt;64780423&lt;/_created&gt;&lt;_modified&gt;64780423&lt;/_modified&gt;&lt;_db_updated&gt;Web of Science-Core&lt;/_db_updated&gt;&lt;_impact_factor&gt;   5.659&lt;/_impact_factor&gt;&lt;_collection_scope&gt;SCIE;EI&lt;/_collection_scope&gt;&lt;/Details&gt;&lt;Extra&gt;&lt;DBUID&gt;{6891F4B0-DCBA-459A-9A22-3059983243D4}&lt;/DBUID&gt;&lt;/Extra&gt;&lt;/Item&gt;&lt;/References&gt;&lt;/Group&gt;&lt;/Citation&gt;_x000a_"/>
    <w:docVar w:name="NE.Ref{00946544-1D31-4DD4-971B-F6DA620BF7E9}" w:val=" ADDIN NE.Ref.{00946544-1D31-4DD4-971B-F6DA620BF7E9}&lt;Citation&gt;&lt;Group&gt;&lt;References&gt;&lt;Item&gt;&lt;ID&gt;999&lt;/ID&gt;&lt;UID&gt;{9E245CE3-0FCF-418D-90DF-D93011695C18}&lt;/UID&gt;&lt;Title&gt;直流换相失败及恢复过程暂态无功特性及控制参数影响&lt;/Title&gt;&lt;Template&gt;Journal Article&lt;/Template&gt;&lt;Star&gt;0&lt;/Star&gt;&lt;Tag&gt;0&lt;/Tag&gt;&lt;Author&gt;屠竞哲; 张健; 曾兵; 刘明松; 易俊; 卜广全&lt;/Author&gt;&lt;Year&gt;2017&lt;/Year&gt;&lt;Details&gt;&lt;_author_aff&gt;中国电力科学研究院;&lt;/_author_aff&gt;&lt;_cited_count&gt;96&lt;/_cited_count&gt;&lt;_date&gt;2017-07-11&lt;/_date&gt;&lt;_issue&gt;07&lt;/_issue&gt;&lt;_journal&gt;高电压技术&lt;/_journal&gt;&lt;_keywords&gt;换相失败及恢复过程;送受端系统;暂态无功特性;电压失稳;过电压;控制系统参数&lt;/_keywords&gt;&lt;_pages&gt;2131-2139&lt;/_pages&gt;&lt;_url&gt;https://kns.cnki.net/kcms/detail/detail.aspx?FileName=GDYJ201707005&amp;amp;DbName=CJFQ2017&lt;/_url&gt;&lt;_volume&gt;43&lt;/_volume&gt;&lt;_created&gt;64779525&lt;/_created&gt;&lt;_modified&gt;64779525&lt;/_modified&gt;&lt;_db_updated&gt;CNKI - Reference&lt;/_db_updated&gt;&lt;_collection_scope&gt;CSCD;PKU;EI&lt;/_collection_scope&gt;&lt;_translated_author&gt;Tu, Jingzhe;Zhang, Jian;Ceng, Bing;Liu, Mingsong;Yi, Jun;Bu, Guangquan&lt;/_translated_author&gt;&lt;/Details&gt;&lt;Extra&gt;&lt;DBUID&gt;{6891F4B0-DCBA-459A-9A22-3059983243D4}&lt;/DBUID&gt;&lt;/Extra&gt;&lt;/Item&gt;&lt;/References&gt;&lt;/Group&gt;&lt;/Citation&gt;_x000a_"/>
    <w:docVar w:name="NE.Ref{00BC6306-E737-4863-B788-ECD2E24AF202}" w:val=" ADDIN NE.Ref.{00BC6306-E737-4863-B788-ECD2E24AF202}&lt;Citation&gt;&lt;Group&gt;&lt;References&gt;&lt;Item&gt;&lt;ID&gt;410&lt;/ID&gt;&lt;UID&gt;{AE1D83D3-6007-4A28-97A9-6C54B816E029}&lt;/UID&gt;&lt;Title&gt;Commutation Failure Prediction Method Considering Commutation Voltage Distortion and DC Current Variation&lt;/Title&gt;&lt;Template&gt;Journal Article&lt;/Template&gt;&lt;Star&gt;0&lt;/Star&gt;&lt;Tag&gt;0&lt;/Tag&gt;&lt;Author&gt;Wang, Qi; Zhang, Chaoming; Wu, Xingquan; Tang, Yi&lt;/Author&gt;&lt;Year&gt;2019&lt;/Year&gt;&lt;Details&gt;&lt;_accessed&gt;63446005&lt;/_accessed&gt;&lt;_accession_num&gt;WOS:000478961900093_x000d__x000a_ER&lt;/_accession_num&gt;&lt;_cited_count&gt;3&lt;/_cited_count&gt;&lt;_collection_scope&gt;SCIE;EI&lt;/_collection_scope&gt;&lt;_created&gt;63444588&lt;/_created&gt;&lt;_date_display&gt;2019, 2019&lt;/_date_display&gt;&lt;_db_provider&gt;ISI&lt;/_db_provider&gt;&lt;_doi&gt;10.1109/ACCESS.2019.2929301&lt;/_doi&gt;&lt;_impact_factor&gt;   3.476&lt;/_impact_factor&gt;&lt;_isbn&gt;2169-3536&lt;/_isbn&gt;&lt;_journal&gt;IEEE ACCESS&lt;/_journal&gt;&lt;_modified&gt;64498622&lt;/_modified&gt;&lt;_pages&gt;96531-96539&lt;/_pages&gt;&lt;_url&gt;http://gateway.isiknowledge.com/gateway/Gateway.cgi?GWVersion=2&amp;amp;SrcAuth=AegeanSoftware&amp;amp;SrcApp=NoteExpress&amp;amp;DestLinkType=FullRecord&amp;amp;DestApp=WOS&amp;amp;KeyUT=000478961900093 _x000d__x000a_https://ieeexplore.ieee.org/ielx7/6287639/8600701/08764543.pdf?tp=&amp;amp;arnumber=8764543&amp;amp;isnumber=8600701&amp;amp;ref=aHR0cHM6Ly9pZWVleHBsb3JlLmllZWUub3JnL3Jlc3Qvc2VhcmNo _x000d__x000a_&lt;/_url&gt;&lt;_volume&gt;7&lt;/_volume&gt;&lt;/Details&gt;&lt;Extra&gt;&lt;DBUID&gt;{6891F4B0-DCBA-459A-9A22-3059983243D4}&lt;/DBUID&gt;&lt;/Extra&gt;&lt;/Item&gt;&lt;/References&gt;&lt;/Group&gt;&lt;/Citation&gt;_x000a_"/>
    <w:docVar w:name="NE.Ref{00E76EE7-137B-458A-B2AB-829557E1857F}" w:val=" ADDIN NE.Ref.{00E76EE7-137B-458A-B2AB-829557E1857F}&lt;Citation&gt;&lt;Group&gt;&lt;References&gt;&lt;Item&gt;&lt;ID&gt;594&lt;/ID&gt;&lt;UID&gt;{39000CE3-8290-48EA-B979-B8D25E404FBC}&lt;/UID&gt;&lt;Title&gt;Hybrid biogeography-based optimization with brain storm optimization for non-convex dynamic economic dispatch with valve-point effects&lt;/Title&gt;&lt;Template&gt;Journal Article&lt;/Template&gt;&lt;Star&gt;0&lt;/Star&gt;&lt;Tag&gt;0&lt;/Tag&gt;&lt;Author&gt;Xiong, Guojiang; Shi, Dongyuan&lt;/Author&gt;&lt;Year&gt;2018&lt;/Year&gt;&lt;Details&gt;&lt;_collection_scope&gt;SCI;SCIE;EI&lt;/_collection_scope&gt;&lt;_created&gt;63705133&lt;/_created&gt;&lt;_impact_factor&gt;   6.082&lt;/_impact_factor&gt;&lt;_issue&gt;AUG.15&lt;/_issue&gt;&lt;_journal&gt;Energy&lt;/_journal&gt;&lt;_modified&gt;63705133&lt;/_modified&gt;&lt;_pages&gt;424-435&lt;/_pages&gt;&lt;_volume&gt;157&lt;/_volume&gt;&lt;/Details&gt;&lt;Extra&gt;&lt;DBUID&gt;{F96A950B-833F-4880-A151-76DA2D6A2879}&lt;/DBUID&gt;&lt;/Extra&gt;&lt;/Item&gt;&lt;/References&gt;&lt;/Group&gt;&lt;/Citation&gt;_x000a_"/>
    <w:docVar w:name="NE.Ref{0144F1C5-5EE2-4CD7-BA0E-74D00B0CC0F9}" w:val=" ADDIN NE.Ref.{0144F1C5-5EE2-4CD7-BA0E-74D00B0CC0F9}&lt;Citation&gt;&lt;Group&gt;&lt;References&gt;&lt;Item&gt;&lt;ID&gt;334&lt;/ID&gt;&lt;UID&gt;{B6271F28-7062-4F8C-B172-DFB54F3824E7}&lt;/UID&gt;&lt;Title&gt;Current-limit control method to prevent subsequent commutation failure of LCC-HVDC based on adaptive trigger voltage&lt;/Title&gt;&lt;Template&gt;Journal Article&lt;/Template&gt;&lt;Star&gt;0&lt;/Star&gt;&lt;Tag&gt;0&lt;/Tag&gt;&lt;Author&gt;Ouyang, Jinxin; Zhang, Zhen; Pang, Mingyu; Ye, Junjun; Xiong, Xiaofu&lt;/Author&gt;&lt;Year&gt;2020&lt;/Year&gt;&lt;Details&gt;&lt;_accessed&gt;63446009&lt;/_accessed&gt;&lt;_accession_num&gt;WOS:000541086900022_x000d__x000a_ER&lt;/_accession_num&gt;&lt;_cited_count&gt;0&lt;/_cited_count&gt;&lt;_collection_scope&gt;SCIE;EI&lt;/_collection_scope&gt;&lt;_created&gt;63444588&lt;/_created&gt;&lt;_date_display&gt;2020, NOV 2020&lt;/_date_display&gt;&lt;_db_provider&gt;ISI&lt;/_db_provider&gt;&lt;_doi&gt;10.1016/j.ijepes.2020.106190&lt;/_doi&gt;&lt;_impact_factor&gt;   5.659&lt;/_impact_factor&gt;&lt;_isbn&gt;0142-0615&lt;/_isbn&gt;&lt;_issue&gt;106190&lt;/_issue&gt;&lt;_journal&gt;INTERNATIONAL JOURNAL OF ELECTRICAL POWER &amp;amp; ENERGY SYSTEMS&lt;/_journal&gt;&lt;_modified&gt;64494396&lt;/_modified&gt;&lt;_url&gt;http://gateway.isiknowledge.com/gateway/Gateway.cgi?GWVersion=2&amp;amp;SrcAuth=AegeanSoftware&amp;amp;SrcApp=NoteExpress&amp;amp;DestLinkType=FullRecord&amp;amp;DestApp=WOS&amp;amp;KeyUT=000541086900022 _x000d__x000a_https://pdf.sciencedirectassets.com/271479/1-s2.0-S0142061520X00056/1-s2.0-S0142061519341584/main.pdf?X-Amz-Security-Token=IQoJb3JpZ2luX2VjECkaCXVzLWVhc3QtMSJHMEUCIQDT%2BPUPo3cMvhzEaTfTaTG0sao5h0Kt3VmuJpQZkeqlEAIgRXxNnJT5NdcMDmlQJw2euAuTULlv7CPZRffzq3EcFtwqtAMIEhADGgwwNTkwMDM1NDY4NjUiDBYHz5noY7dOgWqZtiqRA4N8hxCfY1Dkt3XiYYNeScDxUuWPdtHEGTqGkEwFXN%2BR8fRgDAi1AfgudQA78MFsdhLqVuKvzCAQYlz%2FLfjmDt2nP3z6N7i9wOcUDk%2FTmwKY2eyUE4SpVB2vynNDRAUqnFC3sghbH8MTitJMtRebYM%2BIOK5YVhLFqgGHOrwlpgIKHkP3ROAJ9cF9H%2FXev1QWbCdK4%2BS%2BdKRnPbS65yczzjH%2B6uPuPLyFq9ytPGayHFTUrKgd5nI5Ef7Yb0sRkoPGgYiA2v2aDhEAFazoVyymb6u7L%2FFOFmUpKbg8Xkkuyc%2F32Ey%2BtBuQ%2BYZacUknKwKOiyHqJ5EGkPLmswj5CkItR10gET7MMoFPCcn2C6bshreGrrOm0ieOjbA%2Bf7HsfJ7LFge06lmvNVEJi2MVLBki0lr0nRWYi62soDeOQ7dHZXQiyGt%2FIMWIYnTDPrFPzuomVcJ4Fpdarb4q%2Fz5HqJY1j2LS7DKbxzb08lqjio4Fpk8Wbw%2FfT9JX0LX43gHa96gfK1PpeXEpUscPcd27D8dydXViMOmy7vkFOusB%2Bv%2BUVBjrwhEfs969NYQK4Xs%2Bwaaz0rf2g9gDD4qX9wBt7oZs%2BKBDNmbVuYIjzJP%2Ft6%2BJIqAlbFj3EnsOvms2cs8ZhstPwTUsPlsSxVzqVrXke9gxx%2BstEOeV40zR1UU9LGHJohsPkLdJzDyVLwrNBISOBKetHDW3TDQT4BWH7dHNfFx%2BpW%2BPuEiGUnHUCDhF56sO22XzOBwKZIveU5yv2tpqofwsUxnC8gGgpru58Vw9hsC3xZUWUHvZtMz1rn3yiwLH79DMPqFNANxrAN1kX%2BakXVw2dbWG8UMmsUFbxLTHBXPjxmgGqVLPTA%3D%3D&amp;amp;X-Amz-Algorithm=AWS4-HMAC-SHA256&amp;amp;X-Amz-Date=20200818T095537Z&amp;amp;X-Amz-SignedHeaders=host&amp;amp;X-Amz-Expires=300&amp;amp;X-Amz-Credential=ASIAQ3PHCVTYRRHIMDUZ%2F20200818%2Fus-east-1%2Fs3%2Faws4_request&amp;amp;X-Amz-Signature=cf846754e695c44e9515bf08ef12ba99fd43617f3652a81f709b4c2c3486ba2a&amp;amp;hash=25d5b05db98b60e6ecdb0c83479e51443b282a92dc8c8650dad2dda40197e9c8&amp;amp;host=68042c943591013ac2b2430a89b270f6af2c76d8dfd086a07176afe7c76c2c61&amp;amp;pii=S0142061519341584&amp;amp;tid=spdf-dd48f9ab-feff-488d-aa08-2a190429c9d0&amp;amp;sid=90a802954afec940f97b4e41e44e0aaf860dgxrqa&amp;amp;type=client _x000d__x000a_&lt;/_url&gt;&lt;_volume&gt;122&lt;/_volume&gt;&lt;/Details&gt;&lt;Extra&gt;&lt;DBUID&gt;{6891F4B0-DCBA-459A-9A22-3059983243D4}&lt;/DBUID&gt;&lt;/Extra&gt;&lt;/Item&gt;&lt;/References&gt;&lt;/Group&gt;&lt;/Citation&gt;_x000a_"/>
    <w:docVar w:name="NE.Ref{01FB985E-F8B3-485E-881C-C05C2ECE5A59}" w:val=" ADDIN NE.Ref.{01FB985E-F8B3-485E-881C-C05C2ECE5A59}&lt;Citation&gt;&lt;Group&gt;&lt;References&gt;&lt;Item&gt;&lt;ID&gt;876&lt;/ID&gt;&lt;UID&gt;{08025A91-1F64-486D-918B-EF125908750C}&lt;/UID&gt;&lt;Title&gt;特高压直流完全闭锁后的暂态压升计算方法&lt;/Title&gt;&lt;Template&gt;Journal Article&lt;/Template&gt;&lt;Star&gt;0&lt;/Star&gt;&lt;Tag&gt;0&lt;/Tag&gt;&lt;Author&gt;辛超山; 尹纯亚; 李凤婷; 刘新刚&lt;/Author&gt;&lt;Year&gt;2020&lt;/Year&gt;&lt;Details&gt;&lt;_accessed&gt;64647186&lt;/_accessed&gt;&lt;_author_aff&gt;国网新疆电力有限公司经济技术研究院;新疆大学电气工程学院;中国能源建设集团新疆电力设计院;&lt;/_author_aff&gt;&lt;_cited_count&gt;7&lt;/_cited_count&gt;&lt;_collection_scope&gt;PKU&lt;/_collection_scope&gt;&lt;_created&gt;64646879&lt;/_created&gt;&lt;_date&gt;2020-02-25&lt;/_date&gt;&lt;_db_updated&gt;CNKI - Reference&lt;/_db_updated&gt;&lt;_issue&gt;01&lt;/_issue&gt;&lt;_journal&gt;电力电容器与无功补偿&lt;/_journal&gt;&lt;_keywords&gt;特高压直流;直流闭锁;暂态过电压;无功功率;短路容量&lt;/_keywords&gt;&lt;_modified&gt;64647187&lt;/_modified&gt;&lt;_pages&gt;184-190&lt;/_pages&gt;&lt;_tertiary_title&gt;Power Capacitor &amp;amp; Reactive Power Compensation&lt;/_tertiary_title&gt;&lt;_translated_author&gt;XIN, Chaoshan; YIN, Chunya; LI, Fengting; LIU, Xingang&lt;/_translated_author&gt;&lt;_translated_title&gt;Calculation Method of Transient Voltage Rise after UHVDC Complete Blocking&lt;/_translated_title&gt;&lt;_url&gt;https://kns.cnki.net/kcms/detail/detail.aspx?FileName=DLDY202001029&amp;amp;DbName=CJFQ2020 _x000d__x000a_https://bar.cnki.net/bar/download/order?id=jBGETXBNdPImvx70aLAuJPYxPoFw%2bp%2bi0fIiSrcN6lUbDwI0xiIYfYI9EjbJAXTVVFn23Xs1FaBqYaCnwpNgcDnQrP31sd3qbIpJim%2fvA8Tl8E%2bCUVp5GtDTYhVF2dNUoJeGx62Ssygg68TNXJ%2b5JrigejDAar8Xqw%2f6WR22OFXUdUGh4At8VBYSvh%2fCUD5aoLCR0X5tPBEL7mLZVEdZp7E%2bNrkqzOHvmN3XxNvg5Gf5LXYX1qwFXwOc1HUZT%2bTB _x000d__x000a_&lt;/_url&gt;&lt;_volume&gt;41&lt;/_volume&gt;&lt;/Details&gt;&lt;Extra&gt;&lt;DBUID&gt;{6891F4B0-DCBA-459A-9A22-3059983243D4}&lt;/DBUID&gt;&lt;/Extra&gt;&lt;/Item&gt;&lt;/References&gt;&lt;/Group&gt;&lt;Group&gt;&lt;References&gt;&lt;Item&gt;&lt;ID&gt;875&lt;/ID&gt;&lt;UID&gt;{390FC988-64C7-495A-BEE9-B36A579911AE}&lt;/UID&gt;&lt;Title&gt;基于无功功率短路比的直流闭锁暂态过电压计算方法&lt;/Title&gt;&lt;Template&gt;Journal Article&lt;/Template&gt;&lt;Star&gt;0&lt;/Star&gt;&lt;Tag&gt;0&lt;/Tag&gt;&lt;Author&gt;尹纯亚; 李凤婷; 周识远; 陈伟伟&lt;/Author&gt;&lt;Year&gt;2019&lt;/Year&gt;&lt;Details&gt;&lt;_accessed&gt;64647190&lt;/_accessed&gt;&lt;_author_aff&gt;新疆大学电气工程学院;国网甘肃省电力有限公司风电技术中心;国网新疆电力有限公司经济技术研究院;&lt;/_author_aff&gt;&lt;_cited_count&gt;28&lt;/_cited_count&gt;&lt;_collection_scope&gt;CSCD;PKU;EI&lt;/_collection_scope&gt;&lt;_created&gt;64646879&lt;/_created&gt;&lt;_date&gt;2019-04-03&lt;/_date&gt;&lt;_db_updated&gt;CNKI - Reference&lt;/_db_updated&gt;&lt;_issue&gt;10&lt;/_issue&gt;&lt;_journal&gt;电力系统自动化&lt;/_journal&gt;&lt;_keywords&gt;特高压直流;直流闭锁;暂态过电压;无功功率短路比&lt;/_keywords&gt;&lt;_modified&gt;64647169&lt;/_modified&gt;&lt;_pages&gt;150-154+161&lt;/_pages&gt;&lt;_tertiary_title&gt;Automation of electric power systems&lt;/_tertiary_title&gt;&lt;_translated_author&gt;YIN, Chunya; LI, Fengting; ZHOU, Shiyuan; CHEN, Weiwei&lt;/_translated_author&gt;&lt;_translated_title&gt;Calculation method of transient overvoltage due to DC blocking based on short circuit ratio of reactive power&lt;/_translated_title&gt;&lt;_url&gt;https://kns.cnki.net/kcms/detail/detail.aspx?FileName=DLXT201910019&amp;amp;DbName=CJFQ2019 _x000d__x000a_https://bar.cnki.net/bar/download/order?id=jBGETXBNdPImvx70aLAuJPYxPoFw%2bp%2bi0fIiSrcN6lWeNA6haUs9alja7wbwAT3oqfi8%2bi%2f76dNraIZO5iW6Bqly%2bcoaUbxKfbohfVkk2oLl8E%2bCUVp5GtDTYhVF2dNUoJeGx62Ssygg68TNXJ%2b5JrigejDAar8Xqw%2f6WR22OFXUdUGh4At8VBYSvh%2fCUD5a11U9mcm3OE4%2bhNBxSxXONDb8f2HAkymGE9BZVIFzUcf5LXYX1qwFXwOc1HUZT%2bTB _x000d__x000a_&lt;/_url&gt;&lt;_volume&gt;43&lt;/_volume&gt;&lt;/Details&gt;&lt;Extra&gt;&lt;DBUID&gt;{6891F4B0-DCBA-459A-9A22-3059983243D4}&lt;/DBUID&gt;&lt;/Extra&gt;&lt;/Item&gt;&lt;/References&gt;&lt;/Group&gt;&lt;/Citation&gt;_x000a_"/>
    <w:docVar w:name="NE.Ref{0249584B-9998-4D93-8240-CA8FDAC4B200}" w:val=" ADDIN NE.Ref.{0249584B-9998-4D93-8240-CA8FDAC4B200}&lt;Citation&gt;&lt;Group&gt;&lt;References&gt;&lt;Item&gt;&lt;ID&gt;1005&lt;/ID&gt;&lt;UID&gt;{78327436-2035-40FC-ABD5-F6DCA9B85156}&lt;/UID&gt;&lt;Title&gt;Dynamic reactive power characteristic analysis of inverters under the commutation failure faults in HVDC systems&lt;/Title&gt;&lt;Template&gt;Journal Article&lt;/Template&gt;&lt;Star&gt;0&lt;/Star&gt;&lt;Tag&gt;0&lt;/Tag&gt;&lt;Author&gt;Hua, W; Xiong, H T; Zhou, Y Z; Lou, R&lt;/Author&gt;&lt;Year&gt;2022&lt;/Year&gt;&lt;Details&gt;&lt;_alternate_title&gt;ENERGY REPORTS&lt;/_alternate_title&gt;&lt;_author_adr&gt;Stategrid Zhejiang Elect Power Co Ltd, Res Inst, Chaowang Rd, Hangzhou 310000, Peoples R China; Zhejiang Univ, Polytech Inst, Shixiang Rd 269th, Hangzhou 310015, Peoples R China&lt;/_author_adr&gt;&lt;_cited_count&gt;0&lt;/_cited_count&gt;&lt;_date_display&gt;2022&lt;/_date_display&gt;&lt;_date&gt;2022-01-01&lt;/_date&gt;&lt;_doi&gt;10.1016/j.egyr.2021.11.041&lt;/_doi&gt;&lt;_journal&gt;ENERGY REPORTS&lt;/_journal&gt;&lt;_keywords&gt;Dynamic var demand; Commutation failure; HVDC&lt;/_keywords&gt;&lt;_pages&gt;75-82&lt;/_pages&gt;&lt;_volume&gt;8&lt;/_volume&gt;&lt;_created&gt;64779566&lt;/_created&gt;&lt;_modified&gt;64779570&lt;/_modified&gt;&lt;_db_updated&gt;Web of Science-Core&lt;/_db_updated&gt;&lt;_impact_factor&gt;   4.937&lt;/_impact_factor&gt;&lt;_collection_scope&gt;EI&lt;/_collection_scope&gt;&lt;/Details&gt;&lt;Extra&gt;&lt;DBUID&gt;{6891F4B0-DCBA-459A-9A22-3059983243D4}&lt;/DBUID&gt;&lt;/Extra&gt;&lt;/Item&gt;&lt;/References&gt;&lt;/Group&gt;&lt;/Citation&gt;_x000a_"/>
    <w:docVar w:name="NE.Ref{026C31F9-008A-4A32-91CB-85C563C5C28F}" w:val=" ADDIN NE.Ref.{026C31F9-008A-4A32-91CB-85C563C5C28F}&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Citation&gt;_x000a_"/>
    <w:docVar w:name="NE.Ref{03465780-76FC-4CC8-900B-0756B424B14D}" w:val=" ADDIN NE.Ref.{03465780-76FC-4CC8-900B-0756B424B14D}&lt;Citation&gt;&lt;Group&gt;&lt;References&gt;&lt;Item&gt;&lt;ID&gt;674&lt;/ID&gt;&lt;UID&gt;{89C9CD25-7A1B-4CDC-B1C2-52361D34149B}&lt;/UID&gt;&lt;Title&gt;A novel method to mitigate commutation failures in HVdc systems&lt;/Title&gt;&lt;Template&gt;Conference Proceedings&lt;/Template&gt;&lt;Star&gt;0&lt;/Star&gt;&lt;Tag&gt;0&lt;/Tag&gt;&lt;Author&gt;Zhang, L; Dofnas, L&lt;/Author&gt;&lt;Year&gt;2002&lt;/Year&gt;&lt;Details&gt;&lt;_accessed&gt;63727215&lt;/_accessed&gt;&lt;_created&gt;63459198&lt;/_created&gt;&lt;_date&gt;54169920&lt;/_date&gt;&lt;_modified&gt;63519030&lt;/_modified&gt;&lt;_pages&gt;51-56&lt;/_pages&gt;&lt;_secondary_title&gt; Proc. Int. Conf. Power Syst. Technol&lt;/_secondary_title&gt;&lt;_url&gt;https://ieeexplore.ieee.org/stampPDF/getPDF.jsp?tp=&amp;amp;arnumber=1053503&amp;amp;ref=aHR0cHM6Ly9pZWVleHBsb3JlLmllZWUub3JnL3Jlc3Qvc2VhcmNo _x000d__x000a_&lt;/_url&gt;&lt;_volume&gt;1&lt;/_volume&gt;&lt;/Details&gt;&lt;Extra&gt;&lt;DBUID&gt;{6891F4B0-DCBA-459A-9A22-3059983243D4}&lt;/DBUID&gt;&lt;/Extra&gt;&lt;/Item&gt;&lt;/References&gt;&lt;/Group&gt;&lt;/Citation&gt;_x000a_"/>
    <w:docVar w:name="NE.Ref{03AB54B6-E5ED-4D03-8950-3916534C01D0}" w:val=" ADDIN NE.Ref.{03AB54B6-E5ED-4D03-8950-3916534C01D0}&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041C5F05-EAF1-47EE-95FB-8BFB96E3B7DD}" w:val=" ADDIN NE.Ref.{041C5F05-EAF1-47EE-95FB-8BFB96E3B7DD}&lt;Citation&gt;&lt;Group&gt;&lt;References&gt;&lt;Item&gt;&lt;ID&gt;715&lt;/ID&gt;&lt;UID&gt;{68ED593E-F1FA-42D0-8A14-35877AE45BAA}&lt;/UID&gt;&lt;Title&gt;高压直流输电非典型工况下过电压异常风险分析&lt;/Title&gt;&lt;Template&gt;Journal Article&lt;/Template&gt;&lt;Star&gt;0&lt;/Star&gt;&lt;Tag&gt;0&lt;/Tag&gt;&lt;Author&gt;贺静波; 万磊; 霍超; 常青&lt;/Author&gt;&lt;Year&gt;2014&lt;/Year&gt;&lt;Details&gt;&lt;_author_aff&gt;国家电力调度控制中心;中国电力科学研究院;西北电力调控分中心;&lt;/_author_aff&gt;&lt;_date&gt;2014-12-05&lt;/_date&gt;&lt;_db_provider&gt;CNKI: 期刊&lt;/_db_provider&gt;&lt;_issue&gt;12&lt;/_issue&gt;&lt;_journal&gt;电网技术&lt;/_journal&gt;&lt;_keywords&gt;直流输电;过电压;非典型工况;交直流电网&lt;/_keywords&gt;&lt;_pages&gt;3459-3463&lt;/_pages&gt;&lt;_url&gt;http://kns.cnki.net/KCMS/detail/detail.aspx?FileName=DWJS201412031&amp;amp;DbName=CJFQ2014&lt;/_url&gt;&lt;_volume&gt;38&lt;/_volume&gt;&lt;_created&gt;63727864&lt;/_created&gt;&lt;_modified&gt;63727864&lt;/_modified&gt;&lt;_db_updated&gt;CNKI - Reference&lt;/_db_updated&gt;&lt;_collection_scope&gt;CSCD;PKU;EI&lt;/_collection_scope&gt;&lt;_translated_author&gt;He, Jingbo;Wan, Lei;Huo, Chao;Chang, Qing&lt;/_translated_author&gt;&lt;/Details&gt;&lt;Extra&gt;&lt;DBUID&gt;{6891F4B0-DCBA-459A-9A22-3059983243D4}&lt;/DBUID&gt;&lt;/Extra&gt;&lt;/Item&gt;&lt;/References&gt;&lt;/Group&gt;&lt;Group&gt;&lt;References&gt;&lt;Item&gt;&lt;ID&gt;716&lt;/ID&gt;&lt;UID&gt;{25082D32-9092-4A20-839A-02CE172B58EE}&lt;/UID&gt;&lt;Title&gt;风光火打捆交直流混联外送系统交互影响及稳定性研究&lt;/Title&gt;&lt;Template&gt;Journal Article&lt;/Template&gt;&lt;Star&gt;0&lt;/Star&gt;&lt;Tag&gt;0&lt;/Tag&gt;&lt;Author&gt;吴萍; 陈昊; 赵兵; 徐式蕴; 易俊; 张健&lt;/Author&gt;&lt;Year&gt;2016&lt;/Year&gt;&lt;Details&gt;&lt;_author_aff&gt;中国电力科学研究院;&lt;/_author_aff&gt;&lt;_date&gt;2016-07-05&lt;/_date&gt;&lt;_db_provider&gt;CNKI: 期刊&lt;/_db_provider&gt;&lt;_issue&gt;07&lt;/_issue&gt;&lt;_journal&gt;电网技术&lt;/_journal&gt;&lt;_keywords&gt;风光火打捆外送系统;火电配比;脱网时序;交互影响&lt;/_keywords&gt;&lt;_pages&gt;1934-1942&lt;/_pages&gt;&lt;_url&gt;http://kns.cnki.net/KCMS/detail/detail.aspx?FileName=DWJS201607002&amp;amp;DbName=CJFQ2016&lt;/_url&gt;&lt;_volume&gt;40&lt;/_volume&gt;&lt;_created&gt;63727864&lt;/_created&gt;&lt;_modified&gt;63727865&lt;/_modified&gt;&lt;_db_updated&gt;CNKI - Reference&lt;/_db_updated&gt;&lt;_collection_scope&gt;CSCD;PKU;EI&lt;/_collection_scope&gt;&lt;_translated_author&gt;Wu, Ping;Chen, Hao;Zhao, Bing;Xu, Shiyun;Yi, Jun;Zhang, Jian&lt;/_translated_author&gt;&lt;/Details&gt;&lt;Extra&gt;&lt;DBUID&gt;{6891F4B0-DCBA-459A-9A22-3059983243D4}&lt;/DBUID&gt;&lt;/Extra&gt;&lt;/Item&gt;&lt;/References&gt;&lt;/Group&gt;&lt;/Citation&gt;_x000a_"/>
    <w:docVar w:name="NE.Ref{04769271-D2B6-4D3E-B68C-B3CB0A7B7B04}" w:val=" ADDIN NE.Ref.{04769271-D2B6-4D3E-B68C-B3CB0A7B7B04}&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0568F1F3-F32C-4F3A-92C8-66CD30A080A5}" w:val=" ADDIN NE.Ref.{0568F1F3-F32C-4F3A-92C8-66CD30A080A5}&lt;Citation&gt;&lt;Group&gt;&lt;References&gt;&lt;Item&gt;&lt;ID&gt;502&lt;/ID&gt;&lt;UID&gt;{5811B6ED-7D74-4C6F-B9A6-AAAB9D57A66A}&lt;/UID&gt;&lt;Title&gt;交流侧故障与换相失败时序问题的分析&lt;/Title&gt;&lt;Template&gt;Journal Article&lt;/Template&gt;&lt;Star&gt;0&lt;/Star&gt;&lt;Tag&gt;0&lt;/Tag&gt;&lt;Author&gt;陈颖; 李袖; 李卓男&lt;/Author&gt;&lt;Year&gt;2017&lt;/Year&gt;&lt;Details&gt;&lt;_accessed&gt;63445941&lt;/_accessed&gt;&lt;_accession_num&gt;CSCD:5946848_x000d__x000a_ER&lt;/_accession_num&gt;&lt;_cited_count&gt;0&lt;/_cited_count&gt;&lt;_collection_scope&gt;CSCD;PKU&lt;/_collection_scope&gt;&lt;_created&gt;63444588&lt;/_created&gt;&lt;_date_display&gt;2017, 2017&lt;/_date_display&gt;&lt;_db_provider&gt;ISI&lt;/_db_provider&gt;&lt;_isbn&gt;1003-8930&lt;/_isbn&gt;&lt;_issue&gt;1003-8930(2017)29:3&amp;lt;116:JLCGZY&amp;gt;2.0.TX;2-U3&lt;/_issue&gt;&lt;_journal&gt;电力系统及其自动化学报&lt;/_journal&gt;&lt;_modified&gt;63445942&lt;/_modified&gt;&lt;_pages&gt;116-120,130&lt;/_pages&gt;&lt;_tertiary_title&gt;Proceedings of the CSU-EPSA&lt;/_tertiary_title&gt;&lt;_translated_author&gt;Chen, Ying; Li, Xiu; Li, Zhuonan&lt;/_translated_author&gt;&lt;_translated_title&gt;Analysis of Time Sequence Between AC Fault and Commutation Failure&lt;/_translated_title&gt;&lt;_url&gt;CSCD:5946848&lt;/_url&gt;&lt;_volume&gt;29&lt;/_volume&gt;&lt;/Details&gt;&lt;Extra&gt;&lt;DBUID&gt;{6891F4B0-DCBA-459A-9A22-3059983243D4}&lt;/DBUID&gt;&lt;/Extra&gt;&lt;/Item&gt;&lt;/References&gt;&lt;/Group&gt;&lt;Group&gt;&lt;References&gt;&lt;Item&gt;&lt;ID&gt;546&lt;/ID&gt;&lt;UID&gt;{6D0E0A52-E334-4C7C-AD9E-3501AC497730}&lt;/UID&gt;&lt;Title&gt;Analysis of the commutation failure of inverters during open-conductor faults at the AC side&lt;/Title&gt;&lt;Template&gt;Journal Article&lt;/Template&gt;&lt;Star&gt;0&lt;/Star&gt;&lt;Tag&gt;0&lt;/Tag&gt;&lt;Author&gt;Cheng, Jingzhou; Xue, Yinglin; Guan, Minyuan; Wang, Chao&lt;/Author&gt;&lt;Year&gt;2015&lt;/Year&gt;&lt;Details&gt;&lt;_accessed&gt;63457514&lt;/_accessed&gt;&lt;_accession_num&gt;WOS:000360051200010_x000d__x000a_ER&lt;/_accession_num&gt;&lt;_cited_count&gt;1&lt;/_cited_count&gt;&lt;_collection_scope&gt;SCIE;EI&lt;/_collection_scope&gt;&lt;_created&gt;63444588&lt;/_created&gt;&lt;_date_display&gt;2015, AUG 2015&lt;/_date_display&gt;&lt;_db_provider&gt;ISI&lt;/_db_provider&gt;&lt;_doi&gt;10.1002/etep.1919&lt;/_doi&gt;&lt;_impact_factor&gt;   1.692&lt;/_impact_factor&gt;&lt;_isbn&gt;2050-7038&lt;/_isbn&gt;&lt;_issue&gt;8&lt;/_issue&gt;&lt;_journal&gt;INTERNATIONAL TRANSACTIONS ON ELECTRICAL ENERGY SYSTEMS&lt;/_journal&gt;&lt;_modified&gt;63445910&lt;/_modified&gt;&lt;_pages&gt;1570-1589&lt;/_pages&gt;&lt;_url&gt;http://gateway.isiknowledge.com/gateway/Gateway.cgi?GWVersion=2&amp;amp;SrcAuth=AegeanSoftware&amp;amp;SrcApp=NoteExpress&amp;amp;DestLinkType=FullRecord&amp;amp;DestApp=WOS&amp;amp;KeyUT=000360051200010&lt;/_url&gt;&lt;_volume&gt;25&lt;/_volume&gt;&lt;/Details&gt;&lt;Extra&gt;&lt;DBUID&gt;{6891F4B0-DCBA-459A-9A22-3059983243D4}&lt;/DBUID&gt;&lt;/Extra&gt;&lt;/Item&gt;&lt;/References&gt;&lt;/Group&gt;&lt;/Citation&gt;_x000a_"/>
    <w:docVar w:name="NE.Ref{061D20AC-9CDC-4BEB-8643-F70FB076CB6D}" w:val=" ADDIN NE.Ref.{061D20AC-9CDC-4BEB-8643-F70FB076CB6D}&lt;Citation&gt;&lt;Group&gt;&lt;References&gt;&lt;Item&gt;&lt;ID&gt;875&lt;/ID&gt;&lt;UID&gt;{390FC988-64C7-495A-BEE9-B36A579911AE}&lt;/UID&gt;&lt;Title&gt;基于无功功率短路比的直流闭锁暂态过电压计算方法&lt;/Title&gt;&lt;Template&gt;Journal Article&lt;/Template&gt;&lt;Star&gt;0&lt;/Star&gt;&lt;Tag&gt;0&lt;/Tag&gt;&lt;Author&gt;尹纯亚; 李凤婷; 周识远; 陈伟伟&lt;/Author&gt;&lt;Year&gt;2019&lt;/Year&gt;&lt;Details&gt;&lt;_accessed&gt;64647190&lt;/_accessed&gt;&lt;_author_aff&gt;新疆大学电气工程学院;国网甘肃省电力有限公司风电技术中心;国网新疆电力有限公司经济技术研究院;&lt;/_author_aff&gt;&lt;_cited_count&gt;28&lt;/_cited_count&gt;&lt;_collection_scope&gt;CSCD;PKU;EI&lt;/_collection_scope&gt;&lt;_created&gt;64646879&lt;/_created&gt;&lt;_date&gt;2019-04-03&lt;/_date&gt;&lt;_db_updated&gt;CNKI - Reference&lt;/_db_updated&gt;&lt;_issue&gt;10&lt;/_issue&gt;&lt;_journal&gt;电力系统自动化&lt;/_journal&gt;&lt;_keywords&gt;特高压直流;直流闭锁;暂态过电压;无功功率短路比&lt;/_keywords&gt;&lt;_modified&gt;64647169&lt;/_modified&gt;&lt;_pages&gt;150-154+161&lt;/_pages&gt;&lt;_tertiary_title&gt;Automation of electric power systems&lt;/_tertiary_title&gt;&lt;_translated_author&gt;YIN, Chunya; LI, Fengting; ZHOU, Shiyuan; CHEN, Weiwei&lt;/_translated_author&gt;&lt;_translated_title&gt;Calculation method of transient overvoltage due to DC blocking based on short circuit ratio of reactive power&lt;/_translated_title&gt;&lt;_url&gt;https://kns.cnki.net/kcms/detail/detail.aspx?FileName=DLXT201910019&amp;amp;DbName=CJFQ2019 _x000d__x000a_https://bar.cnki.net/bar/download/order?id=jBGETXBNdPImvx70aLAuJPYxPoFw%2bp%2bi0fIiSrcN6lWeNA6haUs9alja7wbwAT3oqfi8%2bi%2f76dNraIZO5iW6Bqly%2bcoaUbxKfbohfVkk2oLl8E%2bCUVp5GtDTYhVF2dNUoJeGx62Ssygg68TNXJ%2b5JrigejDAar8Xqw%2f6WR22OFXUdUGh4At8VBYSvh%2fCUD5a11U9mcm3OE4%2bhNBxSxXONDb8f2HAkymGE9BZVIFzUcf5LXYX1qwFXwOc1HUZT%2bTB _x000d__x000a_&lt;/_url&gt;&lt;_volume&gt;43&lt;/_volume&gt;&lt;/Details&gt;&lt;Extra&gt;&lt;DBUID&gt;{6891F4B0-DCBA-459A-9A22-3059983243D4}&lt;/DBUID&gt;&lt;/Extra&gt;&lt;/Item&gt;&lt;/References&gt;&lt;/Group&gt;&lt;/Citation&gt;_x000a_"/>
    <w:docVar w:name="NE.Ref{070823B0-62E5-478E-B50D-9FDE5C049054}" w:val=" ADDIN NE.Ref.{070823B0-62E5-478E-B50D-9FDE5C049054}&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087310B8-E92D-4289-B760-3160F05B2EA5}" w:val=" ADDIN NE.Ref.{087310B8-E92D-4289-B760-3160F05B2EA5}&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0921799C-6DD0-4188-B637-3CA73B5479E5}" w:val=" ADDIN NE.Ref.{0921799C-6DD0-4188-B637-3CA73B5479E5}&lt;Citation&gt;&lt;Group&gt;&lt;References&gt;&lt;Item&gt;&lt;ID&gt;282&lt;/ID&gt;&lt;UID&gt;{F3838403-6167-4081-9EFC-18C755F3DC54}&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ion_num&gt;WOS:000341190700042_x000d__x000a_ER&lt;/_accession_num&gt;&lt;_cited_count&gt;81&lt;/_cited_count&gt;&lt;_collection_scope&gt;SCI;SCIE;EI&lt;/_collection_scope&gt;&lt;_created&gt;63731519&lt;/_created&gt;&lt;_date_display&gt;2014, SEP 2014&lt;/_date_display&gt;&lt;_db_provider&gt;ISI&lt;/_db_provider&gt;&lt;_doi&gt;10.1109/TPWRS.2014.2302010&lt;/_doi&gt;&lt;_impact_factor&gt;   6.074&lt;/_impact_factor&gt;&lt;_isbn&gt;0885-8950&lt;/_isbn&gt;&lt;_issue&gt;5&lt;/_issue&gt;&lt;_journal&gt;IEEE TRANSACTIONS ON POWER SYSTEMS&lt;/_journal&gt;&lt;_modified&gt;63732118&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A3475332-E9AF-461B-A5D7-96D85EB3F1EF}&lt;/DBUID&gt;&lt;/Extra&gt;&lt;/Item&gt;&lt;/References&gt;&lt;/Group&gt;&lt;/Citation&gt;_x000a_"/>
    <w:docVar w:name="NE.Ref{09657C50-6E92-49CE-8672-14D123569690}" w:val=" ADDIN NE.Ref.{09657C50-6E92-49CE-8672-14D123569690}&lt;Citation&gt;&lt;Group&gt;&lt;References&gt;&lt;Item&gt;&lt;ID&gt;64&lt;/ID&gt;&lt;UID&gt;{26C771DF-F0D7-44ED-B0F7-1D09D1F89FF5}&lt;/UID&gt;&lt;Title&gt;考虑风电不确定性的电力系统鲁棒优化调度&lt;/Title&gt;&lt;Template&gt;Journal Article&lt;/Template&gt;&lt;Star&gt;0&lt;/Star&gt;&lt;Tag&gt;0&lt;/Tag&gt;&lt;Author&gt;陈庆攀; 刘洋; 杨得洋&lt;/Author&gt;&lt;Year&gt;2019&lt;/Year&gt;&lt;Details&gt;&lt;_accessed&gt;64323123&lt;/_accessed&gt;&lt;_author_aff&gt;四川大学电气信息学院;&lt;/_author_aff&gt;&lt;_cited_count&gt;8&lt;/_cited_count&gt;&lt;_created&gt;64102965&lt;/_created&gt;&lt;_date&gt;62818560&lt;/_date&gt;&lt;_db_updated&gt;CNKI - Reference&lt;/_db_updated&gt;&lt;_issue&gt;11&lt;/_issue&gt;&lt;_journal&gt;电工技术&lt;/_journal&gt;&lt;_keywords&gt;电力系统;风电;不确定性;鲁棒调度模型&lt;/_keywords&gt;&lt;_modified&gt;64323123&lt;/_modified&gt;&lt;_pages&gt;37-39+43&lt;/_pages&gt;&lt;_url&gt;https://kns.cnki.net/kcms/detail/detail.aspx?FileName=DGJY201911011&amp;amp;DbName=CJFQ2019&lt;/_url&gt;&lt;_translated_author&gt;Chen, Qingpan;Liu, Yang;Yang, Deyang&lt;/_translated_author&gt;&lt;/Details&gt;&lt;Extra&gt;&lt;DBUID&gt;{560D5FFD-5A46-4EB8-859B-FD657304A42E}&lt;/DBUID&gt;&lt;/Extra&gt;&lt;/Item&gt;&lt;/References&gt;&lt;/Group&gt;&lt;/Citation&gt;_x000a_"/>
    <w:docVar w:name="NE.Ref{098CB4F4-933E-4205-9B0F-DA6B7A37CF6E}" w:val=" ADDIN NE.Ref.{098CB4F4-933E-4205-9B0F-DA6B7A37CF6E}&lt;Citation&gt;&lt;Group&gt;&lt;References&gt;&lt;Item&gt;&lt;ID&gt;1018&lt;/ID&gt;&lt;UID&gt;{FE9BC80F-7659-45C0-94B8-982CFB0614CA}&lt;/UID&gt;&lt;Title&gt;电力电子设备接入电压支撑强度量化评估指标综述&lt;/Title&gt;&lt;Template&gt;Journal Article&lt;/Template&gt;&lt;Star&gt;0&lt;/Star&gt;&lt;Tag&gt;0&lt;/Tag&gt;&lt;Author&gt;于琳; 孙华东; 徐式蕴; 赵兵; 张健; 李宗翰&lt;/Author&gt;&lt;Year&gt;2022&lt;/Year&gt;&lt;Details&gt;&lt;_author_aff&gt;电网安全与节能国家重点实验室(中国电力科学研究院有限公司);&lt;/_author_aff&gt;&lt;_cited_count&gt;10&lt;/_cited_count&gt;&lt;_date&gt;2021-11-03&lt;/_date&gt;&lt;_issue&gt;02&lt;/_issue&gt;&lt;_journal&gt;中国电机工程学报&lt;/_journal&gt;&lt;_keywords&gt;电压支撑强度;短路比;临界短路比;阻抗比;电力电子设备&lt;/_keywords&gt;&lt;_pages&gt;499-515&lt;/_pages&gt;&lt;_url&gt;https://kns.cnki.net/kcms/detail/detail.aspx?FileName=ZGDC202202005&amp;amp;DbName=DKFX2022 _x000d__x000a_https://bar.cnki.net/bar/download/order?id=jBGETXBNdPImvx70aLAuJPYxPoFw%2bp%2bi0fIiSrcN6lU4U5Ntw4Lu%2bLS0I0bCFd93ds%2fr85YSD8tWj6u6R%2b%2fkcZ0PLIIoFLYwy5BgUEfsTyzl8E%2bCUVp5GtDTYhVF2dNUoJeGx62Ssygg68TNXJ%2b5JrigejDAar8Xqw%2f6WR22OFXUdUGh4At8VBYSvh%2fCUD5axNezgSlcpNoXOxEQnf%2bT0ygwE3OtnMd4fcV3D5ub%2fh%2f5LXYX1qwFXwOc1HUZT%2bTB _x000d__x000a_&lt;/_url&gt;&lt;_volume&gt;42&lt;/_volume&gt;&lt;_created&gt;64779748&lt;/_created&gt;&lt;_modified&gt;64779754&lt;/_modified&gt;&lt;_db_updated&gt;CNKI - Reference&lt;/_db_updated&gt;&lt;_collection_scope&gt;CSCD;PKU;EI&lt;/_collection_scope&gt;&lt;_accessed&gt;64779754&lt;/_accessed&gt;&lt;_translated_author&gt;Yu, Lin;Sun, Huadong;Xu, Shiyun;Zhao, Bing;Zhang, Jian;Li, Zonghan&lt;/_translated_author&gt;&lt;/Details&gt;&lt;Extra&gt;&lt;DBUID&gt;{6891F4B0-DCBA-459A-9A22-3059983243D4}&lt;/DBUID&gt;&lt;/Extra&gt;&lt;/Item&gt;&lt;/References&gt;&lt;/Group&gt;&lt;/Citation&gt;_x000a_"/>
    <w:docVar w:name="NE.Ref{0A0D1C42-C905-4E16-B409-4F5DEB132D83}" w:val=" ADDIN NE.Ref.{0A0D1C42-C905-4E16-B409-4F5DEB132D83}&lt;Citation&gt;&lt;Group&gt;&lt;References&gt;&lt;Item&gt;&lt;ID&gt;529&lt;/ID&gt;&lt;UID&gt;{3BF82718-7B29-47F5-9A6A-8BA0D33284C3}&lt;/UID&gt;&lt;Title&gt;绿色证书交易机制下可再生能源发电定价研究——期权博弈模型及数值模拟&lt;/Title&gt;&lt;Template&gt;Journal Article&lt;/Template&gt;&lt;Star&gt;0&lt;/Star&gt;&lt;Tag&gt;0&lt;/Tag&gt;&lt;Author&gt;俞萍萍&lt;/Author&gt;&lt;Year&gt;2018&lt;/Year&gt;&lt;Details&gt;&lt;_author_adr&gt;浙江财经大学;&lt;/_author_adr&gt;&lt;_collection_scope&gt;CSSCI-E;PKU&lt;/_collection_scope&gt;&lt;_created&gt;63659494&lt;/_created&gt;&lt;_db_provider&gt;CNKI&lt;/_db_provider&gt;&lt;_isbn&gt;1003-3971&lt;/_isbn&gt;&lt;_issue&gt;11&lt;/_issue&gt;&lt;_journal&gt;价格理论与实践&lt;/_journal&gt;&lt;_keywords&gt;可再生能源;配额制度;绿色证书交易;期权博弈&lt;/_keywords&gt;&lt;_modified&gt;63659494&lt;/_modified&gt;&lt;_pages&gt;38-41&lt;/_pages&gt;&lt;_translated_author&gt;Yu, Pingping&lt;/_translated_author&gt;&lt;/Details&gt;&lt;Extra&gt;&lt;DBUID&gt;{F96A950B-833F-4880-A151-76DA2D6A2879}&lt;/DBUID&gt;&lt;/Extra&gt;&lt;/Item&gt;&lt;/References&gt;&lt;/Group&gt;&lt;/Citation&gt;_x000a_"/>
    <w:docVar w:name="NE.Ref{0A2C9BF9-1112-457C-BF27-28A8CB70F534}" w:val=" ADDIN NE.Ref.{0A2C9BF9-1112-457C-BF27-28A8CB70F534}&lt;Citation&gt;&lt;Group&gt;&lt;References&gt;&lt;Item&gt;&lt;ID&gt;497&lt;/ID&gt;&lt;UID&gt;{E7F96EEC-24B7-4BE4-BE42-C70D5D384360}&lt;/UID&gt;&lt;Title&gt;基于供需双侧博弈互动的园区多能运营商能源交易优化决策&lt;/Title&gt;&lt;Template&gt;Journal Article&lt;/Template&gt;&lt;Star&gt;0&lt;/Star&gt;&lt;Tag&gt;0&lt;/Tag&gt;&lt;Author&gt;向恩民; 高红均; 刘畅; 刘友波; 刘俊勇&lt;/Author&gt;&lt;Year&gt;0&lt;/Year&gt;&lt;Details&gt;&lt;_author_adr&gt;四川大学电气工程学院;&lt;/_author_adr&gt;&lt;_collection_scope&gt;CSCD;PKU;EI&lt;/_collection_scope&gt;&lt;_created&gt;63651895&lt;/_created&gt;&lt;_db_provider&gt;CNKI&lt;/_db_provider&gt;&lt;_isbn&gt;0258-8013&lt;/_isbn&gt;&lt;_journal&gt;中国电机工程学报&lt;/_journal&gt;&lt;_keywords&gt;园区运营商;综合能源系统;Stackelberg博弈;互动交易;日前调度&lt;/_keywords&gt;&lt;_modified&gt;63651895&lt;/_modified&gt;&lt;_pages&gt;1-13&lt;/_pages&gt;&lt;_translated_author&gt;Xiang, Enmin;Gao, Hongjun;Liu, Chang;Liu, Youbo;Liu, Junyong&lt;/_translated_author&gt;&lt;/Details&gt;&lt;Extra&gt;&lt;DBUID&gt;{F96A950B-833F-4880-A151-76DA2D6A2879}&lt;/DBUID&gt;&lt;/Extra&gt;&lt;/Item&gt;&lt;/References&gt;&lt;/Group&gt;&lt;/Citation&gt;_x000a_"/>
    <w:docVar w:name="NE.Ref{0B13F55E-ED43-4388-A5C2-3DF44A806A66}" w:val=" ADDIN NE.Ref.{0B13F55E-ED43-4388-A5C2-3DF44A806A66}&lt;Citation&gt;&lt;Group&gt;&lt;References&gt;&lt;Item&gt;&lt;ID&gt;585&lt;/ID&gt;&lt;UID&gt;{3779F5E8-40F3-4222-8FFA-3447D5C44BA5}&lt;/UID&gt;&lt;Title&gt;基于二阶段鲁棒博弈模型的微电网群及混合交直流配电系统协调能量管理策略研究&lt;/Title&gt;&lt;Template&gt;Journal Article&lt;/Template&gt;&lt;Star&gt;0&lt;/Star&gt;&lt;Tag&gt;0&lt;/Tag&gt;&lt;Author&gt;符杨; 张智泉; 李振坤; 米阳&lt;/Author&gt;&lt;Year&gt;2020&lt;/Year&gt;&lt;Details&gt;&lt;_author_adr&gt;上海电力大学电气工程学院;上海海事大学物流工程学院;&lt;/_author_adr&gt;&lt;_collection_scope&gt;CSCD;PKU;EI&lt;/_collection_scope&gt;&lt;_created&gt;63704857&lt;/_created&gt;&lt;_db_provider&gt;CNKI&lt;/_db_provider&gt;&lt;_isbn&gt;0258-8013&lt;/_isbn&gt;&lt;_issue&gt;04&lt;/_issue&gt;&lt;_journal&gt;中国电机工程学报&lt;/_journal&gt;&lt;_keywords&gt;能量管理;微电网群;混合交直流配电系统;博弈论;鲁棒优化&lt;/_keywords&gt;&lt;_modified&gt;63704857&lt;/_modified&gt;&lt;_pages&gt;1226-1240+1413&lt;/_pages&gt;&lt;_volume&gt;40&lt;/_volume&gt;&lt;_translated_author&gt;Fu, Yang;Zhang, Zhiquan;Li, Zhenkun;Mi, Yang&lt;/_translated_author&gt;&lt;/Details&gt;&lt;Extra&gt;&lt;DBUID&gt;{F96A950B-833F-4880-A151-76DA2D6A2879}&lt;/DBUID&gt;&lt;/Extra&gt;&lt;/Item&gt;&lt;/References&gt;&lt;/Group&gt;&lt;/Citation&gt;_x000a_"/>
    <w:docVar w:name="NE.Ref{0B1727A6-0192-48ED-9217-921D7D499D14}" w:val=" ADDIN NE.Ref.{0B1727A6-0192-48ED-9217-921D7D499D14}&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0B20CC24-717B-49BF-80F5-B6DE07E7B069}" w:val=" ADDIN NE.Ref.{0B20CC24-717B-49BF-80F5-B6DE07E7B069}&lt;Citation&gt;&lt;Group&gt;&lt;References&gt;&lt;Item&gt;&lt;ID&gt;1023&lt;/ID&gt;&lt;UID&gt;{FB0A724D-9E9C-40F7-89ED-FF86546E4FA1}&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ited_count&gt;3&lt;/_cited_count&gt;&lt;_date&gt;2021-07-29&lt;/_date&gt;&lt;_issue&gt;05&lt;/_issue&gt;&lt;_journal&gt;电网技术&lt;/_journal&gt;&lt;_keywords&gt;特高压直流;过电压;低电压穿越;安全稳定控制&lt;/_keywords&gt;&lt;_pages&gt;1907-1916&lt;/_pages&gt;&lt;_url&gt;https://kns.cnki.net/kcms/detail/detail.aspx?FileName=DWJS202205024&amp;amp;DbName=DKFX2022&lt;/_url&gt;&lt;_volume&gt;46&lt;/_volume&gt;&lt;_created&gt;64780397&lt;/_created&gt;&lt;_modified&gt;64780397&lt;/_modified&gt;&lt;_db_updated&gt;CNKI - Reference&lt;/_db_updated&gt;&lt;_collection_scope&gt;CSCD;PKU;EI&lt;/_collection_scope&gt;&lt;_translated_author&gt;Zhou, Yingkun;Xie, Heng;Sun, Huadong;Xu, Shiyun;Zhao, Bing;Zhang, Yi;Chang, Xiqiang;Zhang, Jian&lt;/_translated_author&gt;&lt;/Details&gt;&lt;Extra&gt;&lt;DBUID&gt;{6891F4B0-DCBA-459A-9A22-3059983243D4}&lt;/DBUID&gt;&lt;/Extra&gt;&lt;/Item&gt;&lt;/References&gt;&lt;/Group&gt;&lt;Group&gt;&lt;References&gt;&lt;Item&gt;&lt;ID&gt;1024&lt;/ID&gt;&lt;UID&gt;{71F5FFB4-C672-4E35-8FFF-CC99F583D209}&lt;/UID&gt;&lt;Title&gt;新能源低电压穿越无功电流对暂态电压安全约束的影响&lt;/Title&gt;&lt;Template&gt;Journal Article&lt;/Template&gt;&lt;Star&gt;0&lt;/Star&gt;&lt;Tag&gt;0&lt;/Tag&gt;&lt;Author&gt;刘辉; 王阔&lt;/Author&gt;&lt;Year&gt;2022&lt;/Year&gt;&lt;Details&gt;&lt;_author_aff&gt;国网冀北电力有限公司电力科学研究院;北京大学;&lt;/_author_aff&gt;&lt;_cited_count&gt;2&lt;/_cited_count&gt;&lt;_date&gt;2022-02-25&lt;/_date&gt;&lt;_issue&gt;02&lt;/_issue&gt;&lt;_journal&gt;中国电力&lt;/_journal&gt;&lt;_keywords&gt;新能源汇集系统;低电压穿越;暂态过电压;短路比&lt;/_keywords&gt;&lt;_pages&gt;152-158&lt;/_pages&gt;&lt;_url&gt;https://kns.cnki.net/kcms/detail/detail.aspx?FileName=ZGDL202202019&amp;amp;DbName=CJFQ2022&lt;/_url&gt;&lt;_volume&gt;55&lt;/_volume&gt;&lt;_created&gt;64780399&lt;/_created&gt;&lt;_modified&gt;64780399&lt;/_modified&gt;&lt;_db_updated&gt;CNKI - Reference&lt;/_db_updated&gt;&lt;_collection_scope&gt;CSCD;PKU&lt;/_collection_scope&gt;&lt;_translated_author&gt;Liu, Hui;Wang, Kuo&lt;/_translated_author&gt;&lt;/Details&gt;&lt;Extra&gt;&lt;DBUID&gt;{6891F4B0-DCBA-459A-9A22-3059983243D4}&lt;/DBUID&gt;&lt;/Extra&gt;&lt;/Item&gt;&lt;/References&gt;&lt;/Group&gt;&lt;Group&gt;&lt;References&gt;&lt;Item&gt;&lt;ID&gt;1025&lt;/ID&gt;&lt;UID&gt;{0F8E5DDE-8262-4922-9574-5ADD6322CB7F}&lt;/UID&gt;&lt;Title&gt;风机故障穿越特性对大规模风电直流外送系统暂态过电压的影响及参数优化&lt;/Title&gt;&lt;Template&gt;Journal Article&lt;/Template&gt;&lt;Star&gt;0&lt;/Star&gt;&lt;Tag&gt;0&lt;/Tag&gt;&lt;Author&gt;王熙纯; 刘纯; 林伟芳; 解鸿斌&lt;/Author&gt;&lt;Year&gt;2021&lt;/Year&gt;&lt;Details&gt;&lt;_author_aff&gt;新能源与储能运行控制国家重点实验室(中国电力科学研究院有限公司);&lt;/_author_aff&gt;&lt;_cited_count&gt;10&lt;/_cited_count&gt;&lt;_date&gt;2021-05-14&lt;/_date&gt;&lt;_issue&gt;12&lt;/_issue&gt;&lt;_journal&gt;电网技术&lt;/_journal&gt;&lt;_keywords&gt;暂态过电压;低电压穿越;风电机组;参数优化&lt;/_keywords&gt;&lt;_pages&gt;4612-4621&lt;/_pages&gt;&lt;_url&gt;https://kns.cnki.net/kcms/detail/detail.aspx?FileName=DWJS202112002&amp;amp;DbName=DKFX2021&lt;/_url&gt;&lt;_volume&gt;45&lt;/_volume&gt;&lt;_created&gt;64780400&lt;/_created&gt;&lt;_modified&gt;64780400&lt;/_modified&gt;&lt;_db_updated&gt;CNKI - Reference&lt;/_db_updated&gt;&lt;_collection_scope&gt;CSCD;PKU;EI&lt;/_collection_scope&gt;&lt;_translated_author&gt;Wang, Xichun;Liu, Chun;Lin, Weifang;Jie, Hongbin&lt;/_translated_author&gt;&lt;/Details&gt;&lt;Extra&gt;&lt;DBUID&gt;{6891F4B0-DCBA-459A-9A22-3059983243D4}&lt;/DBUID&gt;&lt;/Extra&gt;&lt;/Item&gt;&lt;/References&gt;&lt;/Group&gt;&lt;Group&gt;&lt;References&gt;&lt;Item&gt;&lt;ID&gt;1026&lt;/ID&gt;&lt;UID&gt;{93F10089-0DB5-4040-8FBA-B27C00F605A8}&lt;/UID&gt;&lt;Title&gt;风机低电压穿越控制对系统暂态过电压的影响及优化&lt;/Title&gt;&lt;Template&gt;Journal Article&lt;/Template&gt;&lt;Star&gt;0&lt;/Star&gt;&lt;Tag&gt;0&lt;/Tag&gt;&lt;Author&gt;贾俊川; 金一丁; 赵兵; 仲悟之; 程势高; 刘涛; 徐希望; 郑帅飞&lt;/Author&gt;&lt;Year&gt;2021&lt;/Year&gt;&lt;Details&gt;&lt;_author_aff&gt;电网安全与节能国家重点实验室(中国电力科学研究院有限公司);国家电力调度控制中心;&lt;/_author_aff&gt;&lt;_cited_count&gt;31&lt;/_cited_count&gt;&lt;_date&gt;2020-11-25&lt;/_date&gt;&lt;_issue&gt;02&lt;/_issue&gt;&lt;_journal&gt;电网技术&lt;/_journal&gt;&lt;_keywords&gt;低电压穿越;暂态过电压;风电机组;有功/无功特性;性能优化&lt;/_keywords&gt;&lt;_pages&gt;526-533&lt;/_pages&gt;&lt;_url&gt;https://kns.cnki.net/kcms/detail/detail.aspx?FileName=DWJS202102011&amp;amp;DbName=DKFX2021&lt;/_url&gt;&lt;_volume&gt;45&lt;/_volume&gt;&lt;_created&gt;64780401&lt;/_created&gt;&lt;_modified&gt;64780401&lt;/_modified&gt;&lt;_db_updated&gt;CNKI - Reference&lt;/_db_updated&gt;&lt;_collection_scope&gt;CSCD;PKU;EI&lt;/_collection_scope&gt;&lt;_translated_author&gt;Jia, Junchuan;Jin, Yiding;Zhao, Bing;Zhong, Wuzhi;Cheng, Shigao;Liu, Tao;Xu, Xiwang;Zheng, Shuaifei&lt;/_translated_author&gt;&lt;/Details&gt;&lt;Extra&gt;&lt;DBUID&gt;{6891F4B0-DCBA-459A-9A22-3059983243D4}&lt;/DBUID&gt;&lt;/Extra&gt;&lt;/Item&gt;&lt;/References&gt;&lt;/Group&gt;&lt;/Citation&gt;_x000a_"/>
    <w:docVar w:name="NE.Ref{0B997B72-5A62-4CA3-940C-5C06EE3E2F20}" w:val=" ADDIN NE.Ref.{0B997B72-5A62-4CA3-940C-5C06EE3E2F20}&lt;Citation&gt;&lt;Group&gt;&lt;References&gt;&lt;Item&gt;&lt;ID&gt;922&lt;/ID&gt;&lt;UID&gt;{D8606DD1-9BE9-4286-9A34-6CC89F861418}&lt;/UID&gt;&lt;Title&gt;Comprehensive review of commutation failure in HVDC transmission systems&lt;/Title&gt;&lt;Template&gt;Journal Article&lt;/Template&gt;&lt;Star&gt;0&lt;/Star&gt;&lt;Tag&gt;0&lt;/Tag&gt;&lt;Author&gt;Zhou, H Y; Yao, W; Ai, X M; Li, D H; Wen, J Y; Li, C H&lt;/Author&gt;&lt;Year&gt;2022&lt;/Year&gt;&lt;Details&gt;&lt;_alternate_title&gt;ELECTRIC POWER SYSTEMS RESEARCH&lt;/_alternate_title&gt;&lt;_author_adr&gt;Huazhong Univ Sci &amp;amp; Technol, Sch Elect &amp;amp; Elect Engn, State Key Lab Adv Electromagnet Engn &amp;amp; Technol, Wuhan 430074, Peoples R China; State Grid Hubei Elect Power Co Ltd, Wuhan 430077, Peoples R China; State Grid Henan Elect Power Co, Elect Power Res Inst, Zhengzhou 450052, Peoples R China&lt;/_author_adr&gt;&lt;_cited_count&gt;7&lt;/_cited_count&gt;&lt;_collection_scope&gt;SCIE;EI&lt;/_collection_scope&gt;&lt;_created&gt;64655769&lt;/_created&gt;&lt;_date&gt;2022-01-01&lt;/_date&gt;&lt;_date_display&gt;2022&lt;/_date_display&gt;&lt;_db_updated&gt;Web of Science-Core&lt;/_db_updated&gt;&lt;_doi&gt;10.1016/j.epsr.2021.107768&lt;/_doi&gt;&lt;_impact_factor&gt;   3.818&lt;/_impact_factor&gt;&lt;_journal&gt;ELECTRIC POWER SYSTEMS RESEARCH&lt;/_journal&gt;&lt;_keywords&gt;HVDC; Commutation failure; Review; Cascading failures; Future direction&lt;/_keywords&gt;&lt;_modified&gt;64655770&lt;/_modified&gt;&lt;_volume&gt;205&lt;/_volume&gt;&lt;/Details&gt;&lt;Extra&gt;&lt;DBUID&gt;{6891F4B0-DCBA-459A-9A22-3059983243D4}&lt;/DBUID&gt;&lt;/Extra&gt;&lt;/Item&gt;&lt;/References&gt;&lt;/Group&gt;&lt;/Citation&gt;_x000a_"/>
    <w:docVar w:name="NE.Ref{0C012C24-95F1-431B-8BC4-527572EF946A}" w:val=" ADDIN NE.Ref.{0C012C24-95F1-431B-8BC4-527572EF946A}&lt;Citation&gt;&lt;Group&gt;&lt;References&gt;&lt;Item&gt;&lt;ID&gt;113&lt;/ID&gt;&lt;UID&gt;{709B4134-08DA-4EDD-B100-5435B8163012}&lt;/UID&gt;&lt;Title&gt;Stochastic reserve scheduling of energy storage system in energy and reserve markets&lt;/Title&gt;&lt;Template&gt;Journal Article&lt;/Template&gt;&lt;Star&gt;0&lt;/Star&gt;&lt;Tag&gt;0&lt;/Tag&gt;&lt;Author&gt;Tang, Zao; Liu, Junyong; Liu, Youbo; Xu, Lixiong&lt;/Author&gt;&lt;Year&gt;2020&lt;/Year&gt;&lt;Details&gt;&lt;_accessed&gt;64355826&lt;/_accessed&gt;&lt;_collection_scope&gt;SCIE;EI&lt;/_collection_scope&gt;&lt;_created&gt;64304239&lt;/_created&gt;&lt;_db_updated&gt;CrossRef&lt;/_db_updated&gt;&lt;_doi&gt;10.1016/j.ijepes.2020.106279&lt;/_doi&gt;&lt;_impact_factor&gt;   4.630&lt;/_impact_factor&gt;&lt;_isbn&gt;01420615&lt;/_isbn&gt;&lt;_journal&gt;International Journal of Electrical Power &amp;amp; Energy Systems&lt;/_journal&gt;&lt;_modified&gt;64308205&lt;/_modified&gt;&lt;_pages&gt;106279&lt;/_pages&gt;&lt;_tertiary_title&gt;International Journal of Electrical Power &amp;amp; Energy Systems&lt;/_tertiary_title&gt;&lt;_url&gt;https://linkinghub.elsevier.com/retrieve/pii/S0142061520306372_x000d__x000a_https://api.elsevier.com/content/article/PII:S0142061520306372?httpAccept=text/xml&lt;/_url&gt;&lt;_volume&gt;123&lt;/_volume&gt;&lt;/Details&gt;&lt;Extra&gt;&lt;DBUID&gt;{560D5FFD-5A46-4EB8-859B-FD657304A42E}&lt;/DBUID&gt;&lt;/Extra&gt;&lt;/Item&gt;&lt;/References&gt;&lt;/Group&gt;&lt;/Citation&gt;_x000a_"/>
    <w:docVar w:name="NE.Ref{0C1ECC45-9DE3-43C5-9998-B1CD947076CE}" w:val=" ADDIN NE.Ref.{0C1ECC45-9DE3-43C5-9998-B1CD947076CE}&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Citation&gt;_x000a_"/>
    <w:docVar w:name="NE.Ref{0D0B38FE-8D39-44A5-949E-BF8A56295EC6}" w:val=" ADDIN NE.Ref.{0D0B38FE-8D39-44A5-949E-BF8A56295EC6}&lt;Citation&gt;&lt;Group&gt;&lt;References&gt;&lt;Item&gt;&lt;ID&gt;563&lt;/ID&gt;&lt;UID&gt;{45A3424B-0432-4958-AE78-AE4583EC7294}&lt;/UID&gt;&lt;Title&gt;基于风电出力模糊集的电-气耦合系统分布鲁棒优化调度&lt;/Title&gt;&lt;Template&gt;Journal Article&lt;/Template&gt;&lt;Star&gt;0&lt;/Star&gt;&lt;Tag&gt;0&lt;/Tag&gt;&lt;Author&gt;张亚超; 黄张浩; 郑峰; 乐健; 舒胜文; 夏沛&lt;/Author&gt;&lt;Year&gt;2020&lt;/Year&gt;&lt;Details&gt;&lt;_author_adr&gt;福州大学电气工程与自动化学院;武汉大学电气与自动化学院;&lt;/_author_adr&gt;&lt;_collection_scope&gt;CSCD;PKU;EI&lt;/_collection_scope&gt;&lt;_created&gt;63685118&lt;/_created&gt;&lt;_db_provider&gt;CNKI&lt;/_db_provider&gt;&lt;_isbn&gt;1000-1026&lt;/_isbn&gt;&lt;_issue&gt;04&lt;/_issue&gt;&lt;_journal&gt;电力系统自动化&lt;/_journal&gt;&lt;_keywords&gt;耦合系统;分布鲁棒优化;风电;协同优化&lt;/_keywords&gt;&lt;_modified&gt;63685118&lt;/_modified&gt;&lt;_pages&gt;44-53&lt;/_pages&gt;&lt;_volume&gt;44&lt;/_volume&gt;&lt;_translated_author&gt;Zhang, Yachao;Huang, Zhanghao;Zheng, Feng;Le, Jian;Shu, Shengwen;Xia, Pei&lt;/_translated_author&gt;&lt;/Details&gt;&lt;Extra&gt;&lt;DBUID&gt;{F96A950B-833F-4880-A151-76DA2D6A2879}&lt;/DBUID&gt;&lt;/Extra&gt;&lt;/Item&gt;&lt;/References&gt;&lt;/Group&gt;&lt;Group&gt;&lt;References&gt;&lt;Item&gt;&lt;ID&gt;560&lt;/ID&gt;&lt;UID&gt;{AB95DEAA-E035-424A-A1B6-104F199B4B1F}&lt;/UID&gt;&lt;Title&gt;考虑风电高阶不确定性的电气综合系统分布鲁棒协同优化调度&lt;/Title&gt;&lt;Template&gt;Journal Article&lt;/Template&gt;&lt;Star&gt;0&lt;/Star&gt;&lt;Tag&gt;0&lt;/Tag&gt;&lt;Author&gt;张亚超; 郑峰; 乐健; 舒胜文; 朱蜀; 黄张浩&lt;/Author&gt;&lt;Year&gt;2020&lt;/Year&gt;&lt;Details&gt;&lt;_author_adr&gt;福建省电器智能化工程技术研究中心(福州大学电气工程与自动化学院);武汉大学电气与自动化学院;&lt;/_author_adr&gt;&lt;_collection_scope&gt;CSCD;PKU;EI&lt;/_collection_scope&gt;&lt;_created&gt;63685118&lt;/_created&gt;&lt;_db_provider&gt;CNKI&lt;/_db_provider&gt;&lt;_isbn&gt;0258-8013&lt;/_isbn&gt;&lt;_issue&gt;24&lt;/_issue&gt;&lt;_journal&gt;中国电机工程学报&lt;/_journal&gt;&lt;_keywords&gt;电气综合能源系统;分布鲁棒优化;概率密度函数置信带;高阶不确定性;双重因子仿射可调策略&lt;/_keywords&gt;&lt;_modified&gt;63685118&lt;/_modified&gt;&lt;_pages&gt;8012-8026&lt;/_pages&gt;&lt;_volume&gt;40&lt;/_volume&gt;&lt;_translated_author&gt;Zhang, Yachao;Zheng, Feng;Le, Jian;Shu, Shengwen;Zhu, Shu;Huang, Zhanghao&lt;/_translated_author&gt;&lt;/Details&gt;&lt;Extra&gt;&lt;DBUID&gt;{F96A950B-833F-4880-A151-76DA2D6A2879}&lt;/DBUID&gt;&lt;/Extra&gt;&lt;/Item&gt;&lt;/References&gt;&lt;/Group&gt;&lt;/Citation&gt;_x000a_"/>
    <w:docVar w:name="NE.Ref{0D415F50-9F76-45BA-A3E1-A6FF6885E247}" w:val=" ADDIN NE.Ref.{0D415F50-9F76-45BA-A3E1-A6FF6885E247}&lt;Citation&gt;&lt;Group&gt;&lt;References&gt;&lt;Item&gt;&lt;ID&gt;885&lt;/ID&gt;&lt;UID&gt;{5A34CEF0-AD0A-4CD3-AAC5-0F452AFED6F5}&lt;/UID&gt;&lt;Title&gt;Coordinated control by ADRC strategy for a wind farm based on SCIG considering low voltage ride-through capability&lt;/Title&gt;&lt;Template&gt;Journal Article&lt;/Template&gt;&lt;Star&gt;0&lt;/Star&gt;&lt;Tag&gt;0&lt;/Tag&gt;&lt;Author&gt;Laghridat, H; Essadki, A; Nasser, T&lt;/Author&gt;&lt;Year&gt;2022&lt;/Year&gt;&lt;Details&gt;&lt;_accessed&gt;64649804&lt;/_accessed&gt;&lt;_alternate_title&gt;PROTECTION AND CONTROL OF MODERN POWER SYSTEMS&lt;/_alternate_title&gt;&lt;_author_adr&gt;Mohammed V Univ, Higher Natl Sch Arts &amp;amp; Crafts ENSAM, Rabat, Morocco; Mohammed V Univ, Natl High Sch Comp Sci &amp;amp; Syst Anal ENSIAS, Rabat, Morocco&lt;/_author_adr&gt;&lt;_cited_count&gt;2&lt;/_cited_count&gt;&lt;_created&gt;64649802&lt;/_created&gt;&lt;_date&gt;2022-01-01&lt;/_date&gt;&lt;_date_display&gt;2022&lt;/_date_display&gt;&lt;_db_updated&gt;Web of Science-Core&lt;/_db_updated&gt;&lt;_doi&gt;10.1186/s41601-022-00227-0&lt;/_doi&gt;&lt;_impact_factor&gt;  10.500&lt;/_impact_factor&gt;&lt;_issue&gt;1&lt;/_issue&gt;&lt;_journal&gt;PROTECTION AND CONTROL OF MODERN POWER SYSTEMS&lt;/_journal&gt;&lt;_keywords&gt;Wind farm; Wind generator; SCIG; ADRC; Supervision; Control&lt;/_keywords&gt;&lt;_modified&gt;64649804&lt;/_modified&gt;&lt;_volume&gt;7&lt;/_volume&gt;&lt;/Details&gt;&lt;Extra&gt;&lt;DBUID&gt;{6891F4B0-DCBA-459A-9A22-3059983243D4}&lt;/DBUID&gt;&lt;/Extra&gt;&lt;/Item&gt;&lt;/References&gt;&lt;/Group&gt;&lt;/Citation&gt;_x000a_"/>
    <w:docVar w:name="NE.Ref{0D61882B-701A-44EA-99E3-028E8773489C}" w:val=" ADDIN NE.Ref.{0D61882B-701A-44EA-99E3-028E8773489C}&lt;Citation&gt;&lt;Group&gt;&lt;References&gt;&lt;Item&gt;&lt;ID&gt;588&lt;/ID&gt;&lt;UID&gt;{518E78E1-6B30-4DCB-8DDE-D341CF7F52EC}&lt;/UID&gt;&lt;Title&gt;基于直流电流预测控制的换相失败预防方法&lt;/Title&gt;&lt;Template&gt;Journal Article&lt;/Template&gt;&lt;Star&gt;0&lt;/Star&gt;&lt;Tag&gt;0&lt;/Tag&gt;&lt;Author&gt;袁阳; 卫志农; 王华伟; 雷霄; 孙国强&lt;/Author&gt;&lt;Year&gt;2014&lt;/Year&gt;&lt;Details&gt;&lt;_accessed&gt;63459151&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电网技术&lt;/_journal&gt;&lt;_modified&gt;63459150&lt;/_modified&gt;&lt;_pages&gt;565-570&lt;/_pages&gt;&lt;_tertiary_title&gt;Power System Technology&lt;/_tertiary_title&gt;&lt;_translated_author&gt;Yuan, Yang; Wei, Zhinong; Wang, Huawei; Lei, Xiao; Sun, Guoqiang&lt;/_translated_author&gt;&lt;_translated_title&gt;A DC Current Predictive Control Based Method to Decrease Probability of Commutation Failure&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Citation&gt;_x000a_"/>
    <w:docVar w:name="NE.Ref{0DEA0732-D183-4980-A5B6-3B9BB4DDAC72}" w:val=" ADDIN NE.Ref.{0DEA0732-D183-4980-A5B6-3B9BB4DDAC72}&lt;Citation&gt;&lt;Group&gt;&lt;References&gt;&lt;Item&gt;&lt;ID&gt;648&lt;/ID&gt;&lt;UID&gt;{4055988D-86BC-4DC7-AFF7-13C66643AFB5}&lt;/UID&gt;&lt;Title&gt;Integration of day-ahead market and redispatch to increase cross-border exchanges in the European electricity market&lt;/Title&gt;&lt;Template&gt;Journal Article&lt;/Template&gt;&lt;Star&gt;0&lt;/Star&gt;&lt;Tag&gt;0&lt;/Tag&gt;&lt;Author&gt;B, Ksenia Poplavskaya A; A, Gerhard Totschnig; A, Fabian Leimgruber; C, Gerard Doorman; D, Gilles Etienne; B, Laurens De Vries&lt;/Author&gt;&lt;Year&gt;0&lt;/Year&gt;&lt;Details&gt;&lt;_journal&gt;Applied Energy&lt;/_journal&gt;&lt;_volume&gt;278&lt;/_volume&gt;&lt;_created&gt;63705610&lt;/_created&gt;&lt;_modified&gt;63705610&lt;/_modified&gt;&lt;_collection_scope&gt;SCI;SCIE;EI&lt;/_collection_scope&gt;&lt;/Details&gt;&lt;Extra&gt;&lt;DBUID&gt;{F96A950B-833F-4880-A151-76DA2D6A2879}&lt;/DBUID&gt;&lt;/Extra&gt;&lt;/Item&gt;&lt;/References&gt;&lt;/Group&gt;&lt;/Citation&gt;_x000a_"/>
    <w:docVar w:name="NE.Ref{0E731B8D-7251-4760-8347-39072AA100E6}" w:val=" ADDIN NE.Ref.{0E731B8D-7251-4760-8347-39072AA100E6}&lt;Citation&gt;&lt;Group&gt;&lt;References&gt;&lt;Item&gt;&lt;ID&gt;535&lt;/ID&gt;&lt;UID&gt;{688EF7A6-FD21-4B75-A767-B6DB907132B2}&lt;/UID&gt;&lt;Title&gt;1100 kV特高压直流输电工程直流线路故障重启动过程非故障极换相失败研究 &lt;/Title&gt;&lt;Template&gt;Journal Article&lt;/Template&gt;&lt;Star&gt;0&lt;/Star&gt;&lt;Tag&gt;0&lt;/Tag&gt;&lt;Author&gt;杨鹏; 吴娅妮; 马士聪; 杨景; 岑旭; 王军波&lt;/Author&gt;&lt;Year&gt;2016&lt;/Year&gt;&lt;Details&gt;&lt;_accessed&gt;63445926&lt;/_accessed&gt;&lt;_accession_num&gt;CSCD:5685871_x000d__x000a_ER&lt;/_accession_num&gt;&lt;_cited_count&gt;1&lt;/_cited_count&gt;&lt;_created&gt;63444588&lt;/_created&gt;&lt;_date_display&gt;2016, 2016&lt;/_date_display&gt;&lt;_db_provider&gt;ISI&lt;/_db_provider&gt;&lt;_isbn&gt;1006-6047&lt;/_isbn&gt;&lt;_issue&gt;1006-6047(2016)36:4&amp;lt;14:1KTGYZ&amp;gt;2.0.TX;2-24&lt;/_issue&gt;&lt;_journal&gt;电力自动化设备 &lt;/_journal&gt;&lt;_modified&gt;63445926&lt;/_modified&gt;&lt;_pages&gt;14-18&lt;/_pages&gt;&lt;_tertiary_title&gt;Electric Power Automation Equipment&lt;/_tertiary_title&gt;&lt;_translated_author&gt;Yang, Peng; Wu, Yani; Ma, Shicong; Yang, Jing; Cen, Xu; Wang, Junbo&lt;/_translated_author&gt;&lt;_translated_title&gt;Analysis of commutation failure of healthy pole during restart of faulty line for 1100 kV UHVDC project&lt;/_translated_title&gt;&lt;_url&gt;CSCD:5685871&lt;/_url&gt;&lt;_volume&gt;36&lt;/_volume&gt;&lt;/Details&gt;&lt;Extra&gt;&lt;DBUID&gt;{6891F4B0-DCBA-459A-9A22-3059983243D4}&lt;/DBUID&gt;&lt;/Extra&gt;&lt;/Item&gt;&lt;/References&gt;&lt;/Group&gt;&lt;/Citation&gt;_x000a_"/>
    <w:docVar w:name="NE.Ref{0FB77FDA-2554-4F77-9445-3EB8253A5D1C}" w:val=" ADDIN NE.Ref.{0FB77FDA-2554-4F77-9445-3EB8253A5D1C}&lt;Citation&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Details&gt;&lt;Extra&gt;&lt;DBUID&gt;{6891F4B0-DCBA-459A-9A22-3059983243D4}&lt;/DBUID&gt;&lt;/Extra&gt;&lt;/Item&gt;&lt;/References&gt;&lt;/Group&gt;&lt;/Citation&gt;_x000a_"/>
    <w:docVar w:name="NE.Ref{0FBC1835-941F-4AD0-9E2B-0FD87CB731C7}" w:val=" ADDIN NE.Ref.{0FBC1835-941F-4AD0-9E2B-0FD87CB731C7}&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0FC90DBD-AD29-44E8-A7C3-A002523A2CD5}" w:val=" ADDIN NE.Ref.{0FC90DBD-AD29-44E8-A7C3-A002523A2CD5}&lt;Citation&gt;&lt;Group&gt;&lt;References&gt;&lt;Item&gt;&lt;ID&gt;872&lt;/ID&gt;&lt;UID&gt;{8493059F-66AC-4E08-BEFF-9648C7F4DE82}&lt;/UID&gt;&lt;Title&gt;大型交直流混联电网安全运行面临的问题与挑战&lt;/Title&gt;&lt;Template&gt;Journal Article&lt;/Template&gt;&lt;Star&gt;0&lt;/Star&gt;&lt;Tag&gt;0&lt;/Tag&gt;&lt;Author&gt;董新洲; 汤涌; 卜广全; 沈沉; 宋国兵; 王增平; 甘德强; 侯俊贤; 王宾; 赵兵; 施慎行&lt;/Author&gt;&lt;Year&gt;2019&lt;/Year&gt;&lt;Details&gt;&lt;_accessed&gt;64647189&lt;/_accessed&gt;&lt;_author_aff&gt;电力系统及发电设备控制和仿真国家重点实验室(清华大学电机系);电网安全与节能国家重点实验室(中国电力科学研究院有限公司);西安交通大学电气工程学院;华北电力大学电气工程学院;浙江大学电气工程学院;&lt;/_author_aff&gt;&lt;_cited_count&gt;147&lt;/_cited_count&gt;&lt;_collection_scope&gt;CSCD;PKU;EI&lt;/_collection_scope&gt;&lt;_created&gt;64646748&lt;/_created&gt;&lt;_date&gt;2019-06-05&lt;/_date&gt;&lt;_db_updated&gt;CNKI - Reference&lt;/_db_updated&gt;&lt;_issue&gt;11&lt;/_issue&gt;&lt;_journal&gt;中国电机工程学报&lt;/_journal&gt;&lt;_keywords&gt;交直流混联电网;连锁故障;脆弱性;控制;保护&lt;/_keywords&gt;&lt;_modified&gt;64646995&lt;/_modified&gt;&lt;_pages&gt;3107-3119&lt;/_pages&gt;&lt;_tertiary_title&gt;Proceedings of the CSEE&lt;/_tertiary_title&gt;&lt;_translated_author&gt;DONG, Xinzhou; TANG, Yong; BU, Guangquan; SHEN, Chen; SONG, Guobing; WANG, Zengping; GAN, Deqiang; HOU, Junxian; WANG, Bin&lt;/_translated_author&gt;&lt;_translated_title&gt;Confronting Problem and Challenge of Large Scale AC-DC Hybrid Power Grid Operation&lt;/_translated_title&gt;&lt;_url&gt;https://kns.cnki.net/kcms/detail/detail.aspx?FileName=ZGDC201911001&amp;amp;DbName=DKFX2019 _x000d__x000a_https://bar.cnki.net/bar/download/order?id=jBGETXBNdPImvx70aLAuJPYxPoFw%2bp%2bi0fIiSrcN6lXQ4Y2TeZ8VM%2fyOd0Mtu%2fXcdIHL2Cy%2blkEQPNV7Ymeogaly%2bcoaUbxKfbohfVkk2oLl8E%2bCUVp5GtDTYhVF2dNUoJeGx62Ssygg68TNXJ%2b5JrigejDAar8Xqw%2f6WR22OFXUdUGh4At8VBYSvh%2fCUD5a%2b6OiRMvnGtVjym54TKi0AGjrjiUA1i7Br0HLYwF%2fecz5LXYX1qwFXwOc1HUZT%2bTB _x000d__x000a_&lt;/_url&gt;&lt;_volume&gt;39&lt;/_volume&gt;&lt;/Details&gt;&lt;Extra&gt;&lt;DBUID&gt;{6891F4B0-DCBA-459A-9A22-3059983243D4}&lt;/DBUID&gt;&lt;/Extra&gt;&lt;/Item&gt;&lt;/References&gt;&lt;/Group&gt;&lt;/Citation&gt;_x000a_"/>
    <w:docVar w:name="NE.Ref{101C307E-C2E0-4DFD-8E7C-171CD7736AEB}" w:val=" ADDIN NE.Ref.{101C307E-C2E0-4DFD-8E7C-171CD7736AEB}&lt;Citation&gt;&lt;Group&gt;&lt;References&gt;&lt;Item&gt;&lt;ID&gt;408&lt;/ID&gt;&lt;UID&gt;{F7CC8877-F704-421F-BF11-9C1BC7D1AA90}&lt;/UID&gt;&lt;Title&gt;基于改进PSO算法的动态环境经济调度研究&lt;/Title&gt;&lt;Template&gt;Journal Article&lt;/Template&gt;&lt;Star&gt;0&lt;/Star&gt;&lt;Tag&gt;0&lt;/Tag&gt;&lt;Author&gt;稳国栋&lt;/Author&gt;&lt;Year&gt;2017&lt;/Year&gt;&lt;Details&gt;&lt;_created&gt;63641961&lt;/_created&gt;&lt;_issue&gt;02&lt;/_issue&gt;&lt;_journal&gt;黑龙江电力&lt;/_journal&gt;&lt;_modified&gt;63641961&lt;/_modified&gt;&lt;_pages&gt;120-124&lt;/_pages&gt;&lt;_translated_author&gt;Wen, Guodong&lt;/_translated_author&gt;&lt;/Details&gt;&lt;Extra&gt;&lt;DBUID&gt;{F96A950B-833F-4880-A151-76DA2D6A2879}&lt;/DBUID&gt;&lt;/Extra&gt;&lt;/Item&gt;&lt;/References&gt;&lt;/Group&gt;&lt;/Citation&gt;_x000a_"/>
    <w:docVar w:name="NE.Ref{10462AF0-5898-4A62-999C-4F28D8A3490A}" w:val=" ADDIN NE.Ref.{10462AF0-5898-4A62-999C-4F28D8A3490A}&lt;Citation&gt;&lt;Group&gt;&lt;References&gt;&lt;Item&gt;&lt;ID&gt;869&lt;/ID&gt;&lt;UID&gt;{6F919514-ADFF-44C9-9E9D-F640A6ADDA3A}&lt;/UID&gt;&lt;Title&gt;直流双极闭锁故障下送端系统暂态过电压计算方法&lt;/Title&gt;&lt;Template&gt;Journal Article&lt;/Template&gt;&lt;Star&gt;0&lt;/Star&gt;&lt;Tag&gt;0&lt;/Tag&gt;&lt;Author&gt;李欣悦; 李凤婷; 尹纯亚; 白海滨&lt;/Author&gt;&lt;Year&gt;2021&lt;/Year&gt;&lt;Details&gt;&lt;_accessed&gt;64647184&lt;/_accessed&gt;&lt;_author_aff&gt;新疆大学电气工程学院;国网新疆电力有限公司昌吉供电公司;&lt;/_author_aff&gt;&lt;_cited_count&gt;65&lt;/_cited_count&gt;&lt;_collection_scope&gt;CSCD;PKU&lt;/_collection_scope&gt;&lt;_created&gt;64646738&lt;/_created&gt;&lt;_date&gt;2021-01-01&lt;/_date&gt;&lt;_db_updated&gt;CNKI - Reference&lt;/_db_updated&gt;&lt;_issue&gt;01&lt;/_issue&gt;&lt;_journal&gt;电力系统保护与控制&lt;/_journal&gt;&lt;_keywords&gt;特高压直流;直流闭锁;送端交流系统;暂态过电压&lt;/_keywords&gt;&lt;_modified&gt;64647185&lt;/_modified&gt;&lt;_pages&gt;1-8&lt;/_pages&gt;&lt;_tertiary_title&gt;Power System Protection and Control&lt;/_tertiary_title&gt;&lt;_translated_author&gt;LI, Xinyue; LI, Fengting; YIN, Chunya; BAI, Haibin&lt;/_translated_author&gt;&lt;_translated_title&gt;Transient overvoltage calculation method of HVDC sending-end system under DC bipolar blocking&lt;/_translated_title&gt;&lt;_url&gt;https://kns.cnki.net/kcms/detail/detail.aspx?FileName=JDQW202101001&amp;amp;DbName=CJFQ2021 _x000d__x000a_https://bar.cnki.net/bar/download/order?id=jBGETXBNdPImvx70aLAuJPYxPoFw%2bp%2bi0fIiSrcN6lXs6FVLNFGJeIOE5eRUlm2bdIHL2Cy%2blkEQPNV7YmeogUGxVkq8YHJNz4jV3WhknTrl8E%2bCUVp5GtDTYhVF2dNUoJeGx62Ssygg68TNXJ%2b5JrigejDAar8Xqw%2f6WR22OFXUdUGh4At8VBYSvh%2fCUD5aWOzmXBt1swS4iqmxYBP2b%2b1vYx0aqWvcABg4xskmmzn5LXYX1qwFXwOc1HUZT%2bTB _x000d__x000a_&lt;/_url&gt;&lt;_volume&gt;49&lt;/_volume&gt;&lt;/Details&gt;&lt;Extra&gt;&lt;DBUID&gt;{6891F4B0-DCBA-459A-9A22-3059983243D4}&lt;/DBUID&gt;&lt;/Extra&gt;&lt;/Item&gt;&lt;/References&gt;&lt;/Group&gt;&lt;/Citation&gt;_x000a_"/>
    <w:docVar w:name="NE.Ref{10764401-53BB-4538-BA8D-1E4F723C18BA}" w:val=" ADDIN NE.Ref.{10764401-53BB-4538-BA8D-1E4F723C18BA}&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8.162&lt;/_impact_factor&gt;&lt;_isbn&gt;0278-0046&lt;/_isbn&gt;&lt;_issue&gt;1&lt;/_issue&gt;&lt;_journal&gt;IEEE TRANSACTIONS ON INDUSTRIAL ELECTRONICS&lt;/_journal&gt;&lt;_modified&gt;644986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10D89223-C23A-4235-9F26-1A47A3EF3E1F}" w:val=" ADDIN NE.Ref.{10D89223-C23A-4235-9F26-1A47A3EF3E1F}&lt;Citation&gt;&lt;Group&gt;&lt;References&gt;&lt;Item&gt;&lt;ID&gt;112&lt;/ID&gt;&lt;UID&gt;{700839D0-A398-47C8-899D-467ADDEAB81F}&lt;/UID&gt;&lt;Title&gt;基于集合经验模态分解的风电混合储能系统能量管理协调控制策略&lt;/Title&gt;&lt;Template&gt;Journal Article&lt;/Template&gt;&lt;Star&gt;0&lt;/Star&gt;&lt;Tag&gt;0&lt;/Tag&gt;&lt;Author&gt;付菊霞; 陈洁; 滕扬新; 邓浩; 孙泽伦&lt;/Author&gt;&lt;Year&gt;2019&lt;/Year&gt;&lt;Details&gt;&lt;_accessed&gt;64303983&lt;/_accessed&gt;&lt;_author_aff&gt;新疆大学电气工程学院;新疆电力有限公司电力科学研究院;&lt;/_author_aff&gt;&lt;_cited_count&gt;34&lt;/_cited_count&gt;&lt;_collection_scope&gt;CSCD;PKU;EI&lt;/_collection_scope&gt;&lt;_created&gt;64303983&lt;/_created&gt;&lt;_date&gt;62697600&lt;/_date&gt;&lt;_db_updated&gt;CNKI - Reference&lt;/_db_updated&gt;&lt;_issue&gt;10&lt;/_issue&gt;&lt;_journal&gt;电工技术学报&lt;/_journal&gt;&lt;_keywords&gt;风电;储能;集合经验模态分解;多时间尺度;能量管理&lt;/_keywords&gt;&lt;_language&gt;Chinese&lt;/_language&gt;&lt;_modified&gt;64303983&lt;/_modified&gt;&lt;_pages&gt;2038-2046&lt;/_pages&gt;&lt;_url&gt;https://kns.cnki.net/kcms/detail/detail.aspx?FileName=DGJS201910006&amp;amp;DbName=CJFQ2019&lt;/_url&gt;&lt;_volume&gt;34&lt;/_volume&gt;&lt;_translated_author&gt;Fu, Juxia;Chen, Jie;Teng, Yangxin;Deng, Hao;Sun, Zelun&lt;/_translated_author&gt;&lt;/Details&gt;&lt;Extra&gt;&lt;DBUID&gt;{560D5FFD-5A46-4EB8-859B-FD657304A42E}&lt;/DBUID&gt;&lt;/Extra&gt;&lt;/Item&gt;&lt;/References&gt;&lt;/Group&gt;&lt;/Citation&gt;_x000a_"/>
    <w:docVar w:name="NE.Ref{118C9BAB-1070-4059-96C1-FA5946E6F697}" w:val=" ADDIN NE.Ref.{118C9BAB-1070-4059-96C1-FA5946E6F697}&lt;Citation&gt;&lt;Group&gt;&lt;References&gt;&lt;Item&gt;&lt;ID&gt;674&lt;/ID&gt;&lt;UID&gt;{89C9CD25-7A1B-4CDC-B1C2-52361D34149B}&lt;/UID&gt;&lt;Title&gt;A novel method to mitigate commutation failures in HVdc systems&lt;/Title&gt;&lt;Template&gt;Conference Proceedings&lt;/Template&gt;&lt;Star&gt;0&lt;/Star&gt;&lt;Tag&gt;0&lt;/Tag&gt;&lt;Author&gt;Zhang, L; Dofnas, L&lt;/Author&gt;&lt;Year&gt;2002&lt;/Year&gt;&lt;Details&gt;&lt;_accessed&gt;63727215&lt;/_accessed&gt;&lt;_created&gt;63459198&lt;/_created&gt;&lt;_date&gt;54169920&lt;/_date&gt;&lt;_modified&gt;63519030&lt;/_modified&gt;&lt;_pages&gt;51-56&lt;/_pages&gt;&lt;_secondary_title&gt; Proc. Int. Conf. Power Syst. Technol&lt;/_secondary_title&gt;&lt;_url&gt;https://ieeexplore.ieee.org/stampPDF/getPDF.jsp?tp=&amp;amp;arnumber=1053503&amp;amp;ref=aHR0cHM6Ly9pZWVleHBsb3JlLmllZWUub3JnL3Jlc3Qvc2VhcmNo _x000d__x000a_&lt;/_url&gt;&lt;_volume&gt;1&lt;/_volume&gt;&lt;/Details&gt;&lt;Extra&gt;&lt;DBUID&gt;{6891F4B0-DCBA-459A-9A22-3059983243D4}&lt;/DBUID&gt;&lt;/Extra&gt;&lt;/Item&gt;&lt;/References&gt;&lt;/Group&gt;&lt;Group&gt;&lt;References&gt;&lt;Item&gt;&lt;ID&gt;657&lt;/ID&gt;&lt;UID&gt;{7C781F13-0558-4108-9D13-130B40CAEC23}&lt;/UID&gt;&lt;Title&gt;基于正余弦分量检测的高压直流换相失败预防方法&lt;/Title&gt;&lt;Template&gt;Journal Article&lt;/Template&gt;&lt;Star&gt;0&lt;/Star&gt;&lt;Tag&gt;0&lt;/Tag&gt;&lt;Author&gt;陈树勇; 李新年; 余军; 李涛; 吕鹏飞; 印永华&lt;/Author&gt;&lt;Year&gt;2005&lt;/Year&gt;&lt;Details&gt;&lt;_accessed&gt;63444722&lt;/_accessed&gt;&lt;_accession_num&gt;CSCD:2109837_x000d__x000a_ER&lt;/_accession_num&gt;&lt;_cited_count&gt;4&lt;/_cited_count&gt;&lt;_collection_scope&gt;CSCD;PKU;EI&lt;/_collection_scope&gt;&lt;_created&gt;63444588&lt;/_created&gt;&lt;_date_display&gt;2005, 2005&lt;/_date_display&gt;&lt;_db_provider&gt;ISI&lt;/_db_provider&gt;&lt;_isbn&gt;0258-8013&lt;/_isbn&gt;&lt;_issue&gt;0258-8013(2005)25:14&amp;lt;1:JYZTXF&amp;gt;2.0.TX;2-D14&lt;/_issue&gt;&lt;_journal&gt;中国电机工程学报&lt;/_journal&gt;&lt;_modified&gt;63444723&lt;/_modified&gt;&lt;_pages&gt;1-6&lt;/_pages&gt;&lt;_tertiary_title&gt;Proceedings of the Chinese Society of Electrical Engineering&lt;/_tertiary_title&gt;&lt;_translated_author&gt;Chen, Shuyong; Li, Xinnian; Yu, Jun; Li, Tao; Lv, Pengfei; Yin, Yonghua&lt;/_translated_author&gt;&lt;_translated_title&gt;A METHOD BASED ON THE SIN-COS COMPONENTS DETECTION MITIGATES COMMUTATION FAILURE IN HVDC &lt;/_translated_title&gt;&lt;_url&gt;CSCD:2109837 _x000d__x000a_https://kns.cnki.net/kns/download.aspx?filename=MFjMqtWb0EzdjBVaCBVRCBTOth1cURUWrVlYiRDN08Cdn9CRz00MLdTQNNFZspUdQpUU5UHbxJ0bSdUZyBlehNHeXJ1cGVEaWFXO2g2UYdEMoFldIp0bpJzZjJzb1JHMSJ1N0Fkd19mZ4ETT5YEUwklWNJXNGl3R&amp;amp;tablename=CJFD2005&amp;amp;dflag=pdfdown _x000d__x000a_&lt;/_url&gt;&lt;_volume&gt;25&lt;/_volume&gt;&lt;/Details&gt;&lt;Extra&gt;&lt;DBUID&gt;{6891F4B0-DCBA-459A-9A22-3059983243D4}&lt;/DBUID&gt;&lt;/Extra&gt;&lt;/Item&gt;&lt;/References&gt;&lt;/Group&gt;&lt;/Citation&gt;_x000a_"/>
    <w:docVar w:name="NE.Ref{119675F6-7BA5-4CBD-9808-3A995BA0B600}" w:val=" ADDIN NE.Ref.{119675F6-7BA5-4CBD-9808-3A995BA0B600}&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12649A06-561F-450B-A063-980E1C5CA7F8}" w:val=" ADDIN NE.Ref.{12649A06-561F-450B-A063-980E1C5CA7F8}&lt;Citation&gt;&lt;Group&gt;&lt;References&gt;&lt;Item&gt;&lt;ID&gt;403&lt;/ID&gt;&lt;UID&gt;{B50369AC-19F7-4071-9C8C-3B7831716590}&lt;/UID&gt;&lt;Title&gt;基于改进NSGA-Ⅱ的电力系统动态环境经济调度&lt;/Title&gt;&lt;Template&gt;Journal Article&lt;/Template&gt;&lt;Star&gt;0&lt;/Star&gt;&lt;Tag&gt;0&lt;/Tag&gt;&lt;Author&gt;朱志键; 王杰&lt;/Author&gt;&lt;Year&gt;2017&lt;/Year&gt;&lt;Details&gt;&lt;_author_adr&gt;上海交通大学电气工程系;&lt;/_author_adr&gt;&lt;_collection_scope&gt;CSCD;PKU;EI&lt;/_collection_scope&gt;&lt;_created&gt;63641644&lt;/_created&gt;&lt;_db_provider&gt;CNKI&lt;/_db_provider&gt;&lt;_isbn&gt;1006-6047&lt;/_isbn&gt;&lt;_issue&gt;02&lt;/_issue&gt;&lt;_journal&gt;电力自动化设备&lt;/_journal&gt;&lt;_keywords&gt;动态环境经济调度;阀点效应;改进NSGA-Ⅱ;可控精英主义;改进启发式操作;前向搜索操作&lt;/_keywords&gt;&lt;_modified&gt;63641644&lt;/_modified&gt;&lt;_pages&gt;176-183&lt;/_pages&gt;&lt;_volume&gt;37&lt;/_volume&gt;&lt;_translated_author&gt;Zhu, Zhijian;Wang, Jie&lt;/_translated_author&gt;&lt;/Details&gt;&lt;Extra&gt;&lt;DBUID&gt;{F96A950B-833F-4880-A151-76DA2D6A2879}&lt;/DBUID&gt;&lt;/Extra&gt;&lt;/Item&gt;&lt;/References&gt;&lt;/Group&gt;&lt;/Citation&gt;_x000a_"/>
    <w:docVar w:name="NE.Ref{12A92467-7397-4BE9-9097-A68414D3A772}" w:val=" ADDIN NE.Ref.{12A92467-7397-4BE9-9097-A68414D3A772}&lt;Citation&gt;&lt;Group&gt;&lt;References&gt;&lt;Item&gt;&lt;ID&gt;648&lt;/ID&gt;&lt;UID&gt;{9864421F-716F-4C3A-95DB-D294DF41BC5F}&lt;/UID&gt;&lt;Title&gt;Reactive Power Control Strategy for Inhibiting Transient Overvoltage Caused by Commutation Failure&lt;/Title&gt;&lt;Template&gt;Journal Article&lt;/Template&gt;&lt;Star&gt;0&lt;/Star&gt;&lt;Tag&gt;0&lt;/Tag&gt;&lt;Author&gt;Yin, C Y; Li, F T&lt;/Author&gt;&lt;Year&gt;2021&lt;/Year&gt;&lt;Details&gt;&lt;_accessed&gt;64494517&lt;/_accessed&gt;&lt;_alternate_title&gt;IEEE TRANSACTIONS ON POWER SYSTEMS&lt;/_alternate_title&gt;&lt;_author_adr&gt;Xinjiang Univ, Sch Elect Engn, Urumqi 830047, Peoples R China&lt;/_author_adr&gt;&lt;_cited_count&gt;4&lt;/_cited_count&gt;&lt;_collection_scope&gt;SCI;SCIE;EI&lt;/_collection_scope&gt;&lt;_created&gt;64493973&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494517&lt;/_modified&gt;&lt;_pages&gt;4764-4777&lt;/_pages&gt;&lt;_url&gt;https://ieeexplore.ieee.org/stampPDF/getPDF.jsp?tp=&amp;amp;arnumber=9369111&amp;amp;ref=aHR0cHM6Ly9pZWVleHBsb3JlLmllZWUub3JnL3Jlc3Qvc2VhcmNo _x000d__x000a_&lt;/_url&gt;&lt;_volume&gt;36&lt;/_volume&gt;&lt;/Details&gt;&lt;Extra&gt;&lt;DBUID&gt;{F96A950B-833F-4880-A151-76DA2D6A2879}&lt;/DBUID&gt;&lt;/Extra&gt;&lt;/Item&gt;&lt;/References&gt;&lt;/Group&gt;&lt;/Citation&gt;_x000a_"/>
    <w:docVar w:name="NE.Ref{12C3841F-F5EC-4EAB-9E60-4C4142FAB4F1}" w:val=" ADDIN NE.Ref.{12C3841F-F5EC-4EAB-9E60-4C4142FAB4F1}&lt;Citation&gt;&lt;Group&gt;&lt;References&gt;&lt;Item&gt;&lt;ID&gt;408&lt;/ID&gt;&lt;UID&gt;{F7CC8877-F704-421F-BF11-9C1BC7D1AA90}&lt;/UID&gt;&lt;Title&gt;基于改进PSO算法的动态环境经济调度研究&lt;/Title&gt;&lt;Template&gt;Journal Article&lt;/Template&gt;&lt;Star&gt;0&lt;/Star&gt;&lt;Tag&gt;0&lt;/Tag&gt;&lt;Author&gt;稳国栋&lt;/Author&gt;&lt;Year&gt;2017&lt;/Year&gt;&lt;Details&gt;&lt;_created&gt;63641961&lt;/_created&gt;&lt;_issue&gt;02&lt;/_issue&gt;&lt;_journal&gt;黑龙江电力&lt;/_journal&gt;&lt;_modified&gt;63641961&lt;/_modified&gt;&lt;_pages&gt;120-124&lt;/_pages&gt;&lt;_translated_author&gt;Wen, Guodong&lt;/_translated_author&gt;&lt;/Details&gt;&lt;Extra&gt;&lt;DBUID&gt;{F96A950B-833F-4880-A151-76DA2D6A2879}&lt;/DBUID&gt;&lt;/Extra&gt;&lt;/Item&gt;&lt;/References&gt;&lt;/Group&gt;&lt;/Citation&gt;_x000a_"/>
    <w:docVar w:name="NE.Ref{12DCF322-02D7-460C-8C63-B1DA3F061A97}" w:val=" ADDIN NE.Ref.{12DCF322-02D7-460C-8C63-B1DA3F061A97}&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135D6546-212D-454D-A3A4-FC6704228F72}" w:val=" ADDIN NE.Ref.{135D6546-212D-454D-A3A4-FC6704228F72}&lt;Citation&gt;&lt;Group&gt;&lt;References&gt;&lt;Item&gt;&lt;ID&gt;714&lt;/ID&gt;&lt;UID&gt;{592FD0EF-6DA2-4704-B9B1-2D2BBD78E620}&lt;/UID&gt;&lt;Title&gt;云广直流孤岛运行“5·26”双极闭锁原因分析及改进措施&lt;/Title&gt;&lt;Template&gt;Journal Article&lt;/Template&gt;&lt;Star&gt;0&lt;/Star&gt;&lt;Tag&gt;0&lt;/Tag&gt;&lt;Author&gt;陈亦平; 陈磊; 叶骏; 侯君; 张尧; 杨仲超&lt;/Author&gt;&lt;Year&gt;2014&lt;/Year&gt;&lt;Details&gt;&lt;_author_aff&gt;华南理工大学电力学院;中国南方电网电力调度控制中心;清华大学电机工程与应用电子技术系;&lt;/_author_aff&gt;&lt;_date&gt;2014-04-25&lt;/_date&gt;&lt;_db_provider&gt;CNKI: 期刊&lt;/_db_provider&gt;&lt;_issue&gt;08&lt;/_issue&gt;&lt;_journal&gt;电力系统自动化&lt;/_journal&gt;&lt;_keywords&gt;高压直流输电;孤岛运行;双极闭锁;过电压;广域电力系统稳定器;高压侧电压控制&lt;/_keywords&gt;&lt;_pages&gt;129-135&lt;/_pages&gt;&lt;_url&gt;http://kns.cnki.net/KCMS/detail/detail.aspx?FileName=DLXT201408024&amp;amp;DbName=CJFQ2014&lt;/_url&gt;&lt;_volume&gt;38&lt;/_volume&gt;&lt;_created&gt;63727863&lt;/_created&gt;&lt;_modified&gt;63727863&lt;/_modified&gt;&lt;_db_updated&gt;CNKI - Reference&lt;/_db_updated&gt;&lt;_collection_scope&gt;CSCD;PKU;EI&lt;/_collection_scope&gt;&lt;_translated_author&gt;Chen, Yiping;Chen, Lei;Ye, Jun;Hou, Jun;Zhang, Yao;Yang, Zhongchao&lt;/_translated_author&gt;&lt;/Details&gt;&lt;Extra&gt;&lt;DBUID&gt;{6891F4B0-DCBA-459A-9A22-3059983243D4}&lt;/DBUID&gt;&lt;/Extra&gt;&lt;/Item&gt;&lt;/References&gt;&lt;/Group&gt;&lt;Group&gt;&lt;References&gt;&lt;Item&gt;&lt;ID&gt;715&lt;/ID&gt;&lt;UID&gt;{68ED593E-F1FA-42D0-8A14-35877AE45BAA}&lt;/UID&gt;&lt;Title&gt;高压直流输电非典型工况下过电压异常风险分析&lt;/Title&gt;&lt;Template&gt;Journal Article&lt;/Template&gt;&lt;Star&gt;0&lt;/Star&gt;&lt;Tag&gt;0&lt;/Tag&gt;&lt;Author&gt;贺静波; 万磊; 霍超; 常青&lt;/Author&gt;&lt;Year&gt;2014&lt;/Year&gt;&lt;Details&gt;&lt;_author_aff&gt;国家电力调度控制中心;中国电力科学研究院;西北电力调控分中心;&lt;/_author_aff&gt;&lt;_date&gt;2014-12-05&lt;/_date&gt;&lt;_db_provider&gt;CNKI: 期刊&lt;/_db_provider&gt;&lt;_issue&gt;12&lt;/_issue&gt;&lt;_journal&gt;电网技术&lt;/_journal&gt;&lt;_keywords&gt;直流输电;过电压;非典型工况;交直流电网&lt;/_keywords&gt;&lt;_pages&gt;3459-3463&lt;/_pages&gt;&lt;_url&gt;http://kns.cnki.net/KCMS/detail/detail.aspx?FileName=DWJS201412031&amp;amp;DbName=CJFQ2014&lt;/_url&gt;&lt;_volume&gt;38&lt;/_volume&gt;&lt;_created&gt;63727864&lt;/_created&gt;&lt;_modified&gt;63727864&lt;/_modified&gt;&lt;_db_updated&gt;CNKI - Reference&lt;/_db_updated&gt;&lt;_collection_scope&gt;CSCD;PKU;EI&lt;/_collection_scope&gt;&lt;_translated_author&gt;He, Jingbo;Wan, Lei;Huo, Chao;Chang, Qing&lt;/_translated_author&gt;&lt;/Details&gt;&lt;Extra&gt;&lt;DBUID&gt;{6891F4B0-DCBA-459A-9A22-3059983243D4}&lt;/DBUID&gt;&lt;/Extra&gt;&lt;/Item&gt;&lt;/References&gt;&lt;/Group&gt;&lt;Group&gt;&lt;References&gt;&lt;Item&gt;&lt;ID&gt;717&lt;/ID&gt;&lt;UID&gt;{EDFF736A-2C37-4612-BB82-E3EFFF9D00DC}&lt;/UID&gt;&lt;Title&gt;抑制云广特高压直流孤岛运行甩负荷过电压的控制逻辑优化研究&lt;/Title&gt;&lt;Template&gt;Journal Article&lt;/Template&gt;&lt;Star&gt;0&lt;/Star&gt;&lt;Tag&gt;0&lt;/Tag&gt;&lt;Author&gt;李伟; 肖湘宁; 郭琦&lt;/Author&gt;&lt;Year&gt;2017&lt;/Year&gt;&lt;Details&gt;&lt;_author_aff&gt;新能源电力系统国家重点实验室(华北电力大学);南方电网科学研究院;&lt;/_author_aff&gt;&lt;_date&gt;2016-08-16&lt;/_date&gt;&lt;_db_provider&gt;CNKI: 期刊&lt;/_db_provider&gt;&lt;_issue&gt;05&lt;/_issue&gt;&lt;_journal&gt;中国电机工程学报&lt;/_journal&gt;&lt;_keywords&gt;特高压直流;过电压;有效短路比;控制逻辑优化&lt;/_keywords&gt;&lt;_pages&gt;1373-1379&lt;/_pages&gt;&lt;_url&gt;http://kns.cnki.net/KCMS/detail/detail.aspx?FileName=ZGDC201705010&amp;amp;DbName=CJFQ2017&lt;/_url&gt;&lt;_volume&gt;37&lt;/_volume&gt;&lt;_created&gt;63727866&lt;/_created&gt;&lt;_modified&gt;63727866&lt;/_modified&gt;&lt;_db_updated&gt;CNKI - Reference&lt;/_db_updated&gt;&lt;_collection_scope&gt;CSCD;PKU;EI&lt;/_collection_scope&gt;&lt;_translated_author&gt;Li, Wei;Xiao, Xiangning;Guo, Qi&lt;/_translated_author&gt;&lt;/Details&gt;&lt;Extra&gt;&lt;DBUID&gt;{6891F4B0-DCBA-459A-9A22-3059983243D4}&lt;/DBUID&gt;&lt;/Extra&gt;&lt;/Item&gt;&lt;/References&gt;&lt;/Group&gt;&lt;/Citation&gt;_x000a_"/>
    <w:docVar w:name="NE.Ref{139A55B0-F69F-4C73-9E9D-640D02C94F20}" w:val=" ADDIN NE.Ref.{139A55B0-F69F-4C73-9E9D-640D02C94F20}&lt;Citation&gt;&lt;Group&gt;&lt;References&gt;&lt;Item&gt;&lt;ID&gt;719&lt;/ID&gt;&lt;UID&gt;{ED1206E4-A278-4C24-B8D0-474A0856FC6E}&lt;/UID&gt;&lt;Title&gt;大规模高压直流输电系统闭锁故障下送端风电场高电压穿越的控制策略&lt;/Title&gt;&lt;Template&gt;Journal Article&lt;/Template&gt;&lt;Star&gt;0&lt;/Star&gt;&lt;Tag&gt;0&lt;/Tag&gt;&lt;Author&gt;韩平平; 张海天; 丁明; 张炎; 陈凌琦; 李宾宾&lt;/Author&gt;&lt;Year&gt;2018&lt;/Year&gt;&lt;Details&gt;&lt;_author_aff&gt;安徽省新能源利用与节能重点实验室(合肥工业大学);国网安徽省电力有限公司电力科学研究院;&lt;/_author_aff&gt;&lt;_date&gt;2018-01-12&lt;/_date&gt;&lt;_db_provider&gt;CNKI: 期刊&lt;/_db_provider&gt;&lt;_issue&gt;04&lt;/_issue&gt;&lt;_journal&gt;电网技术&lt;/_journal&gt;&lt;_keywords&gt;高压直流输电;双馈感应发电机;直流闭锁;高电压穿越;协调控制策略&lt;/_keywords&gt;&lt;_pages&gt;1086-1095&lt;/_pages&gt;&lt;_url&gt;http://kns.cnki.net/KCMS/detail/detail.aspx?FileName=DWJS201804010&amp;amp;DbName=DKFX2018&lt;/_url&gt;&lt;_volume&gt;42&lt;/_volume&gt;&lt;_created&gt;63727879&lt;/_created&gt;&lt;_modified&gt;63727879&lt;/_modified&gt;&lt;_db_updated&gt;CNKI - Reference&lt;/_db_updated&gt;&lt;_collection_scope&gt;CSCD;PKU;EI&lt;/_collection_scope&gt;&lt;_translated_author&gt;Han, Pingping;Zhang, Haitian;Ding, Ming;Zhang, Yan;Chen, Lingqi;Li, Binbin&lt;/_translated_author&gt;&lt;/Details&gt;&lt;Extra&gt;&lt;DBUID&gt;{6891F4B0-DCBA-459A-9A22-3059983243D4}&lt;/DBUID&gt;&lt;/Extra&gt;&lt;/Item&gt;&lt;/References&gt;&lt;/Group&gt;&lt;/Citation&gt;_x000a_"/>
    <w:docVar w:name="NE.Ref{147085EA-C8D7-433D-8EFA-0F522E4F2CF9}" w:val=" ADDIN NE.Ref.{147085EA-C8D7-433D-8EFA-0F522E4F2CF9}&lt;Citation&gt;&lt;Group&gt;&lt;References&gt;&lt;Item&gt;&lt;ID&gt;1030&lt;/ID&gt;&lt;UID&gt;{9760E630-CF18-48E6-9807-51F344E19841}&lt;/UID&gt;&lt;Title&gt;大容量直流发生功率大扰动时送端风机暂态过电压快速分析方法研究&lt;/Title&gt;&lt;Template&gt;Journal Article&lt;/Template&gt;&lt;Star&gt;0&lt;/Star&gt;&lt;Tag&gt;0&lt;/Tag&gt;&lt;Author&gt;曹生顺; 张文朝; 王蒙; 潘艳; 郭秋婷; 刘俊&lt;/Author&gt;&lt;Year&gt;2017&lt;/Year&gt;&lt;Details&gt;&lt;_author_aff&gt;西北电力调控分中心;南京南瑞集团公司;西安交通大学电气工程学院陕西省智能电网重点实验室;&lt;/_author_aff&gt;&lt;_cited_count&gt;38&lt;/_cited_count&gt;&lt;_date&gt;2017-10-13&lt;/_date&gt;&lt;_issue&gt;10&lt;/_issue&gt;&lt;_journal&gt;高电压技术&lt;/_journal&gt;&lt;_keywords&gt;大容量高压直流;风电机;功率大扰动;暂态过电压;单支路电压降;全微分灵敏度&lt;/_keywords&gt;&lt;_pages&gt;3300-3306&lt;/_pages&gt;&lt;_url&gt;https://kns.cnki.net/kcms/detail/detail.aspx?FileName=GDYJ201710021&amp;amp;DbName=CJFQ2017&lt;/_url&gt;&lt;_volume&gt;43&lt;/_volume&gt;&lt;_created&gt;64780424&lt;/_created&gt;&lt;_modified&gt;64780424&lt;/_modified&gt;&lt;_db_updated&gt;CNKI - Reference&lt;/_db_updated&gt;&lt;_collection_scope&gt;CSCD;PKU;EI&lt;/_collection_scope&gt;&lt;_translated_author&gt;Cao, Shengshun;Zhang, Wenchao;Wang, Meng;Pan, Yan;Guo, Qiuting;Liu, Jun&lt;/_translated_author&gt;&lt;/Details&gt;&lt;Extra&gt;&lt;DBUID&gt;{6891F4B0-DCBA-459A-9A22-3059983243D4}&lt;/DBUID&gt;&lt;/Extra&gt;&lt;/Item&gt;&lt;/References&gt;&lt;/Group&gt;&lt;/Citation&gt;_x000a_"/>
    <w:docVar w:name="NE.Ref{14BF8ED7-2CD8-4617-B3EA-EBF854D98D41}" w:val=" ADDIN NE.Ref.{14BF8ED7-2CD8-4617-B3EA-EBF854D98D41}&lt;Citation&gt;&lt;Group&gt;&lt;References&gt;&lt;Item&gt;&lt;ID&gt;58&lt;/ID&gt;&lt;UID&gt;{4198E63B-EBBE-40E3-AC43-01FAAFF5B6B2}&lt;/UID&gt;&lt;Title&gt;消纳大规模风电的鲁棒区间经济调度  (一)调度模式与数学模型&lt;/Title&gt;&lt;Template&gt;Journal Article&lt;/Template&gt;&lt;Star&gt;0&lt;/Star&gt;&lt;Tag&gt;0&lt;/Tag&gt;&lt;Author&gt;李志刚; 吴文传; 张伯明&lt;/Author&gt;&lt;Year&gt;2014&lt;/Year&gt;&lt;Details&gt;&lt;_accessed&gt;64355830&lt;/_accessed&gt;&lt;_author_aff&gt;清华大学电机工程与应用电子技术系;电力系统及发电设备控制与仿真国家重点实验室,清华大学;&lt;/_author_aff&gt;&lt;_cited_count&gt;115&lt;/_cited_count&gt;&lt;_collection_scope&gt;CSCD;PKU;EI&lt;/_collection_scope&gt;&lt;_created&gt;64102676&lt;/_created&gt;&lt;_date&gt;60386400&lt;/_date&gt;&lt;_db_updated&gt;CNKI - Reference&lt;/_db_updated&gt;&lt;_issue&gt;20&lt;/_issue&gt;&lt;_journal&gt;电力系统自动化&lt;/_journal&gt;&lt;_keywords&gt;经济调度;鲁棒优化;风力发电;预测区间;不确定性&lt;/_keywords&gt;&lt;_language&gt;Chinese&lt;/_language&gt;&lt;_modified&gt;64105503&lt;/_modified&gt;&lt;_pages&gt;33-39&lt;/_pages&gt;&lt;_url&gt;https://kns.cnki.net/kcms/detail/detail.aspx?FileName=DLXT201420006&amp;amp;DbName=CJFQ2014&lt;/_url&gt;&lt;_volume&gt;38&lt;/_volume&gt;&lt;_translated_author&gt;Li, Zhigang;Wu, Wenchuan;Zhang, Boming&lt;/_translated_author&gt;&lt;/Details&gt;&lt;Extra&gt;&lt;DBUID&gt;{560D5FFD-5A46-4EB8-859B-FD657304A42E}&lt;/DBUID&gt;&lt;/Extra&gt;&lt;/Item&gt;&lt;/References&gt;&lt;/Group&gt;&lt;Group&gt;&lt;References&gt;&lt;Item&gt;&lt;ID&gt;56&lt;/ID&gt;&lt;UID&gt;{64E36D0B-C2C1-49A9-A5C8-1D1826315601}&lt;/UID&gt;&lt;Title&gt;电力系统鲁棒经济调度  (一)理论基础&lt;/Title&gt;&lt;Template&gt;Journal Article&lt;/Template&gt;&lt;Star&gt;0&lt;/Star&gt;&lt;Tag&gt;0&lt;/Tag&gt;&lt;Author&gt;魏韡; 刘锋; 梅生伟&lt;/Author&gt;&lt;Year&gt;2013&lt;/Year&gt;&lt;Details&gt;&lt;_accessed&gt;64302517&lt;/_accessed&gt;&lt;_author_aff&gt;清华大学电机工程与应用电子技术系;电力系统及发电设备控制和仿真国家重点实验室,清华大学;&lt;/_author_aff&gt;&lt;_cited_count&gt;191&lt;/_cited_count&gt;&lt;_collection_scope&gt;CSCD;PKU;EI&lt;/_collection_scope&gt;&lt;_created&gt;64102676&lt;/_created&gt;&lt;_date&gt;59796000&lt;/_date&gt;&lt;_db_updated&gt;CNKI - Reference&lt;/_db_updated&gt;&lt;_issue&gt;17&lt;/_issue&gt;&lt;_journal&gt;电力系统自动化&lt;/_journal&gt;&lt;_keywords&gt;电力系统;鲁棒经济调度;新能源发电;两阶段零和博弈;不确定性&lt;/_keywords&gt;&lt;_language&gt;Chinese&lt;/_language&gt;&lt;_modified&gt;64105503&lt;/_modified&gt;&lt;_pages&gt;37-43&lt;/_pages&gt;&lt;_url&gt;https://kns.cnki.net/kcms/detail/detail.aspx?FileName=DLXT201317006&amp;amp;DbName=CJFQ2013&lt;/_url&gt;&lt;_volume&gt;37&lt;/_volume&gt;&lt;_translated_author&gt;Wei, Wei;Liu, Feng;Mei, Shengwei&lt;/_translated_author&gt;&lt;/Details&gt;&lt;Extra&gt;&lt;DBUID&gt;{560D5FFD-5A46-4EB8-859B-FD657304A42E}&lt;/DBUID&gt;&lt;/Extra&gt;&lt;/Item&gt;&lt;/References&gt;&lt;/Group&gt;&lt;/Citation&gt;_x000a_"/>
    <w:docVar w:name="NE.Ref{152CD81D-5F5F-4979-BF6E-76B247911D52}" w:val=" ADDIN NE.Ref.{152CD81D-5F5F-4979-BF6E-76B247911D52}&lt;Citation&gt;&lt;Group&gt;&lt;References&gt;&lt;Item&gt;&lt;ID&gt;674&lt;/ID&gt;&lt;UID&gt;{89C9CD25-7A1B-4CDC-B1C2-52361D34149B}&lt;/UID&gt;&lt;Title&gt;A novel method to mitigate commutation failures in HVdc systems&lt;/Title&gt;&lt;Template&gt;Conference Proceedings&lt;/Template&gt;&lt;Star&gt;0&lt;/Star&gt;&lt;Tag&gt;0&lt;/Tag&gt;&lt;Author&gt;Zhang, L; Dofnas, L&lt;/Author&gt;&lt;Year&gt;2002&lt;/Year&gt;&lt;Details&gt;&lt;_accessed&gt;63483389&lt;/_accessed&gt;&lt;_created&gt;63459198&lt;/_created&gt;&lt;_date&gt;54169920&lt;/_date&gt;&lt;_modified&gt;63483389&lt;/_modified&gt;&lt;_pages&gt;51-56&lt;/_pages&gt;&lt;_secondary_title&gt; Proc. Int. Conf. Power Syst. Technol&lt;/_secondary_title&gt;&lt;_volume&gt;1&lt;/_volume&gt;&lt;/Details&gt;&lt;Extra&gt;&lt;DBUID&gt;{6891F4B0-DCBA-459A-9A22-3059983243D4}&lt;/DBUID&gt;&lt;/Extra&gt;&lt;/Item&gt;&lt;/References&gt;&lt;/Group&gt;&lt;/Citation&gt;_x000a_"/>
    <w:docVar w:name="NE.Ref{171ADE1B-381E-4663-AF43-AF73E6E65AAE}" w:val=" ADDIN NE.Ref.{171ADE1B-381E-4663-AF43-AF73E6E65AAE}&lt;Citation&gt;&lt;Group&gt;&lt;References&gt;&lt;Item&gt;&lt;ID&gt;872&lt;/ID&gt;&lt;UID&gt;{8493059F-66AC-4E08-BEFF-9648C7F4DE82}&lt;/UID&gt;&lt;Title&gt;大型交直流混联电网安全运行面临的问题与挑战&lt;/Title&gt;&lt;Template&gt;Journal Article&lt;/Template&gt;&lt;Star&gt;0&lt;/Star&gt;&lt;Tag&gt;0&lt;/Tag&gt;&lt;Author&gt;董新洲; 汤涌; 卜广全; 沈沉; 宋国兵; 王增平; 甘德强; 侯俊贤; 王宾; 赵兵; 施慎行&lt;/Author&gt;&lt;Year&gt;2019&lt;/Year&gt;&lt;Details&gt;&lt;_accessed&gt;64647189&lt;/_accessed&gt;&lt;_author_aff&gt;电力系统及发电设备控制和仿真国家重点实验室(清华大学电机系);电网安全与节能国家重点实验室(中国电力科学研究院有限公司);西安交通大学电气工程学院;华北电力大学电气工程学院;浙江大学电气工程学院;&lt;/_author_aff&gt;&lt;_cited_count&gt;147&lt;/_cited_count&gt;&lt;_collection_scope&gt;CSCD;PKU;EI&lt;/_collection_scope&gt;&lt;_created&gt;64646748&lt;/_created&gt;&lt;_date&gt;2019-06-05&lt;/_date&gt;&lt;_db_updated&gt;CNKI - Reference&lt;/_db_updated&gt;&lt;_issue&gt;11&lt;/_issue&gt;&lt;_journal&gt;中国电机工程学报&lt;/_journal&gt;&lt;_keywords&gt;交直流混联电网;连锁故障;脆弱性;控制;保护&lt;/_keywords&gt;&lt;_modified&gt;64646995&lt;/_modified&gt;&lt;_pages&gt;3107-3119&lt;/_pages&gt;&lt;_tertiary_title&gt;Proceedings of the CSEE&lt;/_tertiary_title&gt;&lt;_translated_author&gt;DONG, Xinzhou; TANG, Yong; BU, Guangquan; SHEN, Chen; SONG, Guobing; WANG, Zengping; GAN, Deqiang; HOU, Junxian; WANG, Bin&lt;/_translated_author&gt;&lt;_translated_title&gt;Confronting Problem and Challenge of Large Scale AC-DC Hybrid Power Grid Operation&lt;/_translated_title&gt;&lt;_url&gt;https://kns.cnki.net/kcms/detail/detail.aspx?FileName=ZGDC201911001&amp;amp;DbName=DKFX2019 _x000d__x000a_https://bar.cnki.net/bar/download/order?id=jBGETXBNdPImvx70aLAuJPYxPoFw%2bp%2bi0fIiSrcN6lXQ4Y2TeZ8VM%2fyOd0Mtu%2fXcdIHL2Cy%2blkEQPNV7Ymeogaly%2bcoaUbxKfbohfVkk2oLl8E%2bCUVp5GtDTYhVF2dNUoJeGx62Ssygg68TNXJ%2b5JrigejDAar8Xqw%2f6WR22OFXUdUGh4At8VBYSvh%2fCUD5a%2b6OiRMvnGtVjym54TKi0AGjrjiUA1i7Br0HLYwF%2fecz5LXYX1qwFXwOc1HUZT%2bTB _x000d__x000a_&lt;/_url&gt;&lt;_volume&gt;39&lt;/_volume&gt;&lt;/Details&gt;&lt;Extra&gt;&lt;DBUID&gt;{6891F4B0-DCBA-459A-9A22-3059983243D4}&lt;/DBUID&gt;&lt;/Extra&gt;&lt;/Item&gt;&lt;/References&gt;&lt;/Group&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46009&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5.659&lt;/_impact_factor&gt;&lt;_isbn&gt;0142-0615&lt;/_isbn&gt;&lt;_issue&gt;UNSP 105492&lt;/_issue&gt;&lt;_journal&gt;INTERNATIONAL JOURNAL OF ELECTRICAL POWER &amp;amp; ENERGY SYSTEMS&lt;/_journal&gt;&lt;_modified&gt;64498617&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187C4515-8663-48ED-9513-A5F7AAFAABC3}" w:val=" ADDIN NE.Ref.{187C4515-8663-48ED-9513-A5F7AAFAABC3}&lt;Citation&gt;&lt;Group&gt;&lt;References&gt;&lt;Item&gt;&lt;ID&gt;670&lt;/ID&gt;&lt;UID&gt;{C52C7549-6C4E-4EBE-9351-A8E8FC96DCA1}&lt;/UID&gt;&lt;Title&gt;Analysis of the sending-side system instability caused by multiple HVDC commutation failure&lt;/Title&gt;&lt;Template&gt;Journal Article&lt;/Template&gt;&lt;Star&gt;0&lt;/Star&gt;&lt;Tag&gt;0&lt;/Tag&gt;&lt;Author&gt;Tu, Jingzhe; Zhang, Jian; Bu, Guangquan; Yi, Jun; Yin, Yonghua; Jia, Junchuan&lt;/Author&gt;&lt;Year&gt;2015&lt;/Year&gt;&lt;Details&gt;&lt;_accessed&gt;63446184&lt;/_accessed&gt;&lt;_created&gt;63446184&lt;/_created&gt;&lt;_db_updated&gt;CrossRef&lt;/_db_updated&gt;&lt;_doi&gt;10.17775/CSEEJPES.2015.00051&lt;/_doi&gt;&lt;_impact_factor&gt;   3.115&lt;/_impact_factor&gt;&lt;_isbn&gt;2096-0042&lt;/_isbn&gt;&lt;_issue&gt;4&lt;/_issue&gt;&lt;_journal&gt;CSEE Journal of Power and Energy Systems&lt;/_journal&gt;&lt;_modified&gt;63480623&lt;/_modified&gt;&lt;_pages&gt;37-44&lt;/_pages&gt;&lt;_tertiary_title&gt;CSEE Power and Energy Syst.&lt;/_tertiary_title&gt;&lt;_url&gt;http://ieeexplore.ieee.org/lpdocs/epic03/wrapper.htm?arnumber=7377172 _x000d__x000a_http://ieeexplore.ieee.org/stamp/stamp.jsp?arnumber=7377172 _x000d__x000a_https://ieeexplore.ieee.org/ielx7/7054730/7377160/07377172.pdf?tp=&amp;amp;arnumber=7377172&amp;amp;isnumber=7377160&amp;amp;ref=aHR0cHM6Ly9pZWVleHBsb3JlLmllZWUub3JnL3Jlc3Qvc2VhcmNo _x000d__x000a_&lt;/_url&gt;&lt;_volume&gt;1&lt;/_volume&gt;&lt;/Details&gt;&lt;Extra&gt;&lt;DBUID&gt;{6891F4B0-DCBA-459A-9A22-3059983243D4}&lt;/DBUID&gt;&lt;/Extra&gt;&lt;/Item&gt;&lt;/References&gt;&lt;/Group&gt;&lt;/Citation&gt;_x000a_"/>
    <w:docVar w:name="NE.Ref{1889CF32-FFD6-4AFB-AAAE-F4F46D2E227B}" w:val=" ADDIN NE.Ref.{1889CF32-FFD6-4AFB-AAAE-F4F46D2E227B}&lt;Citation&gt;&lt;Group&gt;&lt;References&gt;&lt;Item&gt;&lt;ID&gt;658&lt;/ID&gt;&lt;UID&gt;{3B10B1CC-9A41-4FD8-B5E3-B5BABB4A543F}&lt;/UID&gt;&lt;Title&gt;促进新能源消纳的自备电厂参与替代交易风险管理研究&lt;/Title&gt;&lt;Template&gt;Journal Article&lt;/Template&gt;&lt;Star&gt;0&lt;/Star&gt;&lt;Tag&gt;0&lt;/Tag&gt;&lt;Author&gt;李东波; 李凤婷; 宋学强; 张新伟; 陈伟伟&lt;/Author&gt;&lt;Year&gt;2019&lt;/Year&gt;&lt;Details&gt;&lt;_author_adr&gt;新疆大学电气工程学院;新疆电力交易中心有限公司;国网新疆电力有限公司经济技术研究院;&lt;/_author_adr&gt;&lt;_db_provider&gt;CNKI&lt;/_db_provider&gt;&lt;_isbn&gt;1674-3415&lt;/_isbn&gt;&lt;_issue&gt;11&lt;/_issue&gt;&lt;_journal&gt;电力系统保护与控制&lt;/_journal&gt;&lt;_keywords&gt;自备电厂;替代交易;CVaR;风险管理;电量分配&lt;/_keywords&gt;&lt;_pages&gt;30-36&lt;/_pages&gt;&lt;_volume&gt;47&lt;/_volume&gt;&lt;_created&gt;63705641&lt;/_created&gt;&lt;_modified&gt;63705641&lt;/_modified&gt;&lt;_collection_scope&gt;CSCD;PKU&lt;/_collection_scope&gt;&lt;_translated_author&gt;Li, Dongbo;Li, Fengting;Song, Xueqiang;Zhang, Xinwei;Chen, Weiwei&lt;/_translated_author&gt;&lt;/Details&gt;&lt;Extra&gt;&lt;DBUID&gt;{F96A950B-833F-4880-A151-76DA2D6A2879}&lt;/DBUID&gt;&lt;/Extra&gt;&lt;/Item&gt;&lt;/References&gt;&lt;/Group&gt;&lt;/Citation&gt;_x000a_"/>
    <w:docVar w:name="NE.Ref{18AEA739-5C8B-4052-B71C-0D61761890FA}" w:val=" ADDIN NE.Ref.{18AEA739-5C8B-4052-B71C-0D61761890FA}&lt;Citation&gt;&lt;Group&gt;&lt;References&gt;&lt;Item&gt;&lt;ID&gt;587&lt;/ID&gt;&lt;UID&gt;{F1A164E8-5228-4DBB-ABC1-38280DDBF38D}&lt;/UID&gt;&lt;Title&gt;Multi-Objective Optimization of Vehicle Passive Suspension System Using NSGA-II, SPEA2 and PESA-II&lt;/Title&gt;&lt;Template&gt;Journal Article&lt;/Template&gt;&lt;Star&gt;0&lt;/Star&gt;&lt;Tag&gt;0&lt;/Tag&gt;&lt;Author&gt;Gadhvi, Bhargav; Savsani, Vimal; Patel, Vivek&lt;/Author&gt;&lt;Year&gt;2016&lt;/Year&gt;&lt;Details&gt;&lt;_created&gt;63704967&lt;/_created&gt;&lt;_journal&gt;Procedia Technology&lt;/_journal&gt;&lt;_modified&gt;63704967&lt;/_modified&gt;&lt;_pages&gt;361-368&lt;/_pages&gt;&lt;_volume&gt;23&lt;/_volume&gt;&lt;/Details&gt;&lt;Extra&gt;&lt;DBUID&gt;{F96A950B-833F-4880-A151-76DA2D6A2879}&lt;/DBUID&gt;&lt;/Extra&gt;&lt;/Item&gt;&lt;/References&gt;&lt;/Group&gt;&lt;/Citation&gt;_x000a_"/>
    <w:docVar w:name="NE.Ref{18D4874F-BF42-4B15-9578-57EC39E54460}" w:val=" ADDIN NE.Ref.{18D4874F-BF42-4B15-9578-57EC39E54460}&lt;Citation&gt;&lt;Group&gt;&lt;References&gt;&lt;Item&gt;&lt;ID&gt;511&lt;/ID&gt;&lt;UID&gt;{154CE1CF-1A23-46D3-9129-02C99CF446AA}&lt;/UID&gt;&lt;Title&gt;特高压网架方案功能和可靠性分析&lt;/Title&gt;&lt;Template&gt;Journal Article&lt;/Template&gt;&lt;Star&gt;0&lt;/Star&gt;&lt;Tag&gt;0&lt;/Tag&gt;&lt;Author&gt;杨海涛; 吉平; 刘晋雄; 孙健; 于光耀; 张琳娜&lt;/Author&gt;&lt;Year&gt;2017&lt;/Year&gt;&lt;Details&gt;&lt;_author_adr&gt;中国电力科学研究院;国网山西省电力公司;国网北京市电力公司;国网天津市电力公司电力科学研究院;&lt;/_author_adr&gt;&lt;_collection_scope&gt;CSCD;PKU;EI&lt;/_collection_scope&gt;&lt;_created&gt;63655099&lt;/_created&gt;&lt;_db_provider&gt;CNKI&lt;/_db_provider&gt;&lt;_isbn&gt;1003-6520&lt;/_isbn&gt;&lt;_issue&gt;03&lt;/_issue&gt;&lt;_journal&gt;高电压技术&lt;/_journal&gt;&lt;_keywords&gt;特高压电网;网架;电网规划;可靠性;安全性;复杂系统&lt;/_keywords&gt;&lt;_modified&gt;63655099&lt;/_modified&gt;&lt;_pages&gt;1014-1022&lt;/_pages&gt;&lt;_volume&gt;43&lt;/_volume&gt;&lt;_translated_author&gt;Yang, Haitao;Ji, Ping;Liu, Jinxiong;Sun, Jian;Yu, Guangyao;Zhang, Linna&lt;/_translated_author&gt;&lt;/Details&gt;&lt;Extra&gt;&lt;DBUID&gt;{F96A950B-833F-4880-A151-76DA2D6A2879}&lt;/DBUID&gt;&lt;/Extra&gt;&lt;/Item&gt;&lt;/References&gt;&lt;/Group&gt;&lt;/Citation&gt;_x000a_"/>
    <w:docVar w:name="NE.Ref{18D56333-EFE3-44AC-8670-BC0EFB1C8496}" w:val=" ADDIN NE.Ref.{18D56333-EFE3-44AC-8670-BC0EFB1C8496}&lt;Citation&gt;&lt;Group&gt;&lt;References&gt;&lt;Item&gt;&lt;ID&gt;55&lt;/ID&gt;&lt;UID&gt;{E181186B-FDF5-4274-AA34-1E00970AE084}&lt;/UID&gt;&lt;Title&gt;鲁棒优化在电力系统发电计划中的应用综述&lt;/Title&gt;&lt;Template&gt;Journal Article&lt;/Template&gt;&lt;Star&gt;1&lt;/Star&gt;&lt;Tag&gt;0&lt;/Tag&gt;&lt;Author&gt;朱光远; 林济铿; 罗治强; 戴赛; 覃岭; 刘纯&lt;/Author&gt;&lt;Year&gt;2017&lt;/Year&gt;&lt;Details&gt;&lt;_accessed&gt;64320414&lt;/_accessed&gt;&lt;_author_aff&gt;同济大学电子与信息工程学院;国家电网公司国家电力调度控制中心;中国电力科学研究院;智能电网教育部重点实验室(天津大学);新能源与储能运行控制国家重点实验室(中国电力科学研究院);&lt;/_author_aff&gt;&lt;_cited_count&gt;55&lt;/_cited_count&gt;&lt;_collection_scope&gt;CSCD;PKU;EI&lt;/_collection_scope&gt;&lt;_created&gt;64100010&lt;/_created&gt;&lt;_date&gt;61604640&lt;/_date&gt;&lt;_db_updated&gt;CNKI - Reference&lt;/_db_updated&gt;&lt;_issue&gt;20&lt;/_issue&gt;&lt;_journal&gt;中国电机工程学报&lt;/_journal&gt;&lt;_keywords&gt;不确定性;鲁棒优化;发电计划;应用实例&lt;/_keywords&gt;&lt;_language&gt;Chinese&lt;/_language&gt;&lt;_modified&gt;64105501&lt;/_modified&gt;&lt;_pages&gt;5881-5892&lt;/_pages&gt;&lt;_url&gt;https://kns.cnki.net/kcms/detail/detail.aspx?FileName=ZGDC201720007&amp;amp;DbName=CJFQ2017&lt;/_url&gt;&lt;_volume&gt;37&lt;/_volume&gt;&lt;_translated_author&gt;Zhu, Guangyuan;Lin, Jikeng;Luo, Zhiqiang;Dai, Sai;Tan, Ling;Liu, Chun&lt;/_translated_author&gt;&lt;/Details&gt;&lt;Extra&gt;&lt;DBUID&gt;{560D5FFD-5A46-4EB8-859B-FD657304A42E}&lt;/DBUID&gt;&lt;/Extra&gt;&lt;/Item&gt;&lt;/References&gt;&lt;/Group&gt;&lt;/Citation&gt;_x000a_"/>
    <w:docVar w:name="NE.Ref{18E74003-A569-40B1-916C-C9F36B397E5C}" w:val=" ADDIN NE.Ref.{18E74003-A569-40B1-916C-C9F36B397E5C}&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Citation&gt;_x000a_"/>
    <w:docVar w:name="NE.Ref{19181530-95FF-4304-AC6C-8079C034EAA3}" w:val=" ADDIN NE.Ref.{19181530-95FF-4304-AC6C-8079C034EAA3}&lt;Citation&gt;&lt;Group&gt;&lt;References&gt;&lt;Item&gt;&lt;ID&gt;588&lt;/ID&gt;&lt;UID&gt;{518E78E1-6B30-4DCB-8DDE-D341CF7F52EC}&lt;/UID&gt;&lt;Title&gt;A DC Current Predictive Control Based Method to Decrease Probability of Commutation Failure&lt;/Title&gt;&lt;Template&gt;Journal Article&lt;/Template&gt;&lt;Star&gt;0&lt;/Star&gt;&lt;Tag&gt;0&lt;/Tag&gt;&lt;Author&gt;Yuan, Yang; Wei, Zhinong; Wang, Huawei; Lei, Xiao; Sun, Guoqiang&lt;/Author&gt;&lt;Year&gt;2014&lt;/Year&gt;&lt;Details&gt;&lt;_accessed&gt;63459161&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Power System Technology&lt;/_journal&gt;&lt;_modified&gt;63459162&lt;/_modified&gt;&lt;_pages&gt;565-570&lt;/_pages&gt;&lt;_tertiary_title&gt;电网技术&lt;/_tertiary_title&gt;&lt;_translated_author&gt;袁阳; 卫志农; 王华伟; 雷霄; 孙国强&lt;/_translated_author&gt;&lt;_translated_title&gt;基于直流电流预测控制的换相失败预防方法&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Group&gt;&lt;References&gt;&lt;Item&gt;&lt;ID&gt;548&lt;/ID&gt;&lt;UID&gt;{C0907E84-67C3-4283-9572-A4940828D70D}&lt;/UID&gt;&lt;Title&gt;Power Component Fault Detection Method and Improved Current Order Limiter Control for Commutation Failure Mitigation in HVDC&lt;/Title&gt;&lt;Template&gt;Journal Article&lt;/Template&gt;&lt;Star&gt;0&lt;/Star&gt;&lt;Tag&gt;0&lt;/Tag&gt;&lt;Author&gt;Guo, Chunyi; Liu, Yuchao; Zhao, Chengyong; Wei, Xiaoguang; Xu, Weihua&lt;/Author&gt;&lt;Year&gt;2015&lt;/Year&gt;&lt;Details&gt;&lt;_accessed&gt;63445910&lt;/_accessed&gt;&lt;_accession_num&gt;WOS:000355255700063_x000d__x000a_ER&lt;/_accession_num&gt;&lt;_cited_count&gt;31&lt;/_cited_count&gt;&lt;_collection_scope&gt;SCI;SCIE;EI&lt;/_collection_scope&gt;&lt;_created&gt;63444588&lt;/_created&gt;&lt;_date_display&gt;2015, JUN 2015&lt;/_date_display&gt;&lt;_db_provider&gt;ISI&lt;/_db_provider&gt;&lt;_doi&gt;10.1109/TPWRD.2015.2411997&lt;/_doi&gt;&lt;_impact_factor&gt;   3.681&lt;/_impact_factor&gt;&lt;_isbn&gt;0885-8977&lt;/_isbn&gt;&lt;_issue&gt;3&lt;/_issue&gt;&lt;_journal&gt;IEEE TRANSACTIONS ON POWER DELIVERY&lt;/_journal&gt;&lt;_modified&gt;63453156&lt;/_modified&gt;&lt;_pages&gt;1585-1593&lt;/_pages&gt;&lt;_url&gt;http://gateway.isiknowledge.com/gateway/Gateway.cgi?GWVersion=2&amp;amp;SrcAuth=AegeanSoftware&amp;amp;SrcApp=NoteExpress&amp;amp;DestLinkType=FullRecord&amp;amp;DestApp=WOS&amp;amp;KeyUT=000355255700063 _x000d__x000a_https://ieeexplore.ieee.org/stampPDF/getPDF.jsp?tp=&amp;amp;arnumber=7066954&amp;amp;ref=aHR0cHM6Ly9pZWVleHBsb3JlLmllZWUub3JnL3Jlc3Qvc2VhcmNo _x000d__x000a_&lt;/_url&gt;&lt;_volume&gt;30&lt;/_volume&gt;&lt;/Details&gt;&lt;Extra&gt;&lt;DBUID&gt;{6891F4B0-DCBA-459A-9A22-3059983243D4}&lt;/DBUID&gt;&lt;/Extra&gt;&lt;/Item&gt;&lt;/References&gt;&lt;/Group&gt;&lt;Group&gt;&lt;References&gt;&lt;Item&gt;&lt;ID&gt;515&lt;/ID&gt;&lt;UID&gt;{2ABECC43-FED5-4280-AD39-8839BF09F706}&lt;/UID&gt;&lt;Title&gt;An Algorithm for Effective Mitigation of Commutation Failure in High-Voltage Direct-Current Systems&lt;/Title&gt;&lt;Template&gt;Journal Article&lt;/Template&gt;&lt;Star&gt;0&lt;/Star&gt;&lt;Tag&gt;0&lt;/Tag&gt;&lt;Author&gt;Son, Ho-Ik; Kim, Hak-Man&lt;/Author&gt;&lt;Year&gt;2016&lt;/Year&gt;&lt;Details&gt;&lt;_accessed&gt;63445919&lt;/_accessed&gt;&lt;_accession_num&gt;WOS:000380334700004_x000d__x000a_ER&lt;/_accession_num&gt;&lt;_cited_count&gt;25&lt;/_cited_count&gt;&lt;_collection_scope&gt;SCI;SCIE;EI&lt;/_collection_scope&gt;&lt;_created&gt;63444588&lt;/_created&gt;&lt;_date_display&gt;2016, AUG 2016&lt;/_date_display&gt;&lt;_db_provider&gt;ISI&lt;/_db_provider&gt;&lt;_doi&gt;10.1109/TPWRD.2016.2520928&lt;/_doi&gt;&lt;_impact_factor&gt;   3.681&lt;/_impact_factor&gt;&lt;_isbn&gt;0885-8977&lt;/_isbn&gt;&lt;_issue&gt;4&lt;/_issue&gt;&lt;_journal&gt;IEEE TRANSACTIONS ON POWER DELIVERY&lt;/_journal&gt;&lt;_modified&gt;63446133&lt;/_modified&gt;&lt;_pages&gt;1437-1446&lt;/_pages&gt;&lt;_url&gt;http://gateway.isiknowledge.com/gateway/Gateway.cgi?GWVersion=2&amp;amp;SrcAuth=AegeanSoftware&amp;amp;SrcApp=NoteExpress&amp;amp;DestLinkType=FullRecord&amp;amp;DestApp=WOS&amp;amp;KeyUT=000380334700004 _x000d__x000a_https://ieeexplore.ieee.org/stampPDF/getPDF.jsp?tp=&amp;amp;arnumber=7401120&amp;amp;ref=aHR0cHM6Ly9pZWVleHBsb3JlLmllZWUub3JnL3Jlc3Qvc2VhcmNo _x000d__x000a_&lt;/_url&gt;&lt;_volume&gt;31&lt;/_volume&gt;&lt;/Details&gt;&lt;Extra&gt;&lt;DBUID&gt;{6891F4B0-DCBA-459A-9A22-3059983243D4}&lt;/DBUID&gt;&lt;/Extra&gt;&lt;/Item&gt;&lt;/References&gt;&lt;/Group&gt;&lt;Group&gt;&lt;References&gt;&lt;Item&gt;&lt;ID&gt;477&lt;/ID&gt;&lt;UID&gt;{E36B792A-0F32-4CA8-99B4-F34E4DEB4890}&lt;/UID&gt;&lt;Title&gt;Decreasing the frequency of HVDC commutation failures caused by harmonics&lt;/Title&gt;&lt;Template&gt;Journal Article&lt;/Template&gt;&lt;Star&gt;0&lt;/Star&gt;&lt;Tag&gt;0&lt;/Tag&gt;&lt;Author&gt;Wang, Feng; Liu, Tian-qi; Li, Xing-yuan&lt;/Author&gt;&lt;Year&gt;2017&lt;/Year&gt;&lt;Details&gt;&lt;_accessed&gt;63445929&lt;/_accessed&gt;&lt;_accession_num&gt;WOS:000395529000009_x000d__x000a_ER&lt;/_accession_num&gt;&lt;_cited_count&gt;19&lt;/_cited_count&gt;&lt;_collection_scope&gt;SCIE;EI&lt;/_collection_scope&gt;&lt;_created&gt;63444588&lt;/_created&gt;&lt;_date_display&gt;2017, FEB 10 2017&lt;/_date_display&gt;&lt;_db_provider&gt;ISI&lt;/_db_provider&gt;&lt;_doi&gt;10.1049/iet-pel.2016.0230&lt;/_doi&gt;&lt;_impact_factor&gt;   2.672&lt;/_impact_factor&gt;&lt;_isbn&gt;1755-4535&lt;/_isbn&gt;&lt;_issue&gt;2&lt;/_issue&gt;&lt;_journal&gt;IET POWER ELECTRONICS&lt;/_journal&gt;&lt;_modified&gt;63446049&lt;/_modified&gt;&lt;_pages&gt;215-221&lt;/_pages&gt;&lt;_url&gt;http://gateway.isiknowledge.com/gateway/Gateway.cgi?GWVersion=2&amp;amp;SrcAuth=AegeanSoftware&amp;amp;SrcApp=NoteExpress&amp;amp;DestLinkType=FullRecord&amp;amp;DestApp=WOS&amp;amp;KeyUT=000395529000009 _x000d__x000a_https://ieeexplore.ieee.org/stampPDF/getPDF.jsp?tp=&amp;amp;arnumber=7845153&amp;amp;ref=aHR0cHM6Ly9pZWVleHBsb3JlLmllZWUub3JnL3Jlc3Qvc2VhcmNo _x000d__x000a_&lt;/_url&gt;&lt;_volume&gt;10&lt;/_volume&gt;&lt;/Details&gt;&lt;Extra&gt;&lt;DBUID&gt;{6891F4B0-DCBA-459A-9A22-3059983243D4}&lt;/DBUID&gt;&lt;/Extra&gt;&lt;/Item&gt;&lt;/References&gt;&lt;/Group&gt;&lt;Group&gt;&lt;References&gt;&lt;Item&gt;&lt;ID&gt;364&lt;/ID&gt;&lt;UID&gt;{A514F55E-736C-40CD-A13A-4732BD7F9BCD}&lt;/UID&gt;&lt;Title&gt;A Fault Current Limiting Approach for Commutation Failure Prevention in LCC-HVDC Transmission Systems&lt;/Title&gt;&lt;Template&gt;Journal Article&lt;/Template&gt;&lt;Star&gt;0&lt;/Star&gt;&lt;Tag&gt;0&lt;/Tag&gt;&lt;Author&gt;Mirsaeidi, Sohrab; Dong, Xinzhou; Said, Dalila Mat&lt;/Author&gt;&lt;Year&gt;2019&lt;/Year&gt;&lt;Details&gt;&lt;_accessed&gt;63445972&lt;/_accessed&gt;&lt;_accession_num&gt;WOS:000487533200019_x000d__x000a_ER&lt;/_accession_num&gt;&lt;_cited_count&gt;1&lt;/_cited_count&gt;&lt;_collection_scope&gt;SCI;SCIE;EI&lt;/_collection_scope&gt;&lt;_created&gt;63444588&lt;/_created&gt;&lt;_date_display&gt;2019, OCT 2019&lt;/_date_display&gt;&lt;_db_provider&gt;ISI&lt;/_db_provider&gt;&lt;_doi&gt;10.1109/TPWRD.2019.2907558&lt;/_doi&gt;&lt;_impact_factor&gt;   3.681&lt;/_impact_factor&gt;&lt;_isbn&gt;0885-8977&lt;/_isbn&gt;&lt;_issue&gt;5&lt;/_issue&gt;&lt;_journal&gt;IEEE TRANSACTIONS ON POWER DELIVERY&lt;/_journal&gt;&lt;_modified&gt;63446045&lt;/_modified&gt;&lt;_pages&gt;2018-2027&lt;/_pages&gt;&lt;_url&gt;http://gateway.isiknowledge.com/gateway/Gateway.cgi?GWVersion=2&amp;amp;SrcAuth=AegeanSoftware&amp;amp;SrcApp=NoteExpress&amp;amp;DestLinkType=FullRecord&amp;amp;DestApp=WOS&amp;amp;KeyUT=000487533200019 _x000d__x000a_https://ieeexplore.ieee.org/stampPDF/getPDF.jsp?tp=&amp;amp;arnumber=8674590&amp;amp;ref=aHR0cHM6Ly9pZWVleHBsb3JlLmllZWUub3JnL3Jlc3Qvc2VhcmNo _x000d__x000a_&lt;/_url&gt;&lt;_volume&gt;34&lt;/_volume&gt;&lt;/Details&gt;&lt;Extra&gt;&lt;DBUID&gt;{6891F4B0-DCBA-459A-9A22-3059983243D4}&lt;/DBUID&gt;&lt;/Extra&gt;&lt;/Item&gt;&lt;/References&gt;&lt;/Group&gt;&lt;Group&gt;&lt;References&gt;&lt;Item&gt;&lt;ID&gt;367&lt;/ID&gt;&lt;UID&gt;{A1FE966F-8ADA-4AD7-950B-63C40F5C303B}&lt;/UID&gt;&lt;Title&gt;An Integrated Control and Protection Scheme to Inhibit Blackouts Caused by Cascading Fault in Large-Scale Hybrid AC/DC Power Grids&lt;/Title&gt;&lt;Template&gt;Journal Article&lt;/Template&gt;&lt;Star&gt;0&lt;/Star&gt;&lt;Tag&gt;0&lt;/Tag&gt;&lt;Author&gt;Mirsaeidi, Sohrab; Dong, Xinzhou&lt;/Author&gt;&lt;Year&gt;2019&lt;/Year&gt;&lt;Details&gt;&lt;_accessed&gt;63480657&lt;/_accessed&gt;&lt;_accession_num&gt;WOS:000469912200019_x000d__x000a_ER&lt;/_accession_num&gt;&lt;_cited_count&gt;1&lt;/_cited_count&gt;&lt;_collection_scope&gt;SCI;SCIE;EI&lt;/_collection_scope&gt;&lt;_created&gt;63444588&lt;/_created&gt;&lt;_date_display&gt;2019, AUG 2019&lt;/_date_display&gt;&lt;_db_provider&gt;ISI&lt;/_db_provider&gt;&lt;_doi&gt;10.1109/TPEL.2018.2881720&lt;/_doi&gt;&lt;_impact_factor&gt;   6.373&lt;/_impact_factor&gt;&lt;_isbn&gt;0885-8993&lt;/_isbn&gt;&lt;_issue&gt;8&lt;/_issue&gt;&lt;_journal&gt;IEEE TRANSACTIONS ON POWER ELECTRONICS&lt;/_journal&gt;&lt;_modified&gt;63480657&lt;/_modified&gt;&lt;_pages&gt;7278-7291&lt;/_pages&gt;&lt;_url&gt;http://gateway.isiknowledge.com/gateway/Gateway.cgi?GWVersion=2&amp;amp;SrcAuth=AegeanSoftware&amp;amp;SrcApp=NoteExpress&amp;amp;DestLinkType=FullRecord&amp;amp;DestApp=WOS&amp;amp;KeyUT=000469912200019 _x000d__x000a_https://ieeexplore.ieee.org/stampPDF/getPDF.jsp?tp=&amp;amp;arnumber=8537972&amp;amp;ref=aHR0cHM6Ly9pZWVleHBsb3JlLmllZWUub3JnL3Jlc3Qvc2VhcmNo _x000d__x000a_&lt;/_url&gt;&lt;_volume&gt;34&lt;/_volume&gt;&lt;/Details&gt;&lt;Extra&gt;&lt;DBUID&gt;{6891F4B0-DCBA-459A-9A22-3059983243D4}&lt;/DBUID&gt;&lt;/Extra&gt;&lt;/Item&gt;&lt;/References&gt;&lt;/Group&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1946CB02-9F89-40EA-8812-F603E94D47AC}" w:val=" ADDIN NE.Ref.{1946CB02-9F89-40EA-8812-F603E94D47AC}&lt;Citation&gt;&lt;Group&gt;&lt;References&gt;&lt;Item&gt;&lt;ID&gt;507&lt;/ID&gt;&lt;UID&gt;{F01A8D18-6E33-458A-B389-29BF07909557}&lt;/UID&gt;&lt;Title&gt;小波能量偏度神经网络的HVDC换相失败故障诊断&lt;/Title&gt;&lt;Template&gt;Journal Article&lt;/Template&gt;&lt;Star&gt;0&lt;/Star&gt;&lt;Tag&gt;0&lt;/Tag&gt;&lt;Author&gt;朱艳; 王渝红; 丁志林; 宋梁; 李兴源; 邱大强&lt;/Author&gt;&lt;Year&gt;2017&lt;/Year&gt;&lt;Details&gt;&lt;_accessed&gt;63445943&lt;/_accessed&gt;&lt;_accession_num&gt;CSCD:5935137_x000d__x000a_ER&lt;/_accession_num&gt;&lt;_cited_count&gt;1&lt;/_cited_count&gt;&lt;_collection_scope&gt;CSCD;PKU&lt;/_collection_scope&gt;&lt;_created&gt;63444588&lt;/_created&gt;&lt;_date_display&gt;2017, 2017&lt;/_date_display&gt;&lt;_db_provider&gt;ISI&lt;/_db_provider&gt;&lt;_isbn&gt;1003-8930&lt;/_isbn&gt;&lt;_issue&gt;1003-8930(2017)29:2&amp;lt;39:XBNLPD&amp;gt;2.0.TX;2-82&lt;/_issue&gt;&lt;_journal&gt;电力系统及其自动化学报&lt;/_journal&gt;&lt;_modified&gt;63445943&lt;/_modified&gt;&lt;_pages&gt;39-44&lt;/_pages&gt;&lt;_tertiary_title&gt;Proceedings of the CSU-EPSA&lt;/_tertiary_title&gt;&lt;_translated_author&gt;Zhu, Yan; Wang, Yuhong; Ding, Zhilin; Song, Liang; Li, Xingyuan; Qiu, Daqiang&lt;/_translated_author&gt;&lt;_translated_title&gt;Fault Diagnosis of Commutation Failures in HVDC System Based on Neural Network of Wavelet Energy Skewness &lt;/_translated_title&gt;&lt;_url&gt;CSCD:5935137&lt;/_url&gt;&lt;_volume&gt;29&lt;/_volume&gt;&lt;/Details&gt;&lt;Extra&gt;&lt;DBUID&gt;{6891F4B0-DCBA-459A-9A22-3059983243D4}&lt;/DBUID&gt;&lt;/Extra&gt;&lt;/Item&gt;&lt;/References&gt;&lt;/Group&gt;&lt;/Citation&gt;_x000a_"/>
    <w:docVar w:name="NE.Ref{1A059FAA-7071-4D9A-A169-8AEF822B4873}" w:val=" ADDIN NE.Ref.{1A059FAA-7071-4D9A-A169-8AEF822B4873}&lt;Citation&gt;&lt;Group&gt;&lt;References&gt;&lt;Item&gt;&lt;ID&gt;998&lt;/ID&gt;&lt;UID&gt;{378D184D-1E7C-40F8-A09B-D53CDF9BA09C}&lt;/UID&gt;&lt;Title&gt;面向电网规划的多馈入直流换相失败功率冲击模拟方法&lt;/Title&gt;&lt;Template&gt;Journal Article&lt;/Template&gt;&lt;Star&gt;0&lt;/Star&gt;&lt;Tag&gt;0&lt;/Tag&gt;&lt;Author&gt;陈睿; 侯玉强; 杨银国; 王玉; 易杨; 刘福锁&lt;/Author&gt;&lt;Year&gt;2017&lt;/Year&gt;&lt;Details&gt;&lt;_author_aff&gt;广东电网电力调度控制中心;南瑞集团公司(国网电力科学研究院);国电南瑞科技股份有限公司;&lt;/_author_aff&gt;&lt;_cited_count&gt;19&lt;/_cited_count&gt;&lt;_date&gt;2017-12-10&lt;/_date&gt;&lt;_issue&gt;23&lt;/_issue&gt;&lt;_journal&gt;电力系统自动化&lt;/_journal&gt;&lt;_keywords&gt;多馈入直流;换相失败;功率冲击;无功支撑能力&lt;/_keywords&gt;&lt;_pages&gt;103-108&lt;/_pages&gt;&lt;_url&gt;https://kns.cnki.net/kcms/detail/detail.aspx?FileName=DLXT201723015&amp;amp;DbName=CJFQ2017&lt;/_url&gt;&lt;_volume&gt;41&lt;/_volume&gt;&lt;_created&gt;64779504&lt;/_created&gt;&lt;_modified&gt;64779504&lt;/_modified&gt;&lt;_db_updated&gt;CNKI - Reference&lt;/_db_updated&gt;&lt;_collection_scope&gt;CSCD;PKU;EI&lt;/_collection_scope&gt;&lt;_translated_author&gt;Chen, Rui;Hou, Yuqiang;Yang, Yinguo;Wang, Yu;Yi, Yang;Liu, Fusuo&lt;/_translated_author&gt;&lt;/Details&gt;&lt;Extra&gt;&lt;DBUID&gt;{6891F4B0-DCBA-459A-9A22-3059983243D4}&lt;/DBUID&gt;&lt;/Extra&gt;&lt;/Item&gt;&lt;/References&gt;&lt;/Group&gt;&lt;/Citation&gt;_x000a_"/>
    <w:docVar w:name="NE.Ref{1BB46600-3DBD-4DBA-B9CE-16632B6132FD}" w:val=" ADDIN NE.Ref.{1BB46600-3DBD-4DBA-B9CE-16632B6132FD}&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8.162&lt;/_impact_factor&gt;&lt;_isbn&gt;0278-0046&lt;/_isbn&gt;&lt;_issue&gt;1&lt;/_issue&gt;&lt;_journal&gt;IEEE TRANSACTIONS ON INDUSTRIAL ELECTRONICS&lt;/_journal&gt;&lt;_modified&gt;644986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1C12F929-6BC4-413D-BC37-938E3AA6A69A}" w:val=" ADDIN NE.Ref.{1C12F929-6BC4-413D-BC37-938E3AA6A69A}&lt;Citation&gt;&lt;Group&gt;&lt;References&gt;&lt;Item&gt;&lt;ID&gt;359&lt;/ID&gt;&lt;UID&gt;{CC045D2D-80B6-4AC2-8B28-A52339527A06}&lt;/UID&gt;&lt;Title&gt;The mechanism and solution of the anomalous commutation failure of multi-infeed HVDC transmission systems&lt;/Title&gt;&lt;Template&gt;Journal Article&lt;/Template&gt;&lt;Star&gt;0&lt;/Star&gt;&lt;Tag&gt;0&lt;/Tag&gt;&lt;Author&gt;Li, Tan; Zhao, Tong; Lv, Mingchao; Zou, Liang; Zhang, Li&lt;/Author&gt;&lt;Year&gt;2020&lt;/Year&gt;&lt;Details&gt;&lt;_accessed&gt;63446013&lt;/_accessed&gt;&lt;_accession_num&gt;WOS:000488997400013_x000d__x000a_ER&lt;/_accession_num&gt;&lt;_cited_count&gt;2&lt;/_cited_count&gt;&lt;_collection_scope&gt;SCIE;EI&lt;/_collection_scope&gt;&lt;_created&gt;63444588&lt;/_created&gt;&lt;_date_display&gt;2020, JAN 2020&lt;/_date_display&gt;&lt;_db_provider&gt;ISI&lt;/_db_provider&gt;&lt;_doi&gt;10.1016/j.ijepes.2019.105400&lt;/_doi&gt;&lt;_impact_factor&gt;   5.659&lt;/_impact_factor&gt;&lt;_isbn&gt;0142-0615&lt;/_isbn&gt;&lt;_issue&gt;UNSP 105400&lt;/_issue&gt;&lt;_journal&gt;INTERNATIONAL JOURNAL OF ELECTRICAL POWER &amp;amp; ENERGY SYSTEMS&lt;/_journal&gt;&lt;_modified&gt;64498618&lt;/_modified&gt;&lt;_url&gt;http://gateway.isiknowledge.com/gateway/Gateway.cgi?GWVersion=2&amp;amp;SrcAuth=AegeanSoftware&amp;amp;SrcApp=NoteExpress&amp;amp;DestLinkType=FullRecord&amp;amp;DestApp=WOS&amp;amp;KeyUT=000488997400013 _x000d__x000a_https://pdf.sciencedirectassets.com/271479/1-s2.0-S0142061519X00083/1-s2.0-S0142061518328734/main.pdf?X-Amz-Security-Token=IQoJb3JpZ2luX2VjECkaCXVzLWVhc3QtMSJHMEUCIAnvOcGrnhIMSnm5jmvJzLIwd06weyA6jUASZC2LoAOeAiEA8b6AYvp7QO8n0%2B4%2FQHrvcmK1O0VYWya2heqTgwTwuzgqtAMIERADGgwwNTkwMDM1NDY4NjUiDAtfPU0oKArg8CjWOyqRAwdHK%2BhS2Tz3FjiWhcnIEUxIFTkrIniY%2BzkQOpqv5R7puNnnsdiC1iGqi5VHqcuRNtcVSJ6ojLIHDAbYwXnMTEPnN79srROQ4%2BRunL9tF%2BPInWLRJL1OAaMsTkdeSol1twRLvCXOtDs%2F4gIW4gl09AI3XzleldyeoJdN0vgkRtdqboXJWlpD5wohgp%2FE05AdjyAbvpD7lT7oeEcVc5RwqoGCcCDG2Yxn0d8Mv3uGy6DWqxi6EO4VsaDD9EUNN4O%2B40oCPL40Xj6kUPtgYBswFJdwqStwa58j3oaqtQ55NEXXEV0HJH1AoHwT0iVXKjiQvg4Jzca9FTVHwJRTEVJxBpzOYaSOgFmp2ombx50BvhzD0WaErUGXdvRcLNNkJX8rcADK2uCZkJqC4ZQeicxhc8KTRdLGULab15KZN6dsJqyGk%2FIubOH2EJTUesbXJjoqytqK8Wx75aZ0bBIwi6JiTB6Mw3I2PpIta4HeDXuGSO6dxyHPwzBTyvVeC1tol8mjiBaapGZlJDmvp6X1hhQQmMZAMIuX7vkFOusBhJfww%2BeLZgUv5ui7svB%2FPC9Y6ZDgIeACZxritkeXb6HGNXoWOW2JLA7Qg6csa7dt1BUZ74QOu17k35T6eDbiVIf%2B11AiovexPP2lxhtX5kfDRmg5HNWI%2B9mC64owz5wtdMHezgOlyKPeHxJ0v0jhsgIXtFC17by6uh3UtdJFQCs0on%2FVw%2B9p%2B8yklG2JJfnvKE%2Bp07YGAFOjLwlDo59p3dFjSk2y6R9G9julK2M4aYqL5b%2BKhxrP9VFC%2FoOSzXsGOj9FzgA9rPQEj3XNU%2Fw99hZK%2BRVpbV%2BtAMKBYhu7xt%2F3KAVcDUEIs1vT1g%3D%3D&amp;amp;X-Amz-Algorithm=AWS4-HMAC-SHA256&amp;amp;X-Amz-Date=20200818T093331Z&amp;amp;X-Amz-SignedHeaders=host&amp;amp;X-Amz-Expires=300&amp;amp;X-Amz-Credential=ASIAQ3PHCVTY6ZO6UFNC%2F20200818%2Fus-east-1%2Fs3%2Faws4_request&amp;amp;X-Amz-Signature=456e39540229dc26aee7e66ff75646fb8c8897d95b675d903bcf61bd1e928f2d&amp;amp;hash=9e5a812ca8ad16b8eee199ffcd2bcf30345d1145a9df0475108d12f71374b0cf&amp;amp;host=68042c943591013ac2b2430a89b270f6af2c76d8dfd086a07176afe7c76c2c61&amp;amp;pii=S0142061518328734&amp;amp;tid=spdf-e0e52d00-784e-4e64-a62c-e190218a8a8e&amp;amp;sid=0c6f7119609c7846760b7c55adb0bb62042egxrqa&amp;amp;type=client _x000d__x000a_&lt;/_url&gt;&lt;_volume&gt;114&lt;/_volume&gt;&lt;/Details&gt;&lt;Extra&gt;&lt;DBUID&gt;{6891F4B0-DCBA-459A-9A22-3059983243D4}&lt;/DBUID&gt;&lt;/Extra&gt;&lt;/Item&gt;&lt;/References&gt;&lt;/Group&gt;&lt;/Citation&gt;_x000a_"/>
    <w:docVar w:name="NE.Ref{1C5C3744-025A-49FA-B7B5-40D72E71FAC8}" w:val=" ADDIN NE.Ref.{1C5C3744-025A-49FA-B7B5-40D72E71FAC8}&lt;Citation&gt;&lt;Group&gt;&lt;References&gt;&lt;Item&gt;&lt;ID&gt;563&lt;/ID&gt;&lt;UID&gt;{45A3424B-0432-4958-AE78-AE4583EC7294}&lt;/UID&gt;&lt;Title&gt;基于风电出力模糊集的电-气耦合系统分布鲁棒优化调度&lt;/Title&gt;&lt;Template&gt;Journal Article&lt;/Template&gt;&lt;Star&gt;0&lt;/Star&gt;&lt;Tag&gt;0&lt;/Tag&gt;&lt;Author&gt;张亚超; 黄张浩; 郑峰; 乐健; 舒胜文; 夏沛&lt;/Author&gt;&lt;Year&gt;2020&lt;/Year&gt;&lt;Details&gt;&lt;_author_adr&gt;福州大学电气工程与自动化学院;武汉大学电气与自动化学院;&lt;/_author_adr&gt;&lt;_collection_scope&gt;CSCD;PKU;EI&lt;/_collection_scope&gt;&lt;_created&gt;63685118&lt;/_created&gt;&lt;_db_provider&gt;CNKI&lt;/_db_provider&gt;&lt;_isbn&gt;1000-1026&lt;/_isbn&gt;&lt;_issue&gt;04&lt;/_issue&gt;&lt;_journal&gt;电力系统自动化&lt;/_journal&gt;&lt;_keywords&gt;耦合系统;分布鲁棒优化;风电;协同优化&lt;/_keywords&gt;&lt;_modified&gt;63685118&lt;/_modified&gt;&lt;_pages&gt;44-53&lt;/_pages&gt;&lt;_volume&gt;44&lt;/_volume&gt;&lt;_translated_author&gt;Zhang, Yachao;Huang, Zhanghao;Zheng, Feng;Le, Jian;Shu, Shengwen;Xia, Pei&lt;/_translated_author&gt;&lt;/Details&gt;&lt;Extra&gt;&lt;DBUID&gt;{F96A950B-833F-4880-A151-76DA2D6A2879}&lt;/DBUID&gt;&lt;/Extra&gt;&lt;/Item&gt;&lt;/References&gt;&lt;/Group&gt;&lt;/Citation&gt;_x000a_"/>
    <w:docVar w:name="NE.Ref{1CA40157-602C-4216-9597-C83012598D80}" w:val=" ADDIN NE.Ref.{1CA40157-602C-4216-9597-C83012598D80}&lt;Citation&gt;&lt;Group&gt;&lt;References&gt;&lt;Item&gt;&lt;ID&gt;657&lt;/ID&gt;&lt;UID&gt;{C284FB30-4F1B-4B95-AD26-49799123A9ED}&lt;/UID&gt;&lt;Title&gt;Analysis and Prevention of Subsequent Commutation Failures Caused by Improper Inverter Control Interactions in HVDC Systems&lt;/Title&gt;&lt;Template&gt;Journal Article&lt;/Template&gt;&lt;Star&gt;0&lt;/Star&gt;&lt;Tag&gt;0&lt;/Tag&gt;&lt;Author&gt;Liu, L; Lin, S; Liu, J; Sun, P Y; Liao, K; Li, X P; He, Z Y&lt;/Author&gt;&lt;Year&gt;2020&lt;/Year&gt;&lt;Details&gt;&lt;_alternate_title&gt;IEEE TRANSACTIONS ON POWER DELIVERY&lt;/_alternate_title&gt;&lt;_author_adr&gt;Southwest Jiaotong Univ, Sch Elect Engn, Chengdu 610031, Peoples R China; Guangdong Power Grid Corp, Guangzhou Power Supply Bur, Guangzhou 510600, Peoples R China; State Grid Sichuan Elect Power Res Inst, Chengdu 610072, Peoples R China&lt;/_author_adr&gt;&lt;_cited_count&gt;7&lt;/_cited_count&gt;&lt;_collection_scope&gt;SCI;SCIE;EI&lt;/_collection_scope&gt;&lt;_created&gt;64493985&lt;/_created&gt;&lt;_date&gt;2020-01-01&lt;/_date&gt;&lt;_date_display&gt;2020&lt;/_date_display&gt;&lt;_db_updated&gt;Web of Science-Core&lt;/_db_updated&gt;&lt;_doi&gt;10.1109/TPWRD.2020.2984225&lt;/_doi&gt;&lt;_impact_factor&gt;   4.825&lt;/_impact_factor&gt;&lt;_issue&gt;6&lt;/_issue&gt;&lt;_journal&gt;IEEE TRANSACTIONS ON POWER DELIVERY&lt;/_journal&gt;&lt;_keywords&gt;Inverters; HVDC transmission; Switches; Process control; Voltage control; Power system dynamics; Commutation failure; subsequent commutation failure; inverter control; interaction process; HVDC system&lt;/_keywords&gt;&lt;_modified&gt;64498604&lt;/_modified&gt;&lt;_pages&gt;2841-2852&lt;/_pages&gt;&lt;_url&gt;https://ieeexplore.ieee.org/stampPDF/getPDF.jsp?tp=&amp;amp;arnumber=9055071&amp;amp;ref=aHR0cHM6Ly9pZWVleHBsb3JlLmllZWUub3JnL3Jlc3Qvc2VhcmNo _x000d__x000a_&lt;/_url&gt;&lt;_volume&gt;35&lt;/_volume&gt;&lt;_accessed&gt;64498604&lt;/_accessed&gt;&lt;/Details&gt;&lt;Extra&gt;&lt;DBUID&gt;{F96A950B-833F-4880-A151-76DA2D6A2879}&lt;/DBUID&gt;&lt;/Extra&gt;&lt;/Item&gt;&lt;/References&gt;&lt;/Group&gt;&lt;/Citation&gt;_x000a_"/>
    <w:docVar w:name="NE.Ref{1D18F873-334E-4615-9D62-73279284DF68}" w:val=" ADDIN NE.Ref.{1D18F873-334E-4615-9D62-73279284DF68}&lt;Citation&gt;&lt;Group&gt;&lt;References&gt;&lt;Item&gt;&lt;ID&gt;528&lt;/ID&gt;&lt;UID&gt;{7DEF077A-EA20-47ED-AD3E-E480D51368F6}&lt;/UID&gt;&lt;Title&gt;适应可再生能源配额制的电力市场交易体系研究&lt;/Title&gt;&lt;Template&gt;Journal Article&lt;/Template&gt;&lt;Star&gt;0&lt;/Star&gt;&lt;Tag&gt;0&lt;/Tag&gt;&lt;Author&gt;张翔; 陈政; 马子明; 夏清; 戴晓娟; 卢冬雪; 赵燃&lt;/Author&gt;&lt;Year&gt;2019&lt;/Year&gt;&lt;Details&gt;&lt;_author_adr&gt;南方电网能源发展研究院有限责任公司;清华大学电机工程与应用电子技术系;清华四川能源互联网研究院;&lt;/_author_adr&gt;&lt;_collection_scope&gt;CSCD;PKU;EI&lt;/_collection_scope&gt;&lt;_created&gt;63659487&lt;/_created&gt;&lt;_db_provider&gt;CNKI&lt;/_db_provider&gt;&lt;_isbn&gt;1000-3673&lt;/_isbn&gt;&lt;_issue&gt;08&lt;/_issue&gt;&lt;_journal&gt;电网技术&lt;/_journal&gt;&lt;_keywords&gt;配额制;可再生能源市场;电力市场;市场均衡&lt;/_keywords&gt;&lt;_modified&gt;63659487&lt;/_modified&gt;&lt;_pages&gt;2682-2690&lt;/_pages&gt;&lt;_volume&gt;43&lt;/_volume&gt;&lt;_translated_author&gt;Zhang, Xiang;Chen, Zheng;Ma, Ziming;Xia, Qing;Dai, Xiaojuan;Lu, Dongxue;Zhao, Ran&lt;/_translated_author&gt;&lt;/Details&gt;&lt;Extra&gt;&lt;DBUID&gt;{F96A950B-833F-4880-A151-76DA2D6A2879}&lt;/DBUID&gt;&lt;/Extra&gt;&lt;/Item&gt;&lt;/References&gt;&lt;/Group&gt;&lt;/Citation&gt;_x000a_"/>
    <w:docVar w:name="NE.Ref{1EFD4181-4DC0-4371-B07D-1D285517C50D}" w:val=" ADDIN NE.Ref.{1EFD4181-4DC0-4371-B07D-1D285517C50D}&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1F1B7316-227F-41D5-B883-FB8213BC257D}" w:val=" ADDIN NE.Ref.{1F1B7316-227F-41D5-B883-FB8213BC257D}&lt;Citation&gt;&lt;Group&gt;&lt;References&gt;&lt;Item&gt;&lt;ID&gt;116&lt;/ID&gt;&lt;UID&gt;{F6B603F6-FA64-4CFD-AAC0-B00EE07C15C5}&lt;/UID&gt;&lt;Title&gt;考虑风电消纳的热电联供型微网日前鲁棒经济调度&lt;/Title&gt;&lt;Template&gt;Journal Article&lt;/Template&gt;&lt;Star&gt;0&lt;/Star&gt;&lt;Tag&gt;0&lt;/Tag&gt;&lt;Author&gt;朱嘉远; 刘洋; 许立雄; 蒋卓臻; 马晨霄&lt;/Author&gt;&lt;Year&gt;2019&lt;/Year&gt;&lt;Details&gt;&lt;_accessed&gt;64308164&lt;/_accessed&gt;&lt;_author_aff&gt;四川大学电气信息学院;&lt;/_author_aff&gt;&lt;_cited_count&gt;68&lt;/_cited_count&gt;&lt;_collection_scope&gt;CSCD;PKU;EI&lt;/_collection_scope&gt;&lt;_created&gt;64306770&lt;/_created&gt;&lt;_date&gt;62667360&lt;/_date&gt;&lt;_db_updated&gt;CNKI - Reference&lt;/_db_updated&gt;&lt;_issue&gt;04&lt;/_issue&gt;&lt;_journal&gt;电力系统自动化&lt;/_journal&gt;&lt;_keywords&gt;微网(微电网);双层鲁棒优化;预测偏差控制;列约束生成算法;强对偶理论;Big-M法&lt;/_keywords&gt;&lt;_language&gt;Chinese&lt;/_language&gt;&lt;_modified&gt;64308164&lt;/_modified&gt;&lt;_pages&gt;40-48&lt;/_pages&gt;&lt;_url&gt;https://kns.cnki.net/kcms/detail/detail.aspx?FileName=DLXT201904006&amp;amp;DbName=CJFQ2019&lt;/_url&gt;&lt;_volume&gt;43&lt;/_volume&gt;&lt;_translated_author&gt;Zhu, Jiayuan;Liu, Yang;Xu, Lixiong;Jiang, Zhuozhen;Ma, Chenxiao&lt;/_translated_author&gt;&lt;/Details&gt;&lt;Extra&gt;&lt;DBUID&gt;{560D5FFD-5A46-4EB8-859B-FD657304A42E}&lt;/DBUID&gt;&lt;/Extra&gt;&lt;/Item&gt;&lt;/References&gt;&lt;/Group&gt;&lt;/Citation&gt;_x000a_"/>
    <w:docVar w:name="NE.Ref{1F35F98C-EEFA-4609-9C1A-6E8B7DB9E539}" w:val=" ADDIN NE.Ref.{1F35F98C-EEFA-4609-9C1A-6E8B7DB9E539}&lt;Citation&gt;&lt;Group&gt;&lt;References&gt;&lt;Item&gt;&lt;ID&gt;336&lt;/ID&gt;&lt;UID&gt;{738A9890-CA34-4C5B-B699-C976342E4ACC}&lt;/UID&gt;&lt;Title&gt;A commutation failure risk analysis method considering the interaction of inverter stations&lt;/Title&gt;&lt;Template&gt;Journal Article&lt;/Template&gt;&lt;Star&gt;0&lt;/Star&gt;&lt;Tag&gt;0&lt;/Tag&gt;&lt;Author&gt;Yang, Weichen; Miao, Shihong; Zhang, Shixu; Li, Yaowang; Han, Ji; Xu, Hanping; Zhang, Dongyin&lt;/Author&gt;&lt;Year&gt;2020&lt;/Year&gt;&lt;Details&gt;&lt;_accessed&gt;63446009&lt;/_accessed&gt;&lt;_accession_num&gt;WOS:000526402600002_x000d__x000a_ER&lt;/_accession_num&gt;&lt;_cited_count&gt;0&lt;/_cited_count&gt;&lt;_collection_scope&gt;SCIE;EI&lt;/_collection_scope&gt;&lt;_created&gt;63444588&lt;/_created&gt;&lt;_date_display&gt;2020, SEP 2020&lt;/_date_display&gt;&lt;_db_provider&gt;ISI&lt;/_db_provider&gt;&lt;_doi&gt;10.1016/j.ijepes.2020.106009&lt;/_doi&gt;&lt;_impact_factor&gt;   5.659&lt;/_impact_factor&gt;&lt;_isbn&gt;0142-0615&lt;/_isbn&gt;&lt;_issue&gt;106009&lt;/_issue&gt;&lt;_journal&gt;INTERNATIONAL JOURNAL OF ELECTRICAL POWER &amp;amp; ENERGY SYSTEMS&lt;/_journal&gt;&lt;_modified&gt;64498616&lt;/_modified&gt;&lt;_url&gt;http://gateway.isiknowledge.com/gateway/Gateway.cgi?GWVersion=2&amp;amp;SrcAuth=AegeanSoftware&amp;amp;SrcApp=NoteExpress&amp;amp;DestLinkType=FullRecord&amp;amp;DestApp=WOS&amp;amp;KeyUT=000526402600002 _x000d__x000a_https://pdf.sciencedirectassets.com/271479/1-s2.0-S0142061520X00032/1-s2.0-S0142061519326626/main.pdf?X-Amz-Security-Token=IQoJb3JpZ2luX2VjECkaCXVzLWVhc3QtMSJHMEUCIAnvOcGrnhIMSnm5jmvJzLIwd06weyA6jUASZC2LoAOeAiEA8b6AYvp7QO8n0%2B4%2FQHrvcmK1O0VYWya2heqTgwTwuzgqtAMIERADGgwwNTkwMDM1NDY4NjUiDAtfPU0oKArg8CjWOyqRAwdHK%2BhS2Tz3FjiWhcnIEUxIFTkrIniY%2BzkQOpqv5R7puNnnsdiC1iGqi5VHqcuRNtcVSJ6ojLIHDAbYwXnMTEPnN79srROQ4%2BRunL9tF%2BPInWLRJL1OAaMsTkdeSol1twRLvCXOtDs%2F4gIW4gl09AI3XzleldyeoJdN0vgkRtdqboXJWlpD5wohgp%2FE05AdjyAbvpD7lT7oeEcVc5RwqoGCcCDG2Yxn0d8Mv3uGy6DWqxi6EO4VsaDD9EUNN4O%2B40oCPL40Xj6kUPtgYBswFJdwqStwa58j3oaqtQ55NEXXEV0HJH1AoHwT0iVXKjiQvg4Jzca9FTVHwJRTEVJxBpzOYaSOgFmp2ombx50BvhzD0WaErUGXdvRcLNNkJX8rcADK2uCZkJqC4ZQeicxhc8KTRdLGULab15KZN6dsJqyGk%2FIubOH2EJTUesbXJjoqytqK8Wx75aZ0bBIwi6JiTB6Mw3I2PpIta4HeDXuGSO6dxyHPwzBTyvVeC1tol8mjiBaapGZlJDmvp6X1hhQQmMZAMIuX7vkFOusBhJfww%2BeLZgUv5ui7svB%2FPC9Y6ZDgIeACZxritkeXb6HGNXoWOW2JLA7Qg6csa7dt1BUZ74QOu17k35T6eDbiVIf%2B11AiovexPP2lxhtX5kfDRmg5HNWI%2B9mC64owz5wtdMHezgOlyKPeHxJ0v0jhsgIXtFC17by6uh3UtdJFQCs0on%2FVw%2B9p%2B8yklG2JJfnvKE%2Bp07YGAFOjLwlDo59p3dFjSk2y6R9G9julK2M4aYqL5b%2BKhxrP9VFC%2FoOSzXsGOj9FzgA9rPQEj3XNU%2Fw99hZK%2BRVpbV%2BtAMKBYhu7xt%2F3KAVcDUEIs1vT1g%3D%3D&amp;amp;X-Amz-Algorithm=AWS4-HMAC-SHA256&amp;amp;X-Amz-Date=20200818T095405Z&amp;amp;X-Amz-SignedHeaders=host&amp;amp;X-Amz-Expires=300&amp;amp;X-Amz-Credential=ASIAQ3PHCVTY6ZO6UFNC%2F20200818%2Fus-east-1%2Fs3%2Faws4_request&amp;amp;X-Amz-Signature=bb1eb39178507900615f4a0440b996f460f4abeca8a143d3e491e488c7e558c1&amp;amp;hash=a13eea57211faff35f4b1434653bf7460999e3b990dc2c8d60cd7d1530e43de8&amp;amp;host=68042c943591013ac2b2430a89b270f6af2c76d8dfd086a07176afe7c76c2c61&amp;amp;pii=S0142061519326626&amp;amp;tid=spdf-5fab884c-e826-4b89-9d5f-3c7adf0d87f0&amp;amp;sid=de8d93296b80a1431e8ba3b62ed1ee703f06gxrqa&amp;amp;type=client _x000d__x000a_&lt;/_url&gt;&lt;_volume&gt;120&lt;/_volume&gt;&lt;/Details&gt;&lt;Extra&gt;&lt;DBUID&gt;{6891F4B0-DCBA-459A-9A22-3059983243D4}&lt;/DBUID&gt;&lt;/Extra&gt;&lt;/Item&gt;&lt;/References&gt;&lt;/Group&gt;&lt;/Citation&gt;_x000a_"/>
    <w:docVar w:name="NE.Ref{1F930D9D-92A7-4D72-A2B7-DD0A98FA9C9D}" w:val=" ADDIN NE.Ref.{1F930D9D-92A7-4D72-A2B7-DD0A98FA9C9D}&lt;Citation&gt;&lt;Group&gt;&lt;References&gt;&lt;Item&gt;&lt;ID&gt;1015&lt;/ID&gt;&lt;UID&gt;{64F89B95-21AE-4035-A09A-E60F6BC5B64E}&lt;/UID&gt;&lt;Title&gt;Small Signal Stability Analysis of Multi-Infeed Power Electronic Systems Based on Grid Strength Assessment&lt;/Title&gt;&lt;Template&gt;Journal Article&lt;/Template&gt;&lt;Star&gt;0&lt;/Star&gt;&lt;Tag&gt;0&lt;/Tag&gt;&lt;Author&gt;Dong, W; Xin, H H; Wu, D; Huang, L B&lt;/Author&gt;&lt;Year&gt;2019&lt;/Year&gt;&lt;Details&gt;&lt;_alternate_title&gt;IEEE TRANSACTIONS ON POWER SYSTEMS&lt;/_alternate_title&gt;&lt;_author_adr&gt;Zhejiang Univ, Coll Elect Engn, Hangzhou 310027, Zhejiang, Peoples R China; North Dakota State Univ, Dept Elect &amp;amp; Comp Engn, Fargo, ND 58102 USA&lt;/_author_adr&gt;&lt;_cited_count&gt;36&lt;/_cited_count&gt;&lt;_date_display&gt;2019&lt;/_date_display&gt;&lt;_date&gt;2019-01-01&lt;/_date&gt;&lt;_doi&gt;10.1109/TPWRS.2018.2875305&lt;/_doi&gt;&lt;_issue&gt;2&lt;/_issue&gt;&lt;_journal&gt;IEEE TRANSACTIONS ON POWER SYSTEMS&lt;/_journal&gt;&lt;_keywords&gt;Small signal stability; grid strength; multi-infeed power electronic systems; short circuit ratio&lt;/_keywords&gt;&lt;_pages&gt;1393-1403&lt;/_pages&gt;&lt;_volume&gt;34&lt;/_volume&gt;&lt;_created&gt;64779629&lt;/_created&gt;&lt;_modified&gt;64779629&lt;/_modified&gt;&lt;_db_updated&gt;Web of Science-Core&lt;/_db_updated&gt;&lt;_impact_factor&gt;   7.326&lt;/_impact_factor&gt;&lt;_collection_scope&gt;SCI;SCIE;EI&lt;/_collection_scope&gt;&lt;/Details&gt;&lt;Extra&gt;&lt;DBUID&gt;{6891F4B0-DCBA-459A-9A22-3059983243D4}&lt;/DBUID&gt;&lt;/Extra&gt;&lt;/Item&gt;&lt;/References&gt;&lt;/Group&gt;&lt;/Citation&gt;_x000a_"/>
    <w:docVar w:name="NE.Ref{1FF1EFA0-5DF4-4C96-88E8-BF6BB418A705}" w:val=" ADDIN NE.Ref.{1FF1EFA0-5DF4-4C96-88E8-BF6BB418A705}&lt;Citation&gt;&lt;Group&gt;&lt;References&gt;&lt;Item&gt;&lt;ID&gt;405&lt;/ID&gt;&lt;UID&gt;{C391A0AF-9EBD-4FF5-9EE1-69AD9CF8325C}&lt;/UID&gt;&lt;Title&gt;Ranging patterns of hamadryas baboons: random walk analyses&lt;/Title&gt;&lt;Template&gt;Journal Article&lt;/Template&gt;&lt;Star&gt;0&lt;/Star&gt;&lt;Tag&gt;0&lt;/Tag&gt;&lt;Author&gt;Schreier, Amy L; Grove, Matt&lt;/Author&gt;&lt;Year&gt;2010&lt;/Year&gt;&lt;Details&gt;&lt;_accession_num&gt;WOS:000279153100011_x000d__x000a_ER&lt;/_accession_num&gt;&lt;_cited_count&gt;28&lt;/_cited_count&gt;&lt;_collection_scope&gt;SCI;SCIE&lt;/_collection_scope&gt;&lt;_created&gt;63641727&lt;/_created&gt;&lt;_date_display&gt;2010, JUL 2010&lt;/_date_display&gt;&lt;_db_provider&gt;ISI&lt;/_db_provider&gt;&lt;_doi&gt;10.1016/j.anbehav.2010.04.002&lt;/_doi&gt;&lt;_impact_factor&gt;   2.689&lt;/_impact_factor&gt;&lt;_isbn&gt;0003-3472&lt;/_isbn&gt;&lt;_issue&gt;1&lt;/_issue&gt;&lt;_journal&gt;ANIMAL BEHAVIOUR&lt;/_journal&gt;&lt;_modified&gt;63641727&lt;/_modified&gt;&lt;_pages&gt;75-87&lt;/_pages&gt;&lt;_url&gt;http://gateway.isiknowledge.com/gateway/Gateway.cgi?GWVersion=2&amp;amp;SrcAuth=AegeanSoftware&amp;amp;SrcApp=NoteExpress&amp;amp;DestLinkType=FullRecord&amp;amp;DestApp=WOS&amp;amp;KeyUT=000279153100011&lt;/_url&gt;&lt;_volume&gt;80&lt;/_volume&gt;&lt;/Details&gt;&lt;Extra&gt;&lt;DBUID&gt;{F96A950B-833F-4880-A151-76DA2D6A2879}&lt;/DBUID&gt;&lt;/Extra&gt;&lt;/Item&gt;&lt;/References&gt;&lt;/Group&gt;&lt;/Citation&gt;_x000a_"/>
    <w:docVar w:name="NE.Ref{20590E97-B7E8-421D-8BB6-D3864D0D29A9}" w:val=" ADDIN NE.Ref.{20590E97-B7E8-421D-8BB6-D3864D0D29A9}&lt;Citation&gt;&lt;Group&gt;&lt;References&gt;&lt;Item&gt;&lt;ID&gt;364&lt;/ID&gt;&lt;UID&gt;{A514F55E-736C-40CD-A13A-4732BD7F9BCD}&lt;/UID&gt;&lt;Title&gt;A Fault Current Limiting Approach for Commutation Failure Prevention in LCC-HVDC Transmission Systems&lt;/Title&gt;&lt;Template&gt;Journal Article&lt;/Template&gt;&lt;Star&gt;0&lt;/Star&gt;&lt;Tag&gt;0&lt;/Tag&gt;&lt;Author&gt;Mirsaeidi, Sohrab; Dong, Xinzhou; Said, Dalila Mat&lt;/Author&gt;&lt;Year&gt;2019&lt;/Year&gt;&lt;Details&gt;&lt;_accessed&gt;63445972&lt;/_accessed&gt;&lt;_accession_num&gt;WOS:000487533200019_x000d__x000a_ER&lt;/_accession_num&gt;&lt;_cited_count&gt;1&lt;/_cited_count&gt;&lt;_collection_scope&gt;SCI;SCIE;EI&lt;/_collection_scope&gt;&lt;_created&gt;63444588&lt;/_created&gt;&lt;_date_display&gt;2019, OCT 2019&lt;/_date_display&gt;&lt;_db_provider&gt;ISI&lt;/_db_provider&gt;&lt;_doi&gt;10.1109/TPWRD.2019.2907558&lt;/_doi&gt;&lt;_impact_factor&gt;   4.825&lt;/_impact_factor&gt;&lt;_isbn&gt;0885-8977&lt;/_isbn&gt;&lt;_issue&gt;5&lt;/_issue&gt;&lt;_journal&gt;IEEE TRANSACTIONS ON POWER DELIVERY&lt;/_journal&gt;&lt;_modified&gt;64498621&lt;/_modified&gt;&lt;_pages&gt;2018-2027&lt;/_pages&gt;&lt;_url&gt;http://gateway.isiknowledge.com/gateway/Gateway.cgi?GWVersion=2&amp;amp;SrcAuth=AegeanSoftware&amp;amp;SrcApp=NoteExpress&amp;amp;DestLinkType=FullRecord&amp;amp;DestApp=WOS&amp;amp;KeyUT=000487533200019 _x000d__x000a_https://ieeexplore.ieee.org/stampPDF/getPDF.jsp?tp=&amp;amp;arnumber=8674590&amp;amp;ref=aHR0cHM6Ly9pZWVleHBsb3JlLmllZWUub3JnL3Jlc3Qvc2VhcmNo _x000d__x000a_&lt;/_url&gt;&lt;_volume&gt;34&lt;/_volume&gt;&lt;/Details&gt;&lt;Extra&gt;&lt;DBUID&gt;{6891F4B0-DCBA-459A-9A22-3059983243D4}&lt;/DBUID&gt;&lt;/Extra&gt;&lt;/Item&gt;&lt;/References&gt;&lt;/Group&gt;&lt;/Citation&gt;_x000a_"/>
    <w:docVar w:name="NE.Ref{21405DB3-AC36-4D80-BE41-BEDAC8BD0CF7}" w:val=" ADDIN NE.Ref.{21405DB3-AC36-4D80-BE41-BEDAC8BD0CF7}&lt;Citation&gt;&lt;Group&gt;&lt;References&gt;&lt;Item&gt;&lt;ID&gt;364&lt;/ID&gt;&lt;UID&gt;{A514F55E-736C-40CD-A13A-4732BD7F9BCD}&lt;/UID&gt;&lt;Title&gt;A Fault Current Limiting Approach for Commutation Failure Prevention in LCC-HVDC Transmission Systems&lt;/Title&gt;&lt;Template&gt;Journal Article&lt;/Template&gt;&lt;Star&gt;0&lt;/Star&gt;&lt;Tag&gt;0&lt;/Tag&gt;&lt;Author&gt;Mirsaeidi, Sohrab; Dong, Xinzhou; Said, Dalila Mat&lt;/Author&gt;&lt;Year&gt;2019&lt;/Year&gt;&lt;Details&gt;&lt;_accessed&gt;63445972&lt;/_accessed&gt;&lt;_accession_num&gt;WOS:000487533200019_x000d__x000a_ER&lt;/_accession_num&gt;&lt;_cited_count&gt;1&lt;/_cited_count&gt;&lt;_collection_scope&gt;SCI;SCIE;EI&lt;/_collection_scope&gt;&lt;_created&gt;63444588&lt;/_created&gt;&lt;_date_display&gt;2019, OCT 2019&lt;/_date_display&gt;&lt;_db_provider&gt;ISI&lt;/_db_provider&gt;&lt;_doi&gt;10.1109/TPWRD.2019.2907558&lt;/_doi&gt;&lt;_impact_factor&gt;   4.825&lt;/_impact_factor&gt;&lt;_isbn&gt;0885-8977&lt;/_isbn&gt;&lt;_issue&gt;5&lt;/_issue&gt;&lt;_journal&gt;IEEE TRANSACTIONS ON POWER DELIVERY&lt;/_journal&gt;&lt;_modified&gt;64498621&lt;/_modified&gt;&lt;_pages&gt;2018-2027&lt;/_pages&gt;&lt;_url&gt;http://gateway.isiknowledge.com/gateway/Gateway.cgi?GWVersion=2&amp;amp;SrcAuth=AegeanSoftware&amp;amp;SrcApp=NoteExpress&amp;amp;DestLinkType=FullRecord&amp;amp;DestApp=WOS&amp;amp;KeyUT=000487533200019 _x000d__x000a_https://ieeexplore.ieee.org/stampPDF/getPDF.jsp?tp=&amp;amp;arnumber=8674590&amp;amp;ref=aHR0cHM6Ly9pZWVleHBsb3JlLmllZWUub3JnL3Jlc3Qvc2VhcmNo _x000d__x000a_&lt;/_url&gt;&lt;_volume&gt;34&lt;/_volume&gt;&lt;/Details&gt;&lt;Extra&gt;&lt;DBUID&gt;{6891F4B0-DCBA-459A-9A22-3059983243D4}&lt;/DBUID&gt;&lt;/Extra&gt;&lt;/Item&gt;&lt;/References&gt;&lt;/Group&gt;&lt;/Citation&gt;_x000a_"/>
    <w:docVar w:name="NE.Ref{21ABC19C-69DB-4EF5-AB42-7F660E0B6155}" w:val=" ADDIN NE.Ref.{21ABC19C-69DB-4EF5-AB42-7F660E0B6155}&lt;Citation&gt;&lt;Group&gt;&lt;References&gt;&lt;Item&gt;&lt;ID&gt;402&lt;/ID&gt;&lt;UID&gt;{4F3F88E2-C2E7-40D6-90B1-307645B54429}&lt;/UID&gt;&lt;Title&gt;Moth-flame optimization algorithm: A novel nature-inspired heuristic paradigm&lt;/Title&gt;&lt;Template&gt;Journal Article&lt;/Template&gt;&lt;Star&gt;0&lt;/Star&gt;&lt;Tag&gt;0&lt;/Tag&gt;&lt;Author&gt;Mirjalili, Seyedali&lt;/Author&gt;&lt;Year&gt;2015&lt;/Year&gt;&lt;Details&gt;&lt;_accession_num&gt;WOS:000364249800017_x000d__x000a_ER&lt;/_accession_num&gt;&lt;_cited_count&gt;836&lt;/_cited_count&gt;&lt;_collection_scope&gt;SCI;SCIE;EI&lt;/_collection_scope&gt;&lt;_created&gt;63641535&lt;/_created&gt;&lt;_date_display&gt;2015, NOV 2015&lt;/_date_display&gt;&lt;_db_provider&gt;ISI&lt;/_db_provider&gt;&lt;_doi&gt;10.1016/j.knosys.2015.07.006&lt;/_doi&gt;&lt;_impact_factor&gt;   5.921&lt;/_impact_factor&gt;&lt;_isbn&gt;0950-7051&lt;/_isbn&gt;&lt;_journal&gt;KNOWLEDGE-BASED SYSTEMS&lt;/_journal&gt;&lt;_modified&gt;63641535&lt;/_modified&gt;&lt;_pages&gt;228-249&lt;/_pages&gt;&lt;_url&gt;http://gateway.isiknowledge.com/gateway/Gateway.cgi?GWVersion=2&amp;amp;SrcAuth=AegeanSoftware&amp;amp;SrcApp=NoteExpress&amp;amp;DestLinkType=FullRecord&amp;amp;DestApp=WOS&amp;amp;KeyUT=000364249800017&lt;/_url&gt;&lt;_volume&gt;89&lt;/_volume&gt;&lt;/Details&gt;&lt;Extra&gt;&lt;DBUID&gt;{F96A950B-833F-4880-A151-76DA2D6A2879}&lt;/DBUID&gt;&lt;/Extra&gt;&lt;/Item&gt;&lt;/References&gt;&lt;/Group&gt;&lt;/Citation&gt;_x000a_"/>
    <w:docVar w:name="NE.Ref{21ABC350-DB7A-45E8-A72C-B8768866D7C4}" w:val=" ADDIN NE.Ref.{21ABC350-DB7A-45E8-A72C-B8768866D7C4}&lt;Citation&gt;&lt;Group&gt;&lt;References&gt;&lt;Item&gt;&lt;ID&gt;669&lt;/ID&gt;&lt;UID&gt;{5D86C198-DF12-4DB8-AD56-FC2DEC2218B7}&lt;/UID&gt;&lt;Title&gt;Constant power factor control system for HVDC transmission--1976&lt;/Title&gt;&lt;Template&gt;Journal Article&lt;/Template&gt;&lt;Star&gt;0&lt;/Star&gt;&lt;Tag&gt;0&lt;/Tag&gt;&lt;Author&gt;Nishimura, F; Watanabe, A; Fujii, N; Ogata, F&lt;/Author&gt;&lt;Year&gt;1976&lt;/Year&gt;&lt;Details&gt;&lt;_accessed&gt;63446180&lt;/_accessed&gt;&lt;_created&gt;63446175&lt;/_created&gt;&lt;_issue&gt;6&lt;/_issue&gt;&lt;_journal&gt;IEEE Transactions on Power Apparatus and Systems&lt;/_journal&gt;&lt;_modified&gt;63446182&lt;/_modified&gt;&lt;_pages&gt;1845-1853&lt;/_pages&gt;&lt;_volume&gt;PAS-95&lt;/_volume&gt;&lt;/Details&gt;&lt;Extra&gt;&lt;DBUID&gt;{6891F4B0-DCBA-459A-9A22-3059983243D4}&lt;/DBUID&gt;&lt;/Extra&gt;&lt;/Item&gt;&lt;/References&gt;&lt;/Group&gt;&lt;/Citation&gt;_x000a_"/>
    <w:docVar w:name="NE.Ref{22057070-1DF2-4E5F-9D53-CC67C77CB2D7}" w:val=" ADDIN NE.Ref.{22057070-1DF2-4E5F-9D53-CC67C77CB2D7}&lt;Citation&gt;&lt;Group&gt;&lt;References&gt;&lt;Item&gt;&lt;ID&gt;673&lt;/ID&gt;&lt;UID&gt;{3BFC353C-EF56-4F4B-836A-BD68FC86A30C}&lt;/UID&gt;&lt;Title&gt;强直弱交的定义、内涵与形式及其应对措施&lt;/Title&gt;&lt;Template&gt;Journal Article&lt;/Template&gt;&lt;Star&gt;0&lt;/Star&gt;&lt;Tag&gt;0&lt;/Tag&gt;&lt;Author&gt;郑超; 马世英; 申旭辉; 刘道伟&lt;/Author&gt;&lt;Year&gt;2017&lt;/Year&gt;&lt;Details&gt;&lt;_accessed&gt;63726866&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电网技术&lt;/_journal&gt;&lt;_modified&gt;63726867&lt;/_modified&gt;&lt;_pages&gt;2491-2498&lt;/_pages&gt;&lt;_tertiary_title&gt;Power System Technology&lt;/_tertiary_title&gt;&lt;_translated_author&gt;Zheng, Chao; Ma, Shiying; Shen, Xuhui; Liu, Daowei&lt;/_translated_author&gt;&lt;_translated_title&gt;Definition, Connotation and Form of Strong HVDC and Weak AC and Countermeasures for Stable Operation of Hybrid Power Grid&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_collection_scope&gt;CSCD;PKU;EI&lt;/_collection_scope&gt;&lt;/Details&gt;&lt;Extra&gt;&lt;DBUID&gt;{6891F4B0-DCBA-459A-9A22-3059983243D4}&lt;/DBUID&gt;&lt;/Extra&gt;&lt;/Item&gt;&lt;/References&gt;&lt;/Group&gt;&lt;/Citation&gt;_x000a_"/>
    <w:docVar w:name="NE.Ref{223384C0-9F85-4063-A0C5-A2CE227E89F7}" w:val=" ADDIN NE.Ref.{223384C0-9F85-4063-A0C5-A2CE227E89F7}&lt;Citation&gt;&lt;Group&gt;&lt;References&gt;&lt;Item&gt;&lt;ID&gt;666&lt;/ID&gt;&lt;UID&gt;{48DEA907-FD84-4BF2-AA07-D511E6BBACF5}&lt;/UID&gt;&lt;Title&gt;Decreasing the commutation failure frequency in HVDC transmission systems&lt;/Title&gt;&lt;Template&gt;Journal Article&lt;/Template&gt;&lt;Star&gt;0&lt;/Star&gt;&lt;Tag&gt;0&lt;/Tag&gt;&lt;Author&gt;Hansen, A; Havemann, K&lt;/Author&gt;&lt;Year&gt;2000&lt;/Year&gt;&lt;Details&gt;&lt;_accessed&gt;63444710&lt;/_accessed&gt;&lt;_accession_num&gt;WOS:000089629900027_x000d__x000a_ER&lt;/_accession_num&gt;&lt;_cited_count&gt;39&lt;/_cited_count&gt;&lt;_collection_scope&gt;SCI;SCIE;EI&lt;/_collection_scope&gt;&lt;_created&gt;63444588&lt;/_created&gt;&lt;_date_display&gt;2000, JUL 2000&lt;/_date_display&gt;&lt;_db_provider&gt;ISI&lt;/_db_provider&gt;&lt;_doi&gt;10.1109/61.871369&lt;/_doi&gt;&lt;_impact_factor&gt;   3.681&lt;/_impact_factor&gt;&lt;_isbn&gt;0885-8977&lt;/_isbn&gt;&lt;_issue&gt;3&lt;/_issue&gt;&lt;_journal&gt;IEEE TRANSACTIONS ON POWER DELIVERY&lt;/_journal&gt;&lt;_modified&gt;63444840&lt;/_modified&gt;&lt;_pages&gt;1022-1026&lt;/_pages&gt;&lt;_url&gt;http://gateway.isiknowledge.com/gateway/Gateway.cgi?GWVersion=2&amp;amp;SrcAuth=AegeanSoftware&amp;amp;SrcApp=NoteExpress&amp;amp;DestLinkType=FullRecord&amp;amp;DestApp=WOS&amp;amp;KeyUT=000089629900027 _x000d__x000a_https://ieeexplore.ieee.org/stampPDF/getPDF.jsp?tp=&amp;amp;arnumber=871369&amp;amp;ref=aHR0cHM6Ly9pZWVleHBsb3JlLmllZWUub3JnL3Jlc3Qvc2VhcmNo _x000d__x000a_&lt;/_url&gt;&lt;_volume&gt;15&lt;/_volume&gt;&lt;/Details&gt;&lt;Extra&gt;&lt;DBUID&gt;{6891F4B0-DCBA-459A-9A22-3059983243D4}&lt;/DBUID&gt;&lt;/Extra&gt;&lt;/Item&gt;&lt;/References&gt;&lt;/Group&gt;&lt;/Citation&gt;_x000a_"/>
    <w:docVar w:name="NE.Ref{226958E9-B115-4710-AD9C-0A50671AB3F9}" w:val=" ADDIN NE.Ref.{226958E9-B115-4710-AD9C-0A50671AB3F9}&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22E450FB-89F1-4A6C-BC9F-FE81007AE5EA}" w:val=" ADDIN NE.Ref.{22E450FB-89F1-4A6C-BC9F-FE81007AE5EA}&lt;Citation&gt;&lt;Group&gt;&lt;References&gt;&lt;Item&gt;&lt;ID&gt;536&lt;/ID&gt;&lt;UID&gt;{57F15813-FFDA-4681-99DD-6641D789DBB4}&lt;/UID&gt;&lt;Title&gt;Integrated energy systems planning with electricity, heat and gas using particle swarm optimization - ScienceDirect&lt;/Title&gt;&lt;Template&gt;Journal Article&lt;/Template&gt;&lt;Star&gt;0&lt;/Star&gt;&lt;Tag&gt;0&lt;/Tag&gt;&lt;Author&gt;Chao; Qin; Qingyou; Yan; Gang; He&lt;/Author&gt;&lt;Year&gt;0&lt;/Year&gt;&lt;Details&gt;&lt;_collection_scope&gt;SCI;SCIE;EI&lt;/_collection_scope&gt;&lt;_created&gt;63660535&lt;/_created&gt;&lt;_journal&gt;Energy&lt;/_journal&gt;&lt;_modified&gt;63660535&lt;/_modified&gt;&lt;_pages&gt;116044-116044&lt;/_pages&gt;&lt;_volume&gt;188&lt;/_volume&gt;&lt;/Details&gt;&lt;Extra&gt;&lt;DBUID&gt;{F96A950B-833F-4880-A151-76DA2D6A2879}&lt;/DBUID&gt;&lt;/Extra&gt;&lt;/Item&gt;&lt;/References&gt;&lt;/Group&gt;&lt;/Citation&gt;_x000a_"/>
    <w:docVar w:name="NE.Ref{2327956C-FC18-4416-9641-817477096271}" w:val=" ADDIN NE.Ref.{2327956C-FC18-4416-9641-817477096271}&lt;Citation&gt;&lt;Group&gt;&lt;References&gt;&lt;Item&gt;&lt;ID&gt;549&lt;/ID&gt;&lt;UID&gt;{21DF7274-139C-4FA7-A2E4-B9303C30827A}&lt;/UID&gt;&lt;Title&gt;计及源荷双侧不确定性的跨区互联电网源网荷协同调度&lt;/Title&gt;&lt;Template&gt;Journal Article&lt;/Template&gt;&lt;Star&gt;0&lt;/Star&gt;&lt;Tag&gt;0&lt;/Tag&gt;&lt;Author&gt;吕凯; 唐昊; 王珂; 汤必强; 吴海伟&lt;/Author&gt;&lt;Year&gt;2019&lt;/Year&gt;&lt;Details&gt;&lt;_author_adr&gt;合肥工业大学电气与自动化工程学院;中国电力科学研究院有限公司(南京);国网江苏省电力有限公司;&lt;/_author_adr&gt;&lt;_collection_scope&gt;CSCD;PKU;EI&lt;/_collection_scope&gt;&lt;_created&gt;63671847&lt;/_created&gt;&lt;_db_provider&gt;CNKI&lt;/_db_provider&gt;&lt;_isbn&gt;1000-1026&lt;/_isbn&gt;&lt;_issue&gt;22&lt;/_issue&gt;&lt;_journal&gt;电力系统自动化&lt;/_journal&gt;&lt;_keywords&gt;跨区互联电网;日前优化调度;源荷双侧不确定性;协同调度;多目标&lt;/_keywords&gt;&lt;_modified&gt;63671847&lt;/_modified&gt;&lt;_pages&gt;38-45+150&lt;/_pages&gt;&lt;_volume&gt;43&lt;/_volume&gt;&lt;_translated_author&gt;Lu, Kai;Tang, Hao;Wang, Ke;Tang, Biqiang;Wu, Haiwei&lt;/_translated_author&gt;&lt;/Details&gt;&lt;Extra&gt;&lt;DBUID&gt;{F96A950B-833F-4880-A151-76DA2D6A2879}&lt;/DBUID&gt;&lt;/Extra&gt;&lt;/Item&gt;&lt;/References&gt;&lt;/Group&gt;&lt;/Citation&gt;_x000a_"/>
    <w:docVar w:name="NE.Ref{23B01B96-CA1B-491A-B337-D5E5897A6AF0}" w:val=" ADDIN NE.Ref.{23B01B96-CA1B-491A-B337-D5E5897A6AF0}&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23F12B6C-B38D-46A3-B86E-9AD86C9D7016}" w:val=" ADDIN NE.Ref.{23F12B6C-B38D-46A3-B86E-9AD86C9D7016}&lt;Citation&gt;&lt;Group&gt;&lt;References&gt;&lt;Item&gt;&lt;ID&gt;586&lt;/ID&gt;&lt;UID&gt;{357AB647-38D1-4E0E-A040-9CB6BE4E0485}&lt;/UID&gt;&lt;Title&gt;Dynamic economic emission dispatch using nondominated sorting genetic algorithm-II&lt;/Title&gt;&lt;Template&gt;Journal Article&lt;/Template&gt;&lt;Star&gt;0&lt;/Star&gt;&lt;Tag&gt;0&lt;/Tag&gt;&lt;Author&gt;Basu, M&lt;/Author&gt;&lt;Year&gt;2008&lt;/Year&gt;&lt;Details&gt;&lt;_collection_scope&gt;SCIE;EI&lt;/_collection_scope&gt;&lt;_created&gt;63704950&lt;/_created&gt;&lt;_impact_factor&gt;   3.588&lt;/_impact_factor&gt;&lt;_issue&gt;2&lt;/_issue&gt;&lt;_journal&gt;International Journal of Electrical Power &amp;amp; Energy Systems&lt;/_journal&gt;&lt;_modified&gt;63704950&lt;/_modified&gt;&lt;_pages&gt;140-149&lt;/_pages&gt;&lt;_volume&gt;30&lt;/_volume&gt;&lt;/Details&gt;&lt;Extra&gt;&lt;DBUID&gt;{F96A950B-833F-4880-A151-76DA2D6A2879}&lt;/DBUID&gt;&lt;/Extra&gt;&lt;/Item&gt;&lt;/References&gt;&lt;/Group&gt;&lt;/Citation&gt;_x000a_"/>
    <w:docVar w:name="NE.Ref{249AD440-A601-407D-8DFE-A0DF6758E25D}" w:val=" ADDIN NE.Ref.{249AD440-A601-407D-8DFE-A0DF6758E25D}&lt;Citation&gt;&lt;Group&gt;&lt;References&gt;&lt;Item&gt;&lt;ID&gt;452&lt;/ID&gt;&lt;UID&gt;{15E99C73-4689-40A2-A5C1-D027AC97E65C}&lt;/UID&gt;&lt;Title&gt;考虑降低多馈入直流换相失败风险的动态无功补偿配置方法&lt;/Title&gt;&lt;Template&gt;Journal Article&lt;/Template&gt;&lt;Star&gt;0&lt;/Star&gt;&lt;Tag&gt;0&lt;/Tag&gt;&lt;Author&gt;周仕豪; 唐飞; 刘涤尘; 张谦; 王少辉; 殷巧玲&lt;/Author&gt;&lt;Year&gt;2018&lt;/Year&gt;&lt;Details&gt;&lt;_accessed&gt;63445965&lt;/_accessed&gt;&lt;_accession_num&gt;CSCD:6346469_x000d__x000a_ER&lt;/_accession_num&gt;&lt;_cited_count&gt;1&lt;/_cited_count&gt;&lt;_collection_scope&gt;CSCD;PKU;EI&lt;/_collection_scope&gt;&lt;_created&gt;63444588&lt;/_created&gt;&lt;_date_display&gt;2018, 2018&lt;/_date_display&gt;&lt;_db_provider&gt;ISI&lt;/_db_provider&gt;&lt;_isbn&gt;1003-6520&lt;/_isbn&gt;&lt;_issue&gt;1003-6520(2018)44:10&amp;lt;3258:KLJDDK&amp;gt;2.0.TX;2-610&lt;/_issue&gt;&lt;_journal&gt;高电压技术&lt;/_journal&gt;&lt;_modified&gt;63445965&lt;/_modified&gt;&lt;_pages&gt;3258-3265&lt;/_pages&gt;&lt;_tertiary_title&gt;High Voltage Engineering&lt;/_tertiary_title&gt;&lt;_translated_author&gt;Zhou, Shihao; Tang, Fei; Liu, Dichen; Zhang, Qian; Wang, Shaohui; Yin, Qiaoling&lt;/_translated_author&gt;&lt;_translated_title&gt;Dynamic Reactive Power Compensation Configuration Method for Reducing the Risk of Commutation Failure in Multi-infeed DC System&lt;/_translated_title&gt;&lt;_url&gt;CSCD:6346469&lt;/_url&gt;&lt;_volume&gt;44&lt;/_volume&gt;&lt;/Details&gt;&lt;Extra&gt;&lt;DBUID&gt;{6891F4B0-DCBA-459A-9A22-3059983243D4}&lt;/DBUID&gt;&lt;/Extra&gt;&lt;/Item&gt;&lt;/References&gt;&lt;/Group&gt;&lt;Group&gt;&lt;References&gt;&lt;Item&gt;&lt;ID&gt;467&lt;/ID&gt;&lt;UID&gt;{94461B99-FB0D-44B8-B267-E425DB2E981C}&lt;/UID&gt;&lt;Title&gt;一种抑制HVDC换相失败的STATCOM补偿方案&lt;/Title&gt;&lt;Template&gt;Journal Article&lt;/Template&gt;&lt;Star&gt;0&lt;/Star&gt;&lt;Tag&gt;0&lt;/Tag&gt;&lt;Author&gt;王轩; 魏宏; 欧朱建; 付永生; 喻劲松&lt;/Author&gt;&lt;Year&gt;2018&lt;/Year&gt;&lt;Details&gt;&lt;_accessed&gt;63445970&lt;/_accessed&gt;&lt;_accession_num&gt;CSCD:6201828_x000d__x000a_ER&lt;/_accession_num&gt;&lt;_cited_count&gt;0&lt;/_cited_count&gt;&lt;_collection_scope&gt;CSCD;PKU&lt;/_collection_scope&gt;&lt;_created&gt;63444588&lt;/_created&gt;&lt;_date_display&gt;2018, 2018&lt;/_date_display&gt;&lt;_db_provider&gt;ISI&lt;/_db_provider&gt;&lt;_isbn&gt;1674-3415&lt;/_isbn&gt;&lt;_issue&gt;1674-3415(2018)46:5&amp;lt;135:YZYZHH&amp;gt;2.0.TX;2-H5&lt;/_issue&gt;&lt;_journal&gt;电力系统保护与控制&lt;/_journal&gt;&lt;_modified&gt;63445970&lt;/_modified&gt;&lt;_pages&gt;135-142&lt;/_pages&gt;&lt;_tertiary_title&gt;Power System Protection and Control&lt;/_tertiary_title&gt;&lt;_translated_author&gt;Wang, Xuan; Wei, Hong; Ou, Zhujian; Fu, Yongsheng; Yu, Jinsong&lt;/_translated_author&gt;&lt;_translated_title&gt;A STATCOM compensation scheme for suppressing commutation failure in HVDC system&lt;/_translated_title&gt;&lt;_url&gt;CSCD:6201828&lt;/_url&gt;&lt;_volume&gt;46&lt;/_volume&gt;&lt;/Details&gt;&lt;Extra&gt;&lt;DBUID&gt;{6891F4B0-DCBA-459A-9A22-3059983243D4}&lt;/DBUID&gt;&lt;/Extra&gt;&lt;/Item&gt;&lt;/References&gt;&lt;/Group&gt;&lt;Group&gt;&lt;References&gt;&lt;Item&gt;&lt;ID&gt;373&lt;/ID&gt;&lt;UID&gt;{72E84175-9852-4AD2-863A-26D495E7D1C2}&lt;/UID&gt;&lt;Title&gt;Optimal Allocation of Dynamic Var Sources for Reducing the Probability of Commutation Failure Occurrence in the Receiving-End Systems&lt;/Title&gt;&lt;Template&gt;Journal Article&lt;/Template&gt;&lt;Star&gt;0&lt;/Star&gt;&lt;Tag&gt;0&lt;/Tag&gt;&lt;Author&gt;Zhou, Yongzhi; Wu, Hao; Wei, Wei; Song, Yonghua; Deng, Hui&lt;/Author&gt;&lt;Year&gt;2019&lt;/Year&gt;&lt;Details&gt;&lt;_accessed&gt;63445973&lt;/_accessed&gt;&lt;_accession_num&gt;WOS:000457307700032_x000d__x000a_ER&lt;/_accession_num&gt;&lt;_cited_count&gt;4&lt;/_cited_count&gt;&lt;_collection_scope&gt;SCI;SCIE;EI&lt;/_collection_scope&gt;&lt;_created&gt;63444588&lt;/_created&gt;&lt;_date_display&gt;2019, FEB 2019&lt;/_date_display&gt;&lt;_db_provider&gt;ISI&lt;/_db_provider&gt;&lt;_doi&gt;10.1109/TPWRD.2018.2874976&lt;/_doi&gt;&lt;_impact_factor&gt;   3.681&lt;/_impact_factor&gt;&lt;_isbn&gt;0885-8977&lt;/_isbn&gt;&lt;_issue&gt;1&lt;/_issue&gt;&lt;_journal&gt;IEEE TRANSACTIONS ON POWER DELIVERY&lt;/_journal&gt;&lt;_modified&gt;63446042&lt;/_modified&gt;&lt;_pages&gt;324-333&lt;/_pages&gt;&lt;_url&gt;http://gateway.isiknowledge.com/gateway/Gateway.cgi?GWVersion=2&amp;amp;SrcAuth=AegeanSoftware&amp;amp;SrcApp=NoteExpress&amp;amp;DestLinkType=FullRecord&amp;amp;DestApp=WOS&amp;amp;KeyUT=000457307700032 _x000d__x000a_https://ieeexplore.ieee.org/stampPDF/getPDF.jsp?tp=&amp;amp;arnumber=8486679&amp;amp;ref=aHR0cHM6Ly9pZWVleHBsb3JlLmllZWUub3JnL3Jlc3Qvc2VhcmNo _x000d__x000a_&lt;/_url&gt;&lt;_volume&gt;34&lt;/_volume&gt;&lt;/Details&gt;&lt;Extra&gt;&lt;DBUID&gt;{6891F4B0-DCBA-459A-9A22-3059983243D4}&lt;/DBUID&gt;&lt;/Extra&gt;&lt;/Item&gt;&lt;/References&gt;&lt;/Group&gt;&lt;Group&gt;&lt;References&gt;&lt;Item&gt;&lt;ID&gt;407&lt;/ID&gt;&lt;UID&gt;{4C12275B-419C-4484-9D32-76EEC606FF1B}&lt;/UID&gt;&lt;Title&gt;一种改进的STATCOM 暂态无功控制策略&lt;/Title&gt;&lt;Template&gt;Journal Article&lt;/Template&gt;&lt;Star&gt;0&lt;/Star&gt;&lt;Tag&gt;0&lt;/Tag&gt;&lt;Author&gt;姬煜轲; 李春华; 赵晓斌; 郭龙; 李岩&lt;/Author&gt;&lt;Year&gt;2019&lt;/Year&gt;&lt;Details&gt;&lt;_accessed&gt;63446004&lt;/_accessed&gt;&lt;_accession_num&gt;CSCD:6543690_x000d__x000a_ER&lt;/_accession_num&gt;&lt;_cited_count&gt;0&lt;/_cited_count&gt;&lt;_collection_scope&gt;PKU&lt;/_collection_scope&gt;&lt;_created&gt;63444588&lt;/_created&gt;&lt;_date_display&gt;2019, 2019&lt;/_date_display&gt;&lt;_db_provider&gt;ISI&lt;/_db_provider&gt;&lt;_isbn&gt;1674-0629&lt;/_isbn&gt;&lt;_issue&gt;1674-0629(2019)13:5&amp;lt;50:YZGJDS&amp;gt;2.0.TX;2-#5&lt;/_issue&gt;&lt;_journal&gt;南方电网技术&lt;/_journal&gt;&lt;_modified&gt;63446005&lt;/_modified&gt;&lt;_pages&gt;50-57&lt;/_pages&gt;&lt;_tertiary_title&gt;Southern Power System Technology&lt;/_tertiary_title&gt;&lt;_translated_author&gt;Ji, Yuke; Li, Chunhua; Zhao, Xiaobin; Guo, Long; Li, Yan&lt;/_translated_author&gt;&lt;_translated_title&gt;An Improved STATCOM Transient Reactive Power Control Strategy&lt;/_translated_title&gt;&lt;_url&gt;CSCD:6543690&lt;/_url&gt;&lt;_volume&gt;13&lt;/_volume&gt;&lt;/Details&gt;&lt;Extra&gt;&lt;DBUID&gt;{6891F4B0-DCBA-459A-9A22-3059983243D4}&lt;/DBUID&gt;&lt;/Extra&gt;&lt;/Item&gt;&lt;/References&gt;&lt;/Group&gt;&lt;Group&gt;&lt;References&gt;&lt;Item&gt;&lt;ID&gt;335&lt;/ID&gt;&lt;UID&gt;{4689F621-908D-437F-B7CB-37D2264C6E3D}&lt;/UID&gt;&lt;Title&gt;A comprehensive improved coordinated control strategy for a STATCOM integrated HVDC system with enhanced steady/transient state behaviors&lt;/Title&gt;&lt;Template&gt;Journal Article&lt;/Template&gt;&lt;Star&gt;0&lt;/Star&gt;&lt;Tag&gt;0&lt;/Tag&gt;&lt;Author&gt;Wang, Puyu; Wang, Yongkun; Jiang, Ningqiang; Gu, Wei&lt;/Author&gt;&lt;Year&gt;2020&lt;/Year&gt;&lt;Details&gt;&lt;_accessed&gt;63446009&lt;/_accessed&gt;&lt;_accession_num&gt;WOS:000539280100003_x000d__x000a_ER&lt;/_accession_num&gt;&lt;_cited_count&gt;0&lt;/_cited_count&gt;&lt;_collection_scope&gt;SCIE;EI&lt;/_collection_scope&gt;&lt;_created&gt;63444588&lt;/_created&gt;&lt;_date_display&gt;2020, OCT 2020&lt;/_date_display&gt;&lt;_db_provider&gt;ISI&lt;/_db_provider&gt;&lt;_doi&gt;10.1016/j.ijepes.2020.106091&lt;/_doi&gt;&lt;_impact_factor&gt;   3.588&lt;/_impact_factor&gt;&lt;_isbn&gt;0142-0615&lt;/_isbn&gt;&lt;_issue&gt;106091&lt;/_issue&gt;&lt;_journal&gt;INTERNATIONAL JOURNAL OF ELECTRICAL POWER &amp;amp; ENERGY SYSTEMS&lt;/_journal&gt;&lt;_modified&gt;63446035&lt;/_modified&gt;&lt;_url&gt;http://gateway.isiknowledge.com/gateway/Gateway.cgi?GWVersion=2&amp;amp;SrcAuth=AegeanSoftware&amp;amp;SrcApp=NoteExpress&amp;amp;DestLinkType=FullRecord&amp;amp;DestApp=WOS&amp;amp;KeyUT=000539280100003 _x000d__x000a_https://pdf.sciencedirectassets.com/271479/1-s2.0-S0142061520X00044/1-s2.0-S0142061519330248/main.pdf?X-Amz-Security-Token=IQoJb3JpZ2luX2VjECoaCXVzLWVhc3QtMSJGMEQCIFMg3d9CXQZFvBYEHTkJBN3alQ0O06oPVJyx2nsCYIP%2BAiAaxERHPBboUqaQH3JZCdhyecQM0V1O7omsJwd18UlTjiq0AwgTEAMaDDA1OTAwMzU0Njg2NSIMpRVhl5UEST%2BdaRivKpEDyuGqtkhfHIGsrhaUHCuzmcycSLtftVAoEr3sOjOFBDt9pQkbmkR4qRFn7VDfEmkp23VuqzBazst9FlCMS0aBHITu5hbhfTV5UHOe7xnYwSHoRS9Uj45yrJ7bsXe1d5eVcxcXRL6AJmI1GBaZacwSIpAtqtbyU9kN256nSUa59vB8Df3Iuht53gxvnJRzGUZlJ9mjCDoA%2Bvn%2FQbmlzM%2FyiyS3qxihVnxypD8ZwEvUEpwu%2FSmXSUd53y1JsFPPV8n67PoJ4Bng9egkks3%2FOkFww0b0DDuYWgNadGffU6L0U5WXOhJSfAMXcUhCzC0zzQ5hv%2B8MUXnrYt5VgyHZ6PpqNeRrnBDAq4fPMURa804wj2bxrEYV914TQ20tWcYHZw76YBYTdevJ55Cb%2FJui58M3CHYsHjPM80bQHcoWtAASjsQML1KIps8NwctqYfWEEgnF8d%2BSN2V8gp3euqKam3vjAC5hA61vZ0E%2FS8qGo8qyCNuPs877hLQF3oLMxca8HqEZEXTpHL%2FvgdpTbQEilonKmQUwuLvu%2BQU67AH00cqZHrrAZGFx%2FC9Rutur1Oe09V68PlBLlisGjGvjciMCFNFXY0rYHnH5TNtEceAU9PheZKIdjtCMHAYICyd6VdZ2cZ2loF5z9HcvC0aWyAyO47TRzDX5UFl62OGHdJ1foyO3mtWVWnX0XQ0oizqktxIZN1cTWx7BWzFfSgGKAvH1JRs6EssxXtuZxVX1F4qsk11xPbAIZNHIiwNPQFwmf7WKcfZMZDddmnyBtsK0A7w1AGFfk8RvqJDw42UT5RnmsLVQtTLQv7vtM%2Bz8eW7Wrz1DibUsLx7h9hsxooFuVfAGtq2jsvsEWJmzAQ%3D%3D&amp;amp;X-Amz-Algorithm=AWS4-HMAC-SHA256&amp;amp;X-Amz-Date=20200818T095451Z&amp;amp;X-Amz-SignedHeaders=host&amp;amp;X-Amz-Expires=300&amp;amp;X-Amz-Credential=ASIAQ3PHCVTY5AAOB72O%2F20200818%2Fus-east-1%2Fs3%2Faws4_request&amp;amp;X-Amz-Signature=d21b30cfe1a875823209add2c13a76c1bd5e4581e47e45d1aa0c251a9418ed7f&amp;amp;hash=b8fca4e1bf342430a783201f518373255d443aa3e7826a9398cfd0cb89e9e992&amp;amp;host=68042c943591013ac2b2430a89b270f6af2c76d8dfd086a07176afe7c76c2c61&amp;amp;pii=S0142061519330248&amp;amp;tid=spdf-0cd7b4f8-f848-413a-8366-6b9fe3b55d56&amp;amp;sid=f564c3e788f1b24cdb9b250-78bf2ef1e7c1gxrqa&amp;amp;type=client _x000d__x000a_&lt;/_url&gt;&lt;_volume&gt;121&lt;/_volume&gt;&lt;/Details&gt;&lt;Extra&gt;&lt;DBUID&gt;{6891F4B0-DCBA-459A-9A22-3059983243D4}&lt;/DBUID&gt;&lt;/Extra&gt;&lt;/Item&gt;&lt;/References&gt;&lt;/Group&gt;&lt;/Citation&gt;_x000a_"/>
    <w:docVar w:name="NE.Ref{2572032F-C66C-4820-BE1D-56B4AE33ADC0}" w:val=" ADDIN NE.Ref.{2572032F-C66C-4820-BE1D-56B4AE33ADC0}&lt;Citation&gt;&lt;Group&gt;&lt;References&gt;&lt;Item&gt;&lt;ID&gt;619&lt;/ID&gt;&lt;UID&gt;{644C5603-96F6-4BD9-A132-3C879488D150}&lt;/UID&gt;&lt;Title&gt;面向风电消纳的电–气联合系统分散协调鲁棒优化调度模型&lt;/Title&gt;&lt;Template&gt;Journal Article&lt;/Template&gt;&lt;Star&gt;0&lt;/Star&gt;&lt;Tag&gt;0&lt;/Tag&gt;&lt;Author&gt;郭尊; 李庚银; 周明; 王剑晓&lt;/Author&gt;&lt;Year&gt;2020&lt;/Year&gt;&lt;Details&gt;&lt;_author_adr&gt;新能源电力系统国家重点实验室(华北电力大学);&lt;/_author_adr&gt;&lt;_collection_scope&gt;CSCD;PKU;EI&lt;/_collection_scope&gt;&lt;_created&gt;63705360&lt;/_created&gt;&lt;_db_provider&gt;CNKI&lt;/_db_provider&gt;&lt;_isbn&gt;0258-8013&lt;/_isbn&gt;&lt;_issue&gt;20&lt;/_issue&gt;&lt;_journal&gt;中国电机工程学报&lt;/_journal&gt;&lt;_keywords&gt;电–气联合系统;风电消纳;动态管存;分散协调调度;两阶段鲁棒优化&lt;/_keywords&gt;&lt;_modified&gt;63705360&lt;/_modified&gt;&lt;_pages&gt;6442-6455&lt;/_pages&gt;&lt;_volume&gt;40&lt;/_volume&gt;&lt;_translated_author&gt;Guo, Zun;Li, Gengyin;Zhou, Ming;Wang, Jianxiao&lt;/_translated_author&gt;&lt;/Details&gt;&lt;Extra&gt;&lt;DBUID&gt;{F96A950B-833F-4880-A151-76DA2D6A2879}&lt;/DBUID&gt;&lt;/Extra&gt;&lt;/Item&gt;&lt;/References&gt;&lt;/Group&gt;&lt;/Citation&gt;_x000a_"/>
    <w:docVar w:name="NE.Ref{2642B70D-DCB8-4D35-89F1-84C31FECE46D}" w:val=" ADDIN NE.Ref.{2642B70D-DCB8-4D35-89F1-84C31FECE46D}&lt;Citation&gt;&lt;Group&gt;&lt;References&gt;&lt;Item&gt;&lt;ID&gt;674&lt;/ID&gt;&lt;UID&gt;{89C9CD25-7A1B-4CDC-B1C2-52361D34149B}&lt;/UID&gt;&lt;Title&gt;A novel method to mitigate commutation failures in HVdc systems&lt;/Title&gt;&lt;Template&gt;Conference Proceedings&lt;/Template&gt;&lt;Star&gt;0&lt;/Star&gt;&lt;Tag&gt;0&lt;/Tag&gt;&lt;Author&gt;Zhang, L; Dofnas, L&lt;/Author&gt;&lt;Year&gt;2002&lt;/Year&gt;&lt;Details&gt;&lt;_accessed&gt;63483389&lt;/_accessed&gt;&lt;_created&gt;63459198&lt;/_created&gt;&lt;_date&gt;54169920&lt;/_date&gt;&lt;_modified&gt;63483389&lt;/_modified&gt;&lt;_pages&gt;51-56&lt;/_pages&gt;&lt;_secondary_title&gt; Proc. Int. Conf. Power Syst. Technol&lt;/_secondary_title&gt;&lt;_volume&gt;1&lt;/_volume&gt;&lt;/Details&gt;&lt;Extra&gt;&lt;DBUID&gt;{6891F4B0-DCBA-459A-9A22-3059983243D4}&lt;/DBUID&gt;&lt;/Extra&gt;&lt;/Item&gt;&lt;/References&gt;&lt;/Group&gt;&lt;/Citation&gt;_x000a_"/>
    <w:docVar w:name="NE.Ref{268C799A-4DFB-4CAF-B714-220BBD3D35E8}" w:val=" ADDIN NE.Ref.{268C799A-4DFB-4CAF-B714-220BBD3D35E8}&lt;Citation&gt;&lt;Group&gt;&lt;References&gt;&lt;Item&gt;&lt;ID&gt;100&lt;/ID&gt;&lt;UID&gt;{4D635D96-1EA4-47E7-947B-E7E1C72C08B9}&lt;/UID&gt;&lt;Title&gt;计及碳交易成本的含风电电力系统热电联合调度&lt;/Title&gt;&lt;Template&gt;Journal Article&lt;/Template&gt;&lt;Star&gt;0&lt;/Star&gt;&lt;Tag&gt;0&lt;/Tag&gt;&lt;Author&gt;王振浩; 许京剑; 田春光; 成龙&lt;/Author&gt;&lt;Year&gt;2020&lt;/Year&gt;&lt;Details&gt;&lt;_accessed&gt;64303949&lt;/_accessed&gt;&lt;_author_aff&gt;东北电力大学电气工程学院;吉林省电力科学研究院;&lt;/_author_aff&gt;&lt;_cited_count&gt;7&lt;/_cited_count&gt;&lt;_collection_scope&gt;CSCD;PKU;EI&lt;/_collection_scope&gt;&lt;_created&gt;64303872&lt;/_created&gt;&lt;_date&gt;63635040&lt;/_date&gt;&lt;_db_updated&gt;CNKI - Reference&lt;/_db_updated&gt;&lt;_issue&gt;12&lt;/_issue&gt;&lt;_journal&gt;太阳能学报&lt;/_journal&gt;&lt;_keywords&gt;风电;热电联产机组;调度;碳排放;CPLEX&lt;/_keywords&gt;&lt;_language&gt;Chinese&lt;/_language&gt;&lt;_modified&gt;64303949&lt;/_modified&gt;&lt;_pages&gt;245-253&lt;/_pages&gt;&lt;_url&gt;https://kns.cnki.net/kcms/detail/detail.aspx?FileName=TYLX202012034&amp;amp;DbName=DKFX2020&lt;/_url&gt;&lt;_volume&gt;41&lt;/_volume&gt;&lt;_translated_author&gt;Wang, Zhenhao;Xu, Jingjian;Tian, Chunguang;Cheng, Long&lt;/_translated_author&gt;&lt;/Details&gt;&lt;Extra&gt;&lt;DBUID&gt;{560D5FFD-5A46-4EB8-859B-FD657304A42E}&lt;/DBUID&gt;&lt;/Extra&gt;&lt;/Item&gt;&lt;/References&gt;&lt;/Group&gt;&lt;/Citation&gt;_x000a_"/>
    <w:docVar w:name="NE.Ref{272BD99C-458D-486A-AABC-FFDCD8D3E4C3}" w:val=" ADDIN NE.Ref.{272BD99C-458D-486A-AABC-FFDCD8D3E4C3}&lt;Citation&gt;&lt;Group&gt;&lt;References&gt;&lt;Item&gt;&lt;ID&gt;926&lt;/ID&gt;&lt;UID&gt;{C4A89759-66D7-4141-A1FC-B474E70AEB29}&lt;/UID&gt;&lt;Title&gt;Interaction Mechanism and Coordinated Control of Commutation Failure Prevention in Multi-Infeed Ultra-HVDC System&lt;/Title&gt;&lt;Template&gt;Journal Article&lt;/Template&gt;&lt;Star&gt;0&lt;/Star&gt;&lt;Tag&gt;0&lt;/Tag&gt;&lt;Author&gt;Yao, W; Wang, L R; Xiong, Y X; Tan, Y C; Li, D H; Li, C H; Wen, J Y&lt;/Author&gt;&lt;Year&gt;2022&lt;/Year&gt;&lt;Details&gt;&lt;_alternate_title&gt;INTERNATIONAL TRANSACTIONS ON ELECTRICAL ENERGY SYSTEMS&lt;/_alternate_title&gt;&lt;_author_adr&gt;Huazhong Univ Sci &amp;amp; Technol, Sch Elect &amp;amp; Elect Engn, State Key Lab Adv Electromagnet Engn &amp;amp; Technol, Wuhan 430074, Peoples R China; State Grid Corp China, Northwest Branch, Xian 710048, Peoples R China; Smart Grid Hubei Elect Power Co Ltd, Wuhan 430077, Peoples R China; State Grid Henan Elect Power Co, Elect Power Res Inst, Zhengzhou 450052, Peoples R China&lt;/_author_adr&gt;&lt;_cited_count&gt;3&lt;/_cited_count&gt;&lt;_collection_scope&gt;SCIE;EI&lt;/_collection_scope&gt;&lt;_created&gt;64655769&lt;/_created&gt;&lt;_date&gt;2022-01-01&lt;/_date&gt;&lt;_date_display&gt;2022&lt;/_date_display&gt;&lt;_db_updated&gt;Web of Science-Core&lt;/_db_updated&gt;&lt;_doi&gt;10.1155/2022/7088114&lt;/_doi&gt;&lt;_impact_factor&gt;   2.639&lt;/_impact_factor&gt;&lt;_journal&gt;INTERNATIONAL TRANSACTIONS ON ELECTRICAL ENERGY SYSTEMS&lt;/_journal&gt;&lt;_modified&gt;64655770&lt;/_modified&gt;&lt;_volume&gt;2022&lt;/_volume&gt;&lt;/Details&gt;&lt;Extra&gt;&lt;DBUID&gt;{6891F4B0-DCBA-459A-9A22-3059983243D4}&lt;/DBUID&gt;&lt;/Extra&gt;&lt;/Item&gt;&lt;/References&gt;&lt;/Group&gt;&lt;Group&gt;&lt;References&gt;&lt;Item&gt;&lt;ID&gt;433&lt;/ID&gt;&lt;UID&gt;{20539A2C-ABB6-496A-9339-9B01D31191F7}&lt;/UID&gt;&lt;Title&gt;Design of Direct-Current Fuzzy Controller for Mitigating Commutation Failure in HVDC System&lt;/Title&gt;&lt;Template&gt;Journal Article&lt;/Template&gt;&lt;Star&gt;0&lt;/Star&gt;&lt;Tag&gt;0&lt;/Tag&gt;&lt;Author&gt;Gao, Benfeng; Yuan, Kewei; Dong, Peiyi; Luo, Chao; Zhao, Shuqiang&lt;/Author&gt;&lt;Year&gt;2018&lt;/Year&gt;&lt;Details&gt;&lt;_accessed&gt;63445946&lt;/_accessed&gt;&lt;_accession_num&gt;WOS:000435496700005_x000d__x000a_ER&lt;/_accession_num&gt;&lt;_cited_count&gt;2&lt;/_cited_count&gt;&lt;_collection_scope&gt;SCIE;EI&lt;/_collection_scope&gt;&lt;_created&gt;63444588&lt;/_created&gt;&lt;_date_display&gt;2018, JUL 2018&lt;/_date_display&gt;&lt;_db_provider&gt;ISI&lt;/_db_provider&gt;&lt;_doi&gt;10.5370/JEET.2018.13.4.1450&lt;/_doi&gt;&lt;_impact_factor&gt;   1.528&lt;/_impact_factor&gt;&lt;_isbn&gt;1975-0102&lt;/_isbn&gt;&lt;_issue&gt;4&lt;/_issue&gt;&lt;_journal&gt;JOURNAL OF ELECTRICAL ENGINEERING &amp;amp; TECHNOLOGY&lt;/_journal&gt;&lt;_modified&gt;64498636&lt;/_modified&gt;&lt;_pages&gt;1450-1458&lt;/_pages&gt;&lt;_url&gt;http://gateway.isiknowledge.com/gateway/Gateway.cgi?GWVersion=2&amp;amp;SrcAuth=AegeanSoftware&amp;amp;SrcApp=NoteExpress&amp;amp;DestLinkType=FullRecord&amp;amp;DestApp=WOS&amp;amp;KeyUT=000435496700005&lt;/_url&gt;&lt;_volume&gt;13&lt;/_volume&gt;&lt;/Details&gt;&lt;Extra&gt;&lt;DBUID&gt;{6891F4B0-DCBA-459A-9A22-3059983243D4}&lt;/DBUID&gt;&lt;/Extra&gt;&lt;/Item&gt;&lt;/References&gt;&lt;/Group&gt;&lt;/Citation&gt;_x000a_"/>
    <w:docVar w:name="NE.Ref{272F6F74-A07A-4D4E-B535-B40929321850}" w:val=" ADDIN NE.Ref.{272F6F74-A07A-4D4E-B535-B40929321850}&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27F9A41D-CB59-44F3-B4FA-96E1E7CD5621}" w:val=" ADDIN NE.Ref.{27F9A41D-CB59-44F3-B4FA-96E1E7CD5621}&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28DCCEEA-3FCC-4957-AB3C-7A5989574584}" w:val=" ADDIN NE.Ref.{28DCCEEA-3FCC-4957-AB3C-7A5989574584}&lt;Citation&gt;&lt;Group&gt;&lt;References&gt;&lt;Item&gt;&lt;ID&gt;668&lt;/ID&gt;&lt;UID&gt;{E75F96D4-2A3C-4D2B-B3E2-F702CD3D727A}&lt;/UID&gt;&lt;Title&gt;COMMUTATION FAILURES IN HVDC TRANSMISSION SYSTEMS&lt;/Title&gt;&lt;Template&gt;Journal Article&lt;/Template&gt;&lt;Star&gt;0&lt;/Star&gt;&lt;Tag&gt;5&lt;/Tag&gt;&lt;Author&gt;Thio, C V; Davies, J B; Kent, K L&lt;/Author&gt;&lt;Year&gt;1996&lt;/Year&gt;&lt;Details&gt;&lt;_accessed&gt;63446178&lt;/_accessed&gt;&lt;_collection_scope&gt;SCI;SCIE;EI&lt;/_collection_scope&gt;&lt;_created&gt;63446175&lt;/_created&gt;&lt;_impact_factor&gt;   3.681&lt;/_impact_factor&gt;&lt;_issue&gt;2&lt;/_issue&gt;&lt;_journal&gt;IEEE Transactions on Power Delivery&lt;/_journal&gt;&lt;_modified&gt;63726871&lt;/_modified&gt;&lt;_pages&gt;946-957&lt;/_pages&gt;&lt;_volume&gt;11&lt;/_volume&gt;&lt;/Details&gt;&lt;Extra&gt;&lt;DBUID&gt;{6891F4B0-DCBA-459A-9A22-3059983243D4}&lt;/DBUID&gt;&lt;/Extra&gt;&lt;/Item&gt;&lt;/References&gt;&lt;/Group&gt;&lt;Group&gt;&lt;References&gt;&lt;Item&gt;&lt;ID&gt;615&lt;/ID&gt;&lt;UID&gt;{290BCD97-398B-4C6A-BB26-2F662D91A427}&lt;/UID&gt;&lt;Title&gt;Commutation Failure Analysis in Multi-Infeed HVDC Systems&lt;/Title&gt;&lt;Template&gt;Journal Article&lt;/Template&gt;&lt;Star&gt;0&lt;/Star&gt;&lt;Tag&gt;0&lt;/Tag&gt;&lt;Author&gt;Rahimi, Ebrahim; Gole, A M; Davies, J B; Fernando, Ioni T; Kent, K L&lt;/Author&gt;&lt;Year&gt;2011&lt;/Year&gt;&lt;Details&gt;&lt;_accessed&gt;63445738&lt;/_accessed&gt;&lt;_accession_num&gt;WOS:000285845600043_x000d__x000a_ER&lt;/_accession_num&gt;&lt;_cited_count&gt;125&lt;/_cited_count&gt;&lt;_collection_scope&gt;SCI;SCIE;EI&lt;/_collection_scope&gt;&lt;_created&gt;63444588&lt;/_created&gt;&lt;_date_display&gt;2011, JAN 2011&lt;/_date_display&gt;&lt;_db_provider&gt;ISI&lt;/_db_provider&gt;&lt;_doi&gt;10.1109/TPWRD.2010.2081692&lt;/_doi&gt;&lt;_impact_factor&gt;   3.681&lt;/_impact_factor&gt;&lt;_isbn&gt;0885-8977&lt;/_isbn&gt;&lt;_issue&gt;1&lt;/_issue&gt;&lt;_journal&gt;IEEE TRANSACTIONS ON POWER DELIVERY&lt;/_journal&gt;&lt;_modified&gt;63445741&lt;/_modified&gt;&lt;_pages&gt;378-384&lt;/_pages&gt;&lt;_url&gt;http://gateway.isiknowledge.com/gateway/Gateway.cgi?GWVersion=2&amp;amp;SrcAuth=AegeanSoftware&amp;amp;SrcApp=NoteExpress&amp;amp;DestLinkType=FullRecord&amp;amp;DestApp=WOS&amp;amp;KeyUT=000285845600043 _x000d__x000a_https://ieeexplore.ieee.org/stampPDF/getPDF.jsp?tp=&amp;amp;arnumber=5673966&amp;amp;ref=aHR0cHM6Ly9pZWVleHBsb3JlLmllZWUub3JnL3Jlc3Qvc2VhcmNo _x000d__x000a_&lt;/_url&gt;&lt;_volume&gt;26&lt;/_volume&gt;&lt;/Details&gt;&lt;Extra&gt;&lt;DBUID&gt;{6891F4B0-DCBA-459A-9A22-3059983243D4}&lt;/DBUID&gt;&lt;/Extra&gt;&lt;/Item&gt;&lt;/References&gt;&lt;/Group&gt;&lt;/Citation&gt;_x000a_"/>
    <w:docVar w:name="NE.Ref{296AE95C-2828-4E12-B495-AF2A508EF157}" w:val=" ADDIN NE.Ref.{296AE95C-2828-4E12-B495-AF2A508EF157}&lt;Citation&gt;&lt;Group&gt;&lt;References&gt;&lt;Item&gt;&lt;ID&gt;483&lt;/ID&gt;&lt;UID&gt;{D4EBEA66-1FC7-4458-A648-8EFAA58D3C43}&lt;/UID&gt;&lt;Title&gt;Probability distribution calculation of the sum of hydrological random variables based on Copula function approach&lt;/Title&gt;&lt;Template&gt;Journal Article&lt;/Template&gt;&lt;Star&gt;0&lt;/Star&gt;&lt;Tag&gt;0&lt;/Tag&gt;&lt;Author&gt;Song, Songbai; Wang, Xiaojun&lt;/Author&gt;&lt;Year&gt;2018&lt;/Year&gt;&lt;Details&gt;&lt;_accession_num&gt;CSCD:6279013_x000d__x000a_ER&lt;/_accession_num&gt;&lt;_cited_count&gt;0&lt;/_cited_count&gt;&lt;_collection_scope&gt;SCI;SCIE;EI&lt;/_collection_scope&gt;&lt;_created&gt;63650344&lt;/_created&gt;&lt;_date_display&gt;2018, 2018&lt;/_date_display&gt;&lt;_db_provider&gt;ISI&lt;/_db_provider&gt;&lt;_impact_factor&gt;   1.993&lt;/_impact_factor&gt;&lt;_isbn&gt;0559-9350&lt;/_isbn&gt;&lt;_issue&gt;0559-9350(2018)49:6&amp;lt;687:JYCHSD&amp;gt;2.0.TX;2-G6&lt;/_issue&gt;&lt;_journal&gt;Journal of Hydraulic Engineering&lt;/_journal&gt;&lt;_modified&gt;63650344&lt;/_modified&gt;&lt;_pages&gt;687-693&lt;/_pages&gt;&lt;_tertiary_title&gt;水利学报&lt;/_tertiary_title&gt;&lt;_translated_author&gt;宋松柏_x000d__x000a_   王小军&lt;/_translated_author&gt;&lt;_translated_title&gt;基于Copula 函数的水文随机变量和概率分布计算&lt;/_translated_title&gt;&lt;_url&gt;CSCD:6279013&lt;/_url&gt;&lt;_volume&gt;49&lt;/_volume&gt;&lt;/Details&gt;&lt;Extra&gt;&lt;DBUID&gt;{F96A950B-833F-4880-A151-76DA2D6A2879}&lt;/DBUID&gt;&lt;/Extra&gt;&lt;/Item&gt;&lt;/References&gt;&lt;/Group&gt;&lt;/Citation&gt;_x000a_"/>
    <w:docVar w:name="NE.Ref{2B6755A4-0885-47E2-A0B9-271223850DA0}" w:val=" ADDIN NE.Ref.{2B6755A4-0885-47E2-A0B9-271223850DA0}&lt;Citation&gt;&lt;Group&gt;&lt;References&gt;&lt;Item&gt;&lt;ID&gt;402&lt;/ID&gt;&lt;UID&gt;{4F3F88E2-C2E7-40D6-90B1-307645B54429}&lt;/UID&gt;&lt;Title&gt;Moth-flame optimization algorithm: A novel nature-inspired heuristic paradigm&lt;/Title&gt;&lt;Template&gt;Journal Article&lt;/Template&gt;&lt;Star&gt;0&lt;/Star&gt;&lt;Tag&gt;0&lt;/Tag&gt;&lt;Author&gt;Mirjalili, Seyedali&lt;/Author&gt;&lt;Year&gt;2015&lt;/Year&gt;&lt;Details&gt;&lt;_accession_num&gt;WOS:000364249800017_x000d__x000a_ER&lt;/_accession_num&gt;&lt;_cited_count&gt;836&lt;/_cited_count&gt;&lt;_collection_scope&gt;SCI;SCIE;EI&lt;/_collection_scope&gt;&lt;_created&gt;63641535&lt;/_created&gt;&lt;_date_display&gt;2015, NOV 2015&lt;/_date_display&gt;&lt;_db_provider&gt;ISI&lt;/_db_provider&gt;&lt;_doi&gt;10.1016/j.knosys.2015.07.006&lt;/_doi&gt;&lt;_impact_factor&gt;   5.921&lt;/_impact_factor&gt;&lt;_isbn&gt;0950-7051&lt;/_isbn&gt;&lt;_journal&gt;KNOWLEDGE-BASED SYSTEMS&lt;/_journal&gt;&lt;_modified&gt;63641535&lt;/_modified&gt;&lt;_pages&gt;228-249&lt;/_pages&gt;&lt;_url&gt;http://gateway.isiknowledge.com/gateway/Gateway.cgi?GWVersion=2&amp;amp;SrcAuth=AegeanSoftware&amp;amp;SrcApp=NoteExpress&amp;amp;DestLinkType=FullRecord&amp;amp;DestApp=WOS&amp;amp;KeyUT=000364249800017&lt;/_url&gt;&lt;_volume&gt;89&lt;/_volume&gt;&lt;/Details&gt;&lt;Extra&gt;&lt;DBUID&gt;{F96A950B-833F-4880-A151-76DA2D6A2879}&lt;/DBUID&gt;&lt;/Extra&gt;&lt;/Item&gt;&lt;/References&gt;&lt;/Group&gt;&lt;/Citation&gt;_x000a_"/>
    <w:docVar w:name="NE.Ref{2B8D74C9-4C59-4D8B-BC13-06283F8B5901}" w:val=" ADDIN NE.Ref.{2B8D74C9-4C59-4D8B-BC13-06283F8B5901}&lt;Citation&gt;&lt;Group&gt;&lt;References&gt;&lt;Item&gt;&lt;ID&gt;374&lt;/ID&gt;&lt;UID&gt;{60C32E17-1406-47C8-B648-8DF03F43201E}&lt;/UID&gt;&lt;Title&gt;大规模风电集中接入下直流换相失败引发交流联络线功率波动的机理&lt;/Title&gt;&lt;Template&gt;Journal Article&lt;/Template&gt;&lt;Star&gt;0&lt;/Star&gt;&lt;Tag&gt;0&lt;/Tag&gt;&lt;Author&gt;李峰; 蔡万通; 林勇; 左郑敏; 余浩; 许亮; 黄欣; 张野&lt;/Author&gt;&lt;Year&gt;2019&lt;/Year&gt;&lt;Details&gt;&lt;_accessed&gt;63445973&lt;/_accessed&gt;&lt;_accession_num&gt;CSCD:6647672_x000d__x000a_ER&lt;/_accession_num&gt;&lt;_cited_count&gt;0&lt;/_cited_count&gt;&lt;_collection_scope&gt;PKU&lt;/_collection_scope&gt;&lt;_created&gt;63444588&lt;/_created&gt;&lt;_date_display&gt;2019, 2019&lt;/_date_display&gt;&lt;_db_provider&gt;ISI&lt;/_db_provider&gt;&lt;_isbn&gt;1674-0629&lt;/_isbn&gt;&lt;_issue&gt;1674-0629(2019)13:11&amp;lt;29:DGMFDJ&amp;gt;2.0.TX;2-P11&lt;/_issue&gt;&lt;_journal&gt;南方电网技术&lt;/_journal&gt;&lt;_modified&gt;63445973&lt;/_modified&gt;&lt;_pages&gt;29-34&lt;/_pages&gt;&lt;_tertiary_title&gt;Southern Power System Technology&lt;/_tertiary_title&gt;&lt;_translated_author&gt;Li, Feng; Cai, Wantong; Lin, Yong; Zuo, Zhengmin; Yu, Hao; Xu, Liang; Huang, Xin; Zhang, Ye&lt;/_translated_author&gt;&lt;_translated_title&gt;Mechanism of AC Tie-Line Power Oscillation Caused by Commutation Failure Under the Circumstance of Large Scale Wind Power Connecting to Power Grid&lt;/_translated_title&gt;&lt;_url&gt;CSCD:6647672&lt;/_url&gt;&lt;_volume&gt;13&lt;/_volume&gt;&lt;/Details&gt;&lt;Extra&gt;&lt;DBUID&gt;{6891F4B0-DCBA-459A-9A22-3059983243D4}&lt;/DBUID&gt;&lt;/Extra&gt;&lt;/Item&gt;&lt;/References&gt;&lt;/Group&gt;&lt;Group&gt;&lt;References&gt;&lt;Item&gt;&lt;ID&gt;547&lt;/ID&gt;&lt;UID&gt;{EA279023-C05B-4685-BE43-53EEE56CEBBF}&lt;/UID&gt;&lt;Title&gt;Fast Calculation of Power Oscillation Peak Value on AC Tie-Line After HVDC Commutation Failure&lt;/Title&gt;&lt;Template&gt;Journal Article&lt;/Template&gt;&lt;Star&gt;0&lt;/Star&gt;&lt;Tag&gt;0&lt;/Tag&gt;&lt;Author&gt;He, Jian; Tang, Yong; Zhang, Jian; Guo, Qiang; Yi, Jun; Bu, Guangquan&lt;/Author&gt;&lt;Year&gt;2015&lt;/Year&gt;&lt;Details&gt;&lt;_accessed&gt;63470222&lt;/_accessed&gt;&lt;_accession_num&gt;WOS:000356531600055_x000d__x000a_ER&lt;/_accession_num&gt;&lt;_cited_count&gt;14&lt;/_cited_count&gt;&lt;_collection_scope&gt;SCI;SCIE;EI&lt;/_collection_scope&gt;&lt;_created&gt;63444588&lt;/_created&gt;&lt;_date_display&gt;2015, JUL 2015&lt;/_date_display&gt;&lt;_db_provider&gt;ISI&lt;/_db_provider&gt;&lt;_doi&gt;10.1109/TPWRS.2014.2357222&lt;/_doi&gt;&lt;_impact_factor&gt;   6.074&lt;/_impact_factor&gt;&lt;_isbn&gt;0885-8950&lt;/_isbn&gt;&lt;_issue&gt;4&lt;/_issue&gt;&lt;_journal&gt;IEEE TRANSACTIONS ON POWER SYSTEMS&lt;/_journal&gt;&lt;_modified&gt;63446132&lt;/_modified&gt;&lt;_pages&gt;2194-2195&lt;/_pages&gt;&lt;_url&gt;http://gateway.isiknowledge.com/gateway/Gateway.cgi?GWVersion=2&amp;amp;SrcAuth=AegeanSoftware&amp;amp;SrcApp=NoteExpress&amp;amp;DestLinkType=FullRecord&amp;amp;DestApp=WOS&amp;amp;KeyUT=000356531600055 _x000d__x000a_https://ieeexplore.ieee.org/stampPDF/getPDF.jsp?tp=&amp;amp;arnumber=6906308&amp;amp;ref=aHR0cHM6Ly9pZWVleHBsb3JlLmllZWUub3JnL3Jlc3Qvc2VhcmNo _x000d__x000a_&lt;/_url&gt;&lt;_volume&gt;30&lt;/_volume&gt;&lt;/Details&gt;&lt;Extra&gt;&lt;DBUID&gt;{6891F4B0-DCBA-459A-9A22-3059983243D4}&lt;/DBUID&gt;&lt;/Extra&gt;&lt;/Item&gt;&lt;/References&gt;&lt;/Group&gt;&lt;Group&gt;&lt;References&gt;&lt;Item&gt;&lt;ID&gt;572&lt;/ID&gt;&lt;UID&gt;{AB3BA30F-21EF-4034-BF45-61ECBC90F4FB}&lt;/UID&gt;&lt;Title&gt;直流换相失败冲击下的两区域交流联络线功率波动峰值计算&lt;/Title&gt;&lt;Template&gt;Journal Article&lt;/Template&gt;&lt;Star&gt;0&lt;/Star&gt;&lt;Tag&gt;0&lt;/Tag&gt;&lt;Author&gt;何剑; 张健; 郭强; 汤涌; 易俊; 卜广全&lt;/Author&gt;&lt;Year&gt;2015&lt;/Year&gt;&lt;Details&gt;&lt;_accessed&gt;63445918&lt;/_accessed&gt;&lt;_accession_num&gt;CSCD:5356554_x000d__x000a_ER&lt;/_accession_num&gt;&lt;_cited_count&gt;7&lt;/_cited_count&gt;&lt;_collection_scope&gt;CSCD;PKU;EI&lt;/_collection_scope&gt;&lt;_created&gt;63444588&lt;/_created&gt;&lt;_date_display&gt;2015, 2015&lt;/_date_display&gt;&lt;_db_provider&gt;ISI&lt;/_db_provider&gt;&lt;_isbn&gt;0258-8013&lt;/_isbn&gt;&lt;_issue&gt;0258-8013(2015)35:4&amp;lt;804:ZLHXSB&amp;gt;2.0.TX;2-P4&lt;/_issue&gt;&lt;_journal&gt;中国电机工程学报&lt;/_journal&gt;&lt;_modified&gt;63445918&lt;/_modified&gt;&lt;_pages&gt;804-810&lt;/_pages&gt;&lt;_tertiary_title&gt; Proceedings of the Chinese Society of Electrical Engineering&lt;/_tertiary_title&gt;&lt;_translated_author&gt;He, Jian; Zhang, Jian; Guo, Qiang; Tang, Yong; Yi, Jun; Bu, Guangquan&lt;/_translated_author&gt;&lt;_translated_title&gt;Peak Value Calculation of Power Oscillation on AC Tie-line for Two-area Interconnected Power Systems Caused by HVDC Commutation Failure&lt;/_translated_title&gt;&lt;_url&gt;CSCD:5356554&lt;/_url&gt;&lt;_volume&gt;35&lt;/_volume&gt;&lt;/Details&gt;&lt;Extra&gt;&lt;DBUID&gt;{6891F4B0-DCBA-459A-9A22-3059983243D4}&lt;/DBUID&gt;&lt;/Extra&gt;&lt;/Item&gt;&lt;/References&gt;&lt;/Group&gt;&lt;Group&gt;&lt;References&gt;&lt;Item&gt;&lt;ID&gt;670&lt;/ID&gt;&lt;UID&gt;{C52C7549-6C4E-4EBE-9351-A8E8FC96DCA1}&lt;/UID&gt;&lt;Title&gt;Analysis of the sending-side system instability caused by multiple HVDC commutation failure&lt;/Title&gt;&lt;Template&gt;Journal Article&lt;/Template&gt;&lt;Star&gt;0&lt;/Star&gt;&lt;Tag&gt;0&lt;/Tag&gt;&lt;Author&gt;Tu, Jingzhe; Zhang, Jian; Bu, Guangquan; Yi, Jun; Yin, Yonghua; Jia, Junchuan&lt;/Author&gt;&lt;Year&gt;2015&lt;/Year&gt;&lt;Details&gt;&lt;_accessed&gt;63727867&lt;/_accessed&gt;&lt;_created&gt;63446184&lt;/_created&gt;&lt;_db_updated&gt;CrossRef&lt;/_db_updated&gt;&lt;_doi&gt;10.17775/CSEEJPES.2015.00051&lt;/_doi&gt;&lt;_impact_factor&gt;   3.115&lt;/_impact_factor&gt;&lt;_isbn&gt;2096-0042&lt;/_isbn&gt;&lt;_issue&gt;4&lt;/_issue&gt;&lt;_journal&gt;CSEE Journal of Power and Energy Systems&lt;/_journal&gt;&lt;_modified&gt;63480623&lt;/_modified&gt;&lt;_pages&gt;37-44&lt;/_pages&gt;&lt;_tertiary_title&gt;CSEE Power and Energy Syst.&lt;/_tertiary_title&gt;&lt;_url&gt;http://ieeexplore.ieee.org/lpdocs/epic03/wrapper.htm?arnumber=7377172 _x000d__x000a_http://ieeexplore.ieee.org/stamp/stamp.jsp?arnumber=7377172 _x000d__x000a_https://ieeexplore.ieee.org/ielx7/7054730/7377160/07377172.pdf?tp=&amp;amp;arnumber=7377172&amp;amp;isnumber=7377160&amp;amp;ref=aHR0cHM6Ly9pZWVleHBsb3JlLmllZWUub3JnL3Jlc3Qvc2VhcmNo _x000d__x000a_&lt;/_url&gt;&lt;_volume&gt;1&lt;/_volume&gt;&lt;/Details&gt;&lt;Extra&gt;&lt;DBUID&gt;{6891F4B0-DCBA-459A-9A22-3059983243D4}&lt;/DBUID&gt;&lt;/Extra&gt;&lt;/Item&gt;&lt;/References&gt;&lt;/Group&gt;&lt;/Citation&gt;_x000a_"/>
    <w:docVar w:name="NE.Ref{2BB2EF2B-9660-4A5A-871F-CC837E81E326}" w:val=" ADDIN NE.Ref.{2BB2EF2B-9660-4A5A-871F-CC837E81E326}&lt;Citation&gt;&lt;Group&gt;&lt;References&gt;&lt;Item&gt;&lt;ID&gt;876&lt;/ID&gt;&lt;UID&gt;{08025A91-1F64-486D-918B-EF125908750C}&lt;/UID&gt;&lt;Title&gt;特高压直流完全闭锁后的暂态压升计算方法&lt;/Title&gt;&lt;Template&gt;Journal Article&lt;/Template&gt;&lt;Star&gt;0&lt;/Star&gt;&lt;Tag&gt;0&lt;/Tag&gt;&lt;Author&gt;辛超山; 尹纯亚; 李凤婷; 刘新刚&lt;/Author&gt;&lt;Year&gt;2020&lt;/Year&gt;&lt;Details&gt;&lt;_accessed&gt;64647186&lt;/_accessed&gt;&lt;_author_aff&gt;国网新疆电力有限公司经济技术研究院;新疆大学电气工程学院;中国能源建设集团新疆电力设计院;&lt;/_author_aff&gt;&lt;_cited_count&gt;7&lt;/_cited_count&gt;&lt;_collection_scope&gt;PKU&lt;/_collection_scope&gt;&lt;_created&gt;64646879&lt;/_created&gt;&lt;_date&gt;2020-02-25&lt;/_date&gt;&lt;_db_updated&gt;CNKI - Reference&lt;/_db_updated&gt;&lt;_issue&gt;01&lt;/_issue&gt;&lt;_journal&gt;电力电容器与无功补偿&lt;/_journal&gt;&lt;_keywords&gt;特高压直流;直流闭锁;暂态过电压;无功功率;短路容量&lt;/_keywords&gt;&lt;_modified&gt;64647187&lt;/_modified&gt;&lt;_pages&gt;184-190&lt;/_pages&gt;&lt;_tertiary_title&gt;Power Capacitor &amp;amp; Reactive Power Compensation&lt;/_tertiary_title&gt;&lt;_translated_author&gt;XIN, Chaoshan; YIN, Chunya; LI, Fengting; LIU, Xingang&lt;/_translated_author&gt;&lt;_translated_title&gt;Calculation Method of Transient Voltage Rise after UHVDC Complete Blocking&lt;/_translated_title&gt;&lt;_url&gt;https://kns.cnki.net/kcms/detail/detail.aspx?FileName=DLDY202001029&amp;amp;DbName=CJFQ2020 _x000d__x000a_https://bar.cnki.net/bar/download/order?id=jBGETXBNdPImvx70aLAuJPYxPoFw%2bp%2bi0fIiSrcN6lUbDwI0xiIYfYI9EjbJAXTVVFn23Xs1FaBqYaCnwpNgcDnQrP31sd3qbIpJim%2fvA8Tl8E%2bCUVp5GtDTYhVF2dNUoJeGx62Ssygg68TNXJ%2b5JrigejDAar8Xqw%2f6WR22OFXUdUGh4At8VBYSvh%2fCUD5aoLCR0X5tPBEL7mLZVEdZp7E%2bNrkqzOHvmN3XxNvg5Gf5LXYX1qwFXwOc1HUZT%2bTB _x000d__x000a_&lt;/_url&gt;&lt;_volume&gt;41&lt;/_volume&gt;&lt;/Details&gt;&lt;Extra&gt;&lt;DBUID&gt;{6891F4B0-DCBA-459A-9A22-3059983243D4}&lt;/DBUID&gt;&lt;/Extra&gt;&lt;/Item&gt;&lt;/References&gt;&lt;/Group&gt;&lt;/Citation&gt;_x000a_"/>
    <w:docVar w:name="NE.Ref{2BC8962B-7F0F-4FE6-842D-88A8442D25C9}" w:val=" ADDIN NE.Ref.{2BC8962B-7F0F-4FE6-842D-88A8442D25C9}&lt;Citation&gt;&lt;Group&gt;&lt;References&gt;&lt;Item&gt;&lt;ID&gt;646&lt;/ID&gt;&lt;UID&gt;{D7E7DCAB-B2CA-4325-8F7F-80F4FF099901}&lt;/UID&gt;&lt;Title&gt;Optimization and evaluation of CCHP systems considering incentive policies under different operation strategies&lt;/Title&gt;&lt;Template&gt;Journal Article&lt;/Template&gt;&lt;Star&gt;0&lt;/Star&gt;&lt;Tag&gt;0&lt;/Tag&gt;&lt;Author&gt;A, Longxi Li; A, Shiwei Yu; B, Hailin Mu; C, Huanan Li&lt;/Author&gt;&lt;Year&gt;2018&lt;/Year&gt;&lt;Details&gt;&lt;_journal&gt;Energy&lt;/_journal&gt;&lt;_pages&gt;825-840&lt;/_pages&gt;&lt;_volume&gt;162&lt;/_volume&gt;&lt;_created&gt;63705608&lt;/_created&gt;&lt;_modified&gt;63705608&lt;/_modified&gt;&lt;_impact_factor&gt;   6.082&lt;/_impact_factor&gt;&lt;_collection_scope&gt;SCI;SCIE;EI&lt;/_collection_scope&gt;&lt;/Details&gt;&lt;Extra&gt;&lt;DBUID&gt;{F96A950B-833F-4880-A151-76DA2D6A2879}&lt;/DBUID&gt;&lt;/Extra&gt;&lt;/Item&gt;&lt;/References&gt;&lt;/Group&gt;&lt;/Citation&gt;_x000a_"/>
    <w:docVar w:name="NE.Ref{2BEF8C03-3DD1-40CF-BEB3-4F836E8A1BB2}" w:val=" ADDIN NE.Ref.{2BEF8C03-3DD1-40CF-BEB3-4F836E8A1BB2}&lt;Citation&gt;&lt;Group&gt;&lt;References&gt;&lt;Item&gt;&lt;ID&gt;488&lt;/ID&gt;&lt;UID&gt;{7B6294E3-0DD0-42AD-AD2C-DEFAB7FE7BA3}&lt;/UID&gt;&lt;Title&gt;The Whale Optimization Algorithm&lt;/Title&gt;&lt;Template&gt;Journal Article&lt;/Template&gt;&lt;Star&gt;0&lt;/Star&gt;&lt;Tag&gt;0&lt;/Tag&gt;&lt;Author&gt;Mirjalili, Seyedali; Lewis, Andrew&lt;/Author&gt;&lt;Year&gt;2016&lt;/Year&gt;&lt;Details&gt;&lt;_collection_scope&gt;SCIE;EI&lt;/_collection_scope&gt;&lt;_created&gt;63650822&lt;/_created&gt;&lt;_doi&gt;https://doi.org/10.1016/j.advengsoft.2016.01.008&lt;/_doi&gt;&lt;_impact_factor&gt;   3.884&lt;/_impact_factor&gt;&lt;_isbn&gt;0965-9978&lt;/_isbn&gt;&lt;_journal&gt;Advances in Engineering Software&lt;/_journal&gt;&lt;_keywords&gt;Optimization, Benchmark, Constrained optimization, Particle swarm optimization, Algorithm, Heuristic algorithm, Genetic algorithm, Structural optimization&lt;/_keywords&gt;&lt;_modified&gt;63650822&lt;/_modified&gt;&lt;_pages&gt;51 - 67&lt;/_pages&gt;&lt;_url&gt;http://www.sciencedirect.com/science/article/pii/S0965997816300163&lt;/_url&gt;&lt;_volume&gt;95&lt;/_volume&gt;&lt;/Details&gt;&lt;Extra&gt;&lt;DBUID&gt;{F96A950B-833F-4880-A151-76DA2D6A2879}&lt;/DBUID&gt;&lt;/Extra&gt;&lt;/Item&gt;&lt;/References&gt;&lt;/Group&gt;&lt;/Citation&gt;_x000a_"/>
    <w:docVar w:name="NE.Ref{2C1FF27A-FFEA-4560-861D-055F9198875F}" w:val=" ADDIN NE.Ref.{2C1FF27A-FFEA-4560-861D-055F9198875F}&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Group&gt;&lt;References&gt;&lt;Item&gt;&lt;ID&gt;852&lt;/ID&gt;&lt;UID&gt;{79579713-1133-4FC7-9725-E64DCC3E0939}&lt;/UID&gt;&lt;Title&gt;高比例新能源电网新能源功率优化分配方法&lt;/Title&gt;&lt;Template&gt;Journal Article&lt;/Template&gt;&lt;Star&gt;0&lt;/Star&gt;&lt;Tag&gt;0&lt;/Tag&gt;&lt;Author&gt;任冲; 柯贤波; 王吉利; 王国春; 赵荣臻&lt;/Author&gt;&lt;Year&gt;2022&lt;/Year&gt;&lt;Details&gt;&lt;_author_aff&gt;国家电网有限公司西北分部;南京南瑞继保电气有限公司;&lt;/_author_aff&gt;&lt;_collection_scope&gt;PKU&lt;/_collection_scope&gt;&lt;_created&gt;64401906&lt;/_created&gt;&lt;_date&gt;2022-05-25&lt;/_date&gt;&lt;_db_updated&gt;CNKI - Reference&lt;/_db_updated&gt;&lt;_issue&gt;03&lt;/_issue&gt;&lt;_journal&gt;电力工程技术&lt;/_journal&gt;&lt;_keywords&gt;系统强度;新能源短路比;综合灵敏度指标;暂态过电压;等综合灵敏度;新能源优化分配&lt;/_keywords&gt;&lt;_modified&gt;64657240&lt;/_modified&gt;&lt;_pages&gt;110-117&lt;/_pages&gt;&lt;_url&gt;https://kns.cnki.net/kcms/detail/detail.aspx?FileName=JSDJ202203014&amp;amp;DbName=CJFQTEMP _x000d__x000a_https://bar.cnki.net/bar/download/order?id=jBGETXBNdPImvx70aLAuJPYxPoFw%2bp%2bi0fIiSrcN6lUmfvBcw7lWC2kyjiaAORmrl61dxzuriBMEhUg4v39I6Mm82jDOg3yr%2bqRqj9L2CzQtqddCdidyosdSaMNWur3ZJBjdlDrNnftoR5pdZPiFRNlKM4sfpT3nRHSqBOA4sms8GQBtE8Z8mK%2fNwS15YoSEbIyKKAfFSUYhWCm34oQFB6opkQ6JnjQzfIvFcCnka0M%3d _x000d__x000a_https://bar.cnki.net/bar/download/order?id=jBGETXBNdPImvx70aLAuJPYxPoFw%2bp%2bi0fIiSrcN6lUmfvBcw7lWC2kyjiaAORmrl61dxzuriBMEhUg4v39I6Mm82jDOg3yr%2bqRqj9L2CzQtqddCdidyosdSaMNWur3ZJBjdlDrNnftoR5pdZPiFRNlKM4sfpT3nRHSqBOA4sms8GQBtE8Z8mK%2fNwS15YoSEkIiXMyYKmQk06tdB9qQ%2bV6opkQ6JnjQzfIvFcCnka0M%3d _x000d__x000a_&lt;/_url&gt;&lt;_volume&gt;41&lt;/_volume&gt;&lt;_translated_author&gt;Ren, Chong;Ke, Xian bo;Wang, Ji li;Wang, Guo chun;Zhao, Rong zhen&lt;/_translated_author&gt;&lt;/Details&gt;&lt;Extra&gt;&lt;DBUID&gt;{684DF7C5-873E-4B6A-A11E-0CD148BF4011}&lt;/DBUID&gt;&lt;/Extra&gt;&lt;/Item&gt;&lt;/References&gt;&lt;/Group&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Group&gt;&lt;References&gt;&lt;Item&gt;&lt;ID&gt;887&lt;/ID&gt;&lt;UID&gt;{DB5992A3-6E7B-4117-AFC9-4EF91BEFC025}&lt;/UID&gt;&lt;Title&gt;新能源基地经特高压交流送出系统输电能力与提升措施&lt;/Title&gt;&lt;Template&gt;Journal Article&lt;/Template&gt;&lt;Star&gt;0&lt;/Star&gt;&lt;Tag&gt;0&lt;/Tag&gt;&lt;Author&gt;习工伟; 赵兵; 郑帅飞; 沈琳; 贾琦; 袁超&lt;/Author&gt;&lt;Year&gt;2022&lt;/Year&gt;&lt;Details&gt;&lt;_author_aff&gt;电网安全与节能国家重点实验室(中国电力科学研究院有限公司);&lt;/_author_aff&gt;&lt;_collection_scope&gt;PKU&lt;/_collection_scope&gt;&lt;_created&gt;64429123&lt;/_created&gt;&lt;_date&gt;2022-07-01&lt;/_date&gt;&lt;_db_updated&gt;CNKI - Reference&lt;/_db_updated&gt;&lt;_issue&gt;07&lt;/_issue&gt;&lt;_journal&gt;电力建设&lt;/_journal&gt;&lt;_keywords&gt;千万千瓦级;特高压交流;暂态过电压;分布式调相机&lt;/_keywords&gt;&lt;_modified&gt;64438140&lt;/_modified&gt;&lt;_pages&gt;131-138&lt;/_pages&gt;&lt;_url&gt;https://kns.cnki.net/kcms/detail/detail.aspx?FileName=DLJS202207015&amp;amp;DbName=CJFQTEMP _x000d__x000a_https://bar.cnki.net/bar/download/order?id=jBGETXBNdPImvx70aLAuJPYxPoFw%2bp%2bi0fIiSrcN6lV7BLE6Mkw8NbnKhcIKDAhDwURBIovEZWsxpaJNu72Rssm82jDOg3yr%2bqRqj9L2CzQtqddCdidyosdSaMNWur3ZJBjdlDrNnftoR5pdZPiFRNlKM4sfpT3nRHSqBOA4sms8GQBtE8Z8mK%2fNwS15YoSEI5VlzNz3mRXiSGtL5znqNqopkQ6JnjQzfIvFcCnka0M%3d _x000d__x000a_https://bar.cnki.net/bar/download/order?id=jBGETXBNdPImvx70aLAuJPYxPoFw%2bp%2bi0fIiSrcN6lV7BLE6Mkw8NbnKhcIKDAhDwURBIovEZWsxpaJNu72Rssm82jDOg3yr%2bqRqj9L2CzQtqddCdidyosdSaMNWur3ZJBjdlDrNnftoR5pdZPiFRNlKM4sfpT3nRHSqBOA4sms8GQBtE8Z8mK%2fNwS15YoSEWqM7OxTyN9s29YfrRyRqXqopkQ6JnjQzfIvFcCnka0M%3d _x000d__x000a_&lt;/_url&gt;&lt;_volume&gt;43&lt;/_volume&gt;&lt;_translated_author&gt;Xi, Gong wei;Zhao, Bing;Zheng, Shuai fei;Shen, Lin;Jia, Qi;Yuan, Chao&lt;/_translated_author&gt;&lt;/Details&gt;&lt;Extra&gt;&lt;DBUID&gt;{684DF7C5-873E-4B6A-A11E-0CD148BF4011}&lt;/DBUID&gt;&lt;/Extra&gt;&lt;/Item&gt;&lt;/References&gt;&lt;/Group&gt;&lt;Group&gt;&lt;References&gt;&lt;Item&gt;&lt;ID&gt;685&lt;/ID&gt;&lt;UID&gt;{3451A225-45F3-4F29-9D10-00E829BC7829}&lt;/UID&gt;&lt;Title&gt;基于短路比指标的风电汇集系统稳定性分析&lt;/Title&gt;&lt;Template&gt;Journal Article&lt;/Template&gt;&lt;Star&gt;0&lt;/Star&gt;&lt;Tag&gt;0&lt;/Tag&gt;&lt;Author&gt;吴林林; 李蕴红; 于思奇; 孙雅旻; 王潇; 杨艳晨; 邓晓洋; 苏田宇; 孙大卫&lt;/Author&gt;&lt;Year&gt;2022&lt;/Year&gt;&lt;Details&gt;&lt;_accessed&gt;64344297&lt;/_accessed&gt;&lt;_author_adr&gt;国网冀北电力科学研究院国家电网公司风光储联合发电运行技术实验室;&lt;/_author_adr&gt;&lt;_author_aff&gt;国网冀北电力科学研究院国家电网公司风光储联合发电运行技术实验室;&lt;/_author_aff&gt;&lt;_collection_scope&gt;CSCD;PKU;EI&lt;/_collection_scope&gt;&lt;_created&gt;64344283&lt;/_created&gt;&lt;_date&gt;64313280&lt;/_date&gt;&lt;_db_provider&gt;CNKI&lt;/_db_provider&gt;&lt;_db_updated&gt;CNKI - Reference&lt;/_db_updated&gt;&lt;_doi&gt;10.16081/j.epae.202205030&lt;/_doi&gt;&lt;_isbn&gt;1006-6047&lt;/_isbn&gt;&lt;_journal&gt;电力自动化设备&lt;/_journal&gt;&lt;_keywords&gt;风电;短路比;静态电压稳定;暂态过电压;宽频振荡;故障穿越&lt;/_keywords&gt;&lt;_modified&gt;64438142&lt;/_modified&gt;&lt;_pages&gt;1-9&lt;/_pages&gt;&lt;_url&gt;https://kns.cnki.net/kcms/detail/detail.aspx?FileName=DLZS2022041100A&amp;amp;DbName=CAPJ2022 _x000d__x000a_https://bar.cnki.net/bar/download/order?id=jBGETXBNdPImvx70aLAuJPjDI3A2vZL8vlJ5Yxju1VKi1GyjVjbjWTvsPpNSfTVE%2by%2bypTYQWus9XccTPv7DloXNr%2bq%2fxAZGaJQaVfGy3LZXUusYHsGzJp9yrhvnk3r3JRJIuitYASY3ZPhq07jV3E2KrDbH2i1UsOVLzAXdpwmbKKoXvHPzsB%2bN7b8wc595Z8%2buEvU4HZgOjW03UO4O9t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sEQd%2b8nKZvUgiDcDB3rzSN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558yXqm2Je8T%2fqIOxrQgy9r%2b93LrdvkD9CwUbXbsT4sYgW1T3oFZ4xO0eVG7BcLs _x000d__x000a_&lt;/_url&gt;&lt;_translated_author&gt;Wu, Lin lin;Li, Yun hong;Yu, Si qi;Sun, Ya min;Wang, Xiao;Yang, Yan chen;Deng, Xiao yang;Su, Tian yu;Sun, Da wei&lt;/_translated_author&gt;&lt;/Details&gt;&lt;Extra&gt;&lt;DBUID&gt;{684DF7C5-873E-4B6A-A11E-0CD148BF4011}&lt;/DBUID&gt;&lt;/Extra&gt;&lt;/Item&gt;&lt;/References&gt;&lt;/Group&gt;&lt;Group&gt;&lt;References&gt;&lt;Item&gt;&lt;ID&gt;504&lt;/ID&gt;&lt;UID&gt;{1C8FEB8B-32D8-4A14-A90A-C6461975AA46}&lt;/UID&gt;&lt;Title&gt;抑制HVDC换相失败送端过电压的参数优化&lt;/Title&gt;&lt;Template&gt;Journal Article&lt;/Template&gt;&lt;Star&gt;0&lt;/Star&gt;&lt;Tag&gt;0&lt;/Tag&gt;&lt;Author&gt;王婷; 苏玉香; 沈晓群; 王翔; 罗健锋&lt;/Author&gt;&lt;Year&gt;2022&lt;/Year&gt;&lt;Details&gt;&lt;_accessed&gt;64344298&lt;/_accessed&gt;&lt;_author_aff&gt;浙江海洋大学海洋工程装备学院;西南交通大学电气工程学院;&lt;/_author_aff&gt;&lt;_created&gt;64344248&lt;/_created&gt;&lt;_date&gt;2022-02-15&lt;/_date&gt;&lt;_db_updated&gt;CNKI - Reference&lt;/_db_updated&gt;&lt;_issue&gt;02&lt;/_issue&gt;&lt;_journal&gt;电气应用&lt;/_journal&gt;&lt;_keywords&gt;高压直流输电;蜻蜓算法;暂态过电压;控制参数&lt;/_keywords&gt;&lt;_modified&gt;64438144&lt;/_modified&gt;&lt;_pages&gt;70-74&lt;/_pages&gt;&lt;_url&gt;https://kns.cnki.net/kcms/detail/detail.aspx?FileName=DGJZ202202013&amp;amp;DbName=DKFX2022 _x000d__x000a_https://bar.cnki.net/bar/download/order?id=jBGETXBNdPImvx70aLAuJPYxPoFw%2bp%2bi0fIiSrcN6lU%2fRxqhwaZ%2b0a0wrF%2bwF1qN%2bDdkDFepkUoGamH8rMrnz50PLIIoFLYwy5BgUEfsTyzl8E%2bCUVp5GtDTYhVF2dNUoJeGx62Ssygg68TNXJ%2b5JrigejDAar8Xqw%2f6WR22OFXUdUGh4At8VBYSvh%2fCUD5aVF4R3A5zLeuRV9Ciwq3jczywdCCNUBoe64u3nSlfnvv5LXYX1qwFXwOc1HUZT%2bTB _x000d__x000a_https://bar.cnki.net/bar/download/order?id=jBGETXBNdPImvx70aLAuJPYxPoFw%2bp%2bi0fIiSrcN6lU%2fRxqhwaZ%2b0a0wrF%2bwF1qN%2bDdkDFepkUoGamH8rMrnz50PLIIoFLYwy5BgUEfsTyzl8E%2bCUVp5GtDTYhVF2dNUoJeGx62Ssygg68TNXJ%2b5JrigejDAar8Xqw%2f6WR22OFXUdUGh4At8VBYSvh%2fCUD5aVc%2bEBI4pqvZWKFVdbCsNn2CKTS9pcl6GTCDjNFE4OQL5LXYX1qwFXwOc1HUZT%2bTB _x000d__x000a_https://bar.cnki.net/bar/download/order?id=jBGETXBNdPImvx70aLAuJPYxPoFw%2bp%2bi0fIiSrcN6lU%2fRxqhwaZ%2b0a0wrF%2bwF1qN%2bDdkDFepkUoGamH8rMrnz50PLIIoFLYwy5BgUEfsTyzl8E%2bCUVp5GtDTYhVF2dNUoJeGx62Ssygg68TNXJ%2b5JrigejDAar8Xqw%2f6WR22OFXUdUGh4At8VBYSvh%2fCUD5a5NyhfVJLNE%2fINVqFjMKjqHD1KEjSejZLN7ZFl6L6ESv5LXYX1qwFXwOc1HUZT%2bTB _x000d__x000a_&lt;/_url&gt;&lt;_volume&gt;41&lt;/_volume&gt;&lt;_translated_author&gt;Wang, Ting;Su, Yu xiang;Shen, Xiao qun;Wang, Xiang;Luo, Jian feng&lt;/_translated_author&gt;&lt;/Details&gt;&lt;Extra&gt;&lt;DBUID&gt;{684DF7C5-873E-4B6A-A11E-0CD148BF4011}&lt;/DBUID&gt;&lt;/Extra&gt;&lt;/Item&gt;&lt;/References&gt;&lt;/Group&gt;&lt;Group&gt;&lt;References&gt;&lt;Item&gt;&lt;ID&gt;499&lt;/ID&gt;&lt;UID&gt;{BC6D8445-E5D1-400B-9C83-AF163E16FD22}&lt;/UID&gt;&lt;Title&gt;考虑功角稳定和暂态过电压的新能源电压穿越控制参数优化&lt;/Title&gt;&lt;Template&gt;Journal Article&lt;/Template&gt;&lt;Star&gt;0&lt;/Star&gt;&lt;Tag&gt;0&lt;/Tag&gt;&lt;Author&gt;林伟芳; 任晓钰; 张桂红; 雷雨; 赵源上; 张祥成&lt;/Author&gt;&lt;Year&gt;2022&lt;/Year&gt;&lt;Details&gt;&lt;_author_aff&gt;中国电力科学研究院有限公司;国网青海省电力公司经济技术研究院;&lt;/_author_aff&gt;&lt;_collection_scope&gt;CSCD;PKU;EI&lt;/_collection_scope&gt;&lt;_created&gt;64344243&lt;/_created&gt;&lt;_date&gt;2022-04-29&lt;/_date&gt;&lt;_db_updated&gt;CNKI - Reference&lt;/_db_updated&gt;&lt;_journal&gt;电网技术&lt;/_journal&gt;&lt;_keywords&gt;直流输电;功角稳定;暂态过电压&lt;/_keywords&gt;&lt;_modified&gt;64438143&lt;/_modified&gt;&lt;_pages&gt;1-9&lt;/_pages&gt;&lt;_url&gt;https://kns.cnki.net/kcms/detail/detail.aspx?FileName=DWJS20220428002&amp;amp;DbName=DKFX2022 _x000d__x000a_https://bar.cnki.net/bar/download/order?id=jBGETXBNdPImvx70aLAuJPjDI3A2vZL8vlJ5Yxju1VLqlKEJyZNwKgXlkXhWKuN6jrCLV0KG%2bvb5caCE9OvbSIXNr%2bq%2fxAZGaJQaVfGy3LZXUusYHsGzJp9yrhvnk3r3JRJIuitYASY3ZPhq07jV3E2KrDbH2i1UsOVLzAXdpwmbKKoXvHPzsB%2bN7b8wc595fmkjeKXQ%2bKhV7tSZ09R86N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tjKu3e3XYaRKREv3RSIDSd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iCqQz9a93omLjCB5S%2bniENr%2b93LrdvkD9CwUbXbsT4sYgW1T3oFZ4xO0eVG7BcLs _x000d__x000a_&lt;/_url&gt;&lt;_translated_author&gt;Lin, Wei fang;Ren, Xiao yu;Zhang, Gui hong;Lei, Yu;Zhao, Yuan shang;Zhang, Xiang cheng&lt;/_translated_author&gt;&lt;/Details&gt;&lt;Extra&gt;&lt;DBUID&gt;{684DF7C5-873E-4B6A-A11E-0CD148BF4011}&lt;/DBUID&gt;&lt;/Extra&gt;&lt;/Item&gt;&lt;/References&gt;&lt;/Group&gt;&lt;Group&gt;&lt;References&gt;&lt;Item&gt;&lt;ID&gt;857&lt;/ID&gt;&lt;UID&gt;{DA1D4779-354B-4D44-8F6A-6B6A02DB30A1}&lt;/UID&gt;&lt;Title&gt;基于虚拟电抗的主动支撑型新能源机组低电压穿越控制方法&lt;/Title&gt;&lt;Template&gt;Journal Article&lt;/Template&gt;&lt;Star&gt;0&lt;/Star&gt;&lt;Tag&gt;0&lt;/Tag&gt;&lt;Author&gt;王雪梅; 王艺博; 刘雨桐; 刘闯; 王顺江; 胡博&lt;/Author&gt;&lt;Year&gt;2022&lt;/Year&gt;&lt;Details&gt;&lt;_author_aff&gt;东北电力大学电气工程学院;国网内蒙古东部电力有限公司赤峰供电公司;国网辽宁省电力有限公司;&lt;/_author_aff&gt;&lt;_collection_scope&gt;CSCD;PKU;EI&lt;/_collection_scope&gt;&lt;_created&gt;64402414&lt;/_created&gt;&lt;_date&gt;2022-02-16&lt;/_date&gt;&lt;_db_updated&gt;CNKI - Reference&lt;/_db_updated&gt;&lt;_journal&gt;电网技术&lt;/_journal&gt;&lt;_keywords&gt;虚拟电抗;主动支撑控制;低电压穿越;限制短路电流;无功支撑;VSC&lt;/_keywords&gt;&lt;_modified&gt;64438142&lt;/_modified&gt;&lt;_pages&gt;1-11&lt;/_pages&gt;&lt;_url&gt;https://kns.cnki.net/kcms/detail/detail.aspx?FileName=DWJS20220215006&amp;amp;DbName=DKFX2022 _x000d__x000a_https://bar.cnki.net/bar/download/order?id=jBGETXBNdPImvx70aLAuJPjDI3A2vZL8vlJ5Yxju1VKryE9yAS3DgMl%2fvlZ2OZ%2fH925kygpRBmlZPsH2eKcS9YXNr%2bq%2fxAZGaJQaVfGy3LZXUusYHsGzJp9yrhvnk3r3JRJIuitYASY3ZPhq07jV3E2KrDbH2i1UsOVLzAXdpwmbKKoXvHPzsB%2bN7b8wc595oBUd%2fDhuWZ%2bxyOlpeXnPAdr%2b93LrdvkD9CwUbXbsT4sYgW1T3oFZ4xO0eVG7BcLs _x000d__x000a_https://bar.cnki.net/bar/download/order?id=jBGETXBNdPImvx70aLAuJPjDI3A2vZL8vlJ5Yxju1VKryE9yAS3DgMl%2fvlZ2OZ%2fH925kygpRBmlZPsH2eKcS9YXNr%2bq%2fxAZGaJQaVfGy3LZXUusYHsGzJp9yrhvnk3r3JRJIuitYASY3ZPhq07jV3E2KrDbH2i1UsOVLzAXdpwmbKKoXvHPzsB%2bN7b8wc5952gC02VSCCar0T0HRocOMktr%2b93LrdvkD9CwUbXbsT4sYgW1T3oFZ4xO0eVG7BcLs _x000d__x000a_&lt;/_url&gt;&lt;_translated_author&gt;Wang, Xue mei;Wang, Yi bo;Liu, Yu tong;Liu, Chuang;Wang, Shun jiang;Hu, Bo&lt;/_translated_author&gt;&lt;/Details&gt;&lt;Extra&gt;&lt;DBUID&gt;{684DF7C5-873E-4B6A-A11E-0CD148BF4011}&lt;/DBUID&gt;&lt;/Extra&gt;&lt;/Item&gt;&lt;/References&gt;&lt;/Group&gt;&lt;Group&gt;&lt;References&gt;&lt;Item&gt;&lt;ID&gt;856&lt;/ID&gt;&lt;UID&gt;{9C4B4B81-9245-45D8-9C38-48F401B3CDDF}&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ollection_scope&gt;CSCD;PKU;EI&lt;/_collection_scope&gt;&lt;_created&gt;64402414&lt;/_created&gt;&lt;_date&gt;2021-07-29&lt;/_date&gt;&lt;_db_updated&gt;CNKI - Reference&lt;/_db_updated&gt;&lt;_issue&gt;05&lt;/_issue&gt;&lt;_journal&gt;电网技术&lt;/_journal&gt;&lt;_keywords&gt;特高压直流;过电压;低电压穿越;安全稳定控制&lt;/_keywords&gt;&lt;_modified&gt;64441017&lt;/_modified&gt;&lt;_pages&gt;1907-1916&lt;/_pages&gt;&lt;_url&gt;https://kns.cnki.net/kcms/detail/detail.aspx?FileName=DWJS202205024&amp;amp;DbName=DKFXTEMP _x000d__x000a_https://bar.cnki.net/bar/download/order?id=jBGETXBNdPImvx70aLAuJPYxPoFw%2bp%2bi0fIiSrcN6lUjlhfp73Urejyts9sFyPxFFV%2b%2fuL8qdq3fK6G18C2CLcm82jDOg3yr%2bqRqj9L2CzQtqddCdidyosdSaMNWur3ZJBjdlDrNnftoR5pdZPiFRNlKM4sfpT3nRHSqBOA4sms8GQBtE8Z8mK%2fNwS15YoSEG0qczTib8bX8SU0%2bNiJb2KopkQ6JnjQzfIvFcCnka0M%3d _x000d__x000a_https://bar.cnki.net/bar/download/order?id=jBGETXBNdPImvx70aLAuJPYxPoFw%2bp%2bi0fIiSrcN6lUjlhfp73Urejyts9sFyPxFFV%2b%2fuL8qdq3fK6G18C2CLcm82jDOg3yr%2bqRqj9L2CzQtqddCdidyosdSaMNWur3ZJBjdlDrNnftoR5pdZPiFRNlKM4sfpT3nRHSqBOA4sms8GQBtE8Z8mK%2fNwS15YoSEg%2f8VJ3jWXz311uzzShk84KopkQ6JnjQzfIvFcCnka0M%3d _x000d__x000a_&lt;/_url&gt;&lt;_volume&gt;46&lt;/_volume&gt;&lt;_translated_author&gt;Zhou, Ying kun;Xie, Heng;Sun, Hua dong;Xu, Shi yun;Zhao, Bing;Zhang, Yi;Chang, Xi qiang;Zhang, Jian&lt;/_translated_author&gt;&lt;/Details&gt;&lt;Extra&gt;&lt;DBUID&gt;{684DF7C5-873E-4B6A-A11E-0CD148BF4011}&lt;/DBUID&gt;&lt;/Extra&gt;&lt;/Item&gt;&lt;/References&gt;&lt;/Group&gt;&lt;Group&gt;&lt;References&gt;&lt;Item&gt;&lt;ID&gt;907&lt;/ID&gt;&lt;UID&gt;{047EB8B0-AE27-4858-9DF2-3E89602A7754}&lt;/UID&gt;&lt;Title&gt;应对特高压直流大扰动的稳定措施综述&lt;/Title&gt;&lt;Template&gt;Journal Article&lt;/Template&gt;&lt;Star&gt;0&lt;/Star&gt;&lt;Tag&gt;5&lt;/Tag&gt;&lt;Author&gt;邱威; 贺静波; 樊小伟; 许涛; 于钊; 张剑云; 何飞; 蓝海波; 叶俭; 张怡; 刘明松; 王超; 金一丁; 徐凯; 朱介北; 刘娜&lt;/Author&gt;&lt;Year&gt;2022&lt;/Year&gt;&lt;Details&gt;&lt;_author_aff&gt;国网冀北电力有限公司;国家电力调度控制中心;北京电力交易中心有限公司;天津大学电气自动化与信息工程学院;国网北京市电力公司;&lt;/_author_aff&gt;&lt;_collection_scope&gt;CSCD;PKU;EI&lt;/_collection_scope&gt;&lt;_created&gt;64474166&lt;/_created&gt;&lt;_date&gt;2022-04-22&lt;/_date&gt;&lt;_db_updated&gt;CNKI - Reference&lt;/_db_updated&gt;&lt;_journal&gt;电网技术&lt;/_journal&gt;&lt;_keywords&gt;特高压直流;大扰动;功角稳定;频率稳定;电压稳定;过电压&lt;/_keywords&gt;&lt;_modified&gt;64474201&lt;/_modified&gt;&lt;_pages&gt;1-18&lt;/_pages&gt;&lt;_url&gt;https://kns.cnki.net/kcms/detail/detail.aspx?FileName=DWJS20220421000&amp;amp;DbName=DKFX2022 _x000d__x000a_https://bar.cnki.net/bar/download/order?id=jBGETXBNdPImvx70aLAuJPjDI3A2vZL8vlJ5Yxju1VLqlKEJyZNwKgXlkXhWKuN6giKITpHCcDZRv5EcYwb%2fSYXNr%2bq%2fxAZGaJQaVfGy3LZXUusYHsGzJp9yrhvnk3r3JRJIuitYASY3ZPhq07jV3E2KrDbH2i1UsOVLzAXdpwmbKKoXvHPzsB%2bN7b8wc595y7gD3AG9tBl4dX77sRryudr%2b93LrdvkD9CwUbXbsT4sYgW1T3oFZ4xO0eVG7BcLs _x000d__x000a_&lt;/_url&gt;&lt;_translated_author&gt;Qiu, Wei;He, Jing bo;Fan, Xiao wei;Xu, Tao;Yu, Zhao;Zhang, Jian yun;He, Fei;Lan, Hai bo;Ye, Jian;Zhang, Yi;Liu, Ming song;Wang, Chao;Jin, Yi ding;Xu, Kai;Zhu, Jie bei;Liu, Na&lt;/_translated_author&gt;&lt;/Details&gt;&lt;Extra&gt;&lt;DBUID&gt;{684DF7C5-873E-4B6A-A11E-0CD148BF4011}&lt;/DBUID&gt;&lt;/Extra&gt;&lt;/Item&gt;&lt;/References&gt;&lt;/Group&gt;&lt;Group&gt;&lt;References&gt;&lt;Item&gt;&lt;ID&gt;503&lt;/ID&gt;&lt;UID&gt;{BD7BB4D3-B289-45E7-8485-7973EAD97712}&lt;/UID&gt;&lt;Title&gt;考虑直流闭锁暂态过电压约束的送端电网换流站高效无功规划&lt;/Title&gt;&lt;Template&gt;Journal Article&lt;/Template&gt;&lt;Star&gt;0&lt;/Star&gt;&lt;Tag&gt;0&lt;/Tag&gt;&lt;Author&gt;赵溶溶; 柯德平; 孙元章; 徐箭; 常海军; 刘福锁&lt;/Author&gt;&lt;Year&gt;2022&lt;/Year&gt;&lt;Details&gt;&lt;_author_aff&gt;武汉大学电气与自动化学院;南瑞集团公司;&lt;/_author_aff&gt;&lt;_collection_scope&gt;PKU&lt;/_collection_scope&gt;&lt;_created&gt;64344247&lt;/_created&gt;&lt;_date&gt;2022-02-16&lt;/_date&gt;&lt;_db_updated&gt;CNKI - Reference&lt;/_db_updated&gt;&lt;_journal&gt;南方电网技术&lt;/_journal&gt;&lt;_keywords&gt;直流闭锁;暂态过电压;同步调相机;无功规划&lt;/_keywords&gt;&lt;_modified&gt;64438143&lt;/_modified&gt;&lt;_pages&gt;1-12&lt;/_pages&gt;&lt;_url&gt;https://kns.cnki.net/kcms/detail/detail.aspx?FileName=NFDW20220215001&amp;amp;DbName=CAPJ2022 _x000d__x000a_https://bar.cnki.net/bar/download/order?id=jBGETXBNdPImvx70aLAuJPjDI3A2vZL8vlJ5Yxju1VJbSuYf3qAZbzpXaTCqFIWBz%2fKbM0AiJed8OtdhpTkIEoXNr%2bq%2fxAZGaJQaVfGy3LZXUusYHsGzJp9yrhvnk3r3JRJIuitYASY3ZPhq07jV3E2KrDbH2i1UsOVLzAXdpwmbKKoXvHPzsB%2bN7b8wc595vMo4kMMQy63h0a0BqeCd3d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fmFc5BYKZpHX45s1OeLDz9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nKCUVgDbiw%2b8kbPyHMJ6q9r%2b93LrdvkD9CwUbXbsT4sYgW1T3oFZ4xO0eVG7BcLs _x000d__x000a_&lt;/_url&gt;&lt;_translated_author&gt;Zhao, Rong rong;Ke, De ping;Sun, Yuan zhang;Xu, Jian;Chang, Hai jun;Liu, Fu suo&lt;/_translated_author&gt;&lt;/Details&gt;&lt;Extra&gt;&lt;DBUID&gt;{684DF7C5-873E-4B6A-A11E-0CD148BF4011}&lt;/DBUID&gt;&lt;/Extra&gt;&lt;/Item&gt;&lt;/References&gt;&lt;/Group&gt;&lt;Group&gt;&lt;References&gt;&lt;Item&gt;&lt;ID&gt;908&lt;/ID&gt;&lt;UID&gt;{F854AE7A-14F3-4E0A-B831-826386CF87C2}&lt;/UID&gt;&lt;Title&gt;基于能量同步转换技术的高比例新能源外送地区暂态过电压抑制研究&lt;/Title&gt;&lt;Template&gt;Journal Article&lt;/Template&gt;&lt;Star&gt;0&lt;/Star&gt;&lt;Tag&gt;0&lt;/Tag&gt;&lt;Author&gt;田旭; 刘飞; 张君; 白左霞&lt;/Author&gt;&lt;Year&gt;2022&lt;/Year&gt;&lt;Details&gt;&lt;_author_aff&gt;国网青海省电力公司经济技术研究院;国网青海省电力公司;&lt;/_author_aff&gt;&lt;_collection_scope&gt;PKU&lt;/_collection_scope&gt;&lt;_created&gt;64476646&lt;/_created&gt;&lt;_date&gt;2022-08-01&lt;/_date&gt;&lt;_db_updated&gt;CNKI - Reference&lt;/_db_updated&gt;&lt;_journal&gt;南方电网技术&lt;/_journal&gt;&lt;_keywords&gt;能量同步转换;新能源;高压直流;过电压抑制&lt;/_keywords&gt;&lt;_modified&gt;64476647&lt;/_modified&gt;&lt;_pages&gt;1-10&lt;/_pages&gt;&lt;_url&gt;https://kns.cnki.net/kcms/detail/detail.aspx?FileName=NFDW20220729001&amp;amp;DbName=CAPJ2022 _x000d__x000a_https://bar.cnki.net/bar/download/order?id=jBGETXBNdPImvx70aLAuJPjDI3A2vZL8vlJ5Yxju1VLMUcNe13gaKeNKm4t4HzU6ReCKymKxHE3jVZlzKnzVb4XNr%2bq%2fxAZGaJQaVfGy3LZXUusYHsGzJp9yrhvnk3r3JRJIuitYASY3ZPhq07jV3E2KrDbH2i1UsOVLzAXdpwmbKKoXvHPzsB%2bN7b8wc5959s7N%2fMEn27Yme%2f5sDxz389r%2b93LrdvkD9CwUbXbsT4sYgW1T3oFZ4xO0eVG7BcLs _x000d__x000a_&lt;/_url&gt;&lt;_translated_author&gt;Tian, Xu;Liu, Fei;Zhang, Jun;Bai, Zuo xia&lt;/_translated_author&gt;&lt;/Details&gt;&lt;Extra&gt;&lt;DBUID&gt;{684DF7C5-873E-4B6A-A11E-0CD148BF4011}&lt;/DBUID&gt;&lt;/Extra&gt;&lt;/Item&gt;&lt;/References&gt;&lt;/Group&gt;&lt;Group&gt;&lt;References&gt;&lt;Item&gt;&lt;ID&gt;853&lt;/ID&gt;&lt;UID&gt;{78DA87CC-B178-48D0-8CA0-98D156D5A838}&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collection_scope&gt;CSCD;PKU;EI&lt;/_collection_scope&gt;&lt;_created&gt;64401906&lt;/_created&gt;&lt;_date&gt;2022-05-23&lt;/_date&gt;&lt;_db_updated&gt;CNKI - Reference&lt;/_db_updated&gt;&lt;_journal&gt;中国电机工程学报&lt;/_journal&gt;&lt;_keywords&gt;暂态过电压;新能源并网系统;电压支撑强度;短路容量;并网规模&lt;/_keywords&gt;&lt;_modified&gt;64438143&lt;/_modified&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BUJl8rpqKpWH7jpMwI6Bs9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HsB40upzmFjk4LUMuPAnet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x4SYVWxDPBGUEi3ssE5yJNr%2b93LrdvkD9CwUbXbsT4sYgW1T3oFZ4xO0eVG7BcLs _x000d__x000a_&lt;/_url&gt;&lt;_translated_author&gt;Sun, Hua dong;Yu, Lin;Zhao, Bing&lt;/_translated_author&gt;&lt;/Details&gt;&lt;Extra&gt;&lt;DBUID&gt;{684DF7C5-873E-4B6A-A11E-0CD148BF4011}&lt;/DBUID&gt;&lt;/Extra&gt;&lt;/Item&gt;&lt;/References&gt;&lt;/Group&gt;&lt;Group&gt;&lt;References&gt;&lt;Item&gt;&lt;ID&gt;861&lt;/ID&gt;&lt;UID&gt;{8AD7DBFF-7D02-4180-BB59-043B3D7A9B8A}&lt;/UID&gt;&lt;Title&gt;电力电子设备接入电压支撑强度量化评估指标综述&lt;/Title&gt;&lt;Template&gt;Journal Article&lt;/Template&gt;&lt;Star&gt;0&lt;/Star&gt;&lt;Tag&gt;0&lt;/Tag&gt;&lt;Author&gt;于琳; 孙华东; 徐式蕴; 赵兵; 张健; 李宗翰&lt;/Author&gt;&lt;Year&gt;2022&lt;/Year&gt;&lt;Details&gt;&lt;_author_aff&gt;电网安全与节能国家重点实验室(中国电力科学研究院有限公司);&lt;/_author_aff&gt;&lt;_cited_count&gt;1&lt;/_cited_count&gt;&lt;_collection_scope&gt;CSCD;PKU;EI&lt;/_collection_scope&gt;&lt;_created&gt;64402433&lt;/_created&gt;&lt;_date&gt;2021-11-03&lt;/_date&gt;&lt;_db_updated&gt;CNKI - Reference&lt;/_db_updated&gt;&lt;_issue&gt;02&lt;/_issue&gt;&lt;_journal&gt;中国电机工程学报&lt;/_journal&gt;&lt;_keywords&gt;电压支撑强度;短路比;临界短路比;阻抗比;电力电子设备&lt;/_keywords&gt;&lt;_modified&gt;64438140&lt;/_modified&gt;&lt;_pages&gt;499-515&lt;/_pages&gt;&lt;_url&gt;https://kns.cnki.net/kcms/detail/detail.aspx?FileName=ZGDC202202005&amp;amp;DbName=DKFX2022 _x000d__x000a_https://bar.cnki.net/bar/download/order?id=jBGETXBNdPImvx70aLAuJPYxPoFw%2bp%2bi0fIiSrcN6lU4U5Ntw4Lu%2bLS0I0bCFd93ds%2fr85YSD8tWj6u6R%2b%2fkcZ0PLIIoFLYwy5BgUEfsTyzl8E%2bCUVp5GtDTYhVF2dNUoJeGx62Ssygg68TNXJ%2b5JrigejDAar8Xqw%2f6WR22OFXUdUGh4At8VBYSvh%2fCUD5aDciZ2upqhWYUX2P1zV9Wju%2bF67nMpzthHJOFur%2bUCZv5LXYX1qwFXwOc1HUZT%2bTB _x000d__x000a_https://bar.cnki.net/bar/download/order?id=jBGETXBNdPImvx70aLAuJPYxPoFw%2bp%2bi0fIiSrcN6lU4U5Ntw4Lu%2bLS0I0bCFd93ds%2fr85YSD8tWj6u6R%2b%2fkcZ0PLIIoFLYwy5BgUEfsTyzl8E%2bCUVp5GtDTYhVF2dNUoJeGx62Ssygg68TNXJ%2b5JrigejDAar8Xqw%2f6WR22OFXUdUGh4At8VBYSvh%2fCUD5aMT4dxrjNWBmwQdO5ce39dbShwJTXXHTGAokesLWWXvz5LXYX1qwFXwOc1HUZT%2bTB _x000d__x000a_&lt;/_url&gt;&lt;_volume&gt;42&lt;/_volume&gt;&lt;_translated_author&gt;Yu, Lin;Sun, Hua dong;Xu, Shi yun;Zhao, Bing;Zhang, Jian;Li, Zong han&lt;/_translated_author&gt;&lt;/Details&gt;&lt;Extra&gt;&lt;DBUID&gt;{684DF7C5-873E-4B6A-A11E-0CD148BF4011}&lt;/DBUID&gt;&lt;/Extra&gt;&lt;/Item&gt;&lt;/References&gt;&lt;/Group&gt;&lt;Group&gt;&lt;References&gt;&lt;Item&gt;&lt;ID&gt;905&lt;/ID&gt;&lt;UID&gt;{755F6F1E-3B3F-4CF7-8C5D-C5E26A053B4C}&lt;/UID&gt;&lt;Title&gt;交流网严重故障引发LCC-UHVDC功率振荡机理及控制优化方法&lt;/Title&gt;&lt;Template&gt;Journal Article&lt;/Template&gt;&lt;Star&gt;0&lt;/Star&gt;&lt;Tag&gt;0&lt;/Tag&gt;&lt;Author&gt;丁平; 刘明松; 张慕婕; 万凯遥; 尹健; 张庆武; 刘敏&lt;/Author&gt;&lt;Year&gt;2022&lt;/Year&gt;&lt;Details&gt;&lt;_author_aff&gt;中国电力科学研究院有限公司;国家电力调度控制中心;国家电网公司华中分部;国网经济技术研究院有限公司;南京南瑞继保电气有限公司;&lt;/_author_aff&gt;&lt;_collection_scope&gt;CSCD;PKU;EI&lt;/_collection_scope&gt;&lt;_created&gt;64472690&lt;/_created&gt;&lt;_date&gt;2022-07-05&lt;/_date&gt;&lt;_db_updated&gt;CNKI - Reference&lt;/_db_updated&gt;&lt;_journal&gt;中国电机工程学报&lt;/_journal&gt;&lt;_keywords&gt;LCC-UHVDC;功率振荡;机电-电磁混合仿真;控制策略&lt;/_keywords&gt;&lt;_modified&gt;64472690&lt;/_modified&gt;&lt;_pages&gt;1-10&lt;/_pages&gt;&lt;_url&gt;https://kns.cnki.net/kcms/detail/detail.aspx?FileName=ZGDC20220630001&amp;amp;DbName=DKFX2022 _x000d__x000a_https://bar.cnki.net/bar/download/order?id=jBGETXBNdPImvx70aLAuJPjDI3A2vZL8vlJ5Yxju1VKCWJTOKXWyf4A4GRiUKtBQjrKMeCp6SoK8HpGeOwHhT4XNr%2bq%2fxAZGaJQaVfGy3LZXUusYHsGzJp9yrhvnk3r3JRJIuitYASY3ZPhq07jV3E2KrDbH2i1UsOVLzAXdpwmbKKoXvHPzsB%2bN7b8wc595sScAwo2M3TBPwHpJT5rTuNr%2b93LrdvkD9CwUbXbsT4sYgW1T3oFZ4xO0eVG7BcLs _x000d__x000a_&lt;/_url&gt;&lt;_translated_author&gt;Ding, Ping;Liu, Ming song;Zhang, Mu jie;Wan, Kai yao;Yin, Jian;Zhang, Qing wu;Liu, Min&lt;/_translated_author&gt;&lt;/Details&gt;&lt;Extra&gt;&lt;DBUID&gt;{684DF7C5-873E-4B6A-A11E-0CD148BF4011}&lt;/DBUID&gt;&lt;/Extra&gt;&lt;/Item&gt;&lt;/References&gt;&lt;/Group&gt;&lt;Group&gt;&lt;References&gt;&lt;Item&gt;&lt;ID&gt;502&lt;/ID&gt;&lt;UID&gt;{D521A7F9-0737-46FB-9053-F406506EE3FF}&lt;/UID&gt;&lt;Title&gt;新能源低电压穿越无功电流对暂态电压安全约束的影响&lt;/Title&gt;&lt;Template&gt;Journal Article&lt;/Template&gt;&lt;Star&gt;0&lt;/Star&gt;&lt;Tag&gt;0&lt;/Tag&gt;&lt;Author&gt;刘辉; 王阔&lt;/Author&gt;&lt;Year&gt;2022&lt;/Year&gt;&lt;Details&gt;&lt;_author_aff&gt;国网冀北电力有限公司电力科学研究院;北京大学;&lt;/_author_aff&gt;&lt;_collection_scope&gt;CSCD;PKU&lt;/_collection_scope&gt;&lt;_created&gt;64344247&lt;/_created&gt;&lt;_date&gt;2022-02-25&lt;/_date&gt;&lt;_db_updated&gt;CNKI - Reference&lt;/_db_updated&gt;&lt;_issue&gt;02&lt;/_issue&gt;&lt;_journal&gt;中国电力&lt;/_journal&gt;&lt;_keywords&gt;新能源汇集系统;低电压穿越;暂态过电压;短路比&lt;/_keywords&gt;&lt;_modified&gt;64438143&lt;/_modified&gt;&lt;_pages&gt;152-158&lt;/_pages&gt;&lt;_url&gt;https://kns.cnki.net/kcms/detail/detail.aspx?FileName=ZGDL202202019&amp;amp;DbName=CJFQ2022 _x000d__x000a_https://bar.cnki.net/bar/download/order?id=jBGETXBNdPImvx70aLAuJPYxPoFw%2bp%2bi0fIiSrcN6lXKGcn7A6sPNsiBdWCd6%2fl3qfi8%2bi%2f76dNraIZO5iW6Bp0PLIIoFLYwy5BgUEfsTyzl8E%2bCUVp5GtDTYhVF2dNUoJeGx62Ssygg68TNXJ%2b5JrigejDAar8Xqw%2f6WR22OFXUdUGh4At8VBYSvh%2fCUD5aeRJJcTf%2fpQdqpA0O0PxVzCWZL0ai5A42K%2bdv2kg5hcj5LXYX1qwFXwOc1HUZT%2bTB _x000d__x000a_https://bar.cnki.net/bar/download/order?id=jBGETXBNdPImvx70aLAuJPYxPoFw%2bp%2bi0fIiSrcN6lXKGcn7A6sPNsiBdWCd6%2fl3qfi8%2bi%2f76dNraIZO5iW6Bp0PLIIoFLYwy5BgUEfsTyzl8E%2bCUVp5GtDTYhVF2dNUoJeGx62Ssygg68TNXJ%2b5JrigejDAar8Xqw%2f6WR22OFXUdUGh4At8VBYSvh%2fCUD5aIMrvckIAdGodIhimNxmCK4kWl%2f5%2bM02t3C4Rt6mdaoj5LXYX1qwFXwOc1HUZT%2bTB _x000d__x000a_https://bar.cnki.net/bar/download/order?id=jBGETXBNdPImvx70aLAuJPYxPoFw%2bp%2bi0fIiSrcN6lXKGcn7A6sPNsiBdWCd6%2fl3qfi8%2bi%2f76dNraIZO5iW6Bp0PLIIoFLYwy5BgUEfsTyzl8E%2bCUVp5GtDTYhVF2dNUoJeGx62Ssygg68TNXJ%2b5JrigejDAar8Xqw%2f6WR22OFXUdUGh4At8VBYSvh%2fCUD5aebexPAXLnMrtC%2b%2bmgqBCU13AzXvBD%2fXxQB9W306NGNr5LXYX1qwFXwOc1HUZT%2bTB _x000d__x000a_&lt;/_url&gt;&lt;_volume&gt;55&lt;/_volume&gt;&lt;_translated_author&gt;Liu, Hui;Wang, Kuo&lt;/_translated_author&gt;&lt;/Details&gt;&lt;Extra&gt;&lt;DBUID&gt;{684DF7C5-873E-4B6A-A11E-0CD148BF4011}&lt;/DBUID&gt;&lt;/Extra&gt;&lt;/Item&gt;&lt;/References&gt;&lt;/Group&gt;&lt;Group&gt;&lt;References&gt;&lt;Item&gt;&lt;ID&gt;510&lt;/ID&gt;&lt;UID&gt;{988099A4-E0E8-4600-81A2-3BEE0713ABCB}&lt;/UID&gt;&lt;Title&gt;海上风电经交流电缆汇集送出系统暂态无功电压建模及特性分析&lt;/Title&gt;&lt;Template&gt;Journal Article&lt;/Template&gt;&lt;Star&gt;0&lt;/Star&gt;&lt;Tag&gt;0&lt;/Tag&gt;&lt;Author&gt;孙艳霞; 方是文; 李震&lt;/Author&gt;&lt;Year&gt;2022&lt;/Year&gt;&lt;Details&gt;&lt;_author_aff&gt;新能源与储能运行控制国家重点实验室(中国电力科学研究院有限公司);北京理工大学自动化学院;&lt;/_author_aff&gt;&lt;_collection_scope&gt;CSCD;PKU&lt;/_collection_scope&gt;&lt;_created&gt;64344253&lt;/_created&gt;&lt;_date&gt;2021-06-30&lt;/_date&gt;&lt;_db_updated&gt;CNKI - Reference&lt;/_db_updated&gt;&lt;_issue&gt;04&lt;/_issue&gt;&lt;_journal&gt;中国电力&lt;/_journal&gt;&lt;_keywords&gt;海上风电;交流电缆;暂态过电压;数学模型;实时仿真&lt;/_keywords&gt;&lt;_modified&gt;64438141&lt;/_modified&gt;&lt;_pages&gt;166-174&lt;/_pages&gt;&lt;_url&gt;https://kns.cnki.net/kcms/detail/detail.aspx?FileName=ZGDL202204020&amp;amp;DbName=CJFQTEMP _x000d__x000a_https://bar.cnki.net/bar/download/order?id=jBGETXBNdPImvx70aLAuJPYxPoFw%2bp%2bi0fIiSrcN6lVNEaMmgSODrwVZUYb6rwEk3JUuTL1dvsZiVw3pzpeSMp0PLIIoFLYwy5BgUEfsTyzl8E%2bCUVp5GtDTYhVF2dNUoJeGx62Ssygg68TNXJ%2b5JrigejDAar8Xqw%2f6WR22OFXUdUGh4At8VBYSvh%2fCUD5afWGoo6mmJbwLMDh6gnXoy9XIyhR%2f6DgyMcrWgQpe2O%2f5LXYX1qwFXwOc1HUZT%2bTB _x000d__x000a_https://bar.cnki.net/bar/download/order?id=jBGETXBNdPImvx70aLAuJPYxPoFw%2bp%2bi0fIiSrcN6lVNEaMmgSODrwVZUYb6rwEk3JUuTL1dvsZiVw3pzpeSMp0PLIIoFLYwy5BgUEfsTyzl8E%2bCUVp5GtDTYhVF2dNUoJeGx62Ssygg68TNXJ%2b5JrigejDAar8Xqw%2f6WR22OFXUdUGh4At8VBYSvh%2fCUD5air%2bN36cjzkLkx%2b2JrF6NyIiOXNcILL40gGLlQuHI5NH5LXYX1qwFXwOc1HUZT%2bTB _x000d__x000a_https://bar.cnki.net/bar/download/order?id=jBGETXBNdPImvx70aLAuJPYxPoFw%2bp%2bi0fIiSrcN6lVNEaMmgSODrwVZUYb6rwEk3JUuTL1dvsZiVw3pzpeSMp0PLIIoFLYwy5BgUEfsTyzl8E%2bCUVp5GtDTYhVF2dNUoJeGx62Ssygg68TNXJ%2b5JrigejDAar8Xqw%2f6WR22OFXUdUGh4At8VBYSvh%2fCUD5aVA4B0WRngNIZaioHhNX0YEIPwyDWkVhM%2f9K5VmuW5Tn5LXYX1qwFXwOc1HUZT%2bTB _x000d__x000a_&lt;/_url&gt;&lt;_volume&gt;55&lt;/_volume&gt;&lt;_translated_author&gt;Sun, Yan xia;Fang, Shi wen;Li, Zhen&lt;/_translated_author&gt;&lt;/Details&gt;&lt;Extra&gt;&lt;DBUID&gt;{684DF7C5-873E-4B6A-A11E-0CD148BF4011}&lt;/DBUID&gt;&lt;/Extra&gt;&lt;/Item&gt;&lt;/References&gt;&lt;/Group&gt;&lt;Group&gt;&lt;References&gt;&lt;Item&gt;&lt;ID&gt;906&lt;/ID&gt;&lt;UID&gt;{8761F7DE-D726-4044-B39A-24E71D8D32B4}&lt;/UID&gt;&lt;Title&gt;基于能量同步转换技术的高比例新能源外送地区暂态过电压抑制研究&lt;/Title&gt;&lt;Template&gt;Journal Article&lt;/Template&gt;&lt;Star&gt;0&lt;/Star&gt;&lt;Tag&gt;0&lt;/Tag&gt;&lt;Author&gt;田旭; 刘飞; 张君; 白左霞&lt;/Author&gt;&lt;Year&gt;2022&lt;/Year&gt;&lt;Details&gt;&lt;_accessed&gt;64583740&lt;/_accessed&gt;&lt;_author_aff&gt;国网青海省电力公司经济技术研究院;国网青海省电力公司;&lt;/_author_aff&gt;&lt;_collection_scope&gt;PKU&lt;/_collection_scope&gt;&lt;_created&gt;64473959&lt;/_created&gt;&lt;_date&gt;2022-08-01&lt;/_date&gt;&lt;_db_updated&gt;CNKI - Reference&lt;/_db_updated&gt;&lt;_journal&gt;南方电网技术&lt;/_journal&gt;&lt;_keywords&gt;能量同步转换;新能源;高压直流;过电压抑制&lt;/_keywords&gt;&lt;_modified&gt;64583740&lt;/_modified&gt;&lt;_pages&gt;1-10&lt;/_pages&gt;&lt;_url&gt;https://kns.cnki.net/kcms/detail/detail.aspx?FileName=NFDW20220729001&amp;amp;DbName=CAPJ2022&lt;/_url&gt;&lt;_translated_author&gt;Tian, Xu;Liu, Fei;Zhang, Jun;Bai, Zuo xia&lt;/_translated_author&gt;&lt;/Details&gt;&lt;Extra&gt;&lt;DBUID&gt;{684DF7C5-873E-4B6A-A11E-0CD148BF4011}&lt;/DBUID&gt;&lt;/Extra&gt;&lt;/Item&gt;&lt;/References&gt;&lt;/Group&gt;&lt;/Citation&gt;_x000a_"/>
    <w:docVar w:name="NE.Ref{2C5A98B0-09A6-42B5-965A-E30C34EA48AB}" w:val=" ADDIN NE.Ref.{2C5A98B0-09A6-42B5-965A-E30C34EA48AB}&lt;Citation&gt;&lt;Group&gt;&lt;References&gt;&lt;Item&gt;&lt;ID&gt;720&lt;/ID&gt;&lt;UID&gt;{AF1138C5-9A6A-4819-9B10-A2BB428C155C}&lt;/UID&gt;&lt;Title&gt;风光火打捆交直流外送系统的高频切机方案研究&lt;/Title&gt;&lt;Template&gt;Journal Article&lt;/Template&gt;&lt;Star&gt;0&lt;/Star&gt;&lt;Tag&gt;0&lt;/Tag&gt;&lt;Author&gt;陈赟; 陈得治; 马世英; 王毅; 宋云亭; 高峰; 吕思昕&lt;/Author&gt;&lt;Year&gt;2016&lt;/Year&gt;&lt;Details&gt;&lt;_author_aff&gt;新能源电力系统国家重点实验室(华北电力大学);中国电力科学研究院;国网宁夏电力公司电力科学研究院;&lt;/_author_aff&gt;&lt;_date&gt;2016-01-05&lt;/_date&gt;&lt;_db_provider&gt;CNKI: 期刊&lt;/_db_provider&gt;&lt;_issue&gt;01&lt;/_issue&gt;&lt;_journal&gt;电网技术&lt;/_journal&gt;&lt;_keywords&gt;风光火打捆;直流闭锁;高频切机;轮次替代&lt;/_keywords&gt;&lt;_pages&gt;186-192&lt;/_pages&gt;&lt;_url&gt;http://kns.cnki.net/KCMS/detail/detail.aspx?FileName=DWJS201601034&amp;amp;DbName=CJFQ2016&lt;/_url&gt;&lt;_volume&gt;40&lt;/_volume&gt;&lt;_created&gt;63727895&lt;/_created&gt;&lt;_modified&gt;63727895&lt;/_modified&gt;&lt;_db_updated&gt;CNKI - Reference&lt;/_db_updated&gt;&lt;_collection_scope&gt;CSCD;PKU;EI&lt;/_collection_scope&gt;&lt;_translated_author&gt;Chen, Yun;Chen, Dezhi;Ma, Shiying;Wang, Yi;Song, Yunting;Gao, Feng;Lu, Sixin&lt;/_translated_author&gt;&lt;/Details&gt;&lt;Extra&gt;&lt;DBUID&gt;{6891F4B0-DCBA-459A-9A22-3059983243D4}&lt;/DBUID&gt;&lt;/Extra&gt;&lt;/Item&gt;&lt;/References&gt;&lt;/Group&gt;&lt;/Citation&gt;_x000a_"/>
    <w:docVar w:name="NE.Ref{2C7BBEE6-853D-4A5B-969F-EDB19F67CD16}" w:val=" ADDIN NE.Ref.{2C7BBEE6-853D-4A5B-969F-EDB19F67CD16}&lt;Citation&gt;&lt;Group&gt;&lt;References&gt;&lt;Item&gt;&lt;ID&gt;393&lt;/ID&gt;&lt;UID&gt;{F56A9865-8DCF-429D-BB8A-9534C98DE2B4}&lt;/UID&gt;&lt;Title&gt;适应可再生能源配额制的电力市场交易体系研究&lt;/Title&gt;&lt;Template&gt;Journal Article&lt;/Template&gt;&lt;Star&gt;0&lt;/Star&gt;&lt;Tag&gt;0&lt;/Tag&gt;&lt;Author&gt;张翔; 陈政; 马子明; 夏清; 戴晓娟; 卢冬雪; 赵燃&lt;/Author&gt;&lt;Year&gt;2019&lt;/Year&gt;&lt;Details&gt;&lt;_author_adr&gt;南方电网能源发展研究院有限责任公司;清华大学电机工程与应用电子技术系;清华四川能源互联网研究院;&lt;/_author_adr&gt;&lt;_collection_scope&gt;CSCD;PKU;EI&lt;/_collection_scope&gt;&lt;_created&gt;63640280&lt;/_created&gt;&lt;_db_provider&gt;CNKI&lt;/_db_provider&gt;&lt;_isbn&gt;1000-3673&lt;/_isbn&gt;&lt;_issue&gt;08&lt;/_issue&gt;&lt;_journal&gt;电网技术&lt;/_journal&gt;&lt;_keywords&gt;配额制;可再生能源市场;电力市场;市场均衡&lt;/_keywords&gt;&lt;_modified&gt;63640280&lt;/_modified&gt;&lt;_pages&gt;2682-2690&lt;/_pages&gt;&lt;_volume&gt;43&lt;/_volume&gt;&lt;_translated_author&gt;Zhang, Xiang;Chen, Zheng;Ma, Ziming;Xia, Qing;Dai, Xiaojuan;Lu, Dongxue;Zhao, Ran&lt;/_translated_author&gt;&lt;/Details&gt;&lt;Extra&gt;&lt;DBUID&gt;{F96A950B-833F-4880-A151-76DA2D6A2879}&lt;/DBUID&gt;&lt;/Extra&gt;&lt;/Item&gt;&lt;/References&gt;&lt;/Group&gt;&lt;/Citation&gt;_x000a_"/>
    <w:docVar w:name="NE.Ref{2CBD2C97-D99C-4C70-86DB-29F8C94237BB}" w:val=" ADDIN NE.Ref.{2CBD2C97-D99C-4C70-86DB-29F8C94237BB}&lt;Citation&gt;&lt;Group&gt;&lt;References&gt;&lt;Item&gt;&lt;ID&gt;642&lt;/ID&gt;&lt;UID&gt;{8279F446-24EF-49BD-A2D2-31BE016354B6}&lt;/UID&gt;&lt;Title&gt;Bi-level Two-stage Robust Optimal Scheduling for AC/DC Hybrid Multi-microgrids&lt;/Title&gt;&lt;Template&gt;Journal Article&lt;/Template&gt;&lt;Star&gt;0&lt;/Star&gt;&lt;Tag&gt;0&lt;/Tag&gt;&lt;Author&gt;Qiu, Haifeng; Zhao, Bo; Gu, Wei; Bo, Rui&lt;/Author&gt;&lt;Year&gt;2018&lt;/Year&gt;&lt;Details&gt;&lt;_journal&gt;IEEE Transactions on Smart Grid&lt;/_journal&gt;&lt;_pages&gt;1-1&lt;/_pages&gt;&lt;_created&gt;63705591&lt;/_created&gt;&lt;_modified&gt;63705591&lt;/_modified&gt;&lt;_impact_factor&gt;   8.267&lt;/_impact_factor&gt;&lt;_collection_scope&gt;SCIE;EI&lt;/_collection_scope&gt;&lt;/Details&gt;&lt;Extra&gt;&lt;DBUID&gt;{F96A950B-833F-4880-A151-76DA2D6A2879}&lt;/DBUID&gt;&lt;/Extra&gt;&lt;/Item&gt;&lt;/References&gt;&lt;/Group&gt;&lt;/Citation&gt;_x000a_"/>
    <w:docVar w:name="NE.Ref{2E242CCB-B212-457C-911D-7A35F60744CE}" w:val=" ADDIN NE.Ref.{2E242CCB-B212-457C-911D-7A35F60744CE}&lt;Citation&gt;&lt;Group&gt;&lt;References&gt;&lt;Item&gt;&lt;ID&gt;589&lt;/ID&gt;&lt;UID&gt;{986EA531-46F6-4CB9-AEC6-928E57D8364B}&lt;/UID&gt;&lt;Title&gt;基于进化算法的复杂多目标优化问题求解&lt;/Title&gt;&lt;Template&gt;Thesis&lt;/Template&gt;&lt;Star&gt;0&lt;/Star&gt;&lt;Tag&gt;0&lt;/Tag&gt;&lt;Author&gt;田野&lt;/Author&gt;&lt;Year&gt;2018&lt;/Year&gt;&lt;Details&gt;&lt;_created&gt;63704976&lt;/_created&gt;&lt;_db_provider&gt;CNKI&lt;/_db_provider&gt;&lt;_keywords&gt;进化多目标优化;高维多目标优化问题;大规模多目标优化问题;Pareto前沿面;特征选择&lt;/_keywords&gt;&lt;_modified&gt;63704976&lt;/_modified&gt;&lt;_publisher&gt;安徽大学&lt;/_publisher&gt;&lt;_tertiary_author&gt;张兴义&lt;/_tertiary_author&gt;&lt;_type_work&gt;博士&lt;/_type_work&gt;&lt;_translated_author&gt;Tian, Ye&lt;/_translated_author&gt;&lt;_translated_tertiary_author&gt;Zhang, Xingyi&lt;/_translated_tertiary_author&gt;&lt;/Details&gt;&lt;Extra&gt;&lt;DBUID&gt;{F96A950B-833F-4880-A151-76DA2D6A2879}&lt;/DBUID&gt;&lt;/Extra&gt;&lt;/Item&gt;&lt;/References&gt;&lt;/Group&gt;&lt;/Citation&gt;_x000a_"/>
    <w:docVar w:name="NE.Ref{2E5CFF0E-050C-4B01-9894-164DCC174BE9}" w:val=" ADDIN NE.Ref.{2E5CFF0E-050C-4B01-9894-164DCC174BE9}&lt;Citation&gt;&lt;Group&gt;&lt;References&gt;&lt;Item&gt;&lt;ID&gt;536&lt;/ID&gt;&lt;UID&gt;{4CC7AF0A-1202-481F-B3E5-223E3C1D6B55}&lt;/UID&gt;&lt;Title&gt;大规模特高压交直流混联电网特性分析与运行控制&lt;/Title&gt;&lt;Template&gt;Journal Article&lt;/Template&gt;&lt;Star&gt;0&lt;/Star&gt;&lt;Tag&gt;0&lt;/Tag&gt;&lt;Author&gt;李明节&lt;/Author&gt;&lt;Year&gt;2016&lt;/Year&gt;&lt;Details&gt;&lt;_accessed&gt;64753225&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电网技术&lt;/_journal&gt;&lt;_modified&gt;64753226&lt;/_modified&gt;&lt;_pages&gt;985-991&lt;/_pages&gt;&lt;_tertiary_title&gt;Power System Technology&lt;/_tertiary_title&gt;&lt;_translated_author&gt;Li, Mingjie&lt;/_translated_author&gt;&lt;_translated_title&gt;Characteristic Analysis and Operational Control of Large-Scale Hybrid UHV AC/DC Power Grids &lt;/_translated_title&gt;&lt;_url&gt;CSCD:5679313 _x000d__x000a_https://bar.cnki.net/bar/download/order?id=jBGETXBNdPImvx70aLAuJPYxPoFw%2bp%2bi0fIiSrcN6lVFq3Ff9ythJFB5QqTVCcGj9OEo97ZCiBA9x8JL1XYq2TW1naasVB8LAM3hX8NAtijl8E%2bCUVp5GtDTYhVF2dNUoJeGx62Ssygg68TNXJ%2b5JrigejDAar8Xqw%2f6WR22OFXUdUGh4At8VBYSvh%2fCUD5aVFhKYBjwXXnHOYWLKs%2brXtUr2kvoJV7Lyc0%2fNbix2nb5LXYX1qwFXwOc1HUZT%2bTB _x000d__x000a_&lt;/_url&gt;&lt;_volume&gt;40&lt;/_volume&gt;&lt;/Details&gt;&lt;Extra&gt;&lt;DBUID&gt;{6891F4B0-DCBA-459A-9A22-3059983243D4}&lt;/DBUID&gt;&lt;/Extra&gt;&lt;/Item&gt;&lt;/References&gt;&lt;/Group&gt;&lt;/Citation&gt;_x000a_"/>
    <w:docVar w:name="NE.Ref{2E760E4E-E344-45C7-B86A-7820EBEB8F2C}" w:val=" ADDIN NE.Ref.{2E760E4E-E344-45C7-B86A-7820EBEB8F2C}&lt;Citation&gt;&lt;Group&gt;&lt;References&gt;&lt;Item&gt;&lt;ID&gt;649&lt;/ID&gt;&lt;UID&gt;{2ADC5290-735A-4951-B6B1-91EC09F04E30}&lt;/UID&gt;&lt;Title&gt;Microgrids energy management systems: A critical review on methods, solutions, and prospects&lt;/Title&gt;&lt;Template&gt;Journal Article&lt;/Template&gt;&lt;Star&gt;0&lt;/Star&gt;&lt;Tag&gt;0&lt;/Tag&gt;&lt;Author&gt;Zia, Muhammad Fahad; Elbouchikhi, Elhoussin; Benbouzid, Mohamed&lt;/Author&gt;&lt;Year&gt;2018&lt;/Year&gt;&lt;Details&gt;&lt;_issue&gt;JUL.15&lt;/_issue&gt;&lt;_journal&gt;Applied Energy&lt;/_journal&gt;&lt;_pages&gt;1033-1055&lt;/_pages&gt;&lt;_volume&gt;222&lt;/_volume&gt;&lt;_created&gt;63705612&lt;/_created&gt;&lt;_modified&gt;63705612&lt;/_modified&gt;&lt;_impact_factor&gt;   8.848&lt;/_impact_factor&gt;&lt;_collection_scope&gt;SCI;SCIE;EI&lt;/_collection_scope&gt;&lt;/Details&gt;&lt;Extra&gt;&lt;DBUID&gt;{F96A950B-833F-4880-A151-76DA2D6A2879}&lt;/DBUID&gt;&lt;/Extra&gt;&lt;/Item&gt;&lt;/References&gt;&lt;/Group&gt;&lt;/Citation&gt;_x000a_"/>
    <w:docVar w:name="NE.Ref{2F1C24BA-4BCB-4E42-ABAF-07BC296DD056}" w:val=" ADDIN NE.Ref.{2F1C24BA-4BCB-4E42-ABAF-07BC296DD056}&lt;Citation&gt;&lt;Group&gt;&lt;References&gt;&lt;Item&gt;&lt;ID&gt;869&lt;/ID&gt;&lt;UID&gt;{6F919514-ADFF-44C9-9E9D-F640A6ADDA3A}&lt;/UID&gt;&lt;Title&gt;直流双极闭锁故障下送端系统暂态过电压计算方法&lt;/Title&gt;&lt;Template&gt;Journal Article&lt;/Template&gt;&lt;Star&gt;0&lt;/Star&gt;&lt;Tag&gt;0&lt;/Tag&gt;&lt;Author&gt;李欣悦; 李凤婷; 尹纯亚; 白海滨&lt;/Author&gt;&lt;Year&gt;2021&lt;/Year&gt;&lt;Details&gt;&lt;_accessed&gt;64647184&lt;/_accessed&gt;&lt;_author_aff&gt;新疆大学电气工程学院;国网新疆电力有限公司昌吉供电公司;&lt;/_author_aff&gt;&lt;_cited_count&gt;65&lt;/_cited_count&gt;&lt;_collection_scope&gt;CSCD;PKU&lt;/_collection_scope&gt;&lt;_created&gt;64646738&lt;/_created&gt;&lt;_date&gt;2021-01-01&lt;/_date&gt;&lt;_db_updated&gt;CNKI - Reference&lt;/_db_updated&gt;&lt;_issue&gt;01&lt;/_issue&gt;&lt;_journal&gt;电力系统保护与控制&lt;/_journal&gt;&lt;_keywords&gt;特高压直流;直流闭锁;送端交流系统;暂态过电压&lt;/_keywords&gt;&lt;_modified&gt;64647185&lt;/_modified&gt;&lt;_pages&gt;1-8&lt;/_pages&gt;&lt;_tertiary_title&gt;Power System Protection and Control&lt;/_tertiary_title&gt;&lt;_translated_author&gt;LI, Xinyue; LI, Fengting; YIN, Chunya; BAI, Haibin&lt;/_translated_author&gt;&lt;_translated_title&gt;Transient overvoltage calculation method of HVDC sending-end system under DC bipolar blocking&lt;/_translated_title&gt;&lt;_url&gt;https://kns.cnki.net/kcms/detail/detail.aspx?FileName=JDQW202101001&amp;amp;DbName=CJFQ2021 _x000d__x000a_https://bar.cnki.net/bar/download/order?id=jBGETXBNdPImvx70aLAuJPYxPoFw%2bp%2bi0fIiSrcN6lXs6FVLNFGJeIOE5eRUlm2bdIHL2Cy%2blkEQPNV7YmeogUGxVkq8YHJNz4jV3WhknTrl8E%2bCUVp5GtDTYhVF2dNUoJeGx62Ssygg68TNXJ%2b5JrigejDAar8Xqw%2f6WR22OFXUdUGh4At8VBYSvh%2fCUD5aWOzmXBt1swS4iqmxYBP2b%2b1vYx0aqWvcABg4xskmmzn5LXYX1qwFXwOc1HUZT%2bTB _x000d__x000a_&lt;/_url&gt;&lt;_volume&gt;49&lt;/_volume&gt;&lt;/Details&gt;&lt;Extra&gt;&lt;DBUID&gt;{6891F4B0-DCBA-459A-9A22-3059983243D4}&lt;/DBUID&gt;&lt;/Extra&gt;&lt;/Item&gt;&lt;/References&gt;&lt;/Group&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Details&gt;&lt;Extra&gt;&lt;DBUID&gt;{6891F4B0-DCBA-459A-9A22-3059983243D4}&lt;/DBUID&gt;&lt;/Extra&gt;&lt;/Item&gt;&lt;/References&gt;&lt;/Group&gt;&lt;Group&gt;&lt;References&gt;&lt;Item&gt;&lt;ID&gt;875&lt;/ID&gt;&lt;UID&gt;{390FC988-64C7-495A-BEE9-B36A579911AE}&lt;/UID&gt;&lt;Title&gt;基于无功功率短路比的直流闭锁暂态过电压计算方法&lt;/Title&gt;&lt;Template&gt;Journal Article&lt;/Template&gt;&lt;Star&gt;0&lt;/Star&gt;&lt;Tag&gt;0&lt;/Tag&gt;&lt;Author&gt;尹纯亚; 李凤婷; 周识远; 陈伟伟&lt;/Author&gt;&lt;Year&gt;2019&lt;/Year&gt;&lt;Details&gt;&lt;_accessed&gt;64647190&lt;/_accessed&gt;&lt;_author_aff&gt;新疆大学电气工程学院;国网甘肃省电力有限公司风电技术中心;国网新疆电力有限公司经济技术研究院;&lt;/_author_aff&gt;&lt;_cited_count&gt;28&lt;/_cited_count&gt;&lt;_collection_scope&gt;CSCD;PKU;EI&lt;/_collection_scope&gt;&lt;_created&gt;64646879&lt;/_created&gt;&lt;_date&gt;2019-04-03&lt;/_date&gt;&lt;_db_updated&gt;CNKI - Reference&lt;/_db_updated&gt;&lt;_issue&gt;10&lt;/_issue&gt;&lt;_journal&gt;电力系统自动化&lt;/_journal&gt;&lt;_keywords&gt;特高压直流;直流闭锁;暂态过电压;无功功率短路比&lt;/_keywords&gt;&lt;_modified&gt;64647169&lt;/_modified&gt;&lt;_pages&gt;150-154+161&lt;/_pages&gt;&lt;_tertiary_title&gt;Automation of electric power systems&lt;/_tertiary_title&gt;&lt;_translated_author&gt;YIN, Chunya; LI, Fengting; ZHOU, Shiyuan; CHEN, Weiwei&lt;/_translated_author&gt;&lt;_translated_title&gt;Calculation method of transient overvoltage due to DC blocking based on short circuit ratio of reactive power&lt;/_translated_title&gt;&lt;_url&gt;https://kns.cnki.net/kcms/detail/detail.aspx?FileName=DLXT201910019&amp;amp;DbName=CJFQ2019 _x000d__x000a_https://bar.cnki.net/bar/download/order?id=jBGETXBNdPImvx70aLAuJPYxPoFw%2bp%2bi0fIiSrcN6lWeNA6haUs9alja7wbwAT3oqfi8%2bi%2f76dNraIZO5iW6Bqly%2bcoaUbxKfbohfVkk2oLl8E%2bCUVp5GtDTYhVF2dNUoJeGx62Ssygg68TNXJ%2b5JrigejDAar8Xqw%2f6WR22OFXUdUGh4At8VBYSvh%2fCUD5a11U9mcm3OE4%2bhNBxSxXONDb8f2HAkymGE9BZVIFzUcf5LXYX1qwFXwOc1HUZT%2bTB _x000d__x000a_&lt;/_url&gt;&lt;_volume&gt;43&lt;/_volume&gt;&lt;/Details&gt;&lt;Extra&gt;&lt;DBUID&gt;{6891F4B0-DCBA-459A-9A22-3059983243D4}&lt;/DBUID&gt;&lt;/Extra&gt;&lt;/Item&gt;&lt;/References&gt;&lt;/Group&gt;&lt;/Citation&gt;_x000a_"/>
    <w:docVar w:name="NE.Ref{2FB7BCBB-95FB-4759-86C2-5DF3528DDCA9}" w:val=" ADDIN NE.Ref.{2FB7BCBB-95FB-4759-86C2-5DF3528DDCA9}&lt;Citation&gt;&lt;Group&gt;&lt;References&gt;&lt;Item&gt;&lt;ID&gt;429&lt;/ID&gt;&lt;UID&gt;{15AFD74E-7DF1-41B8-B0B3-D215426407E9}&lt;/UID&gt;&lt;Title&gt;Analyses of static and dynamic reactive power allocation between synchronous compensators and shunt capacitors to counter commutation failures&lt;/Title&gt;&lt;Template&gt;Journal Article&lt;/Template&gt;&lt;Star&gt;0&lt;/Star&gt;&lt;Tag&gt;0&lt;/Tag&gt;&lt;Author&gt;Zhou, Yongzhi; Wu, Hao; Song, Yonghua; Ling, Weijia; Lou, Boliang; Deng, Hui&lt;/Author&gt;&lt;Year&gt;2018&lt;/Year&gt;&lt;Details&gt;&lt;_accessed&gt;63445946&lt;/_accessed&gt;&lt;_accession_num&gt;WOS:000447404600006_x000d__x000a_ER&lt;/_accession_num&gt;&lt;_cited_count&gt;3&lt;/_cited_count&gt;&lt;_collection_scope&gt;SCIE;EI&lt;/_collection_scope&gt;&lt;_created&gt;63444588&lt;/_created&gt;&lt;_date_display&gt;2018, OCT 2018&lt;/_date_display&gt;&lt;_db_provider&gt;ISI&lt;/_db_provider&gt;&lt;_doi&gt;10.1002/etep.2605&lt;/_doi&gt;&lt;_impact_factor&gt;   1.692&lt;/_impact_factor&gt;&lt;_isbn&gt;2050-7038&lt;/_isbn&gt;&lt;_issue&gt;e260510&lt;/_issue&gt;&lt;_journal&gt;INTERNATIONAL TRANSACTIONS ON ELECTRICAL ENERGY SYSTEMS&lt;/_journal&gt;&lt;_modified&gt;63445946&lt;/_modified&gt;&lt;_url&gt;http://gateway.isiknowledge.com/gateway/Gateway.cgi?GWVersion=2&amp;amp;SrcAuth=AegeanSoftware&amp;amp;SrcApp=NoteExpress&amp;amp;DestLinkType=FullRecord&amp;amp;DestApp=WOS&amp;amp;KeyUT=000447404600006&lt;/_url&gt;&lt;_volume&gt;28&lt;/_volume&gt;&lt;/Details&gt;&lt;Extra&gt;&lt;DBUID&gt;{6891F4B0-DCBA-459A-9A22-3059983243D4}&lt;/DBUID&gt;&lt;/Extra&gt;&lt;/Item&gt;&lt;/References&gt;&lt;/Group&gt;&lt;Group&gt;&lt;References&gt;&lt;Item&gt;&lt;ID&gt;463&lt;/ID&gt;&lt;UID&gt;{CC8CBE08-76D3-4D16-9884-635939074311}&lt;/UID&gt;&lt;Title&gt;同步调相机对LCC-HVDC换相失败抵御能力的影响研究&lt;/Title&gt;&lt;Template&gt;Journal Article&lt;/Template&gt;&lt;Star&gt;0&lt;/Star&gt;&lt;Tag&gt;0&lt;/Tag&gt;&lt;Author&gt;王庆; 沙江波; 杨鹏程; 赵成勇; 徐东海; 黄金军; 杨治中; 郭春义&lt;/Author&gt;&lt;Year&gt;2018&lt;/Year&gt;&lt;Details&gt;&lt;_accessed&gt;63445969&lt;/_accessed&gt;&lt;_accession_num&gt;CSCD:6239995_x000d__x000a_ER&lt;/_accession_num&gt;&lt;_cited_count&gt;2&lt;/_cited_count&gt;&lt;_collection_scope&gt;CSCD;PKU&lt;/_collection_scope&gt;&lt;_created&gt;63444588&lt;/_created&gt;&lt;_date_display&gt;2018, 2018&lt;/_date_display&gt;&lt;_db_provider&gt;ISI&lt;/_db_provider&gt;&lt;_isbn&gt;1003-3076&lt;/_isbn&gt;&lt;_issue&gt;1003-3076(2018)37:5&amp;lt;29:TBDXJD&amp;gt;2.0.TX;2-#5&lt;/_issue&gt;&lt;_journal&gt;电工电能新技术&lt;/_journal&gt;&lt;_modified&gt;63445969&lt;/_modified&gt;&lt;_pages&gt;29-36&lt;/_pages&gt;&lt;_tertiary_title&gt;Advanced Technology of Electrical Engineering and Energy&lt;/_tertiary_title&gt;&lt;_translated_author&gt;Wang, Qing; Sha, Jiangbo; Yang, Pengcheng; Zhao, Chengyong; Xu, Donghai; Huang, Jinjun; Yang, Zhizhong; Guo, Chunyi&lt;/_translated_author&gt;&lt;_translated_title&gt;Study of impact of SC on ability to defend commutation failure of LCC-HVDC&lt;/_translated_title&gt;&lt;_url&gt;CSCD:6239995&lt;/_url&gt;&lt;_volume&gt;37&lt;/_volume&gt;&lt;/Details&gt;&lt;Extra&gt;&lt;DBUID&gt;{6891F4B0-DCBA-459A-9A22-3059983243D4}&lt;/DBUID&gt;&lt;/Extra&gt;&lt;/Item&gt;&lt;/References&gt;&lt;/Group&gt;&lt;Group&gt;&lt;References&gt;&lt;Item&gt;&lt;ID&gt;382&lt;/ID&gt;&lt;UID&gt;{5327BD5F-2401-4B7D-BB2A-449F91F32139}&lt;/UID&gt;&lt;Title&gt;同步调相机对受端省级电网运行影响及控制策略研究&lt;/Title&gt;&lt;Template&gt;Journal Article&lt;/Template&gt;&lt;Star&gt;0&lt;/Star&gt;&lt;Tag&gt;0&lt;/Tag&gt;&lt;Author&gt;赵静波; 孟侠; 朱鑫要&lt;/Author&gt;&lt;Year&gt;2019&lt;/Year&gt;&lt;Details&gt;&lt;_accessed&gt;63445975&lt;/_accessed&gt;&lt;_accession_num&gt;CSCD:6600348_x000d__x000a_ER&lt;/_accession_num&gt;&lt;_cited_count&gt;0&lt;/_cited_count&gt;&lt;_collection_scope&gt;CSCD;PKU&lt;/_collection_scope&gt;&lt;_created&gt;63444588&lt;/_created&gt;&lt;_date_display&gt;2019, 2019&lt;/_date_display&gt;&lt;_db_provider&gt;ISI&lt;/_db_provider&gt;&lt;_isbn&gt;1674-3415&lt;/_isbn&gt;&lt;_issue&gt;1674-3415(2019)47:20&amp;lt;25:TBDXJD&amp;gt;2.0.TX;2-L20&lt;/_issue&gt;&lt;_journal&gt;电力系统保护与控制&lt;/_journal&gt;&lt;_modified&gt;63445975&lt;/_modified&gt;&lt;_pages&gt;25-32&lt;/_pages&gt;&lt;_tertiary_title&gt;Power System Protection and Control&lt;/_tertiary_title&gt;&lt;_translated_author&gt;Zhao, Jingbo; Meng, Xia; Zhu, Xinyao&lt;/_translated_author&gt;&lt;_translated_title&gt;Research on synchronous condenser&amp;apos;s influences on receiving-end provincial grid and its control strategy&lt;/_translated_title&gt;&lt;_url&gt;CSCD:6600348&lt;/_url&gt;&lt;_volume&gt;47&lt;/_volume&gt;&lt;/Details&gt;&lt;Extra&gt;&lt;DBUID&gt;{6891F4B0-DCBA-459A-9A22-3059983243D4}&lt;/DBUID&gt;&lt;/Extra&gt;&lt;/Item&gt;&lt;/References&gt;&lt;/Group&gt;&lt;Group&gt;&lt;References&gt;&lt;Item&gt;&lt;ID&gt;395&lt;/ID&gt;&lt;UID&gt;{A293D50F-1066-4EDC-AAF9-DDAB387305EC}&lt;/UID&gt;&lt;Title&gt;同步调相机对分层接入特高压直流输电系统的换相失败抑制作用研究&lt;/Title&gt;&lt;Template&gt;Journal Article&lt;/Template&gt;&lt;Star&gt;0&lt;/Star&gt;&lt;Tag&gt;0&lt;/Tag&gt;&lt;Author&gt;沙江波; 杨硕; 郭春义; 赵成勇&lt;/Author&gt;&lt;Year&gt;2019&lt;/Year&gt;&lt;Details&gt;&lt;_accessed&gt;63445980&lt;/_accessed&gt;&lt;_accession_num&gt;CSCD:6586698_x000d__x000a_ER&lt;/_accession_num&gt;&lt;_cited_count&gt;0&lt;/_cited_count&gt;&lt;_collection_scope&gt;CSCD;PKU;EI&lt;/_collection_scope&gt;&lt;_created&gt;63444588&lt;/_created&gt;&lt;_date_display&gt;2019, 2019&lt;/_date_display&gt;&lt;_db_provider&gt;ISI&lt;/_db_provider&gt;&lt;_isbn&gt;1000-3673&lt;/_isbn&gt;&lt;_issue&gt;1000-3673(2019)43:10&amp;lt;3552:TBDXJD&amp;gt;2.0.TX;2-P10&lt;/_issue&gt;&lt;_journal&gt;电网技术&lt;/_journal&gt;&lt;_modified&gt;63445980&lt;/_modified&gt;&lt;_pages&gt;3552-3561&lt;/_pages&gt;&lt;_tertiary_title&gt;Power System Technology&lt;/_tertiary_title&gt;&lt;_translated_author&gt;Sha, Jiangbo; Yang, Shuo; Guo, Chunyi; Zhao, Chengyong&lt;/_translated_author&gt;&lt;_translated_title&gt;Study on Suppression Effect of Synchronous Condenser on Commutation Failure of UHVDC System Under Hierarchical Connection Mode&lt;/_translated_title&gt;&lt;_url&gt;CSCD:6586698&lt;/_url&gt;&lt;_volume&gt;43&lt;/_volume&gt;&lt;/Details&gt;&lt;Extra&gt;&lt;DBUID&gt;{6891F4B0-DCBA-459A-9A22-3059983243D4}&lt;/DBUID&gt;&lt;/Extra&gt;&lt;/Item&gt;&lt;/References&gt;&lt;/Group&gt;&lt;/Citation&gt;_x000a_"/>
    <w:docVar w:name="NE.Ref{302EC6BF-B317-4F4B-A265-03DBDCA6C7C3}" w:val=" ADDIN NE.Ref.{302EC6BF-B317-4F4B-A265-03DBDCA6C7C3}&lt;Citation&gt;&lt;Group&gt;&lt;References&gt;&lt;Item&gt;&lt;ID&gt;98&lt;/ID&gt;&lt;UID&gt;{AA8BDB23-B30B-4122-876D-F67D1E8F9E6D}&lt;/UID&gt;&lt;Title&gt;计及线路随机故障的机会约束最优风电消纳模型&lt;/Title&gt;&lt;Template&gt;Journal Article&lt;/Template&gt;&lt;Star&gt;0&lt;/Star&gt;&lt;Tag&gt;0&lt;/Tag&gt;&lt;Author&gt;陈哲; 张伊宁; 黄刚; 何宇斌; 郭创新; 张金江&lt;/Author&gt;&lt;Year&gt;2019&lt;/Year&gt;&lt;Details&gt;&lt;_accessed&gt;64303877&lt;/_accessed&gt;&lt;_author_aff&gt;浙江大学电气工程学院;之江实验室;浙江科技学院自动化与电气工程学院;&lt;/_author_aff&gt;&lt;_cited_count&gt;16&lt;/_cited_count&gt;&lt;_collection_scope&gt;CSCD;PKU;EI&lt;/_collection_scope&gt;&lt;_created&gt;64303872&lt;/_created&gt;&lt;_date&gt;62638560&lt;/_date&gt;&lt;_db_updated&gt;CNKI - Reference&lt;/_db_updated&gt;&lt;_issue&gt;02&lt;/_issue&gt;&lt;_journal&gt;电网技术&lt;/_journal&gt;&lt;_keywords&gt;最优风电消纳比;输电线路随机故障;机组组合;双线性Benders分解&lt;/_keywords&gt;&lt;_language&gt;Chinese&lt;/_language&gt;&lt;_modified&gt;64303876&lt;/_modified&gt;&lt;_pages&gt;363-370&lt;/_pages&gt;&lt;_url&gt;https://kns.cnki.net/kcms/detail/detail.aspx?FileName=DWJS201902002&amp;amp;DbName=DKFX2019&lt;/_url&gt;&lt;_volume&gt;43&lt;/_volume&gt;&lt;_translated_author&gt;Chen, Zhe;Zhang, Yining;Huang, Gang;He, Yubin;Guo, Chuangxin;Zhang, Jinjiang&lt;/_translated_author&gt;&lt;/Details&gt;&lt;Extra&gt;&lt;DBUID&gt;{560D5FFD-5A46-4EB8-859B-FD657304A42E}&lt;/DBUID&gt;&lt;/Extra&gt;&lt;/Item&gt;&lt;/References&gt;&lt;/Group&gt;&lt;/Citation&gt;_x000a_"/>
    <w:docVar w:name="NE.Ref{30F25334-6918-4304-8B38-5A77F00A7FCD}" w:val=" ADDIN NE.Ref.{30F25334-6918-4304-8B38-5A77F00A7FCD}&lt;Citation&gt;&lt;Group&gt;&lt;References&gt;&lt;Item&gt;&lt;ID&gt;1032&lt;/ID&gt;&lt;UID&gt;{D929BBC2-82A2-4472-B020-C893A3846E85}&lt;/UID&gt;&lt;Title&gt;直流闭锁引起的暂态过电压计算方法及其影响因素分析&lt;/Title&gt;&lt;Template&gt;Journal Article&lt;/Template&gt;&lt;Star&gt;0&lt;/Star&gt;&lt;Tag&gt;0&lt;/Tag&gt;&lt;Author&gt;王峰; 刘天琪; 丁媛媛; 曾琦; 李兴源&lt;/Author&gt;&lt;Year&gt;2016&lt;/Year&gt;&lt;Details&gt;&lt;_author_aff&gt;四川大学电气信息学院;&lt;/_author_aff&gt;&lt;_cited_count&gt;71&lt;/_cited_count&gt;&lt;_date&gt;2016-07-07&lt;/_date&gt;&lt;_issue&gt;10&lt;/_issue&gt;&lt;_journal&gt;电网技术&lt;/_journal&gt;&lt;_keywords&gt;高压直流;暂态过电压;短路比;影响因素;故障分析;机理分析&lt;/_keywords&gt;&lt;_pages&gt;3059-3065&lt;/_pages&gt;&lt;_url&gt;https://kns.cnki.net/kcms/detail/detail.aspx?FileName=DWJS201610019&amp;amp;DbName=CJFQ2016&lt;/_url&gt;&lt;_volume&gt;40&lt;/_volume&gt;&lt;_created&gt;64780425&lt;/_created&gt;&lt;_modified&gt;64780425&lt;/_modified&gt;&lt;_db_updated&gt;CNKI - Reference&lt;/_db_updated&gt;&lt;_collection_scope&gt;CSCD;PKU;EI&lt;/_collection_scope&gt;&lt;_translated_author&gt;Wang, Feng;Liu, Tianqi;Ding, Yuanyuan;Ceng, Qi;Li, Xingyuan&lt;/_translated_author&gt;&lt;/Details&gt;&lt;Extra&gt;&lt;DBUID&gt;{6891F4B0-DCBA-459A-9A22-3059983243D4}&lt;/DBUID&gt;&lt;/Extra&gt;&lt;/Item&gt;&lt;/References&gt;&lt;/Group&gt;&lt;/Citation&gt;_x000a_"/>
    <w:docVar w:name="NE.Ref{3202FFD9-7B66-46FB-8B3B-C79EFDD53498}" w:val=" ADDIN NE.Ref.{3202FFD9-7B66-46FB-8B3B-C79EFDD53498}&lt;Citation&gt;&lt;Group&gt;&lt;References&gt;&lt;Item&gt;&lt;ID&gt;484&lt;/ID&gt;&lt;UID&gt;{872722D0-EBDE-42CA-A4BD-4C87E269774E}&lt;/UID&gt;&lt;Title&gt;A Decision Variable Clustering-Based Evolutionary Algorithm for Large-Scale Many-Objective Optimization&lt;/Title&gt;&lt;Template&gt;Journal Article&lt;/Template&gt;&lt;Star&gt;0&lt;/Star&gt;&lt;Tag&gt;0&lt;/Tag&gt;&lt;Author&gt;Zhang, Xingyi; Tian, Ye; Cheng, Ran; Jin, Yaochu&lt;/Author&gt;&lt;Year&gt;2018&lt;/Year&gt;&lt;Details&gt;&lt;_collection_scope&gt;SCI;SCIE;EI&lt;/_collection_scope&gt;&lt;_created&gt;63650775&lt;/_created&gt;&lt;_impact_factor&gt;  11.169&lt;/_impact_factor&gt;&lt;_issue&gt;99&lt;/_issue&gt;&lt;_journal&gt;IEEE Transactions on Evolutionary Computation&lt;/_journal&gt;&lt;_modified&gt;63650775&lt;/_modified&gt;&lt;_pages&gt;97-112&lt;/_pages&gt;&lt;_volume&gt;22&lt;/_volume&gt;&lt;/Details&gt;&lt;Extra&gt;&lt;DBUID&gt;{F96A950B-833F-4880-A151-76DA2D6A2879}&lt;/DBUID&gt;&lt;/Extra&gt;&lt;/Item&gt;&lt;/References&gt;&lt;/Group&gt;&lt;/Citation&gt;_x000a_"/>
    <w:docVar w:name="NE.Ref{323DDB8F-50AA-40D0-BE34-1E75C92669D3}" w:val=" ADDIN NE.Ref.{323DDB8F-50AA-40D0-BE34-1E75C92669D3}&lt;Citation&gt;&lt;Group&gt;&lt;References&gt;&lt;Item&gt;&lt;ID&gt;510&lt;/ID&gt;&lt;UID&gt;{02D860A4-4262-4AD4-93E0-F5C185DC3E0F}&lt;/UID&gt;&lt;Title&gt;基于集中供热系统储热特性的热电联产机组多时间尺度灵活性协调调度&lt;/Title&gt;&lt;Template&gt;Journal Article&lt;/Template&gt;&lt;Star&gt;0&lt;/Star&gt;&lt;Tag&gt;0&lt;/Tag&gt;&lt;Author&gt;张磊; 罗毅; 罗恒恒; 苗世洪; 叶婧; 周桂平; 孙亮&lt;/Author&gt;&lt;Year&gt;2018&lt;/Year&gt;&lt;Details&gt;&lt;_author_adr&gt;华中科技大学电气与电子工程学院;国网辽宁省电力有限公司;三峡大学电气与新能源学院;&lt;/_author_adr&gt;&lt;_collection_scope&gt;CSCD;PKU;EI&lt;/_collection_scope&gt;&lt;_created&gt;63655099&lt;/_created&gt;&lt;_db_provider&gt;CNKI&lt;/_db_provider&gt;&lt;_isbn&gt;0258-8013&lt;/_isbn&gt;&lt;_issue&gt;04&lt;/_issue&gt;&lt;_journal&gt;中国电机工程学报&lt;/_journal&gt;&lt;_keywords&gt;热电联产机组;多时间尺度灵活性;高渗透率风电;热网系统&lt;/_keywords&gt;&lt;_modified&gt;63655099&lt;/_modified&gt;&lt;_pages&gt;985-998+1275&lt;/_pages&gt;&lt;_volume&gt;38&lt;/_volume&gt;&lt;_translated_author&gt;Zhang, Lei;Luo, Yi;Luo, Hengheng;Miao, Shihong;Ye, Jing;Zhou, Guiping;Sun, Liang&lt;/_translated_author&gt;&lt;/Details&gt;&lt;Extra&gt;&lt;DBUID&gt;{F96A950B-833F-4880-A151-76DA2D6A2879}&lt;/DBUID&gt;&lt;/Extra&gt;&lt;/Item&gt;&lt;/References&gt;&lt;/Group&gt;&lt;Group&gt;&lt;References&gt;&lt;Item&gt;&lt;ID&gt;514&lt;/ID&gt;&lt;UID&gt;{6C8A5A43-B832-48C9-90C9-F9788223EC74}&lt;/UID&gt;&lt;Title&gt;Economical flexibility options for integrating fluctuating wind energy in power systems: The case of China&lt;/Title&gt;&lt;Template&gt;Journal Article&lt;/Template&gt;&lt;Star&gt;0&lt;/Star&gt;&lt;Tag&gt;0&lt;/Tag&gt;&lt;Author&gt;Yi, Ding; Changzheng, Shao; Jinyue, Yan; Yonghua, Song; Chi, Zhang; Chuangxin, Guo&lt;/Author&gt;&lt;Year&gt;2018&lt;/Year&gt;&lt;Details&gt;&lt;_collection_scope&gt;SCI;SCIE;EI&lt;/_collection_scope&gt;&lt;_created&gt;63655101&lt;/_created&gt;&lt;_impact_factor&gt;   8.848&lt;/_impact_factor&gt;&lt;_journal&gt;Applied Energy&lt;/_journal&gt;&lt;_modified&gt;63655101&lt;/_modified&gt;&lt;_pages&gt;426-436&lt;/_pages&gt;&lt;_volume&gt;228&lt;/_volume&gt;&lt;/Details&gt;&lt;Extra&gt;&lt;DBUID&gt;{F96A950B-833F-4880-A151-76DA2D6A2879}&lt;/DBUID&gt;&lt;/Extra&gt;&lt;/Item&gt;&lt;/References&gt;&lt;/Group&gt;&lt;/Citation&gt;_x000a_"/>
    <w:docVar w:name="NE.Ref{3346DF02-4E77-44A6-9F62-36CD6C95B394}" w:val=" ADDIN NE.Ref.{3346DF02-4E77-44A6-9F62-36CD6C95B394}&lt;Citation&gt;&lt;Group&gt;&lt;References&gt;&lt;Item&gt;&lt;ID&gt;508&lt;/ID&gt;&lt;UID&gt;{7E235B19-63A2-43E4-95F3-7FC5B5B8C8F2}&lt;/UID&gt;&lt;Title&gt;中国可交易绿色证书细分机制设计及其效果分析&lt;/Title&gt;&lt;Template&gt;Thesis&lt;/Template&gt;&lt;Star&gt;0&lt;/Star&gt;&lt;Tag&gt;0&lt;/Tag&gt;&lt;Author&gt;胡心仪&lt;/Author&gt;&lt;Year&gt;2018&lt;/Year&gt;&lt;Details&gt;&lt;_created&gt;63655033&lt;/_created&gt;&lt;_db_provider&gt;CNKI&lt;/_db_provider&gt;&lt;_keywords&gt;交易绿色证书;细分机制;互补模型;光伏发电&lt;/_keywords&gt;&lt;_modified&gt;63655033&lt;/_modified&gt;&lt;_publisher&gt;中国石油大学(北京)&lt;/_publisher&gt;&lt;_tertiary_author&gt;张奇&lt;/_tertiary_author&gt;&lt;_type_work&gt;硕士&lt;/_type_work&gt;&lt;_translated_author&gt;Hu, Xinyi&lt;/_translated_author&gt;&lt;_translated_tertiary_author&gt;Zhang, Qi&lt;/_translated_tertiary_author&gt;&lt;/Details&gt;&lt;Extra&gt;&lt;DBUID&gt;{F96A950B-833F-4880-A151-76DA2D6A2879}&lt;/DBUID&gt;&lt;/Extra&gt;&lt;/Item&gt;&lt;/References&gt;&lt;/Group&gt;&lt;/Citation&gt;_x000a_"/>
    <w:docVar w:name="NE.Ref{33616EE3-6FFF-4C6D-96B2-4FFE78C680BD}" w:val=" ADDIN NE.Ref.{33616EE3-6FFF-4C6D-96B2-4FFE78C680BD}&lt;Citation&gt;&lt;Group&gt;&lt;References&gt;&lt;Item&gt;&lt;ID&gt;532&lt;/ID&gt;&lt;UID&gt;{D771068C-7184-4C27-9FE2-59AFAEF8E384}&lt;/UID&gt;&lt;Title&gt;泛在电力物联网释义与研究展望&lt;/Title&gt;&lt;Template&gt;Journal Article&lt;/Template&gt;&lt;Star&gt;0&lt;/Star&gt;&lt;Tag&gt;0&lt;/Tag&gt;&lt;Author&gt;杨挺; 翟峰; 赵英杰; 盆海波&lt;/Author&gt;&lt;Year&gt;2019&lt;/Year&gt;&lt;Details&gt;&lt;_author_adr&gt;智能电网教育部重点实验室(天津大学);中国电力科学研究院有限公司;&lt;/_author_adr&gt;&lt;_collection_scope&gt;CSCD;PKU;EI&lt;/_collection_scope&gt;&lt;_created&gt;63660359&lt;/_created&gt;&lt;_db_provider&gt;CNKI&lt;/_db_provider&gt;&lt;_isbn&gt;1000-1026&lt;/_isbn&gt;&lt;_issue&gt;13&lt;/_issue&gt;&lt;_journal&gt;电力系统自动化&lt;/_journal&gt;&lt;_keywords&gt;物联网;能源互联网;泛在电力物联网&lt;/_keywords&gt;&lt;_modified&gt;63660359&lt;/_modified&gt;&lt;_pages&gt;9-20+53&lt;/_pages&gt;&lt;_volume&gt;43&lt;/_volume&gt;&lt;_translated_author&gt;Yang, Ting;Zhai, Feng;Zhao, Yingjie;Pen, Haibo&lt;/_translated_author&gt;&lt;/Details&gt;&lt;Extra&gt;&lt;DBUID&gt;{F96A950B-833F-4880-A151-76DA2D6A2879}&lt;/DBUID&gt;&lt;/Extra&gt;&lt;/Item&gt;&lt;/References&gt;&lt;/Group&gt;&lt;/Citation&gt;_x000a_"/>
    <w:docVar w:name="NE.Ref{33716DAA-9DB4-4BE5-8469-FFDDE3E1F96A}" w:val=" ADDIN NE.Ref.{33716DAA-9DB4-4BE5-8469-FFDDE3E1F96A}&lt;Citation&gt;&lt;Group&gt;&lt;References&gt;&lt;Item&gt;&lt;ID&gt;115&lt;/ID&gt;&lt;UID&gt;{D67ABD4C-C94B-46F5-8D40-95119C800A72}&lt;/UID&gt;&lt;Title&gt;计及需求响应与火电深度调峰的含风电系统优化调度&lt;/Title&gt;&lt;Template&gt;Journal Article&lt;/Template&gt;&lt;Star&gt;0&lt;/Star&gt;&lt;Tag&gt;0&lt;/Tag&gt;&lt;Author&gt;邓婷婷; 娄素华; 田旭; 吴耀武; 李楠&lt;/Author&gt;&lt;Year&gt;2019&lt;/Year&gt;&lt;Details&gt;&lt;_accessed&gt;64306770&lt;/_accessed&gt;&lt;_author_aff&gt;强电磁工程与新技术国家重点实验室(华中科技大学);国网青海省电力公司经济技术研究院;&lt;/_author_aff&gt;&lt;_cited_count&gt;67&lt;/_cited_count&gt;&lt;_collection_scope&gt;CSCD;PKU;EI&lt;/_collection_scope&gt;&lt;_created&gt;64306757&lt;/_created&gt;&lt;_date&gt;62720640&lt;/_date&gt;&lt;_db_updated&gt;CNKI - Reference&lt;/_db_updated&gt;&lt;_issue&gt;15&lt;/_issue&gt;&lt;_journal&gt;电力系统自动化&lt;/_journal&gt;&lt;_keywords&gt;灵活性;风电消纳;需求响应;深度调峰;优化调度&lt;/_keywords&gt;&lt;_language&gt;Chinese&lt;/_language&gt;&lt;_modified&gt;64306770&lt;/_modified&gt;&lt;_pages&gt;34-41&lt;/_pages&gt;&lt;_url&gt;https://kns.cnki.net/kcms/detail/detail.aspx?FileName=DLXT201915006&amp;amp;DbName=CJFQ2019&lt;/_url&gt;&lt;_volume&gt;43&lt;/_volume&gt;&lt;_translated_author&gt;Deng, Tingting;Lou, Suhua;Tian, Xu;Wu, Yaowu;Li, Nan&lt;/_translated_author&gt;&lt;/Details&gt;&lt;Extra&gt;&lt;DBUID&gt;{560D5FFD-5A46-4EB8-859B-FD657304A42E}&lt;/DBUID&gt;&lt;/Extra&gt;&lt;/Item&gt;&lt;/References&gt;&lt;/Group&gt;&lt;/Citation&gt;_x000a_"/>
    <w:docVar w:name="NE.Ref{33FA5741-F723-472A-AD9D-3E265AB19A1C}" w:val=" ADDIN NE.Ref.{33FA5741-F723-472A-AD9D-3E265AB19A1C}&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3162&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5.967&lt;/_impact_factor&gt;&lt;_isbn&gt;0885-8993&lt;/_isbn&gt;&lt;_issue&gt;1&lt;/_issue&gt;&lt;_journal&gt;IEEE TRANSACTIONS ON POWER ELECTRONICS&lt;/_journal&gt;&lt;_modified&gt;64498637&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Citation&gt;_x000a_"/>
    <w:docVar w:name="NE.Ref{33FE570D-B687-4866-A9C7-62513482C573}" w:val=" ADDIN NE.Ref.{33FE570D-B687-4866-A9C7-62513482C573}&lt;Citation&gt;&lt;Group&gt;&lt;References&gt;&lt;Item&gt;&lt;ID&gt;112&lt;/ID&gt;&lt;UID&gt;{700839D0-A398-47C8-899D-467ADDEAB81F}&lt;/UID&gt;&lt;Title&gt;基于集合经验模态分解的风电混合储能系统能量管理协调控制策略&lt;/Title&gt;&lt;Template&gt;Journal Article&lt;/Template&gt;&lt;Star&gt;0&lt;/Star&gt;&lt;Tag&gt;0&lt;/Tag&gt;&lt;Author&gt;付菊霞; 陈洁; 滕扬新; 邓浩; 孙泽伦&lt;/Author&gt;&lt;Year&gt;2019&lt;/Year&gt;&lt;Details&gt;&lt;_language&gt;Chinese&lt;/_language&gt;&lt;_created&gt;64303983&lt;/_created&gt;&lt;_modified&gt;64303983&lt;/_modified&gt;&lt;_url&gt;https://kns.cnki.net/kcms/detail/detail.aspx?FileName=DGJS201910006&amp;amp;DbName=CJFQ2019&lt;/_url&gt;&lt;_journal&gt;电工技术学报&lt;/_journal&gt;&lt;_volume&gt;34&lt;/_volume&gt;&lt;_issue&gt;10&lt;/_issue&gt;&lt;_pages&gt;2038-2046&lt;/_pages&gt;&lt;_cited_count&gt;34&lt;/_cited_count&gt;&lt;_date&gt;62697600&lt;/_date&gt;&lt;_keywords&gt;风电;储能;集合经验模态分解;多时间尺度;能量管理&lt;/_keywords&gt;&lt;_author_aff&gt;新疆大学电气工程学院;新疆电力有限公司电力科学研究院;&lt;/_author_aff&gt;&lt;_accessed&gt;64303983&lt;/_accessed&gt;&lt;_db_updated&gt;CNKI - Reference&lt;/_db_updated&gt;&lt;_collection_scope&gt;CSCD;PKU;EI&lt;/_collection_scope&gt;&lt;_translated_author&gt;Fu, Juxia;Chen, Jie;Teng, Yangxin;Deng, Hao;Sun, Zelun&lt;/_translated_author&gt;&lt;/Details&gt;&lt;Extra&gt;&lt;DBUID&gt;{560D5FFD-5A46-4EB8-859B-FD657304A42E}&lt;/DBUID&gt;&lt;/Extra&gt;&lt;/Item&gt;&lt;/References&gt;&lt;/Group&gt;&lt;/Citation&gt;_x000a_"/>
    <w:docVar w:name="NE.Ref{341F13A4-FF5D-4CAC-9F7A-69E9156BF9A6}" w:val=" ADDIN NE.Ref.{341F13A4-FF5D-4CAC-9F7A-69E9156BF9A6}&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369E5557-2313-4330-9D30-BA54729CCDD4}" w:val=" ADDIN NE.Ref.{369E5557-2313-4330-9D30-BA54729CCDD4}&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370F5AA6-99EB-49DB-A204-D178B4712D98}" w:val=" ADDIN NE.Ref.{370F5AA6-99EB-49DB-A204-D178B4712D98}&lt;Citation&gt;&lt;Group&gt;&lt;References&gt;&lt;Item&gt;&lt;ID&gt;406&lt;/ID&gt;&lt;UID&gt;{C826430A-AE65-4A7B-A971-F903EB869436}&lt;/UID&gt;&lt;Title&gt;An interactive fuzzy satisfying method based on evolutionary programming technique for multiobjective short-term hydrothermal scheduling&lt;/Title&gt;&lt;Template&gt;Journal Article&lt;/Template&gt;&lt;Star&gt;0&lt;/Star&gt;&lt;Tag&gt;0&lt;/Tag&gt;&lt;Author&gt;Basu, M&lt;/Author&gt;&lt;Year&gt;2004&lt;/Year&gt;&lt;Details&gt;&lt;_collection_scope&gt;SCIE;EI&lt;/_collection_scope&gt;&lt;_created&gt;63641830&lt;/_created&gt;&lt;_impact_factor&gt;   3.211&lt;/_impact_factor&gt;&lt;_issue&gt;2/3&lt;/_issue&gt;&lt;_journal&gt;Electric Power Systems Research&lt;/_journal&gt;&lt;_modified&gt;63641830&lt;/_modified&gt;&lt;_pages&gt;277-285&lt;/_pages&gt;&lt;_volume&gt;69&lt;/_volume&gt;&lt;/Details&gt;&lt;Extra&gt;&lt;DBUID&gt;{F96A950B-833F-4880-A151-76DA2D6A2879}&lt;/DBUID&gt;&lt;/Extra&gt;&lt;/Item&gt;&lt;/References&gt;&lt;/Group&gt;&lt;/Citation&gt;_x000a_"/>
    <w:docVar w:name="NE.Ref{38AAB4B3-7A3F-4549-9AA9-E991ACC48E0C}" w:val=" ADDIN NE.Ref.{38AAB4B3-7A3F-4549-9AA9-E991ACC48E0C}&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38C07915-3755-43D7-B924-67E841B33E84}" w:val=" ADDIN NE.Ref.{38C07915-3755-43D7-B924-67E841B33E84}&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38C777C6-4943-4E21-9258-B449E3FCCBB4}" w:val=" ADDIN NE.Ref.{38C777C6-4943-4E21-9258-B449E3FCCBB4}&lt;Citation&gt;&lt;Group&gt;&lt;References&gt;&lt;Item&gt;&lt;ID&gt;577&lt;/ID&gt;&lt;UID&gt;{8DCA386E-DD46-4BDA-A104-E2812CC9C4B6}&lt;/UID&gt;&lt;Title&gt;基于阀电压或阀电流的HVDC换相失败故障诊断&lt;/Title&gt;&lt;Template&gt;Journal Article&lt;/Template&gt;&lt;Star&gt;0&lt;/Star&gt;&lt;Tag&gt;0&lt;/Tag&gt;&lt;Author&gt;邹亮; 刘涛; 赵彤; 张黎; 李庆民&lt;/Author&gt;&lt;Year&gt;2014&lt;/Year&gt;&lt;Details&gt;&lt;_accessed&gt;63445900&lt;/_accessed&gt;&lt;_accession_num&gt;CSCD:5300208_x000d__x000a_ER&lt;/_accession_num&gt;&lt;_cited_count&gt;2&lt;/_cited_count&gt;&lt;_collection_scope&gt;CSCD;PKU;EI&lt;/_collection_scope&gt;&lt;_created&gt;63444588&lt;/_created&gt;&lt;_date_display&gt;2014, 2014&lt;/_date_display&gt;&lt;_db_provider&gt;ISI&lt;/_db_provider&gt;&lt;_isbn&gt;1000-3673&lt;/_isbn&gt;&lt;_issue&gt;1000-3673(2014)38:12&amp;lt;3453:JYFDYH&amp;gt;2.0.TX;2-412&lt;/_issue&gt;&lt;_journal&gt;电网技术&lt;/_journal&gt;&lt;_modified&gt;63445903&lt;/_modified&gt;&lt;_pages&gt;3453-3458&lt;/_pages&gt;&lt;_tertiary_title&gt;Power System Technology&lt;/_tertiary_title&gt;&lt;_translated_author&gt;Zou, Liang; Liu, Tao; Zhao, Tong; Zhang, Li; Li, Qingmin&lt;/_translated_author&gt;&lt;_translated_title&gt;Diagnosis of Commutation Failure in HVDC Transmission Systems Based on Voltage or Current of Converter Valve&lt;/_translated_title&gt;&lt;_url&gt;CSCD:5300208 _x000d__x000a_https://kns.cnki.net/kns/download.aspx?filename=yMUaEtUcntmMWRVVNhzKal3aG9yYYhFavRzR2UDMtFHRFlFbsdnWoVWTZ1mZ5hlT4RDSOlXaVRHb3dlcRRWURpHS5Y0KBBTMD9Ee1lFU5czVTRjWPJke2o1QBZlTNxUVnRjMPtUWCZnRIhEU3NjcvJlZhx0SRhGb&amp;amp;tablename=CJFD2014&amp;amp;dflag=pdfdown _x000d__x000a_&lt;/_url&gt;&lt;_volume&gt;38&lt;/_volume&gt;&lt;/Details&gt;&lt;Extra&gt;&lt;DBUID&gt;{6891F4B0-DCBA-459A-9A22-3059983243D4}&lt;/DBUID&gt;&lt;/Extra&gt;&lt;/Item&gt;&lt;/References&gt;&lt;/Group&gt;&lt;Group&gt;&lt;References&gt;&lt;Item&gt;&lt;ID&gt;439&lt;/ID&gt;&lt;UID&gt;{4D201D2F-0C9E-4737-BF85-AA975CD2EB4F}&lt;/UID&gt;&lt;Title&gt;基于阀电流特征的高压直流换相失败检测方法&lt;/Title&gt;&lt;Template&gt;Journal Article&lt;/Template&gt;&lt;Star&gt;0&lt;/Star&gt;&lt;Tag&gt;0&lt;/Tag&gt;&lt;Author&gt;陈光侵; 傅闯; 张勇军&lt;/Author&gt;&lt;Year&gt;2018&lt;/Year&gt;&lt;Details&gt;&lt;_accessed&gt;63445961&lt;/_accessed&gt;&lt;_accession_num&gt;CSCD:6385932_x000d__x000a_ER&lt;/_accession_num&gt;&lt;_cited_count&gt;1&lt;/_cited_count&gt;&lt;_created&gt;63444588&lt;/_created&gt;&lt;_date_display&gt;2018, 2018&lt;/_date_display&gt;&lt;_db_provider&gt;ISI&lt;/_db_provider&gt;&lt;_isbn&gt;1000-1026&lt;/_isbn&gt;&lt;_issue&gt;1000-1026(2018)42:23&amp;lt;86:JYFDLT&amp;gt;2.0.TX;2-U23&lt;/_issue&gt;&lt;_journal&gt;电力系统自动化 &lt;/_journal&gt;&lt;_modified&gt;63445961&lt;/_modified&gt;&lt;_pages&gt;86-94,119&lt;/_pages&gt;&lt;_tertiary_title&gt;Automation of Electric Power Systems&lt;/_tertiary_title&gt;&lt;_translated_author&gt;Chen, Guangqin; Fu, Chuang; Zhang, Yongjun&lt;/_translated_author&gt;&lt;_translated_title&gt;Detection Method of HVDC Commutation Failure Based on Characteristic of Valve Current &lt;/_translated_title&gt;&lt;_url&gt;CSCD:6385932&lt;/_url&gt;&lt;_volume&gt;42&lt;/_volume&gt;&lt;/Details&gt;&lt;Extra&gt;&lt;DBUID&gt;{6891F4B0-DCBA-459A-9A22-3059983243D4}&lt;/DBUID&gt;&lt;/Extra&gt;&lt;/Item&gt;&lt;/References&gt;&lt;/Group&gt;&lt;Group&gt;&lt;References&gt;&lt;Item&gt;&lt;ID&gt;388&lt;/ID&gt;&lt;UID&gt;{877DE998-A336-43D1-9DFB-EE5D1E035A2D}&lt;/UID&gt;&lt;Title&gt;基于阀侧电流特征的高压直流换相失败检测方法&lt;/Title&gt;&lt;Template&gt;Journal Article&lt;/Template&gt;&lt;Star&gt;0&lt;/Star&gt;&lt;Tag&gt;0&lt;/Tag&gt;&lt;Author&gt;陈光侵; 傅闯; 张勇军&lt;/Author&gt;&lt;Year&gt;2019&lt;/Year&gt;&lt;Details&gt;&lt;_accessed&gt;63445977&lt;/_accessed&gt;&lt;_accession_num&gt;CSCD:6586691_x000d__x000a_ER&lt;/_accession_num&gt;&lt;_cited_count&gt;1&lt;/_cited_count&gt;&lt;_collection_scope&gt;CSCD;PKU;EI&lt;/_collection_scope&gt;&lt;_created&gt;63444588&lt;/_created&gt;&lt;_date_display&gt;2019, 2019&lt;/_date_display&gt;&lt;_db_provider&gt;ISI&lt;/_db_provider&gt;&lt;_isbn&gt;1000-3673&lt;/_isbn&gt;&lt;_issue&gt;1000-3673(2019)43:10&amp;lt;3488:JYFCDL&amp;gt;2.0.TX;2-W10&lt;/_issue&gt;&lt;_journal&gt;电网技术&lt;/_journal&gt;&lt;_modified&gt;63445978&lt;/_modified&gt;&lt;_pages&gt;3488-3496&lt;/_pages&gt;&lt;_tertiary_title&gt;Power System Technology&lt;/_tertiary_title&gt;&lt;_translated_author&gt;Chen, Guangqin; Fu, Chuang; Zhang, Yongjun&lt;/_translated_author&gt;&lt;_translated_title&gt;Detection Method of HVDC CF Based on Characteristics of Valve-side Current&lt;/_translated_title&gt;&lt;_url&gt;CSCD:6586691&lt;/_url&gt;&lt;_volume&gt;43&lt;/_volume&gt;&lt;/Details&gt;&lt;Extra&gt;&lt;DBUID&gt;{6891F4B0-DCBA-459A-9A22-3059983243D4}&lt;/DBUID&gt;&lt;/Extra&gt;&lt;/Item&gt;&lt;/References&gt;&lt;/Group&gt;&lt;Group&gt;&lt;References&gt;&lt;Item&gt;&lt;ID&gt;337&lt;/ID&gt;&lt;UID&gt;{D3AAF6E1-AB59-4A48-9CB9-8BE887CDB2DA}&lt;/UID&gt;&lt;Title&gt;A criterion for accurate identification of commutation failure in HVDC systems&lt;/Title&gt;&lt;Template&gt;Journal Article&lt;/Template&gt;&lt;Star&gt;0&lt;/Star&gt;&lt;Tag&gt;0&lt;/Tag&gt;&lt;Author&gt;Wei, Zhanhong; Fang, Wanliang; Liu, Jun&lt;/Author&gt;&lt;Year&gt;2020&lt;/Year&gt;&lt;Details&gt;&lt;_accessed&gt;63446009&lt;/_accessed&gt;&lt;_accession_num&gt;WOS:000525770200045_x000d__x000a_ER&lt;/_accession_num&gt;&lt;_cited_count&gt;1&lt;/_cited_count&gt;&lt;_collection_scope&gt;SCIE;EI&lt;/_collection_scope&gt;&lt;_created&gt;63444588&lt;/_created&gt;&lt;_date_display&gt;2020, JUL 2020&lt;/_date_display&gt;&lt;_db_provider&gt;ISI&lt;/_db_provider&gt;&lt;_doi&gt;10.1016/j.epsr.2020.106338&lt;/_doi&gt;&lt;_impact_factor&gt;   3.211&lt;/_impact_factor&gt;&lt;_isbn&gt;0378-7796&lt;/_isbn&gt;&lt;_issue&gt;106338&lt;/_issue&gt;&lt;_journal&gt;ELECTRIC POWER SYSTEMS RESEARCH&lt;/_journal&gt;&lt;_modified&gt;63446033&lt;/_modified&gt;&lt;_url&gt;http://gateway.isiknowledge.com/gateway/Gateway.cgi?GWVersion=2&amp;amp;SrcAuth=AegeanSoftware&amp;amp;SrcApp=NoteExpress&amp;amp;DestLinkType=FullRecord&amp;amp;DestApp=WOS&amp;amp;KeyUT=000525770200045 _x000d__x000a_https://pdf.sciencedirectassets.com/271091/1-s2.0-S0378779620X00046/1-s2.0-S0378779620301449/main.pdf?X-Amz-Security-Token=IQoJb3JpZ2luX2VjECoaCXVzLWVhc3QtMSJGMEQCIFMg3d9CXQZFvBYEHTkJBN3alQ0O06oPVJyx2nsCYIP%2BAiAaxERHPBboUqaQH3JZCdhyecQM0V1O7omsJwd18UlTjiq0AwgTEAMaDDA1OTAwMzU0Njg2NSIMpRVhl5UEST%2BdaRivKpEDyuGqtkhfHIGsrhaUHCuzmcycSLtftVAoEr3sOjOFBDt9pQkbmkR4qRFn7VDfEmkp23VuqzBazst9FlCMS0aBHITu5hbhfTV5UHOe7xnYwSHoRS9Uj45yrJ7bsXe1d5eVcxcXRL6AJmI1GBaZacwSIpAtqtbyU9kN256nSUa59vB8Df3Iuht53gxvnJRzGUZlJ9mjCDoA%2Bvn%2FQbmlzM%2FyiyS3qxihVnxypD8ZwEvUEpwu%2FSmXSUd53y1JsFPPV8n67PoJ4Bng9egkks3%2FOkFww0b0DDuYWgNadGffU6L0U5WXOhJSfAMXcUhCzC0zzQ5hv%2B8MUXnrYt5VgyHZ6PpqNeRrnBDAq4fPMURa804wj2bxrEYV914TQ20tWcYHZw76YBYTdevJ55Cb%2FJui58M3CHYsHjPM80bQHcoWtAASjsQML1KIps8NwctqYfWEEgnF8d%2BSN2V8gp3euqKam3vjAC5hA61vZ0E%2FS8qGo8qyCNuPs877hLQF3oLMxca8HqEZEXTpHL%2FvgdpTbQEilonKmQUwuLvu%2BQU67AH00cqZHrrAZGFx%2FC9Rutur1Oe09V68PlBLlisGjGvjciMCFNFXY0rYHnH5TNtEceAU9PheZKIdjtCMHAYICyd6VdZ2cZ2loF5z9HcvC0aWyAyO47TRzDX5UFl62OGHdJ1foyO3mtWVWnX0XQ0oizqktxIZN1cTWx7BWzFfSgGKAvH1JRs6EssxXtuZxVX1F4qsk11xPbAIZNHIiwNPQFwmf7WKcfZMZDddmnyBtsK0A7w1AGFfk8RvqJDw42UT5RnmsLVQtTLQv7vtM%2Bz8eW7Wrz1DibUsLx7h9hsxooFuVfAGtq2jsvsEWJmzAQ%3D%3D&amp;amp;X-Amz-Algorithm=AWS4-HMAC-SHA256&amp;amp;X-Amz-Date=20200818T095317Z&amp;amp;X-Amz-SignedHeaders=host&amp;amp;X-Amz-Expires=300&amp;amp;X-Amz-Credential=ASIAQ3PHCVTY5AAOB72O%2F20200818%2Fus-east-1%2Fs3%2Faws4_request&amp;amp;X-Amz-Signature=927f0e4072d767be9b7866e85a0e597d9608d742c1d2fdb171306451edb761e6&amp;amp;hash=c5500cc2e6a5e943c903f7cc4ec399b89fb0b308ec8160451aaa549e240cbb4d&amp;amp;host=68042c943591013ac2b2430a89b270f6af2c76d8dfd086a07176afe7c76c2c61&amp;amp;pii=S0378779620301449&amp;amp;tid=spdf-52d40400-9af6-4f34-afa4-b1d307670aaa&amp;amp;sid=8250fea48e26d340aa2a9e702e660f5f4243gxrqa&amp;amp;type=client _x000d__x000a_&lt;/_url&gt;&lt;_volume&gt;184&lt;/_volume&gt;&lt;/Details&gt;&lt;Extra&gt;&lt;DBUID&gt;{6891F4B0-DCBA-459A-9A22-3059983243D4}&lt;/DBUID&gt;&lt;/Extra&gt;&lt;/Item&gt;&lt;/References&gt;&lt;/Group&gt;&lt;/Citation&gt;_x000a_"/>
    <w:docVar w:name="NE.Ref{398A8966-B4CF-49E6-B47B-2FBFE2FF4C50}" w:val=" ADDIN NE.Ref.{398A8966-B4CF-49E6-B47B-2FBFE2FF4C50}&lt;Citation&gt;&lt;Group&gt;&lt;References&gt;&lt;Item&gt;&lt;ID&gt;19&lt;/ID&gt;&lt;UID&gt;{433D62B0-9490-447F-8E1B-46896DF18936}&lt;/UID&gt;&lt;Title&gt;基于遗传算法改进BP神经网络的风电功率预测研究&lt;/Title&gt;&lt;Template&gt;Journal Article&lt;/Template&gt;&lt;Star&gt;0&lt;/Star&gt;&lt;Tag&gt;0&lt;/Tag&gt;&lt;Author&gt;王冰冰; 赵天乐&lt;/Author&gt;&lt;Year&gt;2019&lt;/Year&gt;&lt;Details&gt;&lt;_accessed&gt;64357567&lt;/_accessed&gt;&lt;_author_aff&gt;南京理工大学自动化学院;&lt;/_author_aff&gt;&lt;_cited_count&gt;13&lt;/_cited_count&gt;&lt;_created&gt;64357565&lt;/_created&gt;&lt;_date&gt;63089280&lt;/_date&gt;&lt;_db_updated&gt;CNKI - Reference&lt;/_db_updated&gt;&lt;_issue&gt;12&lt;/_issue&gt;&lt;_journal&gt;电工电气&lt;/_journal&gt;&lt;_keywords&gt;风电;功率预测;BP神经网络;遗传算法&lt;/_keywords&gt;&lt;_language&gt;Chinese&lt;/_language&gt;&lt;_modified&gt;64357567&lt;/_modified&gt;&lt;_pages&gt;16-21&lt;/_pages&gt;&lt;_url&gt;https://kns.cnki.net/kcms/detail/detail.aspx?FileName=JSDQ201912004&amp;amp;DbName=CJFQ2019&lt;/_url&gt;&lt;_translated_author&gt;Wang, Bingbing;Zhao, Tianle&lt;/_translated_author&gt;&lt;/Details&gt;&lt;Extra/&gt;&lt;/Item&gt;&lt;/References&gt;&lt;/Group&gt;&lt;/Citation&gt;_x000a_"/>
    <w:docVar w:name="NE.Ref{3A482704-5DC0-4B50-A290-135416E56D38}" w:val=" ADDIN NE.Ref.{3A482704-5DC0-4B50-A290-135416E56D38}&lt;Citation&gt;&lt;Group&gt;&lt;References&gt;&lt;Item&gt;&lt;ID&gt;585&lt;/ID&gt;&lt;UID&gt;{3779F5E8-40F3-4222-8FFA-3447D5C44BA5}&lt;/UID&gt;&lt;Title&gt;基于二阶段鲁棒博弈模型的微电网群及混合交直流配电系统协调能量管理策略研究&lt;/Title&gt;&lt;Template&gt;Journal Article&lt;/Template&gt;&lt;Star&gt;0&lt;/Star&gt;&lt;Tag&gt;0&lt;/Tag&gt;&lt;Author&gt;符杨; 张智泉; 李振坤; 米阳&lt;/Author&gt;&lt;Year&gt;2020&lt;/Year&gt;&lt;Details&gt;&lt;_author_adr&gt;上海电力大学电气工程学院;上海海事大学物流工程学院;&lt;/_author_adr&gt;&lt;_collection_scope&gt;CSCD;PKU;EI&lt;/_collection_scope&gt;&lt;_created&gt;63704857&lt;/_created&gt;&lt;_db_provider&gt;CNKI&lt;/_db_provider&gt;&lt;_isbn&gt;0258-8013&lt;/_isbn&gt;&lt;_issue&gt;04&lt;/_issue&gt;&lt;_journal&gt;中国电机工程学报&lt;/_journal&gt;&lt;_keywords&gt;能量管理;微电网群;混合交直流配电系统;博弈论;鲁棒优化&lt;/_keywords&gt;&lt;_modified&gt;63704857&lt;/_modified&gt;&lt;_pages&gt;1226-1240+1413&lt;/_pages&gt;&lt;_volume&gt;40&lt;/_volume&gt;&lt;_translated_author&gt;Fu, Yang;Zhang, Zhiquan;Li, Zhenkun;Mi, Yang&lt;/_translated_author&gt;&lt;/Details&gt;&lt;Extra&gt;&lt;DBUID&gt;{F96A950B-833F-4880-A151-76DA2D6A2879}&lt;/DBUID&gt;&lt;/Extra&gt;&lt;/Item&gt;&lt;/References&gt;&lt;/Group&gt;&lt;/Citation&gt;_x000a_"/>
    <w:docVar w:name="NE.Ref{3AD288CF-5132-4B6F-8F37-F15323CA394D}" w:val=" ADDIN NE.Ref.{3AD288CF-5132-4B6F-8F37-F15323CA394D}&lt;Citation&gt;&lt;Group&gt;&lt;References&gt;&lt;Item&gt;&lt;ID&gt;1060&lt;/ID&gt;&lt;UID&gt;{ACCA38B6-229F-40EE-BCB5-10C4121DF3CB}&lt;/UID&gt;&lt;Title&gt;Coordinated optimization method for suppressing transient overvoltage caused by HVDC commutation failure considering large wind power integration&lt;/Title&gt;&lt;Template&gt;Journal Article&lt;/Template&gt;&lt;Star&gt;0&lt;/Star&gt;&lt;Tag&gt;0&lt;/Tag&gt;&lt;Author&gt;Li, Yang; Zeng, Yuan; Zhang, Wenxu; Qin, Chao&lt;/Author&gt;&lt;Year&gt;2023&lt;/Year&gt;&lt;Details&gt;&lt;_doi&gt;10.1016/j.egyr.2022.12.037&lt;/_doi&gt;&lt;_created&gt;64780447&lt;/_created&gt;&lt;_modified&gt;64780447&lt;/_modified&gt;&lt;_url&gt;https://linkinghub.elsevier.com/retrieve/pii/S2352484722026385_x000d__x000a_https://api.elsevier.com/content/article/PII:S2352484722026385?httpAccept=text/xml&lt;/_url&gt;&lt;_journal&gt;Energy Reports&lt;/_journal&gt;&lt;_volume&gt;9&lt;/_volume&gt;&lt;_pages&gt;1171-1182&lt;/_pages&gt;&lt;_tertiary_title&gt;Energy Reports&lt;/_tertiary_title&gt;&lt;_isbn&gt;23524847&lt;/_isbn&gt;&lt;_accessed&gt;64780447&lt;/_accessed&gt;&lt;_db_updated&gt;CrossRef&lt;/_db_updated&gt;&lt;_impact_factor&gt;   4.937&lt;/_impact_factor&gt;&lt;_collection_scope&gt;EI&lt;/_collection_scope&gt;&lt;/Details&gt;&lt;Extra&gt;&lt;DBUID&gt;{684DF7C5-873E-4B6A-A11E-0CD148BF4011}&lt;/DBUID&gt;&lt;/Extra&gt;&lt;/Item&gt;&lt;/References&gt;&lt;/Group&gt;&lt;Group&gt;&lt;References&gt;&lt;Item&gt;&lt;ID&gt;1059&lt;/ID&gt;&lt;UID&gt;{80C6FB58-ACCF-4556-9858-0B5F460D202E}&lt;/UID&gt;&lt;Title&gt;An improved reactive power control strategy for LCC-HVDC to mitigate sending end transient voltage disturbance caused by commutation failures&lt;/Title&gt;&lt;Template&gt;Journal Article&lt;/Template&gt;&lt;Star&gt;0&lt;/Star&gt;&lt;Tag&gt;0&lt;/Tag&gt;&lt;Author&gt;Xie, Qi; Xiao, Xianyong; Zheng, Zixuan; Wang, Yang; Song, Donghui; Du, Kaijian; Zou, Yi; Zhang, Jiachen&lt;/Author&gt;&lt;Year&gt;2023&lt;/Year&gt;&lt;Details&gt;&lt;_doi&gt;10.1016/j.ijepes.2022.108706&lt;/_doi&gt;&lt;_created&gt;64780447&lt;/_created&gt;&lt;_modified&gt;64780447&lt;/_modified&gt;&lt;_url&gt;https://linkinghub.elsevier.com/retrieve/pii/S0142061522007025_x000d__x000a_https://api.elsevier.com/content/article/PII:S0142061522007025?httpAccept=text/xml&lt;/_url&gt;&lt;_journal&gt;International Journal of Electrical Power &amp;amp; Energy Systems&lt;/_journal&gt;&lt;_volume&gt;146&lt;/_volume&gt;&lt;_pages&gt;108706&lt;/_pages&gt;&lt;_tertiary_title&gt;International Journal of Electrical Power &amp;amp; Energy Systems&lt;/_tertiary_title&gt;&lt;_isbn&gt;01420615&lt;/_isbn&gt;&lt;_accessed&gt;64780447&lt;/_accessed&gt;&lt;_db_updated&gt;CrossRef&lt;/_db_updated&gt;&lt;_impact_factor&gt;   5.659&lt;/_impact_factor&gt;&lt;_social_category&gt;工程技术(2)&lt;/_social_category&gt;&lt;_collection_scope&gt;SCIE;EI&lt;/_collection_scope&gt;&lt;/Details&gt;&lt;Extra&gt;&lt;DBUID&gt;{684DF7C5-873E-4B6A-A11E-0CD148BF4011}&lt;/DBUID&gt;&lt;/Extra&gt;&lt;/Item&gt;&lt;/References&gt;&lt;/Group&gt;&lt;/Citation&gt;_x000a_"/>
    <w:docVar w:name="NE.Ref{3B141218-5B34-402A-A1C0-879F5B4FA5FE}" w:val=" ADDIN NE.Ref.{3B141218-5B34-402A-A1C0-879F5B4FA5FE}&lt;Citation&gt;&lt;Group&gt;&lt;References&gt;&lt;Item&gt;&lt;ID&gt;525&lt;/ID&gt;&lt;UID&gt;{647A12D0-C83E-493D-B864-9221E38E12AD}&lt;/UID&gt;&lt;Title&gt;The energy report: India 100% renewable energy by 2050&lt;/Title&gt;&lt;Template&gt;Journal Article&lt;/Template&gt;&lt;Star&gt;0&lt;/Star&gt;&lt;Tag&gt;0&lt;/Tag&gt;&lt;Author&gt;Institute, Tata Energy&lt;/Author&gt;&lt;Year&gt;2013&lt;/Year&gt;&lt;Details&gt;&lt;_created&gt;63658830&lt;/_created&gt;&lt;_journal&gt;Tata Energy Research Institute India&lt;/_journal&gt;&lt;_modified&gt;63658830&lt;/_modified&gt;&lt;/Details&gt;&lt;Extra&gt;&lt;DBUID&gt;{F96A950B-833F-4880-A151-76DA2D6A2879}&lt;/DBUID&gt;&lt;/Extra&gt;&lt;/Item&gt;&lt;/References&gt;&lt;/Group&gt;&lt;/Citation&gt;_x000a_"/>
    <w:docVar w:name="NE.Ref{3B1C8D82-63D1-4176-91D2-40853171D5BC}" w:val=" ADDIN NE.Ref.{3B1C8D82-63D1-4176-91D2-40853171D5BC}&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3B5CF5C2-964E-4CBD-9F7C-1D9387EC6628}" w:val=" ADDIN NE.Ref.{3B5CF5C2-964E-4CBD-9F7C-1D9387EC6628}&lt;Citation&gt;&lt;Group&gt;&lt;References&gt;&lt;Item&gt;&lt;ID&gt;674&lt;/ID&gt;&lt;UID&gt;{89C9CD25-7A1B-4CDC-B1C2-52361D34149B}&lt;/UID&gt;&lt;Title&gt;A novelmethod tomitigate commutation failures in HVdc systems&lt;/Title&gt;&lt;Template&gt;Conference Proceedings&lt;/Template&gt;&lt;Star&gt;0&lt;/Star&gt;&lt;Tag&gt;0&lt;/Tag&gt;&lt;Author&gt;Zhang, L; Dofnas, L&lt;/Author&gt;&lt;Year&gt;2002&lt;/Year&gt;&lt;Details&gt;&lt;_secondary_title&gt; Proc. Int. Conf. Power Syst. Technol&lt;/_secondary_title&gt;&lt;_volume&gt;1&lt;/_volume&gt;&lt;_pages&gt;51-56&lt;/_pages&gt;&lt;_date&gt;54169920&lt;/_date&gt;&lt;_accessed&gt;63459198&lt;/_accessed&gt;&lt;_created&gt;63459198&lt;/_created&gt;&lt;_modified&gt;63459198&lt;/_modified&gt;&lt;/Details&gt;&lt;Extra&gt;&lt;DBUID&gt;{6891F4B0-DCBA-459A-9A22-3059983243D4}&lt;/DBUID&gt;&lt;/Extra&gt;&lt;/Item&gt;&lt;/References&gt;&lt;/Group&gt;&lt;/Citation&gt;_x000a_"/>
    <w:docVar w:name="NE.Ref{3BC87E7C-6BB9-40E3-A171-691F2AFDA72B}" w:val=" ADDIN NE.Ref.{3BC87E7C-6BB9-40E3-A171-691F2AFDA72B}&lt;Citation&gt;&lt;Group&gt;&lt;References&gt;&lt;Item&gt;&lt;ID&gt;1016&lt;/ID&gt;&lt;UID&gt;{3359CFFB-7C61-42DA-8934-A5B37CD89FEE}&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date&gt;2022-05-23&lt;/_date&gt;&lt;_journal&gt;中国电机工程学报&lt;/_journal&gt;&lt;_keywords&gt;暂态过电压;新能源并网系统;电压支撑强度;短路容量;并网规模&lt;/_keywords&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GQJFEA4Br%2b68rniQGB%2fWWdr%2b93LrdvkD9CwUbXbsT4sYgW1T3oFZ4xO0eVG7BcLs _x000d__x000a_&lt;/_url&gt;&lt;_created&gt;64779706&lt;/_created&gt;&lt;_modified&gt;64779706&lt;/_modified&gt;&lt;_db_updated&gt;CNKI - Reference&lt;/_db_updated&gt;&lt;_collection_scope&gt;CSCD;PKU;EI&lt;/_collection_scope&gt;&lt;_translated_author&gt;Sun, Huadong;Yu, Lin;Zhao, Bing&lt;/_translated_author&gt;&lt;/Details&gt;&lt;Extra&gt;&lt;DBUID&gt;{6891F4B0-DCBA-459A-9A22-3059983243D4}&lt;/DBUID&gt;&lt;/Extra&gt;&lt;/Item&gt;&lt;/References&gt;&lt;/Group&gt;&lt;/Citation&gt;_x000a_"/>
    <w:docVar w:name="NE.Ref{3C91517F-7ADB-4ED7-BD0A-46C92D93DB12}" w:val=" ADDIN NE.Ref.{3C91517F-7ADB-4ED7-BD0A-46C92D93DB12}&lt;Citation&gt;&lt;Group&gt;&lt;References&gt;&lt;Item&gt;&lt;ID&gt;532&lt;/ID&gt;&lt;UID&gt;{3DEFA07E-C98A-47AE-BCBD-3C95D2FB6C60}&lt;/UID&gt;&lt;Title&gt;1100 kV特高压直流接入系统控制策略优化 &lt;/Title&gt;&lt;Template&gt;Journal Article&lt;/Template&gt;&lt;Star&gt;0&lt;/Star&gt;&lt;Tag&gt;0&lt;/Tag&gt;&lt;Author&gt;李新年; 雷霄; 陈树勇; 刘耀; 祝洁; 王晶芳; 庞广恒; 杨鹏; 林少伯; 班连庚; 王华伟&lt;/Author&gt;&lt;Year&gt;2016&lt;/Year&gt;&lt;Details&gt;&lt;_accessed&gt;63445925&lt;/_accessed&gt;&lt;_accession_num&gt;CSCD:5704787_x000d__x000a_ER&lt;/_accession_num&gt;&lt;_cited_count&gt;0&lt;/_cited_count&gt;&lt;_collection_scope&gt;CSCD;PKU;EI&lt;/_collection_scope&gt;&lt;_created&gt;63444588&lt;/_created&gt;&lt;_date_display&gt;2016, 2016&lt;/_date_display&gt;&lt;_db_provider&gt;ISI&lt;/_db_provider&gt;&lt;_isbn&gt;1000-3673&lt;/_isbn&gt;&lt;_issue&gt;1000-3673(2016)40:5&amp;lt;1326:1KTGYZ&amp;gt;2.0.TX;2-55&lt;/_issue&gt;&lt;_journal&gt;电网技术&lt;/_journal&gt;&lt;_modified&gt;63445925&lt;/_modified&gt;&lt;_pages&gt;1326-1333&lt;/_pages&gt;&lt;_tertiary_title&gt;Power System Technology&lt;/_tertiary_title&gt;&lt;_translated_author&gt;Li, Xinnian; Lei, Xiao; Chen, Shuyong; Liu, Yao; Zhu, Jie; Wang, Jingfang; Pang, Guangheng; Yang, Peng; Lin, Shaobo; Ban, Liangeng; Wang, Huawei&lt;/_translated_author&gt;&lt;_translated_title&gt;Optimization of Control Strategy for 1100 kV UHVDC Integrated AC System&lt;/_translated_title&gt;&lt;_url&gt;CSCD:5704787&lt;/_url&gt;&lt;_volume&gt;40&lt;/_volume&gt;&lt;/Details&gt;&lt;Extra&gt;&lt;DBUID&gt;{6891F4B0-DCBA-459A-9A22-3059983243D4}&lt;/DBUID&gt;&lt;/Extra&gt;&lt;/Item&gt;&lt;/References&gt;&lt;/Group&gt;&lt;/Citation&gt;_x000a_"/>
    <w:docVar w:name="NE.Ref{3D2A7B02-E168-42CC-A602-E5074E4F5326}" w:val=" ADDIN NE.Ref.{3D2A7B02-E168-42CC-A602-E5074E4F5326}&lt;Citation&gt;&lt;Group&gt;&lt;References&gt;&lt;Item&gt;&lt;ID&gt;361&lt;/ID&gt;&lt;UID&gt;{774282C3-05EE-42E0-91C8-BAC42DFB086C}&lt;/UID&gt;&lt;Title&gt;Extinction angle predictive control strategy for commutation failure mitigation in HVDC systems considering voltage distortion&lt;/Title&gt;&lt;Template&gt;Journal Article&lt;/Template&gt;&lt;Star&gt;0&lt;/Star&gt;&lt;Tag&gt;0&lt;/Tag&gt;&lt;Author&gt;Liu, Lei; Lin, Sheng; Liao, Kai; Sung, Peiyao; Deng, Yujia; Li, Xiaopeng; He, Zhengyou&lt;/Author&gt;&lt;Year&gt;2019&lt;/Year&gt;&lt;Details&gt;&lt;_accessed&gt;63445972&lt;/_accessed&gt;&lt;_accession_num&gt;WOS:000501809700016_x000d__x000a_ER&lt;/_accession_num&gt;&lt;_cited_count&gt;0&lt;/_cited_count&gt;&lt;_collection_scope&gt;SCI;SCIE;EI&lt;/_collection_scope&gt;&lt;_created&gt;63444588&lt;/_created&gt;&lt;_date_display&gt;2019, NOV 19 2019&lt;/_date_display&gt;&lt;_db_provider&gt;ISI&lt;/_db_provider&gt;&lt;_doi&gt;10.1049/iet-gtd.2019.0619&lt;/_doi&gt;&lt;_impact_factor&gt;   2.503&lt;/_impact_factor&gt;&lt;_isbn&gt;1751-8687&lt;/_isbn&gt;&lt;_issue&gt;22&lt;/_issue&gt;&lt;_journal&gt;IET GENERATION TRANSMISSION &amp;amp; DISTRIBUTION&lt;/_journal&gt;&lt;_modified&gt;64498615&lt;/_modified&gt;&lt;_pages&gt;5171-5179&lt;/_pages&gt;&lt;_url&gt;http://gateway.isiknowledge.com/gateway/Gateway.cgi?GWVersion=2&amp;amp;SrcAuth=AegeanSoftware&amp;amp;SrcApp=NoteExpress&amp;amp;DestLinkType=FullRecord&amp;amp;DestApp=WOS&amp;amp;KeyUT=000501809700016 _x000d__x000a_https://ieeexplore.ieee.org/stampPDF/getPDF.jsp?tp=&amp;amp;arnumber=8913784&amp;amp;ref=aHR0cHM6Ly9pZWVleHBsb3JlLmllZWUub3JnL3Jlc3Qvc2VhcmNo _x000d__x000a_&lt;/_url&gt;&lt;_volume&gt;13&lt;/_volume&gt;&lt;/Details&gt;&lt;Extra&gt;&lt;DBUID&gt;{6891F4B0-DCBA-459A-9A22-3059983243D4}&lt;/DBUID&gt;&lt;/Extra&gt;&lt;/Item&gt;&lt;/References&gt;&lt;/Group&gt;&lt;/Citation&gt;_x000a_"/>
    <w:docVar w:name="NE.Ref{3DE05DE4-758A-496E-A779-6CBD90E48290}" w:val=" ADDIN NE.Ref.{3DE05DE4-758A-496E-A779-6CBD90E48290}&lt;Citation&gt;&lt;Group&gt;&lt;References&gt;&lt;Item&gt;&lt;ID&gt;615&lt;/ID&gt;&lt;UID&gt;{287ABAB2-3CEE-4960-A8FB-A19EA8742064}&lt;/UID&gt;&lt;Title&gt;Hydrogen-based integrated energy and mobility system for a real-life office environment&lt;/Title&gt;&lt;Template&gt;Journal Article&lt;/Template&gt;&lt;Star&gt;0&lt;/Star&gt;&lt;Tag&gt;0&lt;/Tag&gt;&lt;Author&gt;A, Samira S Farahani; B, Cliff Bleeker; B, Ad Van Wijk; A, Zofia Lukszo&lt;/Author&gt;&lt;Year&gt;0&lt;/Year&gt;&lt;Details&gt;&lt;_collection_scope&gt;SCI;SCIE;EI&lt;/_collection_scope&gt;&lt;_created&gt;63705319&lt;/_created&gt;&lt;_journal&gt;Applied Energy&lt;/_journal&gt;&lt;_modified&gt;63705319&lt;/_modified&gt;&lt;_volume&gt;264&lt;/_volume&gt;&lt;/Details&gt;&lt;Extra&gt;&lt;DBUID&gt;{F96A950B-833F-4880-A151-76DA2D6A2879}&lt;/DBUID&gt;&lt;/Extra&gt;&lt;/Item&gt;&lt;/References&gt;&lt;/Group&gt;&lt;/Citation&gt;_x000a_"/>
    <w:docVar w:name="NE.Ref{3E7DB7D0-D3CB-4717-87CA-CF4239E53548}" w:val=" ADDIN NE.Ref.{3E7DB7D0-D3CB-4717-87CA-CF4239E53548}&lt;Citation&gt;&lt;Group&gt;&lt;References&gt;&lt;Item&gt;&lt;ID&gt;578&lt;/ID&gt;&lt;UID&gt;{1E50F95C-CC28-4D64-AA10-E29ADCE2E4E6}&lt;/UID&gt;&lt;Title&gt;A Distributionally Robust Optimization Model for Unit Commitment Based on Kullback-Leibler Divergence&lt;/Title&gt;&lt;Template&gt;Journal Article&lt;/Template&gt;&lt;Star&gt;0&lt;/Star&gt;&lt;Tag&gt;0&lt;/Tag&gt;&lt;Author&gt;Chen, Yuwei; Guo, Qinglai; Sun, Hongbin; Li, Zhengshuo; Wu, Wenchuan; Li, Zihao&lt;/Author&gt;&lt;Year&gt;2018&lt;/Year&gt;&lt;Details&gt;&lt;_accession_num&gt;WOS:000443079800044_x000d__x000a_ER&lt;/_accession_num&gt;&lt;_cited_count&gt;26&lt;/_cited_count&gt;&lt;_collection_scope&gt;SCI;SCIE;EI&lt;/_collection_scope&gt;&lt;_created&gt;63685321&lt;/_created&gt;&lt;_date_display&gt;2018, SEP 2018&lt;/_date_display&gt;&lt;_db_provider&gt;ISI&lt;/_db_provider&gt;&lt;_doi&gt;10.1109/TPWRS.2018.2797069&lt;/_doi&gt;&lt;_impact_factor&gt;   6.074&lt;/_impact_factor&gt;&lt;_isbn&gt;0885-8950&lt;/_isbn&gt;&lt;_issue&gt;5&lt;/_issue&gt;&lt;_journal&gt;IEEE TRANSACTIONS ON POWER SYSTEMS&lt;/_journal&gt;&lt;_modified&gt;63685321&lt;/_modified&gt;&lt;_pages&gt;5147-5160&lt;/_pages&gt;&lt;_url&gt;http://gateway.isiknowledge.com/gateway/Gateway.cgi?GWVersion=2&amp;amp;SrcAuth=AegeanSoftware&amp;amp;SrcApp=NoteExpress&amp;amp;DestLinkType=FullRecord&amp;amp;DestApp=WOS&amp;amp;KeyUT=000443079800044&lt;/_url&gt;&lt;_volume&gt;33&lt;/_volume&gt;&lt;/Details&gt;&lt;Extra&gt;&lt;DBUID&gt;{F96A950B-833F-4880-A151-76DA2D6A2879}&lt;/DBUID&gt;&lt;/Extra&gt;&lt;/Item&gt;&lt;/References&gt;&lt;/Group&gt;&lt;Group&gt;&lt;References&gt;&lt;Item&gt;&lt;ID&gt;558&lt;/ID&gt;&lt;UID&gt;{31BB8AC2-17C5-4AA3-92C9-7B48ED72A3D8}&lt;/UID&gt;&lt;Title&gt;计及风电不确定性和弃风率约束的风电场储能容量配置方法&lt;/Title&gt;&lt;Template&gt;Journal Article&lt;/Template&gt;&lt;Star&gt;0&lt;/Star&gt;&lt;Tag&gt;0&lt;/Tag&gt;&lt;Author&gt;杨立滨; 曹阳; 魏韡; 陈来军; 梅生伟&lt;/Author&gt;&lt;Year&gt;2020&lt;/Year&gt;&lt;Details&gt;&lt;_author_adr&gt;国网青海省电力公司电力科学研究院;清华大学电机工程与应用电子技术系;电力系统及发电设备控制和仿真国家重点实验室清华大学;&lt;/_author_adr&gt;&lt;_collection_scope&gt;CSCD;PKU;EI&lt;/_collection_scope&gt;&lt;_created&gt;63685118&lt;/_created&gt;&lt;_db_provider&gt;CNKI&lt;/_db_provider&gt;&lt;_isbn&gt;1000-1026&lt;/_isbn&gt;&lt;_issue&gt;16&lt;/_issue&gt;&lt;_journal&gt;电力系统自动化&lt;/_journal&gt;&lt;_keywords&gt;储能配置;风电场;分布鲁棒优化;不确定性;弃风率&lt;/_keywords&gt;&lt;_modified&gt;63685118&lt;/_modified&gt;&lt;_pages&gt;45-52&lt;/_pages&gt;&lt;_volume&gt;44&lt;/_volume&gt;&lt;_translated_author&gt;Yang, Libin;Cao, Yang;Wei, Wei;Chen, Laijun;Mei, Shengwei&lt;/_translated_author&gt;&lt;/Details&gt;&lt;Extra&gt;&lt;DBUID&gt;{F96A950B-833F-4880-A151-76DA2D6A2879}&lt;/DBUID&gt;&lt;/Extra&gt;&lt;/Item&gt;&lt;/References&gt;&lt;/Group&gt;&lt;Group&gt;&lt;References&gt;&lt;Item&gt;&lt;ID&gt;572&lt;/ID&gt;&lt;UID&gt;{A1CFA81B-D4D8-4A16-B5EF-27650B2BCA76}&lt;/UID&gt;&lt;Title&gt;基于分布鲁棒优化的电–气–热综合能源系统日前经济调度&lt;/Title&gt;&lt;Template&gt;Journal Article&lt;/Template&gt;&lt;Star&gt;0&lt;/Star&gt;&lt;Tag&gt;0&lt;/Tag&gt;&lt;Author&gt;高晓松; 李更丰; 肖遥; 别朝红&lt;/Author&gt;&lt;Year&gt;2020&lt;/Year&gt;&lt;Details&gt;&lt;_author_adr&gt;电力设备电气绝缘国家重点实验室(西安交通大学);陕西省智能电网重点实验室(西安交通大学);&lt;/_author_adr&gt;&lt;_collection_scope&gt;CSCD;PKU;EI&lt;/_collection_scope&gt;&lt;_created&gt;63685138&lt;/_created&gt;&lt;_db_provider&gt;CNKI&lt;/_db_provider&gt;&lt;_isbn&gt;1000-3673&lt;/_isbn&gt;&lt;_issue&gt;06&lt;/_issue&gt;&lt;_journal&gt;电网技术&lt;/_journal&gt;&lt;_keywords&gt;日前经济调度;不确定性;电–气–热综合能源系统;分布鲁棒优化;Kullback-Leibler散度&lt;/_keywords&gt;&lt;_modified&gt;63685138&lt;/_modified&gt;&lt;_pages&gt;2245-2254&lt;/_pages&gt;&lt;_volume&gt;44&lt;/_volume&gt;&lt;_translated_author&gt;Gao, Xiaosong;Li, Gengfeng;Xiao, Yao;Bie, Chaohong&lt;/_translated_author&gt;&lt;/Details&gt;&lt;Extra&gt;&lt;DBUID&gt;{F96A950B-833F-4880-A151-76DA2D6A2879}&lt;/DBUID&gt;&lt;/Extra&gt;&lt;/Item&gt;&lt;/References&gt;&lt;/Group&gt;&lt;/Citation&gt;_x000a_"/>
    <w:docVar w:name="NE.Ref{3EC29B0D-7A11-4596-B464-690E3B29885F}" w:val=" ADDIN NE.Ref.{3EC29B0D-7A11-4596-B464-690E3B29885F}&lt;Citation&gt;&lt;Group&gt;&lt;References&gt;&lt;Item&gt;&lt;ID&gt;403&lt;/ID&gt;&lt;UID&gt;{B50369AC-19F7-4071-9C8C-3B7831716590}&lt;/UID&gt;&lt;Title&gt;基于改进NSGA-Ⅱ的电力系统动态环境经济调度&lt;/Title&gt;&lt;Template&gt;Journal Article&lt;/Template&gt;&lt;Star&gt;0&lt;/Star&gt;&lt;Tag&gt;0&lt;/Tag&gt;&lt;Author&gt;朱志键; 王杰&lt;/Author&gt;&lt;Year&gt;2017&lt;/Year&gt;&lt;Details&gt;&lt;_author_adr&gt;上海交通大学电气工程系;&lt;/_author_adr&gt;&lt;_collection_scope&gt;CSCD;PKU;EI&lt;/_collection_scope&gt;&lt;_created&gt;63641644&lt;/_created&gt;&lt;_db_provider&gt;CNKI&lt;/_db_provider&gt;&lt;_isbn&gt;1006-6047&lt;/_isbn&gt;&lt;_issue&gt;02&lt;/_issue&gt;&lt;_journal&gt;电力自动化设备&lt;/_journal&gt;&lt;_keywords&gt;动态环境经济调度;阀点效应;改进NSGA-Ⅱ;可控精英主义;改进启发式操作;前向搜索操作&lt;/_keywords&gt;&lt;_modified&gt;63641644&lt;/_modified&gt;&lt;_pages&gt;176-183&lt;/_pages&gt;&lt;_volume&gt;37&lt;/_volume&gt;&lt;_translated_author&gt;Zhu, Zhijian;Wang, Jie&lt;/_translated_author&gt;&lt;/Details&gt;&lt;Extra&gt;&lt;DBUID&gt;{F96A950B-833F-4880-A151-76DA2D6A2879}&lt;/DBUID&gt;&lt;/Extra&gt;&lt;/Item&gt;&lt;/References&gt;&lt;/Group&gt;&lt;/Citation&gt;_x000a_"/>
    <w:docVar w:name="NE.Ref{3F792827-2224-490D-B60F-FC7791FE4F36}" w:val=" ADDIN NE.Ref.{3F792827-2224-490D-B60F-FC7791FE4F36}&lt;Citation&gt;&lt;Group&gt;&lt;References&gt;&lt;Item&gt;&lt;ID&gt;410&lt;/ID&gt;&lt;UID&gt;{00F1AD4F-FF6D-4A5D-812F-86932D9A11AF}&lt;/UID&gt;&lt;Title&gt;Hybrid bare-bones PSO for dynamic economic dispatch with valve-point effects&lt;/Title&gt;&lt;Template&gt;Journal Article&lt;/Template&gt;&lt;Star&gt;0&lt;/Star&gt;&lt;Tag&gt;0&lt;/Tag&gt;&lt;Author&gt;Zhang, Yong; Gong, Dun Wei; Geng, Na; Sun, Xiao Yan&lt;/Author&gt;&lt;Year&gt;2014&lt;/Year&gt;&lt;Details&gt;&lt;_collection_scope&gt;SCIE;EI&lt;/_collection_scope&gt;&lt;_created&gt;63642105&lt;/_created&gt;&lt;_impact_factor&gt;   5.472&lt;/_impact_factor&gt;&lt;_journal&gt;Applied Soft Computing&lt;/_journal&gt;&lt;_modified&gt;63642105&lt;/_modified&gt;&lt;_pages&gt;248-260&lt;/_pages&gt;&lt;_volume&gt;18&lt;/_volume&gt;&lt;/Details&gt;&lt;Extra&gt;&lt;DBUID&gt;{F96A950B-833F-4880-A151-76DA2D6A2879}&lt;/DBUID&gt;&lt;/Extra&gt;&lt;/Item&gt;&lt;/References&gt;&lt;/Group&gt;&lt;/Citation&gt;_x000a_"/>
    <w:docVar w:name="NE.Ref{40DF5C49-4519-4CAE-97B3-7534E262E5B9}" w:val=" ADDIN NE.Ref.{40DF5C49-4519-4CAE-97B3-7534E262E5B9}&lt;Citation&gt;&lt;Group&gt;&lt;References&gt;&lt;Item&gt;&lt;ID&gt;433&lt;/ID&gt;&lt;UID&gt;{20539A2C-ABB6-496A-9339-9B01D31191F7}&lt;/UID&gt;&lt;Title&gt;Design of Direct-Current Fuzzy Controller for Mitigating Commutation Failure in HVDC System&lt;/Title&gt;&lt;Template&gt;Journal Article&lt;/Template&gt;&lt;Star&gt;0&lt;/Star&gt;&lt;Tag&gt;0&lt;/Tag&gt;&lt;Author&gt;Gao, Benfeng; Yuan, Kewei; Dong, Peiyi; Luo, Chao; Zhao, Shuqiang&lt;/Author&gt;&lt;Year&gt;2018&lt;/Year&gt;&lt;Details&gt;&lt;_accessed&gt;63445946&lt;/_accessed&gt;&lt;_accession_num&gt;WOS:000435496700005_x000d__x000a_ER&lt;/_accession_num&gt;&lt;_cited_count&gt;2&lt;/_cited_count&gt;&lt;_collection_scope&gt;SCIE;EI&lt;/_collection_scope&gt;&lt;_created&gt;63444588&lt;/_created&gt;&lt;_date_display&gt;2018, JUL 2018&lt;/_date_display&gt;&lt;_db_provider&gt;ISI&lt;/_db_provider&gt;&lt;_doi&gt;10.5370/JEET.2018.13.4.1450&lt;/_doi&gt;&lt;_impact_factor&gt;   1.528&lt;/_impact_factor&gt;&lt;_isbn&gt;1975-0102&lt;/_isbn&gt;&lt;_issue&gt;4&lt;/_issue&gt;&lt;_journal&gt;JOURNAL OF ELECTRICAL ENGINEERING &amp;amp; TECHNOLOGY&lt;/_journal&gt;&lt;_modified&gt;64498636&lt;/_modified&gt;&lt;_pages&gt;1450-1458&lt;/_pages&gt;&lt;_url&gt;http://gateway.isiknowledge.com/gateway/Gateway.cgi?GWVersion=2&amp;amp;SrcAuth=AegeanSoftware&amp;amp;SrcApp=NoteExpress&amp;amp;DestLinkType=FullRecord&amp;amp;DestApp=WOS&amp;amp;KeyUT=000435496700005&lt;/_url&gt;&lt;_volume&gt;13&lt;/_volume&gt;&lt;/Details&gt;&lt;Extra&gt;&lt;DBUID&gt;{6891F4B0-DCBA-459A-9A22-3059983243D4}&lt;/DBUID&gt;&lt;/Extra&gt;&lt;/Item&gt;&lt;/References&gt;&lt;/Group&gt;&lt;/Citation&gt;_x000a_"/>
    <w:docVar w:name="NE.Ref{40F6238D-767D-4420-AB02-655BDAF80692}" w:val=" ADDIN NE.Ref.{40F6238D-767D-4420-AB02-655BDAF80692}&lt;Citation&gt;&lt;Group&gt;&lt;References&gt;&lt;Item&gt;&lt;ID&gt;717&lt;/ID&gt;&lt;UID&gt;{EDFF736A-2C37-4612-BB82-E3EFFF9D00DC}&lt;/UID&gt;&lt;Title&gt;抑制云广特高压直流孤岛运行甩负荷过电压的控制逻辑优化研究&lt;/Title&gt;&lt;Template&gt;Journal Article&lt;/Template&gt;&lt;Star&gt;0&lt;/Star&gt;&lt;Tag&gt;0&lt;/Tag&gt;&lt;Author&gt;李伟; 肖湘宁; 郭琦&lt;/Author&gt;&lt;Year&gt;2017&lt;/Year&gt;&lt;Details&gt;&lt;_author_aff&gt;新能源电力系统国家重点实验室(华北电力大学);南方电网科学研究院;&lt;/_author_aff&gt;&lt;_date&gt;2016-08-16&lt;/_date&gt;&lt;_db_provider&gt;CNKI: 期刊&lt;/_db_provider&gt;&lt;_issue&gt;05&lt;/_issue&gt;&lt;_journal&gt;中国电机工程学报&lt;/_journal&gt;&lt;_keywords&gt;特高压直流;过电压;有效短路比;控制逻辑优化&lt;/_keywords&gt;&lt;_pages&gt;1373-1379&lt;/_pages&gt;&lt;_url&gt;http://kns.cnki.net/KCMS/detail/detail.aspx?FileName=ZGDC201705010&amp;amp;DbName=CJFQ2017&lt;/_url&gt;&lt;_volume&gt;37&lt;/_volume&gt;&lt;_created&gt;63727866&lt;/_created&gt;&lt;_modified&gt;63727866&lt;/_modified&gt;&lt;_db_updated&gt;CNKI - Reference&lt;/_db_updated&gt;&lt;_collection_scope&gt;CSCD;PKU;EI&lt;/_collection_scope&gt;&lt;_translated_author&gt;Li, Wei;Xiao, Xiangning;Guo, Qi&lt;/_translated_author&gt;&lt;/Details&gt;&lt;Extra&gt;&lt;DBUID&gt;{6891F4B0-DCBA-459A-9A22-3059983243D4}&lt;/DBUID&gt;&lt;/Extra&gt;&lt;/Item&gt;&lt;/References&gt;&lt;/Group&gt;&lt;Group&gt;&lt;References&gt;&lt;Item&gt;&lt;ID&gt;714&lt;/ID&gt;&lt;UID&gt;{592FD0EF-6DA2-4704-B9B1-2D2BBD78E620}&lt;/UID&gt;&lt;Title&gt;云广直流孤岛运行“5·26”双极闭锁原因分析及改进措施&lt;/Title&gt;&lt;Template&gt;Journal Article&lt;/Template&gt;&lt;Star&gt;0&lt;/Star&gt;&lt;Tag&gt;0&lt;/Tag&gt;&lt;Author&gt;陈亦平; 陈磊; 叶骏; 侯君; 张尧; 杨仲超&lt;/Author&gt;&lt;Year&gt;2014&lt;/Year&gt;&lt;Details&gt;&lt;_author_aff&gt;华南理工大学电力学院;中国南方电网电力调度控制中心;清华大学电机工程与应用电子技术系;&lt;/_author_aff&gt;&lt;_date&gt;2014-04-25&lt;/_date&gt;&lt;_db_provider&gt;CNKI: 期刊&lt;/_db_provider&gt;&lt;_issue&gt;08&lt;/_issue&gt;&lt;_journal&gt;电力系统自动化&lt;/_journal&gt;&lt;_keywords&gt;高压直流输电;孤岛运行;双极闭锁;过电压;广域电力系统稳定器;高压侧电压控制&lt;/_keywords&gt;&lt;_pages&gt;129-135&lt;/_pages&gt;&lt;_url&gt;http://kns.cnki.net/KCMS/detail/detail.aspx?FileName=DLXT201408024&amp;amp;DbName=CJFQ2014&lt;/_url&gt;&lt;_volume&gt;38&lt;/_volume&gt;&lt;_created&gt;63727863&lt;/_created&gt;&lt;_modified&gt;63727863&lt;/_modified&gt;&lt;_db_updated&gt;CNKI - Reference&lt;/_db_updated&gt;&lt;_collection_scope&gt;CSCD;PKU;EI&lt;/_collection_scope&gt;&lt;_translated_author&gt;Chen, Yiping;Chen, Lei;Ye, Jun;Hou, Jun;Zhang, Yao;Yang, Zhongchao&lt;/_translated_author&gt;&lt;/Details&gt;&lt;Extra&gt;&lt;DBUID&gt;{6891F4B0-DCBA-459A-9A22-3059983243D4}&lt;/DBUID&gt;&lt;/Extra&gt;&lt;/Item&gt;&lt;/References&gt;&lt;/Group&gt;&lt;/Citation&gt;_x000a_"/>
    <w:docVar w:name="NE.Ref{412A6213-CDD8-4437-B3DF-2B7B0666E75F}" w:val=" ADDIN NE.Ref.{412A6213-CDD8-4437-B3DF-2B7B0666E75F}&lt;Citation&gt;&lt;Group&gt;&lt;References&gt;&lt;Item&gt;&lt;ID&gt;538&lt;/ID&gt;&lt;UID&gt;{0DC60098-CF0F-40E5-BB42-79BE01B32D70}&lt;/UID&gt;&lt;Title&gt;Frequency Dynamics Constrained Unit Commitment With Battery Energy Storage&lt;/Title&gt;&lt;Template&gt;Journal Article&lt;/Template&gt;&lt;Star&gt;0&lt;/Star&gt;&lt;Tag&gt;0&lt;/Tag&gt;&lt;Author&gt;Wen, Yunfeng; Li, Wenyuan; Huang, Gang; Liu, Xuan&lt;/Author&gt;&lt;Year&gt;2016&lt;/Year&gt;&lt;Details&gt;&lt;_collection_scope&gt;SCI;SCIE;EI&lt;/_collection_scope&gt;&lt;_created&gt;63661822&lt;/_created&gt;&lt;_impact_factor&gt;   6.074&lt;/_impact_factor&gt;&lt;_issue&gt;6&lt;/_issue&gt;&lt;_journal&gt;IEEE Transactions on Power Systems&lt;/_journal&gt;&lt;_modified&gt;63661822&lt;/_modified&gt;&lt;_pages&gt;5115-5125&lt;/_pages&gt;&lt;_volume&gt;31&lt;/_volume&gt;&lt;/Details&gt;&lt;Extra&gt;&lt;DBUID&gt;{F96A950B-833F-4880-A151-76DA2D6A2879}&lt;/DBUID&gt;&lt;/Extra&gt;&lt;/Item&gt;&lt;/References&gt;&lt;/Group&gt;&lt;/Citation&gt;_x000a_"/>
    <w:docVar w:name="NE.Ref{42A59C11-8397-4EA0-9907-2899A5CBFD30}" w:val=" ADDIN NE.Ref.{42A59C11-8397-4EA0-9907-2899A5CBFD30}&lt;Citation&gt;&lt;Group&gt;&lt;References&gt;&lt;Item&gt;&lt;ID&gt;493&lt;/ID&gt;&lt;UID&gt;{61C45A42-77B8-4FF7-978D-87CE3C7BAFF8}&lt;/UID&gt;&lt;Title&gt;Biased Multiobjective Optimization and Decomposition Algorithm&lt;/Title&gt;&lt;Template&gt;Journal Article&lt;/Template&gt;&lt;Star&gt;0&lt;/Star&gt;&lt;Tag&gt;0&lt;/Tag&gt;&lt;Author&gt;Li, Hui; Zhang, Qingfu; Deng, Jingda&lt;/Author&gt;&lt;Year&gt;2016&lt;/Year&gt;&lt;Details&gt;&lt;_collection_scope&gt;SCI;SCIE;EI&lt;/_collection_scope&gt;&lt;_created&gt;63651743&lt;/_created&gt;&lt;_impact_factor&gt;  11.079&lt;/_impact_factor&gt;&lt;_issue&gt;1&lt;/_issue&gt;&lt;_journal&gt;IEEE Transactions on Cybernetics&lt;/_journal&gt;&lt;_modified&gt;63651743&lt;/_modified&gt;&lt;_pages&gt;52-66&lt;/_pages&gt;&lt;_volume&gt;47&lt;/_volume&gt;&lt;/Details&gt;&lt;Extra&gt;&lt;DBUID&gt;{F96A950B-833F-4880-A151-76DA2D6A2879}&lt;/DBUID&gt;&lt;/Extra&gt;&lt;/Item&gt;&lt;/References&gt;&lt;/Group&gt;&lt;/Citation&gt;_x000a_"/>
    <w:docVar w:name="NE.Ref{43EB768F-0C15-4930-B089-AA5F6EABDED8}" w:val=" ADDIN NE.Ref.{43EB768F-0C15-4930-B089-AA5F6EABDED8}&lt;Citation&gt;&lt;Group&gt;&lt;References&gt;&lt;Item&gt;&lt;ID&gt;397&lt;/ID&gt;&lt;UID&gt;{78E9607F-AFEA-42B5-AE3A-3499BBEE4897}&lt;/UID&gt;&lt;Title&gt;The development of the renewable energy power industry under feed-in tariff and renewable portfolio standard: A case study of China&amp;apos;s wind power industry&lt;/Title&gt;&lt;Template&gt;Journal Article&lt;/Template&gt;&lt;Star&gt;0&lt;/Star&gt;&lt;Tag&gt;0&lt;/Tag&gt;&lt;Author&gt;Zhang, Yu-zhuo; Zhao, Xin-gang; Ren, Ling-zhi; Zuo, Yi&lt;/Author&gt;&lt;Year&gt;2017&lt;/Year&gt;&lt;Details&gt;&lt;_accession_num&gt;WOS:000414817700117_x000d__x000a_ER&lt;/_accession_num&gt;&lt;_cited_count&gt;15&lt;/_cited_count&gt;&lt;_collection_scope&gt;SCIE;EI&lt;/_collection_scope&gt;&lt;_created&gt;63640282&lt;/_created&gt;&lt;_date_display&gt;2017, DEC 1 2017&lt;/_date_display&gt;&lt;_db_provider&gt;ISI&lt;/_db_provider&gt;&lt;_doi&gt;10.1016/j.jclepro.2017.09.102&lt;/_doi&gt;&lt;_impact_factor&gt;   7.246&lt;/_impact_factor&gt;&lt;_isbn&gt;0959-6526&lt;/_isbn&gt;&lt;_journal&gt;JOURNAL OF CLEANER PRODUCTION&lt;/_journal&gt;&lt;_modified&gt;63640282&lt;/_modified&gt;&lt;_pages&gt;1262-1276&lt;/_pages&gt;&lt;_url&gt;http://gateway.isiknowledge.com/gateway/Gateway.cgi?GWVersion=2&amp;amp;SrcAuth=AegeanSoftware&amp;amp;SrcApp=NoteExpress&amp;amp;DestLinkType=FullRecord&amp;amp;DestApp=WOS&amp;amp;KeyUT=000414817700117&lt;/_url&gt;&lt;_volume&gt;168&lt;/_volume&gt;&lt;/Details&gt;&lt;Extra&gt;&lt;DBUID&gt;{F96A950B-833F-4880-A151-76DA2D6A2879}&lt;/DBUID&gt;&lt;/Extra&gt;&lt;/Item&gt;&lt;/References&gt;&lt;/Group&gt;&lt;Group&gt;&lt;References&gt;&lt;Item&gt;&lt;ID&gt;395&lt;/ID&gt;&lt;UID&gt;{76304DEB-D3A6-45B4-86B1-2867D798C16C}&lt;/UID&gt;&lt;Title&gt;The development of China&amp;apos;s biomass power industry under feed-in tariff and renewable portfolio standard: A system dynamics analysis&lt;/Title&gt;&lt;Template&gt;Journal Article&lt;/Template&gt;&lt;Star&gt;0&lt;/Star&gt;&lt;Tag&gt;0&lt;/Tag&gt;&lt;Author&gt;Zhang, Yu-zhuo; Zhao, Xin-gang; Ren, Ling-zhi; Liang, Ji; Liu, Ping-kuo&lt;/Author&gt;&lt;Year&gt;2017&lt;/Year&gt;&lt;Details&gt;&lt;_accession_num&gt;WOS:000414879500072_x000d__x000a_ER&lt;/_accession_num&gt;&lt;_cited_count&gt;20&lt;/_cited_count&gt;&lt;_collection_scope&gt;SCI;SCIE;EI&lt;/_collection_scope&gt;&lt;_created&gt;63640282&lt;/_created&gt;&lt;_date_display&gt;2017, NOV 15 2017&lt;/_date_display&gt;&lt;_db_provider&gt;ISI&lt;/_db_provider&gt;&lt;_doi&gt;10.1016/j.energy.2017.08.020&lt;/_doi&gt;&lt;_impact_factor&gt;   6.082&lt;/_impact_factor&gt;&lt;_isbn&gt;0360-5442&lt;/_isbn&gt;&lt;_journal&gt;ENERGY&lt;/_journal&gt;&lt;_modified&gt;63640282&lt;/_modified&gt;&lt;_pages&gt;947-961&lt;/_pages&gt;&lt;_url&gt;http://gateway.isiknowledge.com/gateway/Gateway.cgi?GWVersion=2&amp;amp;SrcAuth=AegeanSoftware&amp;amp;SrcApp=NoteExpress&amp;amp;DestLinkType=FullRecord&amp;amp;DestApp=WOS&amp;amp;KeyUT=000414879500072&lt;/_url&gt;&lt;_volume&gt;139&lt;/_volume&gt;&lt;/Details&gt;&lt;Extra&gt;&lt;DBUID&gt;{F96A950B-833F-4880-A151-76DA2D6A2879}&lt;/DBUID&gt;&lt;/Extra&gt;&lt;/Item&gt;&lt;/References&gt;&lt;/Group&gt;&lt;Group&gt;&lt;References&gt;&lt;Item&gt;&lt;ID&gt;396&lt;/ID&gt;&lt;UID&gt;{1539E410-123E-4054-AA41-F434B72177ED}&lt;/UID&gt;&lt;Title&gt;The policy effects of feed-in tariff and renewable portfolio standard: A case study of China&amp;apos;s waste incineration power industry&lt;/Title&gt;&lt;Template&gt;Journal Article&lt;/Template&gt;&lt;Star&gt;0&lt;/Star&gt;&lt;Tag&gt;0&lt;/Tag&gt;&lt;Author&gt;Xin-gang, Zhao; Yu-zhuo, Zhang; Ling-zhi, Ren; Yi, Zuo; Zhi-gong, Wu&lt;/Author&gt;&lt;Year&gt;2017&lt;/Year&gt;&lt;Details&gt;&lt;_accession_num&gt;WOS:000413126300071&lt;/_accession_num&gt;&lt;_cited_count&gt;14&lt;/_cited_count&gt;&lt;_collection_scope&gt;SCIE;EI&lt;/_collection_scope&gt;&lt;_created&gt;63640282&lt;/_created&gt;&lt;_date_display&gt;2017, OCT 2017&lt;/_date_display&gt;&lt;_db_provider&gt;ISI&lt;/_db_provider&gt;&lt;_doi&gt;10.1016/j.wasman.2017.06.009&lt;/_doi&gt;&lt;_impact_factor&gt;   5.448&lt;/_impact_factor&gt;&lt;_isbn&gt;0956-053X&lt;/_isbn&gt;&lt;_journal&gt;WASTE MANAGEMENT&lt;/_journal&gt;&lt;_modified&gt;63640282&lt;/_modified&gt;&lt;_pages&gt;711-723&lt;/_pages&gt;&lt;_url&gt;http://gateway.isiknowledge.com/gateway/Gateway.cgi?GWVersion=2&amp;amp;SrcAuth=AegeanSoftware&amp;amp;SrcApp=NoteExpress&amp;amp;DestLinkType=FullRecord&amp;amp;DestApp=WOS&amp;amp;KeyUT=000413126300071&lt;/_url&gt;&lt;_volume&gt;68&lt;/_volume&gt;&lt;/Details&gt;&lt;Extra&gt;&lt;DBUID&gt;{F96A950B-833F-4880-A151-76DA2D6A2879}&lt;/DBUID&gt;&lt;/Extra&gt;&lt;/Item&gt;&lt;/References&gt;&lt;/Group&gt;&lt;/Citation&gt;_x000a_"/>
    <w:docVar w:name="NE.Ref{44AEF4F1-7BC7-4BFD-8944-5C4CB28F62C4}" w:val=" ADDIN NE.Ref.{44AEF4F1-7BC7-4BFD-8944-5C4CB28F62C4}&lt;Citation&gt;&lt;Group&gt;&lt;References&gt;&lt;Item&gt;&lt;ID&gt;478&lt;/ID&gt;&lt;UID&gt;{B6EFA1FF-23CF-4182-9F90-568E5530C068}&lt;/UID&gt;&lt;Title&gt;An Evolutional Line-Commutated Converter Integrated With Thyristor-Based Full-Bridge Module to Mitigate the Commutation Failure&lt;/Title&gt;&lt;Template&gt;Journal Article&lt;/Template&gt;&lt;Star&gt;0&lt;/Star&gt;&lt;Tag&gt;0&lt;/Tag&gt;&lt;Author&gt;Guo, Chunyi; Li, Chunhua; Zhao, Chengyong; Ni, Xiaojun; Zha, Kunpeng; Xu, Weihua&lt;/Author&gt;&lt;Year&gt;2017&lt;/Year&gt;&lt;Details&gt;&lt;_accessed&gt;63445929&lt;/_accessed&gt;&lt;_accession_num&gt;WOS:000388867300012_x000d__x000a_ER&lt;/_accession_num&gt;&lt;_cited_count&gt;16&lt;/_cited_count&gt;&lt;_collection_scope&gt;SCI;SCIE;EI&lt;/_collection_scope&gt;&lt;_created&gt;63444588&lt;/_created&gt;&lt;_date_display&gt;2017, FEB 2017&lt;/_date_display&gt;&lt;_db_provider&gt;ISI&lt;/_db_provider&gt;&lt;_doi&gt;10.1109/TPEL.2016.2544107&lt;/_doi&gt;&lt;_impact_factor&gt;   6.373&lt;/_impact_factor&gt;&lt;_isbn&gt;0885-8993&lt;/_isbn&gt;&lt;_issue&gt;2&lt;/_issue&gt;&lt;_journal&gt;IEEE TRANSACTIONS ON POWER ELECTRONICS&lt;/_journal&gt;&lt;_modified&gt;63446050&lt;/_modified&gt;&lt;_pages&gt;967-976&lt;/_pages&gt;&lt;_url&gt;http://gateway.isiknowledge.com/gateway/Gateway.cgi?GWVersion=2&amp;amp;SrcAuth=AegeanSoftware&amp;amp;SrcApp=NoteExpress&amp;amp;DestLinkType=FullRecord&amp;amp;DestApp=WOS&amp;amp;KeyUT=000388867300012 _x000d__x000a_https://ieeexplore.ieee.org/stampPDF/getPDF.jsp?tp=&amp;amp;arnumber=7436805&amp;amp;ref=aHR0cHM6Ly9pZWVleHBsb3JlLmllZWUub3JnL3Jlc3Qvc2VhcmNo _x000d__x000a_&lt;/_url&gt;&lt;_volume&gt;32&lt;/_volume&gt;&lt;/Details&gt;&lt;Extra&gt;&lt;DBUID&gt;{6891F4B0-DCBA-459A-9A22-3059983243D4}&lt;/DBUID&gt;&lt;/Extra&gt;&lt;/Item&gt;&lt;/References&gt;&lt;/Group&gt;&lt;/Citation&gt;_x000a_"/>
    <w:docVar w:name="NE.Ref{46596D9C-1BEF-4A1F-9572-1769C2A70084}" w:val=" ADDIN NE.Ref.{46596D9C-1BEF-4A1F-9572-1769C2A70084}&lt;Citation&gt;&lt;Group&gt;&lt;References&gt;&lt;Item&gt;&lt;ID&gt;590&lt;/ID&gt;&lt;UID&gt;{97448DF3-F405-41D5-B588-F0B8EAB92830}&lt;/UID&gt;&lt;Title&gt;Multi-objective self-organizing optimization for constrained sparse array synthesis&lt;/Title&gt;&lt;Template&gt;Journal Article&lt;/Template&gt;&lt;Star&gt;0&lt;/Star&gt;&lt;Tag&gt;0&lt;/Tag&gt;&lt;Author&gt;Li, Haoran; He, Fazhi; Chen, Yilin; Luo, Jinkun&lt;/Author&gt;&lt;Year&gt;2020&lt;/Year&gt;&lt;Details&gt;&lt;_accession_num&gt;WOS:000576949000001_x000d__x000a_ER&lt;/_accession_num&gt;&lt;_cited_count&gt;2&lt;/_cited_count&gt;&lt;_collection_scope&gt;SCIE;EI&lt;/_collection_scope&gt;&lt;_created&gt;63705104&lt;/_created&gt;&lt;_date_display&gt;2020, NOV 2020&lt;/_date_display&gt;&lt;_db_provider&gt;ISI&lt;/_db_provider&gt;&lt;_doi&gt;10.1016/j.swevo.2020.100743&lt;/_doi&gt;&lt;_impact_factor&gt;   6.912&lt;/_impact_factor&gt;&lt;_isbn&gt;2210-6502&lt;/_isbn&gt;&lt;_issue&gt;100743&lt;/_issue&gt;&lt;_journal&gt;SWARM AND EVOLUTIONARY COMPUTATION&lt;/_journal&gt;&lt;_modified&gt;63705104&lt;/_modified&gt;&lt;_url&gt;http://gateway.isiknowledge.com/gateway/Gateway.cgi?GWVersion=2&amp;amp;SrcAuth=AegeanSoftware&amp;amp;SrcApp=NoteExpress&amp;amp;DestLinkType=FullRecord&amp;amp;DestApp=WOS&amp;amp;KeyUT=000576949000001&lt;/_url&gt;&lt;_volume&gt;58&lt;/_volume&gt;&lt;/Details&gt;&lt;Extra&gt;&lt;DBUID&gt;{F96A950B-833F-4880-A151-76DA2D6A2879}&lt;/DBUID&gt;&lt;/Extra&gt;&lt;/Item&gt;&lt;/References&gt;&lt;/Group&gt;&lt;/Citation&gt;_x000a_"/>
    <w:docVar w:name="NE.Ref{48471046-0259-475F-B581-DC28CAC2815E}" w:val=" ADDIN NE.Ref.{48471046-0259-475F-B581-DC28CAC2815E}&lt;Citation&gt;&lt;Group&gt;&lt;References&gt;&lt;Item&gt;&lt;ID&gt;677&lt;/ID&gt;&lt;UID&gt;{7B543492-20D1-46E1-9795-8E7FCC6F0261}&lt;/UID&gt;&lt;Title&gt;A Predictive Method of LCC-HVDC Continuous Commutation Failure Based on Threshold Commutation Voltage Under Grid Fault&lt;/Title&gt;&lt;Template&gt;Journal Article&lt;/Template&gt;&lt;Star&gt;0&lt;/Star&gt;&lt;Tag&gt;0&lt;/Tag&gt;&lt;Author&gt;Ouyang, J X; Zhang, Z; Li, M Y; Pang, M Y; Xiong, X F; Diao, Y B&lt;/Author&gt;&lt;Year&gt;2021&lt;/Year&gt;&lt;Details&gt;&lt;_accessed&gt;64495380&lt;/_accessed&gt;&lt;_alternate_title&gt;IEEE TRANSACTIONS ON POWER SYSTEMS&lt;/_alternate_title&gt;&lt;_author_adr&gt;Chongqing Univ, State Key Lab Power Transmiss Equipment &amp;amp; Syst Se, Sch Elect Engn, Chongqing 400044, Peoples R China; Chongqing City Management Coll, Chongqing 400044, Peoples R China&lt;/_author_adr&gt;&lt;_cited_count&gt;10&lt;/_cited_count&gt;&lt;_collection_scope&gt;SCI;SCIE;EI&lt;/_collection_scope&gt;&lt;_created&gt;64494413&lt;/_created&gt;&lt;_date&gt;2021-01-01&lt;/_date&gt;&lt;_date_display&gt;2021&lt;/_date_display&gt;&lt;_db_updated&gt;Web of Science-Core&lt;/_db_updated&gt;&lt;_doi&gt;10.1109/TPWRS.2020.3001939&lt;/_doi&gt;&lt;_impact_factor&gt;   7.326&lt;/_impact_factor&gt;&lt;_issue&gt;1&lt;/_issue&gt;&lt;_journal&gt;IEEE TRANSACTIONS ON POWER SYSTEMS&lt;/_journal&gt;&lt;_keywords&gt;Threshold voltage; Inverters; Valves; HVDC transmission; Power grids; Process control; Control systems; HVDC transmission; continuous commutation failure; AC grid faults; predictive method; threshold voltage&lt;/_keywords&gt;&lt;_modified&gt;64495380&lt;/_modified&gt;&lt;_pages&gt;118-126&lt;/_pages&gt;&lt;_url&gt;https://ieeexplore.ieee.org/stampPDF/getPDF.jsp?tp=&amp;amp;arnumber=9115857&amp;amp;ref=aHR0cHM6Ly9pZWVleHBsb3JlLmllZWUub3JnL3Jlc3Qvc2VhcmNo _x000d__x000a_&lt;/_url&gt;&lt;_volume&gt;36&lt;/_volume&gt;&lt;/Details&gt;&lt;Extra&gt;&lt;DBUID&gt;{F96A950B-833F-4880-A151-76DA2D6A2879}&lt;/DBUID&gt;&lt;/Extra&gt;&lt;/Item&gt;&lt;/References&gt;&lt;/Group&gt;&lt;/Citation&gt;_x000a_"/>
    <w:docVar w:name="NE.Ref{48B6F3F2-E967-4C45-9220-15451A7748B9}" w:val=" ADDIN NE.Ref.{48B6F3F2-E967-4C45-9220-15451A7748B9}&lt;Citation&gt;&lt;Group&gt;&lt;References&gt;&lt;Item&gt;&lt;ID&gt;511&lt;/ID&gt;&lt;UID&gt;{154CE1CF-1A23-46D3-9129-02C99CF446AA}&lt;/UID&gt;&lt;Title&gt;特高压网架方案功能和可靠性分析&lt;/Title&gt;&lt;Template&gt;Journal Article&lt;/Template&gt;&lt;Star&gt;0&lt;/Star&gt;&lt;Tag&gt;0&lt;/Tag&gt;&lt;Author&gt;杨海涛; 吉平; 刘晋雄; 孙健; 于光耀; 张琳娜&lt;/Author&gt;&lt;Year&gt;2017&lt;/Year&gt;&lt;Details&gt;&lt;_author_adr&gt;中国电力科学研究院;国网山西省电力公司;国网北京市电力公司;国网天津市电力公司电力科学研究院;&lt;/_author_adr&gt;&lt;_collection_scope&gt;CSCD;PKU;EI&lt;/_collection_scope&gt;&lt;_created&gt;63655099&lt;/_created&gt;&lt;_db_provider&gt;CNKI&lt;/_db_provider&gt;&lt;_isbn&gt;1003-6520&lt;/_isbn&gt;&lt;_issue&gt;03&lt;/_issue&gt;&lt;_journal&gt;高电压技术&lt;/_journal&gt;&lt;_keywords&gt;特高压电网;网架;电网规划;可靠性;安全性;复杂系统&lt;/_keywords&gt;&lt;_modified&gt;63655099&lt;/_modified&gt;&lt;_pages&gt;1014-1022&lt;/_pages&gt;&lt;_volume&gt;43&lt;/_volume&gt;&lt;_translated_author&gt;Yang, Haitao;Ji, Ping;Liu, Jinxiong;Sun, Jian;Yu, Guangyao;Zhang, Linna&lt;/_translated_author&gt;&lt;/Details&gt;&lt;Extra&gt;&lt;DBUID&gt;{F96A950B-833F-4880-A151-76DA2D6A2879}&lt;/DBUID&gt;&lt;/Extra&gt;&lt;/Item&gt;&lt;/References&gt;&lt;/Group&gt;&lt;/Citation&gt;_x000a_"/>
    <w:docVar w:name="NE.Ref{48E1A289-CF7F-479E-8D70-DDB96CB55113}" w:val=" ADDIN NE.Ref.{48E1A289-CF7F-479E-8D70-DDB96CB55113}&lt;Citation&gt;&lt;Group&gt;&lt;References&gt;&lt;Item&gt;&lt;ID&gt;592&lt;/ID&gt;&lt;UID&gt;{53335DB5-7E36-4549-8444-79E848ABC5F6}&lt;/UID&gt;&lt;Title&gt;A regularity model-based multiobjective estimation of distribution algorithm with reducing redundant cluster operator&lt;/Title&gt;&lt;Template&gt;Journal Article&lt;/Template&gt;&lt;Star&gt;0&lt;/Star&gt;&lt;Tag&gt;0&lt;/Tag&gt;&lt;Author&gt;Wang, Yong; Xiang, Jian; Cai, Zixing&lt;/Author&gt;&lt;Year&gt;2012&lt;/Year&gt;&lt;Details&gt;&lt;_collection_scope&gt;SCIE;EI&lt;/_collection_scope&gt;&lt;_created&gt;63705119&lt;/_created&gt;&lt;_impact_factor&gt;   5.472&lt;/_impact_factor&gt;&lt;_issue&gt;11&lt;/_issue&gt;&lt;_journal&gt;Applied Soft Computing&lt;/_journal&gt;&lt;_modified&gt;63705119&lt;/_modified&gt;&lt;_pages&gt;3526-3538&lt;/_pages&gt;&lt;_volume&gt;12&lt;/_volume&gt;&lt;/Details&gt;&lt;Extra&gt;&lt;DBUID&gt;{F96A950B-833F-4880-A151-76DA2D6A2879}&lt;/DBUID&gt;&lt;/Extra&gt;&lt;/Item&gt;&lt;/References&gt;&lt;/Group&gt;&lt;/Citation&gt;_x000a_"/>
    <w:docVar w:name="NE.Ref{49447553-A922-498D-8A1F-97712021F6E9}" w:val=" ADDIN NE.Ref.{49447553-A922-498D-8A1F-97712021F6E9}&lt;Citation&gt;&lt;Group&gt;&lt;References&gt;&lt;Item&gt;&lt;ID&gt;670&lt;/ID&gt;&lt;UID&gt;{C52C7549-6C4E-4EBE-9351-A8E8FC96DCA1}&lt;/UID&gt;&lt;Title&gt;Analysis of the sending-side system instability caused by multiple HVDC commutation failure&lt;/Title&gt;&lt;Template&gt;Journal Article&lt;/Template&gt;&lt;Star&gt;0&lt;/Star&gt;&lt;Tag&gt;0&lt;/Tag&gt;&lt;Author&gt;Tu, Jingzhe; Zhang, Jian; Bu, Guangquan; Yi, Jun; Yin, Yonghua; Jia, Junchuan&lt;/Author&gt;&lt;Year&gt;2015&lt;/Year&gt;&lt;Details&gt;&lt;_accessed&gt;63446184&lt;/_accessed&gt;&lt;_created&gt;63446184&lt;/_created&gt;&lt;_db_updated&gt;CrossRef&lt;/_db_updated&gt;&lt;_doi&gt;10.17775/CSEEJPES.2015.00051&lt;/_doi&gt;&lt;_impact_factor&gt;   3.115&lt;/_impact_factor&gt;&lt;_isbn&gt;2096-0042&lt;/_isbn&gt;&lt;_issue&gt;4&lt;/_issue&gt;&lt;_journal&gt;CSEE Journal of Power and Energy Systems&lt;/_journal&gt;&lt;_modified&gt;63480623&lt;/_modified&gt;&lt;_pages&gt;37-44&lt;/_pages&gt;&lt;_tertiary_title&gt;CSEE Power and Energy Syst.&lt;/_tertiary_title&gt;&lt;_url&gt;http://ieeexplore.ieee.org/lpdocs/epic03/wrapper.htm?arnumber=7377172 _x000d__x000a_http://ieeexplore.ieee.org/stamp/stamp.jsp?arnumber=7377172 _x000d__x000a_https://ieeexplore.ieee.org/ielx7/7054730/7377160/07377172.pdf?tp=&amp;amp;arnumber=7377172&amp;amp;isnumber=7377160&amp;amp;ref=aHR0cHM6Ly9pZWVleHBsb3JlLmllZWUub3JnL3Jlc3Qvc2VhcmNo _x000d__x000a_&lt;/_url&gt;&lt;_volume&gt;1&lt;/_volume&gt;&lt;/Details&gt;&lt;Extra&gt;&lt;DBUID&gt;{6891F4B0-DCBA-459A-9A22-3059983243D4}&lt;/DBUID&gt;&lt;/Extra&gt;&lt;/Item&gt;&lt;/References&gt;&lt;/Group&gt;&lt;/Citation&gt;_x000a_"/>
    <w:docVar w:name="NE.Ref{4A1C7757-3125-400A-976F-AEC48307B1B1}" w:val=" ADDIN NE.Ref.{4A1C7757-3125-400A-976F-AEC48307B1B1}&lt;Citation&gt;&lt;Group&gt;&lt;References&gt;&lt;Item&gt;&lt;ID&gt;641&lt;/ID&gt;&lt;UID&gt;{32D4CEE2-DCF5-43B8-BCFF-95914750FBCC}&lt;/UID&gt;&lt;Title&gt;考虑电价型需求响应的交直流混合配电网优化调度&lt;/Title&gt;&lt;Template&gt;Journal Article&lt;/Template&gt;&lt;Star&gt;0&lt;/Star&gt;&lt;Tag&gt;0&lt;/Tag&gt;&lt;Author&gt;王文超; 庞丹; 成龙; 王振浩&lt;/Author&gt;&lt;Year&gt;2019&lt;/Year&gt;&lt;Details&gt;&lt;_author_adr&gt;东北电力大学电气工程学院;国网长春供电公司;&lt;/_author_adr&gt;&lt;_db_provider&gt;CNKI&lt;/_db_provider&gt;&lt;_isbn&gt;1000-3673&lt;/_isbn&gt;&lt;_issue&gt;05&lt;/_issue&gt;&lt;_journal&gt;电网技术&lt;/_journal&gt;&lt;_keywords&gt;交直流混合配电网;电价型需求响应;分布式电源;经济调度;混合整数二阶锥规划&lt;/_keywords&gt;&lt;_pages&gt;1675-1682&lt;/_pages&gt;&lt;_volume&gt;43&lt;/_volume&gt;&lt;_created&gt;63705589&lt;/_created&gt;&lt;_modified&gt;63705589&lt;/_modified&gt;&lt;_collection_scope&gt;CSCD;PKU;EI&lt;/_collection_scope&gt;&lt;_translated_author&gt;Wang, Wenchao;Pang, Dan;Cheng, Long;Wang, Zhenhao&lt;/_translated_author&gt;&lt;/Details&gt;&lt;Extra&gt;&lt;DBUID&gt;{F96A950B-833F-4880-A151-76DA2D6A2879}&lt;/DBUID&gt;&lt;/Extra&gt;&lt;/Item&gt;&lt;/References&gt;&lt;/Group&gt;&lt;/Citation&gt;_x000a_"/>
    <w:docVar w:name="NE.Ref{4A36DA9B-EEDD-4AF0-B5F6-FA36D090DDD5}" w:val=" ADDIN NE.Ref.{4A36DA9B-EEDD-4AF0-B5F6-FA36D090DDD5}&lt;Citation&gt;&lt;Group&gt;&lt;References&gt;&lt;Item&gt;&lt;ID&gt;527&lt;/ID&gt;&lt;UID&gt;{291B8031-6D51-45D5-91E7-A340E5A9D44D}&lt;/UID&gt;&lt;Title&gt; Study on Cascading Tripping Risk of Wind Turbines Caused by Transient Overvoltage and Its Countermeasures&lt;/Title&gt;&lt;Template&gt;Journal Article&lt;/Template&gt;&lt;Star&gt;0&lt;/Star&gt;&lt;Tag&gt;0&lt;/Tag&gt;&lt;Author&gt;He, Jingbo; Zhuang, Wei; Xu, Tao; Huo, Chao; Jiang, Weiyong&lt;/Author&gt;&lt;Year&gt;2016&lt;/Year&gt;&lt;Details&gt;&lt;_accessed&gt;63480656&lt;/_accessed&gt;&lt;_accession_num&gt;CSCD:5736009_x000d__x000a_ER&lt;/_accession_num&gt;&lt;_cited_count&gt;9&lt;/_cited_count&gt;&lt;_created&gt;63444588&lt;/_created&gt;&lt;_date_display&gt;2016, 2016&lt;/_date_display&gt;&lt;_db_provider&gt;ISI&lt;/_db_provider&gt;&lt;_isbn&gt;1000-3673&lt;/_isbn&gt;&lt;_issue&gt;6&lt;/_issue&gt;&lt;_journal&gt;Power System Technology&lt;/_journal&gt;&lt;_modified&gt;63480656&lt;/_modified&gt;&lt;_pages&gt;1839-1844&lt;/_pages&gt;&lt;_tertiary_title&gt;电网技术 &lt;/_tertiary_title&gt;&lt;_translated_author&gt;贺静波; 庄伟; 许涛; 霍超; 蒋维勇&lt;/_translated_author&gt;&lt;_translated_title&gt;暂态过电压引起风电机组连锁脱网风险分析及对策&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Citation&gt;_x000a_"/>
    <w:docVar w:name="NE.Ref{4A9270DF-3F1E-4D22-98C6-5EDAF9CEC465}" w:val=" ADDIN NE.Ref.{4A9270DF-3F1E-4D22-98C6-5EDAF9CEC465}&lt;Citation&gt;&lt;Group&gt;&lt;References&gt;&lt;Item&gt;&lt;ID&gt;696&lt;/ID&gt;&lt;UID&gt;{C62C2A26-F164-4E81-B1B3-016797391EB8}&lt;/UID&gt;&lt;Title&gt;IEEE Guide for Planning DC Links Terminating at AC Locations Having Low Short-Circuit Capacities&lt;/Title&gt;&lt;Template&gt;Journal Article&lt;/Template&gt;&lt;Star&gt;0&lt;/Star&gt;&lt;Tag&gt;0&lt;/Tag&gt;&lt;Author&gt;Committee, Distribution&lt;/Author&gt;&lt;Year&gt;1997&lt;/Year&gt;&lt;Details&gt;&lt;_accessed&gt;63482047&lt;/_accessed&gt;&lt;_created&gt;63482033&lt;/_created&gt;&lt;_modified&gt;63482047&lt;/_modified&gt;&lt;_url&gt;https://ieeexplore.ieee.org/stampPDF/getPDF.jsp?tp=&amp;amp;arnumber=653230&amp;amp;ref=aHR0cHM6Ly9pZWVleHBsb3JlLmllZWUub3JnL3Jlc3Qvc2VhcmNo _x000d__x000a_&lt;/_url&gt;&lt;/Details&gt;&lt;Extra&gt;&lt;DBUID&gt;{6891F4B0-DCBA-459A-9A22-3059983243D4}&lt;/DBUID&gt;&lt;/Extra&gt;&lt;/Item&gt;&lt;/References&gt;&lt;/Group&gt;&lt;/Citation&gt;_x000a_"/>
    <w:docVar w:name="NE.Ref{4AF31410-F1F3-4620-A399-54F8BBB12BA7}" w:val=" ADDIN NE.Ref.{4AF31410-F1F3-4620-A399-54F8BBB12BA7}&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8.162&lt;/_impact_factor&gt;&lt;_isbn&gt;0278-0046&lt;/_isbn&gt;&lt;_issue&gt;1&lt;/_issue&gt;&lt;_journal&gt;IEEE TRANSACTIONS ON INDUSTRIAL ELECTRONICS&lt;/_journal&gt;&lt;_modified&gt;644986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Group&gt;&lt;References&gt;&lt;Item&gt;&lt;ID&gt;341&lt;/ID&gt;&lt;UID&gt;{6D9A678F-8188-442B-8046-5048FD6D6ED1}&lt;/UID&gt;&lt;Title&gt;Probabilistic Analysis of Commutation Failure in LCC-HVDC System Considering the CFPREV and the Initial Fault Voltage Angle&lt;/Title&gt;&lt;Template&gt;Journal Article&lt;/Template&gt;&lt;Star&gt;0&lt;/Star&gt;&lt;Tag&gt;0&lt;/Tag&gt;&lt;Author&gt;Yao, Wei; Liu, Chang; Fang, Jiakun; Ai, Xiaomeng; Wen, Jinyu; Cheng, Shijie&lt;/Author&gt;&lt;Year&gt;2020&lt;/Year&gt;&lt;Details&gt;&lt;_accessed&gt;63446030&lt;/_accessed&gt;&lt;_accession_num&gt;WOS:000522350600029_x000d__x000a_ER&lt;/_accession_num&gt;&lt;_cited_count&gt;2&lt;/_cited_count&gt;&lt;_collection_scope&gt;SCI;SCIE;EI&lt;/_collection_scope&gt;&lt;_created&gt;63444588&lt;/_created&gt;&lt;_date_display&gt;2020, APR 2020&lt;/_date_display&gt;&lt;_db_provider&gt;ISI&lt;/_db_provider&gt;&lt;_doi&gt;10.1109/TPWRD.2019.2925399&lt;/_doi&gt;&lt;_impact_factor&gt;   4.825&lt;/_impact_factor&gt;&lt;_isbn&gt;0885-8977&lt;/_isbn&gt;&lt;_issue&gt;2&lt;/_issue&gt;&lt;_journal&gt;IEEE TRANSACTIONS ON POWER DELIVERY&lt;/_journal&gt;&lt;_modified&gt;64498618&lt;/_modified&gt;&lt;_pages&gt;715-724&lt;/_pages&gt;&lt;_url&gt;http://gateway.isiknowledge.com/gateway/Gateway.cgi?GWVersion=2&amp;amp;SrcAuth=AegeanSoftware&amp;amp;SrcApp=NoteExpress&amp;amp;DestLinkType=FullRecord&amp;amp;DestApp=WOS&amp;amp;KeyUT=000522350600029 _x000d__x000a_https://ieeexplore.ieee.org/stampPDF/getPDF.jsp?tp=&amp;amp;arnumber=8747540&amp;amp;ref=aHR0cHM6Ly9pZWVleHBsb3JlLmllZWUub3JnL3Jlc3Qvc2VhcmNo _x000d__x000a_&lt;/_url&gt;&lt;_volume&gt;35&lt;/_volume&gt;&lt;/Details&gt;&lt;Extra&gt;&lt;DBUID&gt;{6891F4B0-DCBA-459A-9A22-3059983243D4}&lt;/DBUID&gt;&lt;/Extra&gt;&lt;/Item&gt;&lt;/References&gt;&lt;/Group&gt;&lt;/Citation&gt;_x000a_"/>
    <w:docVar w:name="NE.Ref{4AF45924-A538-44DD-831F-9D8593D80878}" w:val=" ADDIN NE.Ref.{4AF45924-A538-44DD-831F-9D8593D80878}&lt;Citation&gt;&lt;Group&gt;&lt;References&gt;&lt;Item&gt;&lt;ID&gt;672&lt;/ID&gt;&lt;UID&gt;{B6DBA7D4-5C6A-4C88-9423-A6565F782082}&lt;/UID&gt;&lt;Title&gt;大型交直流混联电网安全运行面临的问题与挑战&lt;/Title&gt;&lt;Template&gt;Journal Article&lt;/Template&gt;&lt;Star&gt;0&lt;/Star&gt;&lt;Tag&gt;0&lt;/Tag&gt;&lt;Author&gt;董新洲; 汤涌; 卜广全; 沈沉; 宋国兵; 王增平; 甘德强; 侯俊贤; 王宾; 赵兵; 施慎行&lt;/Author&gt;&lt;Year&gt;2019&lt;/Year&gt;&lt;Details&gt;&lt;_accessed&gt;63726865&lt;/_accessed&gt;&lt;_accession_num&gt;CSCD:6508051&lt;/_accession_num&gt;&lt;_cited_count&gt;0&lt;/_cited_count&gt;&lt;_created&gt;63459184&lt;/_created&gt;&lt;_date_display&gt;2019, 2019&lt;/_date_display&gt;&lt;_db_provider&gt;ISI&lt;/_db_provider&gt;&lt;_db_updated&gt;Web of Science-All&lt;/_db_updated&gt;&lt;_isbn&gt;0258-8013&lt;/_isbn&gt;&lt;_issue&gt;11&lt;/_issue&gt;&lt;_journal&gt;中国电机工程学报&lt;/_journal&gt;&lt;_modified&gt;63726865&lt;/_modified&gt;&lt;_pages&gt;3107-3118&lt;/_pages&gt;&lt;_tertiary_title&gt;Proceedings of the CSEE&lt;/_tertiary_title&gt;&lt;_translated_author&gt;Dong, Xinzhou; Tang, Yong; Bu, Guangquan; Shen, Chen; Song, Guobing; Wang, Zengping; Gan, Deqiang; Hou, Junxian; Wang, Bin; Zhao, Bing; Shi, Shenxing&lt;/_translated_author&gt;&lt;_translated_title&gt;Confronting Problem and Challenge of Large Scale AC-DC Hybrid Power Grid Operation&lt;/_translated_title&gt;&lt;_url&gt;CSCD:6508051 _x000d__x000a_https://kns.cnki.net/kcms/download.aspx?filename=5NXcNdzNyZTOjZjbZdVWEN0KDJmMBhFM28mVwBVSRVWaHpET0AXdxNTbZFjaKdUWy9iaXNme21kRYVERsdkdUx2VG9GeIlka3x0QkNlUoZGWThGVZhHZMF3QGVXMs1mUzITeYd1YOJFWxdUTE5mZGp1M3pUc2JzR&amp;amp;tablename=CJFDLAST2019&amp;amp;dflag=pdfdown _x000d__x000a_&lt;/_url&gt;&lt;_volume&gt;39&lt;/_volume&gt;&lt;_collection_scope&gt;CSCD;PKU;EI&lt;/_collection_scope&gt;&lt;/Details&gt;&lt;Extra&gt;&lt;DBUID&gt;{6891F4B0-DCBA-459A-9A22-3059983243D4}&lt;/DBUID&gt;&lt;/Extra&gt;&lt;/Item&gt;&lt;/References&gt;&lt;/Group&gt;&lt;/Citation&gt;_x000a_"/>
    <w:docVar w:name="NE.Ref{4B436B43-5D5D-4B6B-B071-1C886BD77D0C}" w:val=" ADDIN NE.Ref.{4B436B43-5D5D-4B6B-B071-1C886BD77D0C}&lt;Citation&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46009&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5.659&lt;/_impact_factor&gt;&lt;_isbn&gt;0142-0615&lt;/_isbn&gt;&lt;_issue&gt;UNSP 105492&lt;/_issue&gt;&lt;_journal&gt;INTERNATIONAL JOURNAL OF ELECTRICAL POWER &amp;amp; ENERGY SYSTEMS&lt;/_journal&gt;&lt;_modified&gt;64498617&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4BC4D534-563C-460B-B17C-249E7ECA6757}" w:val=" ADDIN NE.Ref.{4BC4D534-563C-460B-B17C-249E7ECA6757}&lt;Citation&gt;&lt;Group&gt;&lt;References&gt;&lt;Item&gt;&lt;ID&gt;527&lt;/ID&gt;&lt;UID&gt;{291B8031-6D51-45D5-91E7-A340E5A9D44D}&lt;/UID&gt;&lt;Title&gt; Study on Cascading Tripping Risk of Wind Turbines Caused by Transient Overvoltage and Its Countermeasures&lt;/Title&gt;&lt;Template&gt;Journal Article&lt;/Template&gt;&lt;Star&gt;0&lt;/Star&gt;&lt;Tag&gt;0&lt;/Tag&gt;&lt;Author&gt;He, Jingbo; Zhuang, Wei; Xu, Tao; Huo, Chao; Jiang, Weiyong&lt;/Author&gt;&lt;Year&gt;2016&lt;/Year&gt;&lt;Details&gt;&lt;_accessed&gt;63480656&lt;/_accessed&gt;&lt;_accession_num&gt;CSCD:5736009_x000d__x000a_ER&lt;/_accession_num&gt;&lt;_cited_count&gt;9&lt;/_cited_count&gt;&lt;_created&gt;63444588&lt;/_created&gt;&lt;_date_display&gt;2016, 2016&lt;/_date_display&gt;&lt;_db_provider&gt;ISI&lt;/_db_provider&gt;&lt;_isbn&gt;1000-3673&lt;/_isbn&gt;&lt;_issue&gt;6&lt;/_issue&gt;&lt;_journal&gt;Power System Technology&lt;/_journal&gt;&lt;_modified&gt;63480656&lt;/_modified&gt;&lt;_pages&gt;1839-1844&lt;/_pages&gt;&lt;_tertiary_title&gt;电网技术 &lt;/_tertiary_title&gt;&lt;_translated_author&gt;贺静波; 庄伟; 许涛; 霍超; 蒋维勇&lt;/_translated_author&gt;&lt;_translated_title&gt;暂态过电压引起风电机组连锁脱网风险分析及对策&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Group&gt;&lt;References&gt;&lt;Item&gt;&lt;ID&gt;673&lt;/ID&gt;&lt;UID&gt;{3BFC353C-EF56-4F4B-836A-BD68FC86A30C}&lt;/UID&gt;&lt;Title&gt;Definition, Connotation and Form of Strong HVDC and Weak AC and Countermeasures for Stable Operation of Hybrid Power Grid&lt;/Title&gt;&lt;Template&gt;Journal Article&lt;/Template&gt;&lt;Star&gt;0&lt;/Star&gt;&lt;Tag&gt;0&lt;/Tag&gt;&lt;Author&gt;Zheng, Chao; Ma, Shiying; Shen, Xuhui; Liu, Daowei&lt;/Author&gt;&lt;Year&gt;2017&lt;/Year&gt;&lt;Details&gt;&lt;_accessed&gt;63459189&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Power System Technology&lt;/_journal&gt;&lt;_modified&gt;63480624&lt;/_modified&gt;&lt;_pages&gt;2491-2498&lt;/_pages&gt;&lt;_tertiary_title&gt;电网技术&lt;/_tertiary_title&gt;&lt;_translated_author&gt;郑超_x000d__x000a_   马世英_x000d__x000a_   申旭辉_x000d__x000a_   刘道伟&lt;/_translated_author&gt;&lt;_translated_title&gt;强直弱交的定义、内涵与形式及其应对措施&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Details&gt;&lt;Extra&gt;&lt;DBUID&gt;{6891F4B0-DCBA-459A-9A22-3059983243D4}&lt;/DBUID&gt;&lt;/Extra&gt;&lt;/Item&gt;&lt;/References&gt;&lt;/Group&gt;&lt;/Citation&gt;_x000a_"/>
    <w:docVar w:name="NE.Ref{4BF4BCC0-6E82-44B5-ACCA-760BBCC90F38}" w:val=" ADDIN NE.Ref.{4BF4BCC0-6E82-44B5-ACCA-760BBCC90F38}&lt;Citation&gt;&lt;Group&gt;&lt;References&gt;&lt;Item&gt;&lt;ID&gt;501&lt;/ID&gt;&lt;UID&gt;{A842ABFC-4AFD-453A-83DE-4C906E12BC5A}&lt;/UID&gt;&lt;Title&gt;Convex programming with set-inclusive constraints, and application to inexact LP&lt;/Title&gt;&lt;Template&gt;Journal Article&lt;/Template&gt;&lt;Star&gt;0&lt;/Star&gt;&lt;Tag&gt;0&lt;/Tag&gt;&lt;Author&gt;Soyster, A L&lt;/Author&gt;&lt;Year&gt;1973&lt;/Year&gt;&lt;Details&gt;&lt;_collection_scope&gt;SCI;SCIE;SSCI;EI&lt;/_collection_scope&gt;&lt;_created&gt;63654517&lt;/_created&gt;&lt;_impact_factor&gt;   2.430&lt;/_impact_factor&gt;&lt;_journal&gt;Operations Research&lt;/_journal&gt;&lt;_modified&gt;63654517&lt;/_modified&gt;&lt;_pages&gt;155-157&lt;/_pages&gt;&lt;_volume&gt;21&lt;/_volume&gt;&lt;/Details&gt;&lt;Extra&gt;&lt;DBUID&gt;{F96A950B-833F-4880-A151-76DA2D6A2879}&lt;/DBUID&gt;&lt;/Extra&gt;&lt;/Item&gt;&lt;/References&gt;&lt;/Group&gt;&lt;/Citation&gt;_x000a_"/>
    <w:docVar w:name="NE.Ref{4C073527-916D-46AE-BCCE-0A1D44AC4612}" w:val=" ADDIN NE.Ref.{4C073527-916D-46AE-BCCE-0A1D44AC4612}&lt;Citation&gt;&lt;Group&gt;&lt;References&gt;&lt;Item&gt;&lt;ID&gt;513&lt;/ID&gt;&lt;UID&gt;{03A93F33-CBCC-4D4B-A4C7-8313B6BB8FD1}&lt;/UID&gt;&lt;Title&gt;Analyzing the penetration barriers of clean generation technologies in China&amp;apos;s power sector using a multi-region optimization model&lt;/Title&gt;&lt;Template&gt;Journal Article&lt;/Template&gt;&lt;Star&gt;0&lt;/Star&gt;&lt;Tag&gt;0&lt;/Tag&gt;&lt;Author&gt;Hui, Jingxuan; Cai, Wenjia; Wang, Can; Ye, Minhua&lt;/Author&gt;&lt;Year&gt;2017&lt;/Year&gt;&lt;Details&gt;&lt;_collection_scope&gt;SCI;SCIE;EI&lt;/_collection_scope&gt;&lt;_created&gt;63655100&lt;/_created&gt;&lt;_impact_factor&gt;   8.848&lt;/_impact_factor&gt;&lt;_issue&gt;pt.2&lt;/_issue&gt;&lt;_journal&gt;Applied Energy&lt;/_journal&gt;&lt;_modified&gt;63655100&lt;/_modified&gt;&lt;_pages&gt;1809-1820&lt;/_pages&gt;&lt;_volume&gt;185&lt;/_volume&gt;&lt;/Details&gt;&lt;Extra&gt;&lt;DBUID&gt;{F96A950B-833F-4880-A151-76DA2D6A2879}&lt;/DBUID&gt;&lt;/Extra&gt;&lt;/Item&gt;&lt;/References&gt;&lt;/Group&gt;&lt;/Citation&gt;_x000a_"/>
    <w:docVar w:name="NE.Ref{4CFFB000-AD1F-4062-9BF8-8648E7D3D436}" w:val=" ADDIN NE.Ref.{4CFFB000-AD1F-4062-9BF8-8648E7D3D436}&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4D03D7CD-A8A8-40F9-84D4-3A5CC3F5492D}" w:val=" ADDIN NE.Ref.{4D03D7CD-A8A8-40F9-84D4-3A5CC3F5492D}&lt;Citation&gt;&lt;Group&gt;&lt;References&gt;&lt;Item&gt;&lt;ID&gt;517&lt;/ID&gt;&lt;UID&gt;{CCC29CF3-242A-40D0-8006-72B4DBEC4068}&lt;/UID&gt;&lt;Title&gt;计及新能源出力不确定性的电气综合能源系统协同优化&lt;/Title&gt;&lt;Template&gt;Journal Article&lt;/Template&gt;&lt;Star&gt;0&lt;/Star&gt;&lt;Tag&gt;0&lt;/Tag&gt;&lt;Author&gt;王静; 徐箭; 廖思阳; 司马莉萍; 孙元章; 魏聪颖&lt;/Author&gt;&lt;Year&gt;2019&lt;/Year&gt;&lt;Details&gt;&lt;_author_adr&gt;武汉大学电气与自动化学院;&lt;/_author_adr&gt;&lt;_collection_scope&gt;CSCD;PKU;EI&lt;/_collection_scope&gt;&lt;_created&gt;63657435&lt;/_created&gt;&lt;_db_provider&gt;CNKI&lt;/_db_provider&gt;&lt;_isbn&gt;1000-1026&lt;/_isbn&gt;&lt;_issue&gt;15&lt;/_issue&gt;&lt;_journal&gt;电力系统自动化&lt;/_journal&gt;&lt;_keywords&gt;新能源;冷热电联产系统;温控负荷;综合能源系统;协同优化&lt;/_keywords&gt;&lt;_modified&gt;63657435&lt;/_modified&gt;&lt;_pages&gt;2-15&lt;/_pages&gt;&lt;_volume&gt;43&lt;/_volume&gt;&lt;_translated_author&gt;Wang, Jing;Xu, Jian;Liao, Siyang;Si, Maliping;Sun, Yuanzhang;Wei, Congying&lt;/_translated_author&gt;&lt;/Details&gt;&lt;Extra&gt;&lt;DBUID&gt;{F96A950B-833F-4880-A151-76DA2D6A2879}&lt;/DBUID&gt;&lt;/Extra&gt;&lt;/Item&gt;&lt;/References&gt;&lt;/Group&gt;&lt;/Citation&gt;_x000a_"/>
    <w:docVar w:name="NE.Ref{4D3938FB-A97D-432D-8652-AA14D59DCA6F}" w:val=" ADDIN NE.Ref.{4D3938FB-A97D-432D-8652-AA14D59DCA6F}&lt;Citation&gt;&lt;Group&gt;&lt;References&gt;&lt;Item&gt;&lt;ID&gt;510&lt;/ID&gt;&lt;UID&gt;{02D860A4-4262-4AD4-93E0-F5C185DC3E0F}&lt;/UID&gt;&lt;Title&gt;基于集中供热系统储热特性的热电联产机组多时间尺度灵活性协调调度&lt;/Title&gt;&lt;Template&gt;Journal Article&lt;/Template&gt;&lt;Star&gt;0&lt;/Star&gt;&lt;Tag&gt;0&lt;/Tag&gt;&lt;Author&gt;张磊; 罗毅; 罗恒恒; 苗世洪; 叶婧; 周桂平; 孙亮&lt;/Author&gt;&lt;Year&gt;2018&lt;/Year&gt;&lt;Details&gt;&lt;_author_adr&gt;华中科技大学电气与电子工程学院;国网辽宁省电力有限公司;三峡大学电气与新能源学院;&lt;/_author_adr&gt;&lt;_collection_scope&gt;CSCD;PKU;EI&lt;/_collection_scope&gt;&lt;_created&gt;63655099&lt;/_created&gt;&lt;_db_provider&gt;CNKI&lt;/_db_provider&gt;&lt;_isbn&gt;0258-8013&lt;/_isbn&gt;&lt;_issue&gt;04&lt;/_issue&gt;&lt;_journal&gt;中国电机工程学报&lt;/_journal&gt;&lt;_keywords&gt;热电联产机组;多时间尺度灵活性;高渗透率风电;热网系统&lt;/_keywords&gt;&lt;_modified&gt;63655099&lt;/_modified&gt;&lt;_pages&gt;985-998+1275&lt;/_pages&gt;&lt;_volume&gt;38&lt;/_volume&gt;&lt;_translated_author&gt;Zhang, Lei;Luo, Yi;Luo, Hengheng;Miao, Shihong;Ye, Jing;Zhou, Guiping;Sun, Liang&lt;/_translated_author&gt;&lt;/Details&gt;&lt;Extra&gt;&lt;DBUID&gt;{F96A950B-833F-4880-A151-76DA2D6A2879}&lt;/DBUID&gt;&lt;/Extra&gt;&lt;/Item&gt;&lt;/References&gt;&lt;/Group&gt;&lt;/Citation&gt;_x000a_"/>
    <w:docVar w:name="NE.Ref{4DC1BDEF-2DAA-430D-8F01-947E023AB210}" w:val=" ADDIN NE.Ref.{4DC1BDEF-2DAA-430D-8F01-947E023AB210}&lt;Citation&gt;&lt;Group&gt;&lt;References&gt;&lt;Item&gt;&lt;ID&gt;618&lt;/ID&gt;&lt;UID&gt;{63D4CAE9-006E-4473-B835-3D9D379D3775}&lt;/UID&gt;&lt;Title&gt;保证重要负荷不间断供电的配电网储能规划方法&lt;/Title&gt;&lt;Template&gt;Journal Article&lt;/Template&gt;&lt;Star&gt;0&lt;/Star&gt;&lt;Tag&gt;0&lt;/Tag&gt;&lt;Author&gt;张海波; 马伸铜; 程鑫; 龚贤夫; 卫凯&lt;/Author&gt;&lt;Year&gt;2021&lt;/Year&gt;&lt;Details&gt;&lt;_accessed&gt;63705383&lt;/_accessed&gt;&lt;_author_adr&gt;新能源电力系统国家重点实验室(华北电力大学);国网徐州供电公司;广东电网有限责任公司电网规划研究中心;&lt;/_author_adr&gt;&lt;_author_aff&gt;新能源电力系统国家重点实验室(华北电力大学);国网徐州供电公司;广东电网有限责任公司电网规划研究中心;&lt;/_author_aff&gt;&lt;_collection_scope&gt;CSCD;PKU;EI&lt;/_collection_scope&gt;&lt;_created&gt;63705360&lt;/_created&gt;&lt;_date&gt;63444960&lt;/_date&gt;&lt;_db_provider&gt;CNKI: 期刊&lt;/_db_provider&gt;&lt;_db_updated&gt;CNKI - Reference&lt;/_db_updated&gt;&lt;_isbn&gt;1000-3673&lt;/_isbn&gt;&lt;_issue&gt;01&lt;/_issue&gt;&lt;_journal&gt;电网技术&lt;/_journal&gt;&lt;_keywords&gt;极端自然灾害;配电网韧性;线路加固;储能配置;鲁棒优化&lt;/_keywords&gt;&lt;_modified&gt;63705383&lt;/_modified&gt;&lt;_pages&gt;259-268&lt;/_pages&gt;&lt;_url&gt;http://kns.cnki.net/KCMS/detail/detail.aspx?FileName=DWJS202101029&amp;amp;DbName=DKFX2021&lt;/_url&gt;&lt;_volume&gt;45&lt;/_volume&gt;&lt;_translated_author&gt;Zhang, Haibo;Ma, Shentong;Cheng, Xin;Gong, Xianfu;Wei, Kai&lt;/_translated_author&gt;&lt;/Details&gt;&lt;Extra&gt;&lt;DBUID&gt;{F96A950B-833F-4880-A151-76DA2D6A2879}&lt;/DBUID&gt;&lt;/Extra&gt;&lt;/Item&gt;&lt;/References&gt;&lt;/Group&gt;&lt;/Citation&gt;_x000a_"/>
    <w:docVar w:name="NE.Ref{4E035815-2676-4D59-9044-29C88FC57449}" w:val=" ADDIN NE.Ref.{4E035815-2676-4D59-9044-29C88FC57449}&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4E16217C-9BE5-4963-9B9B-384DA9CAE442}" w:val=" ADDIN NE.Ref.{4E16217C-9BE5-4963-9B9B-384DA9CAE442}&lt;Citation&gt;&lt;Group&gt;&lt;References&gt;&lt;Item&gt;&lt;ID&gt;39&lt;/ID&gt;&lt;UID&gt;{1704A05B-DCC6-4185-9A93-149C0AE9830F}&lt;/UID&gt;&lt;Title&gt;消纳大规模风电的鲁棒区间经济调度  (一)调度模式与数学模型&lt;/Title&gt;&lt;Template&gt;Journal Article&lt;/Template&gt;&lt;Star&gt;0&lt;/Star&gt;&lt;Tag&gt;0&lt;/Tag&gt;&lt;Author&gt;李志刚; 吴文传; 张伯明&lt;/Author&gt;&lt;Year&gt;2014&lt;/Year&gt;&lt;Details&gt;&lt;_created&gt;64357565&lt;/_created&gt;&lt;_language&gt;Chinese&lt;/_language&gt;&lt;_modified&gt;64358678&lt;/_modified&gt;&lt;_url&gt;https://kns.cnki.net/kcms/detail/detail.aspx?FileName=DLXT201420006&amp;amp;DbName=CJFQ2014&lt;/_url&gt;&lt;_journal&gt;电力系统自动化&lt;/_journal&gt;&lt;_volume&gt;38&lt;/_volume&gt;&lt;_issue&gt;20&lt;/_issue&gt;&lt;_pages&gt;33-39&lt;/_pages&gt;&lt;_cited_count&gt;119&lt;/_cited_count&gt;&lt;_date&gt;60386400&lt;/_date&gt;&lt;_keywords&gt;经济调度;鲁棒优化;风力发电;预测区间;不确定性&lt;/_keywords&gt;&lt;_author_aff&gt;清华大学电机工程与应用电子技术系;电力系统及发电设备控制与仿真国家重点实验室,清华大学;&lt;/_author_aff&gt;&lt;_accessed&gt;64358678&lt;/_accessed&gt;&lt;_db_updated&gt;CNKI - Reference&lt;/_db_updated&gt;&lt;_collection_scope&gt;CSCD;PKU;EI&lt;/_collection_scope&gt;&lt;_translated_author&gt;Li, Zhigang;Wu, Wenchuan;Zhang, Boming&lt;/_translated_author&gt;&lt;/Details&gt;&lt;Extra&gt;&lt;DBUID&gt;{95582DB3-FE6D-4E9C-BE70-00D00A926A3A}&lt;/DBUID&gt;&lt;/Extra&gt;&lt;/Item&gt;&lt;/References&gt;&lt;/Group&gt;&lt;Group&gt;&lt;References&gt;&lt;Item&gt;&lt;ID&gt;41&lt;/ID&gt;&lt;UID&gt;{AE80C360-4AB0-4E57-8CAC-67F2FB75107C}&lt;/UID&gt;&lt;Title&gt;电力系统鲁棒经济调度  (一)理论基础&lt;/Title&gt;&lt;Template&gt;Journal Article&lt;/Template&gt;&lt;Star&gt;0&lt;/Star&gt;&lt;Tag&gt;0&lt;/Tag&gt;&lt;Author&gt;魏韡; 刘锋; 梅生伟&lt;/Author&gt;&lt;Year&gt;2013&lt;/Year&gt;&lt;Details&gt;&lt;_created&gt;64357565&lt;/_created&gt;&lt;_language&gt;Chinese&lt;/_language&gt;&lt;_modified&gt;64358679&lt;/_modified&gt;&lt;_url&gt;https://kns.cnki.net/kcms/detail/detail.aspx?FileName=DLXT201317006&amp;amp;DbName=CJFQ2013&lt;/_url&gt;&lt;_journal&gt;电力系统自动化&lt;/_journal&gt;&lt;_volume&gt;37&lt;/_volume&gt;&lt;_issue&gt;17&lt;/_issue&gt;&lt;_pages&gt;37-43&lt;/_pages&gt;&lt;_cited_count&gt;205&lt;/_cited_count&gt;&lt;_date&gt;59796000&lt;/_date&gt;&lt;_keywords&gt;电力系统;鲁棒经济调度;新能源发电;两阶段零和博弈;不确定性&lt;/_keywords&gt;&lt;_author_aff&gt;清华大学电机工程与应用电子技术系;电力系统及发电设备控制和仿真国家重点实验室,清华大学;&lt;/_author_aff&gt;&lt;_accessed&gt;64358679&lt;/_accessed&gt;&lt;_db_updated&gt;CNKI - Reference&lt;/_db_updated&gt;&lt;_collection_scope&gt;CSCD;PKU;EI&lt;/_collection_scope&gt;&lt;_translated_author&gt;Wei, Wei;Liu, Feng;Mei, Shengwei&lt;/_translated_author&gt;&lt;/Details&gt;&lt;Extra&gt;&lt;DBUID&gt;{95582DB3-FE6D-4E9C-BE70-00D00A926A3A}&lt;/DBUID&gt;&lt;/Extra&gt;&lt;/Item&gt;&lt;/References&gt;&lt;/Group&gt;&lt;/Citation&gt;_x000a_"/>
    <w:docVar w:name="NE.Ref{4E9B49D8-CC10-4885-A6DA-F2DE66848777}" w:val=" ADDIN NE.Ref.{4E9B49D8-CC10-4885-A6DA-F2DE66848777}&lt;Citation&gt;&lt;Group&gt;&lt;References&gt;&lt;Item&gt;&lt;ID&gt;371&lt;/ID&gt;&lt;UID&gt;{33729887-01FD-4D8C-8517-2863FE0C1181}&lt;/UID&gt;&lt;Title&gt;A Quantitative Index to Evaluate the Commutation Failure Probability of LCC-HVDC with a Synchronous Condenser&lt;/Title&gt;&lt;Template&gt;Journal Article&lt;/Template&gt;&lt;Star&gt;0&lt;/Star&gt;&lt;Tag&gt;0&lt;/Tag&gt;&lt;Author&gt;Sha, Jiangbo; Guo, Chunyi; Rehman, Atiq Ur; Zhao, Chengyong&lt;/Author&gt;&lt;Year&gt;2019&lt;/Year&gt;&lt;Details&gt;&lt;_accessed&gt;63445973&lt;/_accessed&gt;&lt;_accession_num&gt;WOS:000462504400112_x000d__x000a_ER&lt;/_accession_num&gt;&lt;_cited_count&gt;4&lt;/_cited_count&gt;&lt;_collection_scope&gt;SCIE&lt;/_collection_scope&gt;&lt;_created&gt;63444588&lt;/_created&gt;&lt;_date_display&gt;2019, MAR 1 2019&lt;/_date_display&gt;&lt;_db_provider&gt;ISI&lt;/_db_provider&gt;&lt;_doi&gt;10.3390/app9050925&lt;/_doi&gt;&lt;_impact_factor&gt;   2.474&lt;/_impact_factor&gt;&lt;_issue&gt;9255&lt;/_issue&gt;&lt;_journal&gt;APPLIED SCIENCES-BASEL&lt;/_journal&gt;&lt;_modified&gt;63445973&lt;/_modified&gt;&lt;_url&gt;http://gateway.isiknowledge.com/gateway/Gateway.cgi?GWVersion=2&amp;amp;SrcAuth=AegeanSoftware&amp;amp;SrcApp=NoteExpress&amp;amp;DestLinkType=FullRecord&amp;amp;DestApp=WOS&amp;amp;KeyUT=000462504400112&lt;/_url&gt;&lt;_volume&gt;9&lt;/_volume&gt;&lt;/Details&gt;&lt;Extra&gt;&lt;DBUID&gt;{6891F4B0-DCBA-459A-9A22-3059983243D4}&lt;/DBUID&gt;&lt;/Extra&gt;&lt;/Item&gt;&lt;/References&gt;&lt;/Group&gt;&lt;Group&gt;&lt;References&gt;&lt;Item&gt;&lt;ID&gt;586&lt;/ID&gt;&lt;UID&gt;{A778B6AA-B4DA-45E0-987F-1FFE7DF73E47}&lt;/UID&gt;&lt;Title&gt;含有STATCOM的高压直流输电系统控制方法&lt;/Title&gt;&lt;Template&gt;Journal Article&lt;/Template&gt;&lt;Star&gt;0&lt;/Star&gt;&lt;Tag&gt;0&lt;/Tag&gt;&lt;Author&gt;赵成勇; 李丹; 刘羽超; 郭春义; 许韦华; 阳岳希&lt;/Author&gt;&lt;Year&gt;2014&lt;/Year&gt;&lt;Details&gt;&lt;_accessed&gt;63445908&lt;/_accessed&gt;&lt;_accession_num&gt;CSCD:5228722_x000d__x000a_ER&lt;/_accession_num&gt;&lt;_cited_count&gt;2&lt;/_cited_count&gt;&lt;_collection_scope&gt;CSCD;PKU;EI&lt;/_collection_scope&gt;&lt;_created&gt;63444588&lt;/_created&gt;&lt;_date_display&gt;2014, 2014&lt;/_date_display&gt;&lt;_db_provider&gt;ISI&lt;/_db_provider&gt;&lt;_isbn&gt;1003-6520&lt;/_isbn&gt;&lt;_issue&gt;1003-6520(2014)40:8&amp;lt;2440:HYSDGY&amp;gt;2.0.TX;2-F8&lt;/_issue&gt;&lt;_journal&gt;高电压技术&lt;/_journal&gt;&lt;_modified&gt;63445909&lt;/_modified&gt;&lt;_pages&gt;2440-2448&lt;/_pages&gt;&lt;_tertiary_title&gt;High Voltage Engineering&lt;/_tertiary_title&gt;&lt;_translated_author&gt;Zhao, Chengyong; Li, Dan; Liu, Yuchao; Guo, Chunyi; Xu, Weihua; Yang, Yuexi&lt;/_translated_author&gt;&lt;_translated_title&gt;Control Method for HVDC System with STATCOM&lt;/_translated_title&gt;&lt;_url&gt;CSCD:5228722&lt;/_url&gt;&lt;_volume&gt;40&lt;/_volume&gt;&lt;/Details&gt;&lt;Extra&gt;&lt;DBUID&gt;{6891F4B0-DCBA-459A-9A22-3059983243D4}&lt;/DBUID&gt;&lt;/Extra&gt;&lt;/Item&gt;&lt;/References&gt;&lt;/Group&gt;&lt;/Citation&gt;_x000a_"/>
    <w:docVar w:name="NE.Ref{4EAEE182-EC08-4866-A8C0-FC611872534A}" w:val=" ADDIN NE.Ref.{4EAEE182-EC08-4866-A8C0-FC611872534A}&lt;Citation&gt;&lt;Group&gt;&lt;References&gt;&lt;Item&gt;&lt;ID&gt;667&lt;/ID&gt;&lt;UID&gt;{98A5A20D-907B-4103-A315-A9214E2F5AFE}&lt;/UID&gt;&lt;Title&gt;A Method to Detect the Deionization Margin Angle and to Prevent the Commutation Failure of an Inverter for DC Transmission&lt;/Title&gt;&lt;Template&gt;Journal Article&lt;/Template&gt;&lt;Star&gt;0&lt;/Star&gt;&lt;Tag&gt;0&lt;/Tag&gt;&lt;Author&gt;MACHIDA, T; YOSHIDA, Y&lt;/Author&gt;&lt;Year&gt;1967&lt;/Year&gt;&lt;Details&gt;&lt;_accessed&gt;63446176&lt;/_accessed&gt;&lt;_created&gt;63446171&lt;/_created&gt;&lt;_journal&gt;IEEE TRANSACTIONS ON POWER APPARATUS AND SYSTEMS&lt;/_journal&gt;&lt;_modified&gt;63446177&lt;/_modified&gt;&lt;/Details&gt;&lt;Extra&gt;&lt;DBUID&gt;{6891F4B0-DCBA-459A-9A22-3059983243D4}&lt;/DBUID&gt;&lt;/Extra&gt;&lt;/Item&gt;&lt;/References&gt;&lt;/Group&gt;&lt;/Citation&gt;_x000a_"/>
    <w:docVar w:name="NE.Ref{4EBCAD12-BFE3-48F5-935D-A6C7DC7AA5F6}" w:val=" ADDIN NE.Ref.{4EBCAD12-BFE3-48F5-935D-A6C7DC7AA5F6}&lt;Citation&gt;&lt;Group&gt;&lt;References&gt;&lt;Item&gt;&lt;ID&gt;38&lt;/ID&gt;&lt;UID&gt;{8069DCE6-5EB5-48AC-8E48-05EAA72C98A4}&lt;/UID&gt;&lt;Title&gt;发输电系统鲁棒优化规划研究综述与展望&lt;/Title&gt;&lt;Template&gt;Journal Article&lt;/Template&gt;&lt;Star&gt;0&lt;/Star&gt;&lt;Tag&gt;0&lt;/Tag&gt;&lt;Author&gt;袁杨; 张衡; 程浩忠; 柳璐; 张啸虎; 励刚; 张建平&lt;/Author&gt;&lt;Year&gt;2022&lt;/Year&gt;&lt;Details&gt;&lt;_accessed&gt;64357569&lt;/_accessed&gt;&lt;_author_aff&gt;上海交通大学电力传输与功率变换控制教育部重点实验室;国家电网有限公司华东分部;&lt;/_author_aff&gt;&lt;_collection_scope&gt;CSCD;PKU;EI&lt;/_collection_scope&gt;&lt;_created&gt;64357565&lt;/_created&gt;&lt;_date&gt;63967680&lt;/_date&gt;&lt;_db_updated&gt;CNKI - Reference&lt;/_db_updated&gt;&lt;_issue&gt;01&lt;/_issue&gt;&lt;_journal&gt;电力自动化设备&lt;/_journal&gt;&lt;_keywords&gt;发输电系统;优化规划;不确定性;鲁棒优化;分布鲁棒优化&lt;/_keywords&gt;&lt;_language&gt;Chinese&lt;/_language&gt;&lt;_modified&gt;64357569&lt;/_modified&gt;&lt;_pages&gt;10-19+85&lt;/_pages&gt;&lt;_url&gt;https://kns.cnki.net/kcms/detail/detail.aspx?FileName=DLZS202201002&amp;amp;DbName=CJFQ2022&lt;/_url&gt;&lt;_volume&gt;42&lt;/_volume&gt;&lt;_translated_author&gt;Yuan, Yang;Zhang, Heng;Cheng, Haozhong;Liu, Lu;Zhang, Xiaohu;Li, Gang;Zhang, Jianping&lt;/_translated_author&gt;&lt;/Details&gt;&lt;Extra/&gt;&lt;/Item&gt;&lt;/References&gt;&lt;/Group&gt;&lt;/Citation&gt;_x000a_"/>
    <w:docVar w:name="NE.Ref{4EDFA48D-8C81-48D3-B56F-F7EA37842806}" w:val=" ADDIN NE.Ref.{4EDFA48D-8C81-48D3-B56F-F7EA37842806}&lt;Citation&gt;&lt;Group&gt;&lt;References&gt;&lt;Item&gt;&lt;ID&gt;883&lt;/ID&gt;&lt;UID&gt;{C176C388-5555-4DBA-A9F3-4DB4EEB22E89}&lt;/UID&gt;&lt;Title&gt;整流侧换流母线电压恢复对逆变器换相的影响&lt;/Title&gt;&lt;Template&gt;Journal Article&lt;/Template&gt;&lt;Star&gt;0&lt;/Star&gt;&lt;Tag&gt;0&lt;/Tag&gt;&lt;Author&gt;马星; 李凤婷; 尹纯亚&lt;/Author&gt;&lt;Year&gt;2020&lt;/Year&gt;&lt;Details&gt;&lt;_accessed&gt;64647187&lt;/_accessed&gt;&lt;_author_aff&gt;可再生能源发电与并网技术教育部工程研究中心(新疆大学);&lt;/_author_aff&gt;&lt;_cited_count&gt;11&lt;/_cited_count&gt;&lt;_collection_scope&gt;CSCD;PKU;EI&lt;/_collection_scope&gt;&lt;_created&gt;64646975&lt;/_created&gt;&lt;_date&gt;2019-12-07&lt;/_date&gt;&lt;_db_updated&gt;CNKI - Reference&lt;/_db_updated&gt;&lt;_issue&gt;08&lt;/_issue&gt;&lt;_journal&gt;电网技术&lt;/_journal&gt;&lt;_keywords&gt;整流侧;换流母线电压;换相失败;交直流系统&lt;/_keywords&gt;&lt;_modified&gt;64647187&lt;/_modified&gt;&lt;_pages&gt;2950-2960&lt;/_pages&gt;&lt;_tertiary_title&gt;Power System Technology&lt;/_tertiary_title&gt;&lt;_translated_author&gt;MA, Xing; LI, Fengting; YIN, Chunya&lt;/_translated_author&gt;&lt;_translated_title&gt;Impact of Voltage Restoration of Commutation Bus on Rectifier Side on Commutation of Inverters&lt;/_translated_title&gt;&lt;_url&gt;https://kns.cnki.net/kcms/detail/detail.aspx?FileName=DWJS202008018&amp;amp;DbName=DKFX2020 _x000d__x000a_https://bar.cnki.net/bar/download/order?id=jBGETXBNdPImvx70aLAuJPYxPoFw%2bp%2bi0fIiSrcN6lWXnEoYtphX0Jtvtjf3EoE87xjkRlvGO8J6KALxJ1GxhTnQrP31sd3qbIpJim%2fvA8Tl8E%2bCUVp5GtDTYhVF2dNUoJeGx62Ssygg68TNXJ%2b5JrigejDAar8Xqw%2f6WR22OFXUdUGh4At8VBYSvh%2fCUD5aTDHomm%2bSFaP0ny2lFSKwV5Kzk2nEpXpjv48eWYbtnKv5LXYX1qwFXwOc1HUZT%2bTB _x000d__x000a_https://bar.cnki.net/bar/download/order?id=jBGETXBNdPImvx70aLAuJPYxPoFw%2bp%2bi0fIiSrcN6lWXnEoYtphX0Jtvtjf3EoE87xjkRlvGO8J6KALxJ1GxhTnQrP31sd3qbIpJim%2fvA8Tl8E%2bCUVp5GtDTYhVF2dNUoJeGx62Ssygg68TNXJ%2b5JrigejDAar8Xqw%2f6WR22OFXUdUGh4At8VBYSvh%2fCUD5apLJdRX4BwC58MAWtXmYCAu%2bF67nMpzthHJOFur%2bUCZv5LXYX1qwFXwOc1HUZT%2bTB _x000d__x000a_https://bar.cnki.net/bar/download/order?id=jBGETXBNdPImvx70aLAuJPYxPoFw%2bp%2bi0fIiSrcN6lWXnEoYtphX0Jtvtjf3EoE87xjkRlvGO8J6KALxJ1GxhTnQrP31sd3qbIpJim%2fvA8Tl8E%2bCUVp5GtDTYhVF2dNUoJeGx62Ssygg68TNXJ%2b5JrigejDAar8Xqw%2f6WR22OFXUdUGh4At8VBYSvh%2fCUD5a1paC4yf1pBa9fVWwD7c54GK2VE5g5xhSx3OoeqP39%2bD5LXYX1qwFXwOc1HUZT%2bTB _x000d__x000a_https://bar.cnki.net/bar/download/order?id=jBGETXBNdPImvx70aLAuJPYxPoFw%2bp%2bi0fIiSrcN6lWXnEoYtphX0Jtvtjf3EoE87xjkRlvGO8J6KALxJ1GxhTnQrP31sd3qbIpJim%2fvA8Tl8E%2bCUVp5GtDTYhVF2dNUoJeGx62Ssygg68TNXJ%2b5JrigejDAar8Xqw%2f6WR22OFXUdUGh4At8VBYSvh%2fCUD5aZ8UJu4y6aHx18s2mIAXr5KbPqkOHz6XHGO1cnd%2fPGTr5LXYX1qwFXwOc1HUZT%2bTB _x000d__x000a_&lt;/_url&gt;&lt;_volume&gt;44&lt;/_volume&gt;&lt;/Details&gt;&lt;Extra&gt;&lt;DBUID&gt;{6891F4B0-DCBA-459A-9A22-3059983243D4}&lt;/DBUID&gt;&lt;/Extra&gt;&lt;/Item&gt;&lt;/References&gt;&lt;/Group&gt;&lt;Group&gt;&lt;References&gt;&lt;Item&gt;&lt;ID&gt;1009&lt;/ID&gt;&lt;UID&gt;{F8149509-79B8-47B2-814D-C923170DE9FC}&lt;/UID&gt;&lt;Title&gt;Sending End AC Faults can Cause Commutation Failure in LCC-HVDC Inverters&lt;/Title&gt;&lt;Template&gt;Journal Article&lt;/Template&gt;&lt;Star&gt;0&lt;/Star&gt;&lt;Tag&gt;0&lt;/Tag&gt;&lt;Author&gt;Xiao, H; Li, Y H; Lan, T K&lt;/Author&gt;&lt;Year&gt;2020&lt;/Year&gt;&lt;Details&gt;&lt;_alternate_title&gt;IEEE TRANSACTIONS ON POWER DELIVERY&lt;/_alternate_title&gt;&lt;_author_adr&gt;Huazhong Univ Sci &amp;amp; Technol, State Key Lab Adv Electromagnet Engn &amp;amp; Technol, Hubei Elect Power Secur High Efficiency Key Lab, Wuhan 430074, Peoples R China&lt;/_author_adr&gt;&lt;_cited_count&gt;15&lt;/_cited_count&gt;&lt;_date_display&gt;2020&lt;/_date_display&gt;&lt;_date&gt;2020-01-01&lt;/_date&gt;&lt;_doi&gt;10.1109/TPWRD.2020.2968835&lt;/_doi&gt;&lt;_issue&gt;5&lt;/_issue&gt;&lt;_journal&gt;IEEE TRANSACTIONS ON POWER DELIVERY&lt;/_journal&gt;&lt;_keywords&gt;Inverters; Rectifiers; Current control; Reactive power; HVDC transmission; Benchmark testing; Analytical models; Commutation failure (CF); current error control (CEC); LCC-HVDC inverters; sending end ac faults&lt;/_keywords&gt;&lt;_pages&gt;2554-2557&lt;/_pages&gt;&lt;_volume&gt;35&lt;/_volume&gt;&lt;_created&gt;64779614&lt;/_created&gt;&lt;_modified&gt;64779614&lt;/_modified&gt;&lt;_db_updated&gt;Web of Science-Core&lt;/_db_updated&gt;&lt;_impact_factor&gt;   4.825&lt;/_impact_factor&gt;&lt;_collection_scope&gt;SCI;SCIE;EI&lt;/_collection_scope&gt;&lt;/Details&gt;&lt;Extra&gt;&lt;DBUID&gt;{6891F4B0-DCBA-459A-9A22-3059983243D4}&lt;/DBUID&gt;&lt;/Extra&gt;&lt;/Item&gt;&lt;/References&gt;&lt;/Group&gt;&lt;Group&gt;&lt;References&gt;&lt;Item&gt;&lt;ID&gt;1010&lt;/ID&gt;&lt;UID&gt;{AA83B79D-C7B8-4459-AED0-1F784859F4D6}&lt;/UID&gt;&lt;Title&gt;Mechanism and Prevention of Commutation Failure in LCC-HVDC Caused by Sending End AC Faults&lt;/Title&gt;&lt;Template&gt;Journal Article&lt;/Template&gt;&lt;Star&gt;0&lt;/Star&gt;&lt;Tag&gt;0&lt;/Tag&gt;&lt;Author&gt;Hong, L R; Zhou, X P; Xia, H T; Liu, Y F; Luo, A&lt;/Author&gt;&lt;Year&gt;2021&lt;/Year&gt;&lt;Details&gt;&lt;_alternate_title&gt;IEEE TRANSACTIONS ON POWER DELIVERY&lt;/_alternate_title&gt;&lt;_author_adr&gt;Hunan Univ, Elect &amp;amp; Informat Engn, Changsha 410082, Peoples R China&lt;/_author_adr&gt;&lt;_cited_count&gt;14&lt;/_cited_count&gt;&lt;_date_display&gt;2021&lt;/_date_display&gt;&lt;_date&gt;2021-01-01&lt;/_date&gt;&lt;_doi&gt;10.1109/TPWRD.2020.3028998&lt;/_doi&gt;&lt;_issue&gt;1&lt;/_issue&gt;&lt;_journal&gt;IEEE TRANSACTIONS ON POWER DELIVERY&lt;/_journal&gt;&lt;_keywords&gt;Commutation failure (CF); HVDC inverters; HVDC control; sending end ac faults&lt;/_keywords&gt;&lt;_pages&gt;473-476&lt;/_pages&gt;&lt;_volume&gt;36&lt;/_volume&gt;&lt;_created&gt;64779615&lt;/_created&gt;&lt;_modified&gt;64779616&lt;/_modified&gt;&lt;_db_updated&gt;Web of Science-Core&lt;/_db_updated&gt;&lt;_impact_factor&gt;   4.825&lt;/_impact_factor&gt;&lt;_collection_scope&gt;SCI;SCIE;EI&lt;/_collection_scope&gt;&lt;/Details&gt;&lt;Extra&gt;&lt;DBUID&gt;{6891F4B0-DCBA-459A-9A22-3059983243D4}&lt;/DBUID&gt;&lt;/Extra&gt;&lt;/Item&gt;&lt;/References&gt;&lt;/Group&gt;&lt;/Citation&gt;_x000a_"/>
    <w:docVar w:name="NE.Ref{4F7735F8-C190-46DB-A633-22FA1C97BBDE}" w:val=" ADDIN NE.Ref.{4F7735F8-C190-46DB-A633-22FA1C97BBDE}&lt;Citation&gt;&lt;Group&gt;&lt;References&gt;&lt;Item&gt;&lt;ID&gt;409&lt;/ID&gt;&lt;UID&gt;{4AC4BBD0-92FD-445A-9BC7-7168DE02765E}&lt;/UID&gt;&lt;Title&gt;可再生能源配额制下的短期发电计划研究&lt;/Title&gt;&lt;Template&gt;Thesis&lt;/Template&gt;&lt;Star&gt;0&lt;/Star&gt;&lt;Tag&gt;0&lt;/Tag&gt;&lt;Author&gt;张娜娜&lt;/Author&gt;&lt;Year&gt;2014&lt;/Year&gt;&lt;Details&gt;&lt;_created&gt;63642068&lt;/_created&gt;&lt;_db_provider&gt;北京万方数据股份有限公司&lt;/_db_provider&gt;&lt;_keywords&gt;可再生能源; 发电计划; 风电调度; 配额交易机&lt;/_keywords&gt;&lt;_modified&gt;63705681&lt;/_modified&gt;&lt;_publisher&gt;上海交通大学&lt;/_publisher&gt;&lt;_tertiary_author&gt;严正&lt;/_tertiary_author&gt;&lt;_type_work&gt;硕士&lt;/_type_work&gt;&lt;_url&gt;http://www.wanfangdata.com.cn/details/detail.do?_type=degree&amp;amp;id=D635216&lt;/_url&gt;&lt;_volume&gt;硕士&lt;/_volume&gt;&lt;_section&gt;电气工程&lt;/_section&gt;&lt;_date&gt;59958720&lt;/_date&gt;&lt;_language&gt;chi&lt;/_language&gt;&lt;_accessed&gt;63705681&lt;/_accessed&gt;&lt;_db_updated&gt;Wanfangdata&lt;/_db_updated&gt;&lt;_translated_author&gt;Zhang, Nana&lt;/_translated_author&gt;&lt;_translated_tertiary_author&gt;Yan, Zheng&lt;/_translated_tertiary_author&gt;&lt;/Details&gt;&lt;Extra&gt;&lt;DBUID&gt;{F96A950B-833F-4880-A151-76DA2D6A2879}&lt;/DBUID&gt;&lt;/Extra&gt;&lt;/Item&gt;&lt;/References&gt;&lt;/Group&gt;&lt;/Citation&gt;_x000a_"/>
    <w:docVar w:name="NE.Ref{4F878950-94AE-4361-8161-80BADC3AC94A}" w:val=" ADDIN NE.Ref.{4F878950-94AE-4361-8161-80BADC3AC94A}&lt;Citation&gt;&lt;Group&gt;&lt;References&gt;&lt;Item&gt;&lt;ID&gt;524&lt;/ID&gt;&lt;UID&gt;{2E05115F-C392-4599-B69C-35E3859624E2}&lt;/UID&gt;&lt;Title&gt;一种抑制传统直流输电连续换相失败的虚拟电阻电流限制控制方法&lt;/Title&gt;&lt;Template&gt;Journal Article&lt;/Template&gt;&lt;Star&gt;0&lt;/Star&gt;&lt;Tag&gt;0&lt;/Tag&gt;&lt;Author&gt;郭春义; 李春华; 刘羽超; 蒋碧松; 赵成勇; 周勤勇&lt;/Author&gt;&lt;Year&gt;2016&lt;/Year&gt;&lt;Details&gt;&lt;_accessed&gt;63445922&lt;/_accessed&gt;&lt;_accession_num&gt;CSCD:5808705_x000d__x000a_ER&lt;/_accession_num&gt;&lt;_cited_count&gt;5&lt;/_cited_count&gt;&lt;_collection_scope&gt;CSCD;PKU;EI&lt;/_collection_scope&gt;&lt;_created&gt;63444588&lt;/_created&gt;&lt;_date_display&gt;2016, 2016&lt;/_date_display&gt;&lt;_db_provider&gt;ISI&lt;/_db_provider&gt;&lt;_isbn&gt;0258-8013&lt;/_isbn&gt;&lt;_issue&gt;0258-8013(2016)36:18&amp;lt;4930:YZYZCT&amp;gt;2.0.TX;2-Q18&lt;/_issue&gt;&lt;_journal&gt;中国电机工程学报&lt;/_journal&gt;&lt;_modified&gt;63519629&lt;/_modified&gt;&lt;_pages&gt;4930-4937&lt;/_pages&gt;&lt;_tertiary_title&gt;Proceedings of the Chinese Society of Electrical Engineering&lt;/_tertiary_title&gt;&lt;_translated_author&gt;Guo, Chunyi; Li, Chunhua; Liu, Yuchao; Jiang, Bisong; Zhao, Chengyong; Zhou, Qinyong&lt;/_translated_author&gt;&lt;_translated_title&gt;A DC Current Limitation Control Method Based on Virtual-resistance to Mitigate the Continuous Commutation Failure for Conventional HVDC&lt;/_translated_title&gt;&lt;_url&gt;CSCD:5808705 _x000d__x000a_https://kns.cnki.net/kcms/download.aspx?filename=3dVModXOFZDb3FzKSd0TwA1QU10YYRXM6J1MzEWeMd3LLtEO5V3Q5ETaBF1axRmMttUUhd3csVnQsxmY5kGaD5GUkNUWs92NKlTeGNUWwkXbEJEVmVmVHBlMWF0ajBFSjdDdS9mZH90at9UTO5EVClDMxo3QMJzY&amp;amp;tablename=CJFDLAST2016&amp;amp;dflag=pdfdown _x000d__x000a_&lt;/_url&gt;&lt;_volume&gt;36&lt;/_volume&gt;&lt;/Details&gt;&lt;Extra&gt;&lt;DBUID&gt;{6891F4B0-DCBA-459A-9A22-3059983243D4}&lt;/DBUID&gt;&lt;/Extra&gt;&lt;/Item&gt;&lt;/References&gt;&lt;/Group&gt;&lt;Group&gt;&lt;References&gt;&lt;Item&gt;&lt;ID&gt;334&lt;/ID&gt;&lt;UID&gt;{B6271F28-7062-4F8C-B172-DFB54F3824E7}&lt;/UID&gt;&lt;Title&gt;Current-limit control method to prevent subsequent commutation failure of LCC-HVDC based on adaptive trigger voltage&lt;/Title&gt;&lt;Template&gt;Journal Article&lt;/Template&gt;&lt;Star&gt;0&lt;/Star&gt;&lt;Tag&gt;0&lt;/Tag&gt;&lt;Author&gt;Ouyang, Jinxin; Zhang, Zhen; Pang, Mingyu; Ye, Junjun; Xiong, Xiaofu&lt;/Author&gt;&lt;Year&gt;2020&lt;/Year&gt;&lt;Details&gt;&lt;_accessed&gt;63446009&lt;/_accessed&gt;&lt;_accession_num&gt;WOS:000541086900022_x000d__x000a_ER&lt;/_accession_num&gt;&lt;_cited_count&gt;0&lt;/_cited_count&gt;&lt;_collection_scope&gt;SCIE;EI&lt;/_collection_scope&gt;&lt;_created&gt;63444588&lt;/_created&gt;&lt;_date_display&gt;2020, NOV 2020&lt;/_date_display&gt;&lt;_db_provider&gt;ISI&lt;/_db_provider&gt;&lt;_doi&gt;10.1016/j.ijepes.2020.106190&lt;/_doi&gt;&lt;_impact_factor&gt;   3.588&lt;/_impact_factor&gt;&lt;_isbn&gt;0142-0615&lt;/_isbn&gt;&lt;_issue&gt;106190&lt;/_issue&gt;&lt;_journal&gt;INTERNATIONAL JOURNAL OF ELECTRICAL POWER &amp;amp; ENERGY SYSTEMS&lt;/_journal&gt;&lt;_modified&gt;63446036&lt;/_modified&gt;&lt;_url&gt;http://gateway.isiknowledge.com/gateway/Gateway.cgi?GWVersion=2&amp;amp;SrcAuth=AegeanSoftware&amp;amp;SrcApp=NoteExpress&amp;amp;DestLinkType=FullRecord&amp;amp;DestApp=WOS&amp;amp;KeyUT=000541086900022 _x000d__x000a_https://pdf.sciencedirectassets.com/271479/1-s2.0-S0142061520X00056/1-s2.0-S0142061519341584/main.pdf?X-Amz-Security-Token=IQoJb3JpZ2luX2VjECkaCXVzLWVhc3QtMSJHMEUCIQDT%2BPUPo3cMvhzEaTfTaTG0sao5h0Kt3VmuJpQZkeqlEAIgRXxNnJT5NdcMDmlQJw2euAuTULlv7CPZRffzq3EcFtwqtAMIEhADGgwwNTkwMDM1NDY4NjUiDBYHz5noY7dOgWqZtiqRA4N8hxCfY1Dkt3XiYYNeScDxUuWPdtHEGTqGkEwFXN%2BR8fRgDAi1AfgudQA78MFsdhLqVuKvzCAQYlz%2FLfjmDt2nP3z6N7i9wOcUDk%2FTmwKY2eyUE4SpVB2vynNDRAUqnFC3sghbH8MTitJMtRebYM%2BIOK5YVhLFqgGHOrwlpgIKHkP3ROAJ9cF9H%2FXev1QWbCdK4%2BS%2BdKRnPbS65yczzjH%2B6uPuPLyFq9ytPGayHFTUrKgd5nI5Ef7Yb0sRkoPGgYiA2v2aDhEAFazoVyymb6u7L%2FFOFmUpKbg8Xkkuyc%2F32Ey%2BtBuQ%2BYZacUknKwKOiyHqJ5EGkPLmswj5CkItR10gET7MMoFPCcn2C6bshreGrrOm0ieOjbA%2Bf7HsfJ7LFge06lmvNVEJi2MVLBki0lr0nRWYi62soDeOQ7dHZXQiyGt%2FIMWIYnTDPrFPzuomVcJ4Fpdarb4q%2Fz5HqJY1j2LS7DKbxzb08lqjio4Fpk8Wbw%2FfT9JX0LX43gHa96gfK1PpeXEpUscPcd27D8dydXViMOmy7vkFOusB%2Bv%2BUVBjrwhEfs969NYQK4Xs%2Bwaaz0rf2g9gDD4qX9wBt7oZs%2BKBDNmbVuYIjzJP%2Ft6%2BJIqAlbFj3EnsOvms2cs8ZhstPwTUsPlsSxVzqVrXke9gxx%2BstEOeV40zR1UU9LGHJohsPkLdJzDyVLwrNBISOBKetHDW3TDQT4BWH7dHNfFx%2BpW%2BPuEiGUnHUCDhF56sO22XzOBwKZIveU5yv2tpqofwsUxnC8gGgpru58Vw9hsC3xZUWUHvZtMz1rn3yiwLH79DMPqFNANxrAN1kX%2BakXVw2dbWG8UMmsUFbxLTHBXPjxmgGqVLPTA%3D%3D&amp;amp;X-Amz-Algorithm=AWS4-HMAC-SHA256&amp;amp;X-Amz-Date=20200818T095537Z&amp;amp;X-Amz-SignedHeaders=host&amp;amp;X-Amz-Expires=300&amp;amp;X-Amz-Credential=ASIAQ3PHCVTYRRHIMDUZ%2F20200818%2Fus-east-1%2Fs3%2Faws4_request&amp;amp;X-Amz-Signature=cf846754e695c44e9515bf08ef12ba99fd43617f3652a81f709b4c2c3486ba2a&amp;amp;hash=25d5b05db98b60e6ecdb0c83479e51443b282a92dc8c8650dad2dda40197e9c8&amp;amp;host=68042c943591013ac2b2430a89b270f6af2c76d8dfd086a07176afe7c76c2c61&amp;amp;pii=S0142061519341584&amp;amp;tid=spdf-dd48f9ab-feff-488d-aa08-2a190429c9d0&amp;amp;sid=90a802954afec940f97b4e41e44e0aaf860dgxrqa&amp;amp;type=client _x000d__x000a_&lt;/_url&gt;&lt;_volume&gt;122&lt;/_volume&gt;&lt;/Details&gt;&lt;Extra&gt;&lt;DBUID&gt;{6891F4B0-DCBA-459A-9A22-3059983243D4}&lt;/DBUID&gt;&lt;/Extra&gt;&lt;/Item&gt;&lt;/References&gt;&lt;/Group&gt;&lt;/Citation&gt;_x000a_"/>
    <w:docVar w:name="NE.Ref{5037DBFB-5F4E-4720-93E1-669F4E212AC5}" w:val=" ADDIN NE.Ref.{5037DBFB-5F4E-4720-93E1-669F4E212AC5}&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Group&gt;&lt;References&gt;&lt;Item&gt;&lt;ID&gt;852&lt;/ID&gt;&lt;UID&gt;{79579713-1133-4FC7-9725-E64DCC3E0939}&lt;/UID&gt;&lt;Title&gt;高比例新能源电网新能源功率优化分配方法&lt;/Title&gt;&lt;Template&gt;Journal Article&lt;/Template&gt;&lt;Star&gt;0&lt;/Star&gt;&lt;Tag&gt;0&lt;/Tag&gt;&lt;Author&gt;任冲; 柯贤波; 王吉利; 王国春; 赵荣臻&lt;/Author&gt;&lt;Year&gt;2022&lt;/Year&gt;&lt;Details&gt;&lt;_author_aff&gt;国家电网有限公司西北分部;南京南瑞继保电气有限公司;&lt;/_author_aff&gt;&lt;_collection_scope&gt;PKU&lt;/_collection_scope&gt;&lt;_created&gt;64401906&lt;/_created&gt;&lt;_date&gt;2022-05-25&lt;/_date&gt;&lt;_db_updated&gt;CNKI - Reference&lt;/_db_updated&gt;&lt;_issue&gt;03&lt;/_issue&gt;&lt;_journal&gt;电力工程技术&lt;/_journal&gt;&lt;_keywords&gt;系统强度;新能源短路比;综合灵敏度指标;暂态过电压;等综合灵敏度;新能源优化分配&lt;/_keywords&gt;&lt;_modified&gt;64657240&lt;/_modified&gt;&lt;_pages&gt;110-117&lt;/_pages&gt;&lt;_url&gt;https://kns.cnki.net/kcms/detail/detail.aspx?FileName=JSDJ202203014&amp;amp;DbName=CJFQTEMP _x000d__x000a_https://bar.cnki.net/bar/download/order?id=jBGETXBNdPImvx70aLAuJPYxPoFw%2bp%2bi0fIiSrcN6lUmfvBcw7lWC2kyjiaAORmrl61dxzuriBMEhUg4v39I6Mm82jDOg3yr%2bqRqj9L2CzQtqddCdidyosdSaMNWur3ZJBjdlDrNnftoR5pdZPiFRNlKM4sfpT3nRHSqBOA4sms8GQBtE8Z8mK%2fNwS15YoSEbIyKKAfFSUYhWCm34oQFB6opkQ6JnjQzfIvFcCnka0M%3d _x000d__x000a_https://bar.cnki.net/bar/download/order?id=jBGETXBNdPImvx70aLAuJPYxPoFw%2bp%2bi0fIiSrcN6lUmfvBcw7lWC2kyjiaAORmrl61dxzuriBMEhUg4v39I6Mm82jDOg3yr%2bqRqj9L2CzQtqddCdidyosdSaMNWur3ZJBjdlDrNnftoR5pdZPiFRNlKM4sfpT3nRHSqBOA4sms8GQBtE8Z8mK%2fNwS15YoSEkIiXMyYKmQk06tdB9qQ%2bV6opkQ6JnjQzfIvFcCnka0M%3d _x000d__x000a_&lt;/_url&gt;&lt;_volume&gt;41&lt;/_volume&gt;&lt;_translated_author&gt;Ren, Chong;Ke, Xian bo;Wang, Ji li;Wang, Guo chun;Zhao, Rong zhen&lt;/_translated_author&gt;&lt;/Details&gt;&lt;Extra&gt;&lt;DBUID&gt;{684DF7C5-873E-4B6A-A11E-0CD148BF4011}&lt;/DBUID&gt;&lt;/Extra&gt;&lt;/Item&gt;&lt;/References&gt;&lt;/Group&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Group&gt;&lt;References&gt;&lt;Item&gt;&lt;ID&gt;887&lt;/ID&gt;&lt;UID&gt;{DB5992A3-6E7B-4117-AFC9-4EF91BEFC025}&lt;/UID&gt;&lt;Title&gt;新能源基地经特高压交流送出系统输电能力与提升措施&lt;/Title&gt;&lt;Template&gt;Journal Article&lt;/Template&gt;&lt;Star&gt;0&lt;/Star&gt;&lt;Tag&gt;0&lt;/Tag&gt;&lt;Author&gt;习工伟; 赵兵; 郑帅飞; 沈琳; 贾琦; 袁超&lt;/Author&gt;&lt;Year&gt;2022&lt;/Year&gt;&lt;Details&gt;&lt;_author_aff&gt;电网安全与节能国家重点实验室(中国电力科学研究院有限公司);&lt;/_author_aff&gt;&lt;_collection_scope&gt;PKU&lt;/_collection_scope&gt;&lt;_created&gt;64429123&lt;/_created&gt;&lt;_date&gt;2022-07-01&lt;/_date&gt;&lt;_db_updated&gt;CNKI - Reference&lt;/_db_updated&gt;&lt;_issue&gt;07&lt;/_issue&gt;&lt;_journal&gt;电力建设&lt;/_journal&gt;&lt;_keywords&gt;千万千瓦级;特高压交流;暂态过电压;分布式调相机&lt;/_keywords&gt;&lt;_modified&gt;64438140&lt;/_modified&gt;&lt;_pages&gt;131-138&lt;/_pages&gt;&lt;_url&gt;https://kns.cnki.net/kcms/detail/detail.aspx?FileName=DLJS202207015&amp;amp;DbName=CJFQTEMP _x000d__x000a_https://bar.cnki.net/bar/download/order?id=jBGETXBNdPImvx70aLAuJPYxPoFw%2bp%2bi0fIiSrcN6lV7BLE6Mkw8NbnKhcIKDAhDwURBIovEZWsxpaJNu72Rssm82jDOg3yr%2bqRqj9L2CzQtqddCdidyosdSaMNWur3ZJBjdlDrNnftoR5pdZPiFRNlKM4sfpT3nRHSqBOA4sms8GQBtE8Z8mK%2fNwS15YoSEI5VlzNz3mRXiSGtL5znqNqopkQ6JnjQzfIvFcCnka0M%3d _x000d__x000a_https://bar.cnki.net/bar/download/order?id=jBGETXBNdPImvx70aLAuJPYxPoFw%2bp%2bi0fIiSrcN6lV7BLE6Mkw8NbnKhcIKDAhDwURBIovEZWsxpaJNu72Rssm82jDOg3yr%2bqRqj9L2CzQtqddCdidyosdSaMNWur3ZJBjdlDrNnftoR5pdZPiFRNlKM4sfpT3nRHSqBOA4sms8GQBtE8Z8mK%2fNwS15YoSEWqM7OxTyN9s29YfrRyRqXqopkQ6JnjQzfIvFcCnka0M%3d _x000d__x000a_&lt;/_url&gt;&lt;_volume&gt;43&lt;/_volume&gt;&lt;_translated_author&gt;Xi, Gong wei;Zhao, Bing;Zheng, Shuai fei;Shen, Lin;Jia, Qi;Yuan, Chao&lt;/_translated_author&gt;&lt;/Details&gt;&lt;Extra&gt;&lt;DBUID&gt;{684DF7C5-873E-4B6A-A11E-0CD148BF4011}&lt;/DBUID&gt;&lt;/Extra&gt;&lt;/Item&gt;&lt;/References&gt;&lt;/Group&gt;&lt;Group&gt;&lt;References&gt;&lt;Item&gt;&lt;ID&gt;685&lt;/ID&gt;&lt;UID&gt;{3451A225-45F3-4F29-9D10-00E829BC7829}&lt;/UID&gt;&lt;Title&gt;基于短路比指标的风电汇集系统稳定性分析&lt;/Title&gt;&lt;Template&gt;Journal Article&lt;/Template&gt;&lt;Star&gt;0&lt;/Star&gt;&lt;Tag&gt;0&lt;/Tag&gt;&lt;Author&gt;吴林林; 李蕴红; 于思奇; 孙雅旻; 王潇; 杨艳晨; 邓晓洋; 苏田宇; 孙大卫&lt;/Author&gt;&lt;Year&gt;2022&lt;/Year&gt;&lt;Details&gt;&lt;_accessed&gt;64344297&lt;/_accessed&gt;&lt;_author_adr&gt;国网冀北电力科学研究院国家电网公司风光储联合发电运行技术实验室;&lt;/_author_adr&gt;&lt;_author_aff&gt;国网冀北电力科学研究院国家电网公司风光储联合发电运行技术实验室;&lt;/_author_aff&gt;&lt;_collection_scope&gt;CSCD;PKU;EI&lt;/_collection_scope&gt;&lt;_created&gt;64344283&lt;/_created&gt;&lt;_date&gt;64313280&lt;/_date&gt;&lt;_db_provider&gt;CNKI&lt;/_db_provider&gt;&lt;_db_updated&gt;CNKI - Reference&lt;/_db_updated&gt;&lt;_doi&gt;10.16081/j.epae.202205030&lt;/_doi&gt;&lt;_isbn&gt;1006-6047&lt;/_isbn&gt;&lt;_journal&gt;电力自动化设备&lt;/_journal&gt;&lt;_keywords&gt;风电;短路比;静态电压稳定;暂态过电压;宽频振荡;故障穿越&lt;/_keywords&gt;&lt;_modified&gt;64438142&lt;/_modified&gt;&lt;_pages&gt;1-9&lt;/_pages&gt;&lt;_url&gt;https://kns.cnki.net/kcms/detail/detail.aspx?FileName=DLZS2022041100A&amp;amp;DbName=CAPJ2022 _x000d__x000a_https://bar.cnki.net/bar/download/order?id=jBGETXBNdPImvx70aLAuJPjDI3A2vZL8vlJ5Yxju1VKi1GyjVjbjWTvsPpNSfTVE%2by%2bypTYQWus9XccTPv7DloXNr%2bq%2fxAZGaJQaVfGy3LZXUusYHsGzJp9yrhvnk3r3JRJIuitYASY3ZPhq07jV3E2KrDbH2i1UsOVLzAXdpwmbKKoXvHPzsB%2bN7b8wc595Z8%2buEvU4HZgOjW03UO4O9t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sEQd%2b8nKZvUgiDcDB3rzSN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558yXqm2Je8T%2fqIOxrQgy9r%2b93LrdvkD9CwUbXbsT4sYgW1T3oFZ4xO0eVG7BcLs _x000d__x000a_&lt;/_url&gt;&lt;_translated_author&gt;Wu, Lin lin;Li, Yun hong;Yu, Si qi;Sun, Ya min;Wang, Xiao;Yang, Yan chen;Deng, Xiao yang;Su, Tian yu;Sun, Da wei&lt;/_translated_author&gt;&lt;/Details&gt;&lt;Extra&gt;&lt;DBUID&gt;{684DF7C5-873E-4B6A-A11E-0CD148BF4011}&lt;/DBUID&gt;&lt;/Extra&gt;&lt;/Item&gt;&lt;/References&gt;&lt;/Group&gt;&lt;Group&gt;&lt;References&gt;&lt;Item&gt;&lt;ID&gt;504&lt;/ID&gt;&lt;UID&gt;{1C8FEB8B-32D8-4A14-A90A-C6461975AA46}&lt;/UID&gt;&lt;Title&gt;抑制HVDC换相失败送端过电压的参数优化&lt;/Title&gt;&lt;Template&gt;Journal Article&lt;/Template&gt;&lt;Star&gt;0&lt;/Star&gt;&lt;Tag&gt;0&lt;/Tag&gt;&lt;Author&gt;王婷; 苏玉香; 沈晓群; 王翔; 罗健锋&lt;/Author&gt;&lt;Year&gt;2022&lt;/Year&gt;&lt;Details&gt;&lt;_accessed&gt;64344298&lt;/_accessed&gt;&lt;_author_aff&gt;浙江海洋大学海洋工程装备学院;西南交通大学电气工程学院;&lt;/_author_aff&gt;&lt;_created&gt;64344248&lt;/_created&gt;&lt;_date&gt;2022-02-15&lt;/_date&gt;&lt;_db_updated&gt;CNKI - Reference&lt;/_db_updated&gt;&lt;_issue&gt;02&lt;/_issue&gt;&lt;_journal&gt;电气应用&lt;/_journal&gt;&lt;_keywords&gt;高压直流输电;蜻蜓算法;暂态过电压;控制参数&lt;/_keywords&gt;&lt;_modified&gt;64438144&lt;/_modified&gt;&lt;_pages&gt;70-74&lt;/_pages&gt;&lt;_url&gt;https://kns.cnki.net/kcms/detail/detail.aspx?FileName=DGJZ202202013&amp;amp;DbName=DKFX2022 _x000d__x000a_https://bar.cnki.net/bar/download/order?id=jBGETXBNdPImvx70aLAuJPYxPoFw%2bp%2bi0fIiSrcN6lU%2fRxqhwaZ%2b0a0wrF%2bwF1qN%2bDdkDFepkUoGamH8rMrnz50PLIIoFLYwy5BgUEfsTyzl8E%2bCUVp5GtDTYhVF2dNUoJeGx62Ssygg68TNXJ%2b5JrigejDAar8Xqw%2f6WR22OFXUdUGh4At8VBYSvh%2fCUD5aVF4R3A5zLeuRV9Ciwq3jczywdCCNUBoe64u3nSlfnvv5LXYX1qwFXwOc1HUZT%2bTB _x000d__x000a_https://bar.cnki.net/bar/download/order?id=jBGETXBNdPImvx70aLAuJPYxPoFw%2bp%2bi0fIiSrcN6lU%2fRxqhwaZ%2b0a0wrF%2bwF1qN%2bDdkDFepkUoGamH8rMrnz50PLIIoFLYwy5BgUEfsTyzl8E%2bCUVp5GtDTYhVF2dNUoJeGx62Ssygg68TNXJ%2b5JrigejDAar8Xqw%2f6WR22OFXUdUGh4At8VBYSvh%2fCUD5aVc%2bEBI4pqvZWKFVdbCsNn2CKTS9pcl6GTCDjNFE4OQL5LXYX1qwFXwOc1HUZT%2bTB _x000d__x000a_https://bar.cnki.net/bar/download/order?id=jBGETXBNdPImvx70aLAuJPYxPoFw%2bp%2bi0fIiSrcN6lU%2fRxqhwaZ%2b0a0wrF%2bwF1qN%2bDdkDFepkUoGamH8rMrnz50PLIIoFLYwy5BgUEfsTyzl8E%2bCUVp5GtDTYhVF2dNUoJeGx62Ssygg68TNXJ%2b5JrigejDAar8Xqw%2f6WR22OFXUdUGh4At8VBYSvh%2fCUD5a5NyhfVJLNE%2fINVqFjMKjqHD1KEjSejZLN7ZFl6L6ESv5LXYX1qwFXwOc1HUZT%2bTB _x000d__x000a_&lt;/_url&gt;&lt;_volume&gt;41&lt;/_volume&gt;&lt;_translated_author&gt;Wang, Ting;Su, Yu xiang;Shen, Xiao qun;Wang, Xiang;Luo, Jian feng&lt;/_translated_author&gt;&lt;/Details&gt;&lt;Extra&gt;&lt;DBUID&gt;{684DF7C5-873E-4B6A-A11E-0CD148BF4011}&lt;/DBUID&gt;&lt;/Extra&gt;&lt;/Item&gt;&lt;/References&gt;&lt;/Group&gt;&lt;Group&gt;&lt;References&gt;&lt;Item&gt;&lt;ID&gt;499&lt;/ID&gt;&lt;UID&gt;{BC6D8445-E5D1-400B-9C83-AF163E16FD22}&lt;/UID&gt;&lt;Title&gt;考虑功角稳定和暂态过电压的新能源电压穿越控制参数优化&lt;/Title&gt;&lt;Template&gt;Journal Article&lt;/Template&gt;&lt;Star&gt;0&lt;/Star&gt;&lt;Tag&gt;0&lt;/Tag&gt;&lt;Author&gt;林伟芳; 任晓钰; 张桂红; 雷雨; 赵源上; 张祥成&lt;/Author&gt;&lt;Year&gt;2022&lt;/Year&gt;&lt;Details&gt;&lt;_author_aff&gt;中国电力科学研究院有限公司;国网青海省电力公司经济技术研究院;&lt;/_author_aff&gt;&lt;_collection_scope&gt;CSCD;PKU;EI&lt;/_collection_scope&gt;&lt;_created&gt;64344243&lt;/_created&gt;&lt;_date&gt;2022-04-29&lt;/_date&gt;&lt;_db_updated&gt;CNKI - Reference&lt;/_db_updated&gt;&lt;_journal&gt;电网技术&lt;/_journal&gt;&lt;_keywords&gt;直流输电;功角稳定;暂态过电压&lt;/_keywords&gt;&lt;_modified&gt;64438143&lt;/_modified&gt;&lt;_pages&gt;1-9&lt;/_pages&gt;&lt;_url&gt;https://kns.cnki.net/kcms/detail/detail.aspx?FileName=DWJS20220428002&amp;amp;DbName=DKFX2022 _x000d__x000a_https://bar.cnki.net/bar/download/order?id=jBGETXBNdPImvx70aLAuJPjDI3A2vZL8vlJ5Yxju1VLqlKEJyZNwKgXlkXhWKuN6jrCLV0KG%2bvb5caCE9OvbSIXNr%2bq%2fxAZGaJQaVfGy3LZXUusYHsGzJp9yrhvnk3r3JRJIuitYASY3ZPhq07jV3E2KrDbH2i1UsOVLzAXdpwmbKKoXvHPzsB%2bN7b8wc595fmkjeKXQ%2bKhV7tSZ09R86N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tjKu3e3XYaRKREv3RSIDSd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iCqQz9a93omLjCB5S%2bniENr%2b93LrdvkD9CwUbXbsT4sYgW1T3oFZ4xO0eVG7BcLs _x000d__x000a_&lt;/_url&gt;&lt;_translated_author&gt;Lin, Wei fang;Ren, Xiao yu;Zhang, Gui hong;Lei, Yu;Zhao, Yuan shang;Zhang, Xiang cheng&lt;/_translated_author&gt;&lt;/Details&gt;&lt;Extra&gt;&lt;DBUID&gt;{684DF7C5-873E-4B6A-A11E-0CD148BF4011}&lt;/DBUID&gt;&lt;/Extra&gt;&lt;/Item&gt;&lt;/References&gt;&lt;/Group&gt;&lt;Group&gt;&lt;References&gt;&lt;Item&gt;&lt;ID&gt;857&lt;/ID&gt;&lt;UID&gt;{DA1D4779-354B-4D44-8F6A-6B6A02DB30A1}&lt;/UID&gt;&lt;Title&gt;基于虚拟电抗的主动支撑型新能源机组低电压穿越控制方法&lt;/Title&gt;&lt;Template&gt;Journal Article&lt;/Template&gt;&lt;Star&gt;0&lt;/Star&gt;&lt;Tag&gt;0&lt;/Tag&gt;&lt;Author&gt;王雪梅; 王艺博; 刘雨桐; 刘闯; 王顺江; 胡博&lt;/Author&gt;&lt;Year&gt;2022&lt;/Year&gt;&lt;Details&gt;&lt;_author_aff&gt;东北电力大学电气工程学院;国网内蒙古东部电力有限公司赤峰供电公司;国网辽宁省电力有限公司;&lt;/_author_aff&gt;&lt;_collection_scope&gt;CSCD;PKU;EI&lt;/_collection_scope&gt;&lt;_created&gt;64402414&lt;/_created&gt;&lt;_date&gt;2022-02-16&lt;/_date&gt;&lt;_db_updated&gt;CNKI - Reference&lt;/_db_updated&gt;&lt;_journal&gt;电网技术&lt;/_journal&gt;&lt;_keywords&gt;虚拟电抗;主动支撑控制;低电压穿越;限制短路电流;无功支撑;VSC&lt;/_keywords&gt;&lt;_modified&gt;64438142&lt;/_modified&gt;&lt;_pages&gt;1-11&lt;/_pages&gt;&lt;_url&gt;https://kns.cnki.net/kcms/detail/detail.aspx?FileName=DWJS20220215006&amp;amp;DbName=DKFX2022 _x000d__x000a_https://bar.cnki.net/bar/download/order?id=jBGETXBNdPImvx70aLAuJPjDI3A2vZL8vlJ5Yxju1VKryE9yAS3DgMl%2fvlZ2OZ%2fH925kygpRBmlZPsH2eKcS9YXNr%2bq%2fxAZGaJQaVfGy3LZXUusYHsGzJp9yrhvnk3r3JRJIuitYASY3ZPhq07jV3E2KrDbH2i1UsOVLzAXdpwmbKKoXvHPzsB%2bN7b8wc595oBUd%2fDhuWZ%2bxyOlpeXnPAdr%2b93LrdvkD9CwUbXbsT4sYgW1T3oFZ4xO0eVG7BcLs _x000d__x000a_https://bar.cnki.net/bar/download/order?id=jBGETXBNdPImvx70aLAuJPjDI3A2vZL8vlJ5Yxju1VKryE9yAS3DgMl%2fvlZ2OZ%2fH925kygpRBmlZPsH2eKcS9YXNr%2bq%2fxAZGaJQaVfGy3LZXUusYHsGzJp9yrhvnk3r3JRJIuitYASY3ZPhq07jV3E2KrDbH2i1UsOVLzAXdpwmbKKoXvHPzsB%2bN7b8wc5952gC02VSCCar0T0HRocOMktr%2b93LrdvkD9CwUbXbsT4sYgW1T3oFZ4xO0eVG7BcLs _x000d__x000a_&lt;/_url&gt;&lt;_translated_author&gt;Wang, Xue mei;Wang, Yi bo;Liu, Yu tong;Liu, Chuang;Wang, Shun jiang;Hu, Bo&lt;/_translated_author&gt;&lt;/Details&gt;&lt;Extra&gt;&lt;DBUID&gt;{684DF7C5-873E-4B6A-A11E-0CD148BF4011}&lt;/DBUID&gt;&lt;/Extra&gt;&lt;/Item&gt;&lt;/References&gt;&lt;/Group&gt;&lt;Group&gt;&lt;References&gt;&lt;Item&gt;&lt;ID&gt;856&lt;/ID&gt;&lt;UID&gt;{9C4B4B81-9245-45D8-9C38-48F401B3CDDF}&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ollection_scope&gt;CSCD;PKU;EI&lt;/_collection_scope&gt;&lt;_created&gt;64402414&lt;/_created&gt;&lt;_date&gt;2021-07-29&lt;/_date&gt;&lt;_db_updated&gt;CNKI - Reference&lt;/_db_updated&gt;&lt;_issue&gt;05&lt;/_issue&gt;&lt;_journal&gt;电网技术&lt;/_journal&gt;&lt;_keywords&gt;特高压直流;过电压;低电压穿越;安全稳定控制&lt;/_keywords&gt;&lt;_modified&gt;64441017&lt;/_modified&gt;&lt;_pages&gt;1907-1916&lt;/_pages&gt;&lt;_url&gt;https://kns.cnki.net/kcms/detail/detail.aspx?FileName=DWJS202205024&amp;amp;DbName=DKFXTEMP _x000d__x000a_https://bar.cnki.net/bar/download/order?id=jBGETXBNdPImvx70aLAuJPYxPoFw%2bp%2bi0fIiSrcN6lUjlhfp73Urejyts9sFyPxFFV%2b%2fuL8qdq3fK6G18C2CLcm82jDOg3yr%2bqRqj9L2CzQtqddCdidyosdSaMNWur3ZJBjdlDrNnftoR5pdZPiFRNlKM4sfpT3nRHSqBOA4sms8GQBtE8Z8mK%2fNwS15YoSEG0qczTib8bX8SU0%2bNiJb2KopkQ6JnjQzfIvFcCnka0M%3d _x000d__x000a_https://bar.cnki.net/bar/download/order?id=jBGETXBNdPImvx70aLAuJPYxPoFw%2bp%2bi0fIiSrcN6lUjlhfp73Urejyts9sFyPxFFV%2b%2fuL8qdq3fK6G18C2CLcm82jDOg3yr%2bqRqj9L2CzQtqddCdidyosdSaMNWur3ZJBjdlDrNnftoR5pdZPiFRNlKM4sfpT3nRHSqBOA4sms8GQBtE8Z8mK%2fNwS15YoSEg%2f8VJ3jWXz311uzzShk84KopkQ6JnjQzfIvFcCnka0M%3d _x000d__x000a_&lt;/_url&gt;&lt;_volume&gt;46&lt;/_volume&gt;&lt;_translated_author&gt;Zhou, Ying kun;Xie, Heng;Sun, Hua dong;Xu, Shi yun;Zhao, Bing;Zhang, Yi;Chang, Xi qiang;Zhang, Jian&lt;/_translated_author&gt;&lt;/Details&gt;&lt;Extra&gt;&lt;DBUID&gt;{684DF7C5-873E-4B6A-A11E-0CD148BF4011}&lt;/DBUID&gt;&lt;/Extra&gt;&lt;/Item&gt;&lt;/References&gt;&lt;/Group&gt;&lt;Group&gt;&lt;References&gt;&lt;Item&gt;&lt;ID&gt;907&lt;/ID&gt;&lt;UID&gt;{047EB8B0-AE27-4858-9DF2-3E89602A7754}&lt;/UID&gt;&lt;Title&gt;应对特高压直流大扰动的稳定措施综述&lt;/Title&gt;&lt;Template&gt;Journal Article&lt;/Template&gt;&lt;Star&gt;0&lt;/Star&gt;&lt;Tag&gt;5&lt;/Tag&gt;&lt;Author&gt;邱威; 贺静波; 樊小伟; 许涛; 于钊; 张剑云; 何飞; 蓝海波; 叶俭; 张怡; 刘明松; 王超; 金一丁; 徐凯; 朱介北; 刘娜&lt;/Author&gt;&lt;Year&gt;2022&lt;/Year&gt;&lt;Details&gt;&lt;_author_aff&gt;国网冀北电力有限公司;国家电力调度控制中心;北京电力交易中心有限公司;天津大学电气自动化与信息工程学院;国网北京市电力公司;&lt;/_author_aff&gt;&lt;_collection_scope&gt;CSCD;PKU;EI&lt;/_collection_scope&gt;&lt;_created&gt;64474166&lt;/_created&gt;&lt;_date&gt;2022-04-22&lt;/_date&gt;&lt;_db_updated&gt;CNKI - Reference&lt;/_db_updated&gt;&lt;_journal&gt;电网技术&lt;/_journal&gt;&lt;_keywords&gt;特高压直流;大扰动;功角稳定;频率稳定;电压稳定;过电压&lt;/_keywords&gt;&lt;_modified&gt;64474201&lt;/_modified&gt;&lt;_pages&gt;1-18&lt;/_pages&gt;&lt;_url&gt;https://kns.cnki.net/kcms/detail/detail.aspx?FileName=DWJS20220421000&amp;amp;DbName=DKFX2022 _x000d__x000a_https://bar.cnki.net/bar/download/order?id=jBGETXBNdPImvx70aLAuJPjDI3A2vZL8vlJ5Yxju1VLqlKEJyZNwKgXlkXhWKuN6giKITpHCcDZRv5EcYwb%2fSYXNr%2bq%2fxAZGaJQaVfGy3LZXUusYHsGzJp9yrhvnk3r3JRJIuitYASY3ZPhq07jV3E2KrDbH2i1UsOVLzAXdpwmbKKoXvHPzsB%2bN7b8wc595y7gD3AG9tBl4dX77sRryudr%2b93LrdvkD9CwUbXbsT4sYgW1T3oFZ4xO0eVG7BcLs _x000d__x000a_&lt;/_url&gt;&lt;_translated_author&gt;Qiu, Wei;He, Jing bo;Fan, Xiao wei;Xu, Tao;Yu, Zhao;Zhang, Jian yun;He, Fei;Lan, Hai bo;Ye, Jian;Zhang, Yi;Liu, Ming song;Wang, Chao;Jin, Yi ding;Xu, Kai;Zhu, Jie bei;Liu, Na&lt;/_translated_author&gt;&lt;/Details&gt;&lt;Extra&gt;&lt;DBUID&gt;{684DF7C5-873E-4B6A-A11E-0CD148BF4011}&lt;/DBUID&gt;&lt;/Extra&gt;&lt;/Item&gt;&lt;/References&gt;&lt;/Group&gt;&lt;Group&gt;&lt;References&gt;&lt;Item&gt;&lt;ID&gt;503&lt;/ID&gt;&lt;UID&gt;{BD7BB4D3-B289-45E7-8485-7973EAD97712}&lt;/UID&gt;&lt;Title&gt;考虑直流闭锁暂态过电压约束的送端电网换流站高效无功规划&lt;/Title&gt;&lt;Template&gt;Journal Article&lt;/Template&gt;&lt;Star&gt;0&lt;/Star&gt;&lt;Tag&gt;0&lt;/Tag&gt;&lt;Author&gt;赵溶溶; 柯德平; 孙元章; 徐箭; 常海军; 刘福锁&lt;/Author&gt;&lt;Year&gt;2022&lt;/Year&gt;&lt;Details&gt;&lt;_author_aff&gt;武汉大学电气与自动化学院;南瑞集团公司;&lt;/_author_aff&gt;&lt;_collection_scope&gt;PKU&lt;/_collection_scope&gt;&lt;_created&gt;64344247&lt;/_created&gt;&lt;_date&gt;2022-02-16&lt;/_date&gt;&lt;_db_updated&gt;CNKI - Reference&lt;/_db_updated&gt;&lt;_journal&gt;南方电网技术&lt;/_journal&gt;&lt;_keywords&gt;直流闭锁;暂态过电压;同步调相机;无功规划&lt;/_keywords&gt;&lt;_modified&gt;64438143&lt;/_modified&gt;&lt;_pages&gt;1-12&lt;/_pages&gt;&lt;_url&gt;https://kns.cnki.net/kcms/detail/detail.aspx?FileName=NFDW20220215001&amp;amp;DbName=CAPJ2022 _x000d__x000a_https://bar.cnki.net/bar/download/order?id=jBGETXBNdPImvx70aLAuJPjDI3A2vZL8vlJ5Yxju1VJbSuYf3qAZbzpXaTCqFIWBz%2fKbM0AiJed8OtdhpTkIEoXNr%2bq%2fxAZGaJQaVfGy3LZXUusYHsGzJp9yrhvnk3r3JRJIuitYASY3ZPhq07jV3E2KrDbH2i1UsOVLzAXdpwmbKKoXvHPzsB%2bN7b8wc595vMo4kMMQy63h0a0BqeCd3d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fmFc5BYKZpHX45s1OeLDz9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nKCUVgDbiw%2b8kbPyHMJ6q9r%2b93LrdvkD9CwUbXbsT4sYgW1T3oFZ4xO0eVG7BcLs _x000d__x000a_&lt;/_url&gt;&lt;_translated_author&gt;Zhao, Rong rong;Ke, De ping;Sun, Yuan zhang;Xu, Jian;Chang, Hai jun;Liu, Fu suo&lt;/_translated_author&gt;&lt;/Details&gt;&lt;Extra&gt;&lt;DBUID&gt;{684DF7C5-873E-4B6A-A11E-0CD148BF4011}&lt;/DBUID&gt;&lt;/Extra&gt;&lt;/Item&gt;&lt;/References&gt;&lt;/Group&gt;&lt;Group&gt;&lt;References&gt;&lt;Item&gt;&lt;ID&gt;908&lt;/ID&gt;&lt;UID&gt;{F854AE7A-14F3-4E0A-B831-826386CF87C2}&lt;/UID&gt;&lt;Title&gt;基于能量同步转换技术的高比例新能源外送地区暂态过电压抑制研究&lt;/Title&gt;&lt;Template&gt;Journal Article&lt;/Template&gt;&lt;Star&gt;0&lt;/Star&gt;&lt;Tag&gt;0&lt;/Tag&gt;&lt;Author&gt;田旭; 刘飞; 张君; 白左霞&lt;/Author&gt;&lt;Year&gt;2022&lt;/Year&gt;&lt;Details&gt;&lt;_author_aff&gt;国网青海省电力公司经济技术研究院;国网青海省电力公司;&lt;/_author_aff&gt;&lt;_collection_scope&gt;PKU&lt;/_collection_scope&gt;&lt;_created&gt;64476646&lt;/_created&gt;&lt;_date&gt;2022-08-01&lt;/_date&gt;&lt;_db_updated&gt;CNKI - Reference&lt;/_db_updated&gt;&lt;_journal&gt;南方电网技术&lt;/_journal&gt;&lt;_keywords&gt;能量同步转换;新能源;高压直流;过电压抑制&lt;/_keywords&gt;&lt;_modified&gt;64476647&lt;/_modified&gt;&lt;_pages&gt;1-10&lt;/_pages&gt;&lt;_url&gt;https://kns.cnki.net/kcms/detail/detail.aspx?FileName=NFDW20220729001&amp;amp;DbName=CAPJ2022 _x000d__x000a_https://bar.cnki.net/bar/download/order?id=jBGETXBNdPImvx70aLAuJPjDI3A2vZL8vlJ5Yxju1VLMUcNe13gaKeNKm4t4HzU6ReCKymKxHE3jVZlzKnzVb4XNr%2bq%2fxAZGaJQaVfGy3LZXUusYHsGzJp9yrhvnk3r3JRJIuitYASY3ZPhq07jV3E2KrDbH2i1UsOVLzAXdpwmbKKoXvHPzsB%2bN7b8wc5959s7N%2fMEn27Yme%2f5sDxz389r%2b93LrdvkD9CwUbXbsT4sYgW1T3oFZ4xO0eVG7BcLs _x000d__x000a_&lt;/_url&gt;&lt;_translated_author&gt;Tian, Xu;Liu, Fei;Zhang, Jun;Bai, Zuo xia&lt;/_translated_author&gt;&lt;/Details&gt;&lt;Extra&gt;&lt;DBUID&gt;{684DF7C5-873E-4B6A-A11E-0CD148BF4011}&lt;/DBUID&gt;&lt;/Extra&gt;&lt;/Item&gt;&lt;/References&gt;&lt;/Group&gt;&lt;Group&gt;&lt;References&gt;&lt;Item&gt;&lt;ID&gt;853&lt;/ID&gt;&lt;UID&gt;{78DA87CC-B178-48D0-8CA0-98D156D5A838}&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collection_scope&gt;CSCD;PKU;EI&lt;/_collection_scope&gt;&lt;_created&gt;64401906&lt;/_created&gt;&lt;_date&gt;2022-05-23&lt;/_date&gt;&lt;_db_updated&gt;CNKI - Reference&lt;/_db_updated&gt;&lt;_journal&gt;中国电机工程学报&lt;/_journal&gt;&lt;_keywords&gt;暂态过电压;新能源并网系统;电压支撑强度;短路容量;并网规模&lt;/_keywords&gt;&lt;_modified&gt;64438143&lt;/_modified&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BUJl8rpqKpWH7jpMwI6Bs9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HsB40upzmFjk4LUMuPAnet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x4SYVWxDPBGUEi3ssE5yJNr%2b93LrdvkD9CwUbXbsT4sYgW1T3oFZ4xO0eVG7BcLs _x000d__x000a_&lt;/_url&gt;&lt;_translated_author&gt;Sun, Hua dong;Yu, Lin;Zhao, Bing&lt;/_translated_author&gt;&lt;/Details&gt;&lt;Extra&gt;&lt;DBUID&gt;{684DF7C5-873E-4B6A-A11E-0CD148BF4011}&lt;/DBUID&gt;&lt;/Extra&gt;&lt;/Item&gt;&lt;/References&gt;&lt;/Group&gt;&lt;Group&gt;&lt;References&gt;&lt;Item&gt;&lt;ID&gt;861&lt;/ID&gt;&lt;UID&gt;{8AD7DBFF-7D02-4180-BB59-043B3D7A9B8A}&lt;/UID&gt;&lt;Title&gt;电力电子设备接入电压支撑强度量化评估指标综述&lt;/Title&gt;&lt;Template&gt;Journal Article&lt;/Template&gt;&lt;Star&gt;0&lt;/Star&gt;&lt;Tag&gt;0&lt;/Tag&gt;&lt;Author&gt;于琳; 孙华东; 徐式蕴; 赵兵; 张健; 李宗翰&lt;/Author&gt;&lt;Year&gt;2022&lt;/Year&gt;&lt;Details&gt;&lt;_author_aff&gt;电网安全与节能国家重点实验室(中国电力科学研究院有限公司);&lt;/_author_aff&gt;&lt;_cited_count&gt;1&lt;/_cited_count&gt;&lt;_collection_scope&gt;CSCD;PKU;EI&lt;/_collection_scope&gt;&lt;_created&gt;64402433&lt;/_created&gt;&lt;_date&gt;2021-11-03&lt;/_date&gt;&lt;_db_updated&gt;CNKI - Reference&lt;/_db_updated&gt;&lt;_issue&gt;02&lt;/_issue&gt;&lt;_journal&gt;中国电机工程学报&lt;/_journal&gt;&lt;_keywords&gt;电压支撑强度;短路比;临界短路比;阻抗比;电力电子设备&lt;/_keywords&gt;&lt;_modified&gt;64438140&lt;/_modified&gt;&lt;_pages&gt;499-515&lt;/_pages&gt;&lt;_url&gt;https://kns.cnki.net/kcms/detail/detail.aspx?FileName=ZGDC202202005&amp;amp;DbName=DKFX2022 _x000d__x000a_https://bar.cnki.net/bar/download/order?id=jBGETXBNdPImvx70aLAuJPYxPoFw%2bp%2bi0fIiSrcN6lU4U5Ntw4Lu%2bLS0I0bCFd93ds%2fr85YSD8tWj6u6R%2b%2fkcZ0PLIIoFLYwy5BgUEfsTyzl8E%2bCUVp5GtDTYhVF2dNUoJeGx62Ssygg68TNXJ%2b5JrigejDAar8Xqw%2f6WR22OFXUdUGh4At8VBYSvh%2fCUD5aDciZ2upqhWYUX2P1zV9Wju%2bF67nMpzthHJOFur%2bUCZv5LXYX1qwFXwOc1HUZT%2bTB _x000d__x000a_https://bar.cnki.net/bar/download/order?id=jBGETXBNdPImvx70aLAuJPYxPoFw%2bp%2bi0fIiSrcN6lU4U5Ntw4Lu%2bLS0I0bCFd93ds%2fr85YSD8tWj6u6R%2b%2fkcZ0PLIIoFLYwy5BgUEfsTyzl8E%2bCUVp5GtDTYhVF2dNUoJeGx62Ssygg68TNXJ%2b5JrigejDAar8Xqw%2f6WR22OFXUdUGh4At8VBYSvh%2fCUD5aMT4dxrjNWBmwQdO5ce39dbShwJTXXHTGAokesLWWXvz5LXYX1qwFXwOc1HUZT%2bTB _x000d__x000a_&lt;/_url&gt;&lt;_volume&gt;42&lt;/_volume&gt;&lt;_translated_author&gt;Yu, Lin;Sun, Hua dong;Xu, Shi yun;Zhao, Bing;Zhang, Jian;Li, Zong han&lt;/_translated_author&gt;&lt;/Details&gt;&lt;Extra&gt;&lt;DBUID&gt;{684DF7C5-873E-4B6A-A11E-0CD148BF4011}&lt;/DBUID&gt;&lt;/Extra&gt;&lt;/Item&gt;&lt;/References&gt;&lt;/Group&gt;&lt;Group&gt;&lt;References&gt;&lt;Item&gt;&lt;ID&gt;905&lt;/ID&gt;&lt;UID&gt;{755F6F1E-3B3F-4CF7-8C5D-C5E26A053B4C}&lt;/UID&gt;&lt;Title&gt;交流网严重故障引发LCC-UHVDC功率振荡机理及控制优化方法&lt;/Title&gt;&lt;Template&gt;Journal Article&lt;/Template&gt;&lt;Star&gt;0&lt;/Star&gt;&lt;Tag&gt;0&lt;/Tag&gt;&lt;Author&gt;丁平; 刘明松; 张慕婕; 万凯遥; 尹健; 张庆武; 刘敏&lt;/Author&gt;&lt;Year&gt;2022&lt;/Year&gt;&lt;Details&gt;&lt;_author_aff&gt;中国电力科学研究院有限公司;国家电力调度控制中心;国家电网公司华中分部;国网经济技术研究院有限公司;南京南瑞继保电气有限公司;&lt;/_author_aff&gt;&lt;_collection_scope&gt;CSCD;PKU;EI&lt;/_collection_scope&gt;&lt;_created&gt;64472690&lt;/_created&gt;&lt;_date&gt;2022-07-05&lt;/_date&gt;&lt;_db_updated&gt;CNKI - Reference&lt;/_db_updated&gt;&lt;_journal&gt;中国电机工程学报&lt;/_journal&gt;&lt;_keywords&gt;LCC-UHVDC;功率振荡;机电-电磁混合仿真;控制策略&lt;/_keywords&gt;&lt;_modified&gt;64472690&lt;/_modified&gt;&lt;_pages&gt;1-10&lt;/_pages&gt;&lt;_url&gt;https://kns.cnki.net/kcms/detail/detail.aspx?FileName=ZGDC20220630001&amp;amp;DbName=DKFX2022 _x000d__x000a_https://bar.cnki.net/bar/download/order?id=jBGETXBNdPImvx70aLAuJPjDI3A2vZL8vlJ5Yxju1VKCWJTOKXWyf4A4GRiUKtBQjrKMeCp6SoK8HpGeOwHhT4XNr%2bq%2fxAZGaJQaVfGy3LZXUusYHsGzJp9yrhvnk3r3JRJIuitYASY3ZPhq07jV3E2KrDbH2i1UsOVLzAXdpwmbKKoXvHPzsB%2bN7b8wc595sScAwo2M3TBPwHpJT5rTuNr%2b93LrdvkD9CwUbXbsT4sYgW1T3oFZ4xO0eVG7BcLs _x000d__x000a_&lt;/_url&gt;&lt;_translated_author&gt;Ding, Ping;Liu, Ming song;Zhang, Mu jie;Wan, Kai yao;Yin, Jian;Zhang, Qing wu;Liu, Min&lt;/_translated_author&gt;&lt;/Details&gt;&lt;Extra&gt;&lt;DBUID&gt;{684DF7C5-873E-4B6A-A11E-0CD148BF4011}&lt;/DBUID&gt;&lt;/Extra&gt;&lt;/Item&gt;&lt;/References&gt;&lt;/Group&gt;&lt;Group&gt;&lt;References&gt;&lt;Item&gt;&lt;ID&gt;502&lt;/ID&gt;&lt;UID&gt;{D521A7F9-0737-46FB-9053-F406506EE3FF}&lt;/UID&gt;&lt;Title&gt;新能源低电压穿越无功电流对暂态电压安全约束的影响&lt;/Title&gt;&lt;Template&gt;Journal Article&lt;/Template&gt;&lt;Star&gt;0&lt;/Star&gt;&lt;Tag&gt;0&lt;/Tag&gt;&lt;Author&gt;刘辉; 王阔&lt;/Author&gt;&lt;Year&gt;2022&lt;/Year&gt;&lt;Details&gt;&lt;_author_aff&gt;国网冀北电力有限公司电力科学研究院;北京大学;&lt;/_author_aff&gt;&lt;_collection_scope&gt;CSCD;PKU&lt;/_collection_scope&gt;&lt;_created&gt;64344247&lt;/_created&gt;&lt;_date&gt;2022-02-25&lt;/_date&gt;&lt;_db_updated&gt;CNKI - Reference&lt;/_db_updated&gt;&lt;_issue&gt;02&lt;/_issue&gt;&lt;_journal&gt;中国电力&lt;/_journal&gt;&lt;_keywords&gt;新能源汇集系统;低电压穿越;暂态过电压;短路比&lt;/_keywords&gt;&lt;_modified&gt;64438143&lt;/_modified&gt;&lt;_pages&gt;152-158&lt;/_pages&gt;&lt;_url&gt;https://kns.cnki.net/kcms/detail/detail.aspx?FileName=ZGDL202202019&amp;amp;DbName=CJFQ2022 _x000d__x000a_https://bar.cnki.net/bar/download/order?id=jBGETXBNdPImvx70aLAuJPYxPoFw%2bp%2bi0fIiSrcN6lXKGcn7A6sPNsiBdWCd6%2fl3qfi8%2bi%2f76dNraIZO5iW6Bp0PLIIoFLYwy5BgUEfsTyzl8E%2bCUVp5GtDTYhVF2dNUoJeGx62Ssygg68TNXJ%2b5JrigejDAar8Xqw%2f6WR22OFXUdUGh4At8VBYSvh%2fCUD5aeRJJcTf%2fpQdqpA0O0PxVzCWZL0ai5A42K%2bdv2kg5hcj5LXYX1qwFXwOc1HUZT%2bTB _x000d__x000a_https://bar.cnki.net/bar/download/order?id=jBGETXBNdPImvx70aLAuJPYxPoFw%2bp%2bi0fIiSrcN6lXKGcn7A6sPNsiBdWCd6%2fl3qfi8%2bi%2f76dNraIZO5iW6Bp0PLIIoFLYwy5BgUEfsTyzl8E%2bCUVp5GtDTYhVF2dNUoJeGx62Ssygg68TNXJ%2b5JrigejDAar8Xqw%2f6WR22OFXUdUGh4At8VBYSvh%2fCUD5aIMrvckIAdGodIhimNxmCK4kWl%2f5%2bM02t3C4Rt6mdaoj5LXYX1qwFXwOc1HUZT%2bTB _x000d__x000a_https://bar.cnki.net/bar/download/order?id=jBGETXBNdPImvx70aLAuJPYxPoFw%2bp%2bi0fIiSrcN6lXKGcn7A6sPNsiBdWCd6%2fl3qfi8%2bi%2f76dNraIZO5iW6Bp0PLIIoFLYwy5BgUEfsTyzl8E%2bCUVp5GtDTYhVF2dNUoJeGx62Ssygg68TNXJ%2b5JrigejDAar8Xqw%2f6WR22OFXUdUGh4At8VBYSvh%2fCUD5aebexPAXLnMrtC%2b%2bmgqBCU13AzXvBD%2fXxQB9W306NGNr5LXYX1qwFXwOc1HUZT%2bTB _x000d__x000a_&lt;/_url&gt;&lt;_volume&gt;55&lt;/_volume&gt;&lt;_translated_author&gt;Liu, Hui;Wang, Kuo&lt;/_translated_author&gt;&lt;/Details&gt;&lt;Extra&gt;&lt;DBUID&gt;{684DF7C5-873E-4B6A-A11E-0CD148BF4011}&lt;/DBUID&gt;&lt;/Extra&gt;&lt;/Item&gt;&lt;/References&gt;&lt;/Group&gt;&lt;Group&gt;&lt;References&gt;&lt;Item&gt;&lt;ID&gt;510&lt;/ID&gt;&lt;UID&gt;{988099A4-E0E8-4600-81A2-3BEE0713ABCB}&lt;/UID&gt;&lt;Title&gt;海上风电经交流电缆汇集送出系统暂态无功电压建模及特性分析&lt;/Title&gt;&lt;Template&gt;Journal Article&lt;/Template&gt;&lt;Star&gt;0&lt;/Star&gt;&lt;Tag&gt;0&lt;/Tag&gt;&lt;Author&gt;孙艳霞; 方是文; 李震&lt;/Author&gt;&lt;Year&gt;2022&lt;/Year&gt;&lt;Details&gt;&lt;_author_aff&gt;新能源与储能运行控制国家重点实验室(中国电力科学研究院有限公司);北京理工大学自动化学院;&lt;/_author_aff&gt;&lt;_collection_scope&gt;CSCD;PKU&lt;/_collection_scope&gt;&lt;_created&gt;64344253&lt;/_created&gt;&lt;_date&gt;2021-06-30&lt;/_date&gt;&lt;_db_updated&gt;CNKI - Reference&lt;/_db_updated&gt;&lt;_issue&gt;04&lt;/_issue&gt;&lt;_journal&gt;中国电力&lt;/_journal&gt;&lt;_keywords&gt;海上风电;交流电缆;暂态过电压;数学模型;实时仿真&lt;/_keywords&gt;&lt;_modified&gt;64438141&lt;/_modified&gt;&lt;_pages&gt;166-174&lt;/_pages&gt;&lt;_url&gt;https://kns.cnki.net/kcms/detail/detail.aspx?FileName=ZGDL202204020&amp;amp;DbName=CJFQTEMP _x000d__x000a_https://bar.cnki.net/bar/download/order?id=jBGETXBNdPImvx70aLAuJPYxPoFw%2bp%2bi0fIiSrcN6lVNEaMmgSODrwVZUYb6rwEk3JUuTL1dvsZiVw3pzpeSMp0PLIIoFLYwy5BgUEfsTyzl8E%2bCUVp5GtDTYhVF2dNUoJeGx62Ssygg68TNXJ%2b5JrigejDAar8Xqw%2f6WR22OFXUdUGh4At8VBYSvh%2fCUD5afWGoo6mmJbwLMDh6gnXoy9XIyhR%2f6DgyMcrWgQpe2O%2f5LXYX1qwFXwOc1HUZT%2bTB _x000d__x000a_https://bar.cnki.net/bar/download/order?id=jBGETXBNdPImvx70aLAuJPYxPoFw%2bp%2bi0fIiSrcN6lVNEaMmgSODrwVZUYb6rwEk3JUuTL1dvsZiVw3pzpeSMp0PLIIoFLYwy5BgUEfsTyzl8E%2bCUVp5GtDTYhVF2dNUoJeGx62Ssygg68TNXJ%2b5JrigejDAar8Xqw%2f6WR22OFXUdUGh4At8VBYSvh%2fCUD5air%2bN36cjzkLkx%2b2JrF6NyIiOXNcILL40gGLlQuHI5NH5LXYX1qwFXwOc1HUZT%2bTB _x000d__x000a_https://bar.cnki.net/bar/download/order?id=jBGETXBNdPImvx70aLAuJPYxPoFw%2bp%2bi0fIiSrcN6lVNEaMmgSODrwVZUYb6rwEk3JUuTL1dvsZiVw3pzpeSMp0PLIIoFLYwy5BgUEfsTyzl8E%2bCUVp5GtDTYhVF2dNUoJeGx62Ssygg68TNXJ%2b5JrigejDAar8Xqw%2f6WR22OFXUdUGh4At8VBYSvh%2fCUD5aVA4B0WRngNIZaioHhNX0YEIPwyDWkVhM%2f9K5VmuW5Tn5LXYX1qwFXwOc1HUZT%2bTB _x000d__x000a_&lt;/_url&gt;&lt;_volume&gt;55&lt;/_volume&gt;&lt;_translated_author&gt;Sun, Yan xia;Fang, Shi wen;Li, Zhen&lt;/_translated_author&gt;&lt;/Details&gt;&lt;Extra&gt;&lt;DBUID&gt;{684DF7C5-873E-4B6A-A11E-0CD148BF4011}&lt;/DBUID&gt;&lt;/Extra&gt;&lt;/Item&gt;&lt;/References&gt;&lt;/Group&gt;&lt;Group&gt;&lt;References&gt;&lt;Item&gt;&lt;ID&gt;906&lt;/ID&gt;&lt;UID&gt;{8761F7DE-D726-4044-B39A-24E71D8D32B4}&lt;/UID&gt;&lt;Title&gt;基于能量同步转换技术的高比例新能源外送地区暂态过电压抑制研究&lt;/Title&gt;&lt;Template&gt;Journal Article&lt;/Template&gt;&lt;Star&gt;0&lt;/Star&gt;&lt;Tag&gt;0&lt;/Tag&gt;&lt;Author&gt;田旭; 刘飞; 张君; 白左霞&lt;/Author&gt;&lt;Year&gt;2022&lt;/Year&gt;&lt;Details&gt;&lt;_accessed&gt;64583740&lt;/_accessed&gt;&lt;_author_aff&gt;国网青海省电力公司经济技术研究院;国网青海省电力公司;&lt;/_author_aff&gt;&lt;_collection_scope&gt;PKU&lt;/_collection_scope&gt;&lt;_created&gt;64473959&lt;/_created&gt;&lt;_date&gt;2022-08-01&lt;/_date&gt;&lt;_db_updated&gt;CNKI - Reference&lt;/_db_updated&gt;&lt;_journal&gt;南方电网技术&lt;/_journal&gt;&lt;_keywords&gt;能量同步转换;新能源;高压直流;过电压抑制&lt;/_keywords&gt;&lt;_modified&gt;64583740&lt;/_modified&gt;&lt;_pages&gt;1-10&lt;/_pages&gt;&lt;_url&gt;https://kns.cnki.net/kcms/detail/detail.aspx?FileName=NFDW20220729001&amp;amp;DbName=CAPJ2022&lt;/_url&gt;&lt;_translated_author&gt;Tian, Xu;Liu, Fei;Zhang, Jun;Bai, Zuo xia&lt;/_translated_author&gt;&lt;/Details&gt;&lt;Extra&gt;&lt;DBUID&gt;{684DF7C5-873E-4B6A-A11E-0CD148BF4011}&lt;/DBUID&gt;&lt;/Extra&gt;&lt;/Item&gt;&lt;/References&gt;&lt;/Group&gt;&lt;/Citation&gt;_x000a_"/>
    <w:docVar w:name="NE.Ref{5080210B-0939-497D-ABB7-62E5D4719984}" w:val=" ADDIN NE.Ref.{5080210B-0939-497D-ABB7-62E5D4719984}&lt;Citation&gt;&lt;Group&gt;&lt;References&gt;&lt;Item&gt;&lt;ID&gt;491&lt;/ID&gt;&lt;UID&gt;{C9358F28-3276-48D4-BC27-16D0C3610112}&lt;/UID&gt;&lt;Title&gt;Indicator-Based Selection in Multiobjective Search&lt;/Title&gt;&lt;Template&gt;Journal Article&lt;/Template&gt;&lt;Star&gt;0&lt;/Star&gt;&lt;Tag&gt;0&lt;/Tag&gt;&lt;Author&gt;Zitzler, Eckart; Künzli, Simon&lt;/Author&gt;&lt;Year&gt;2004&lt;/Year&gt;&lt;Details&gt;&lt;_created&gt;63651740&lt;/_created&gt;&lt;_journal&gt;lecture notes in computer science&lt;/_journal&gt;&lt;_modified&gt;63651740&lt;/_modified&gt;&lt;/Details&gt;&lt;Extra&gt;&lt;DBUID&gt;{F96A950B-833F-4880-A151-76DA2D6A2879}&lt;/DBUID&gt;&lt;/Extra&gt;&lt;/Item&gt;&lt;/References&gt;&lt;/Group&gt;&lt;/Citation&gt;_x000a_"/>
    <w:docVar w:name="NE.Ref{5104D66B-E0C7-49A6-A998-555C8A329461}" w:val=" ADDIN NE.Ref.{5104D66B-E0C7-49A6-A998-555C8A329461}&lt;Citation&gt;&lt;Group&gt;&lt;References&gt;&lt;Item&gt;&lt;ID&gt;643&lt;/ID&gt;&lt;UID&gt;{7AB98618-CF1B-4927-8B79-E8E7C8CD2B11}&lt;/UID&gt;&lt;Title&gt;基于小波能量统计法的HVDC换相失败故障诊断&lt;/Title&gt;&lt;Template&gt;Journal Article&lt;/Template&gt;&lt;Star&gt;0&lt;/Star&gt;&lt;Tag&gt;0&lt;/Tag&gt;&lt;Author&gt;林凌雪; 张尧; 钟庆; 武志刚&lt;/Author&gt;&lt;Year&gt;2007&lt;/Year&gt;&lt;Details&gt;&lt;_accessed&gt;63444807&lt;/_accessed&gt;&lt;_accession_num&gt;CSCD:3047898_x000d__x000a_ER&lt;/_accession_num&gt;&lt;_cited_count&gt;1&lt;/_cited_count&gt;&lt;_collection_scope&gt;CSCD;PKU;EI&lt;/_collection_scope&gt;&lt;_created&gt;63444588&lt;/_created&gt;&lt;_date_display&gt;2007, 2007&lt;/_date_display&gt;&lt;_db_provider&gt;ISI&lt;/_db_provider&gt;&lt;_isbn&gt;1000-1026&lt;/_isbn&gt;&lt;_issue&gt;1000-1026(2007)31:23&amp;lt;61:JYXBNL&amp;gt;2.0.TX;2-M23&lt;/_issue&gt;&lt;_journal&gt;电力系统自动化&lt;/_journal&gt;&lt;_modified&gt;63444810&lt;/_modified&gt;&lt;_pages&gt;61-64&lt;/_pages&gt;&lt;_tertiary_title&gt;Automation of Electric Power Systems&lt;/_tertiary_title&gt;&lt;_translated_author&gt;LIN, Lingxue; ZHANG, Yao; ZHONG, Qing; WU, Zhigang&lt;/_translated_author&gt;&lt;_translated_title&gt;Fault Diagnosis of Commutation Failures in the HVDC System Based on a Method of Wavelet Energy Statistics &lt;/_translated_title&gt;&lt;_url&gt;CSCD:3047898 _x000d__x000a_https://kns.cnki.net/kns/download.aspx?filename=qhHdQRWOIVFUw10MwQ0QvRDbEJVU20Wa49mcDZ0NyBlQPV3Q5JUVxsmZXJ2NWFVcUhWd4NncUVWRJt2YFV1a29UNJdzVy92bYVzZYV1dHZGW2cTNH1kSzBnMN5UQmVUSv9iZSBnYykjM1YlQGJ2QNdFbDJlQ3AzK&amp;amp;tablename=CJFD2007&amp;amp;dflag=pdfdown _x000d__x000a_&lt;/_url&gt;&lt;_volume&gt;31&lt;/_volume&gt;&lt;/Details&gt;&lt;Extra&gt;&lt;DBUID&gt;{6891F4B0-DCBA-459A-9A22-3059983243D4}&lt;/DBUID&gt;&lt;/Extra&gt;&lt;/Item&gt;&lt;/References&gt;&lt;/Group&gt;&lt;/Citation&gt;_x000a_"/>
    <w:docVar w:name="NE.Ref{5122844F-A1CA-464F-9487-3EBB63BDE823}" w:val=" ADDIN NE.Ref.{5122844F-A1CA-464F-9487-3EBB63BDE823}&lt;Citation&gt;&lt;Group&gt;&lt;References&gt;&lt;Item&gt;&lt;ID&gt;822&lt;/ID&gt;&lt;UID&gt;{53A6D360-CDA7-4667-8607-5BC43D4B156B}&lt;/UID&gt;&lt;Title&gt;Impact of renewable energy penetration rate on power system transient voltage stability&lt;/Title&gt;&lt;Template&gt;Journal Article&lt;/Template&gt;&lt;Star&gt;0&lt;/Star&gt;&lt;Tag&gt;0&lt;/Tag&gt;&lt;Author&gt;Niu, Shuanbao; Zhang, Zhe; Ke, Xianbo; Zhang, Gang; Huo, Chao; Qin, Boyu&lt;/Author&gt;&lt;Year&gt;2022&lt;/Year&gt;&lt;Details&gt;&lt;_author_aff&gt;The School of Electrical Engineering, Xi’an Jiaotong University, Xi’an 710049, China;Northwest Power Dispatch and Control Center, Northwest Branch of State Grid Corporation of China, Xi’an 710048, China&lt;/_author_aff&gt;&lt;_collection_scope&gt;EI&lt;/_collection_scope&gt;&lt;_created&gt;64646629&lt;/_created&gt;&lt;_date&gt;2022-04-01&lt;/_date&gt;&lt;_db_updated&gt;CNKI - Reference&lt;/_db_updated&gt;&lt;_impact_factor&gt;   4.937&lt;/_impact_factor&gt;&lt;_issue&gt;S1&lt;/_issue&gt;&lt;_journal&gt;Energy Reports&lt;/_journal&gt;&lt;_keywords&gt;Transient voltage stability;Renewable energy penetration rate;ISS theory;Security and stability indices&lt;/_keywords&gt;&lt;_modified&gt;64646639&lt;/_modified&gt;&lt;_url&gt;https://kns.cnki.net/kcms/detail/detail.aspx?FileName=SJES2A5819ECAF0A1398A92BA69C5ABD4A57&amp;amp;DbName=GARJ2021_2&lt;/_url&gt;&lt;_volume&gt;8&lt;/_volume&gt;&lt;/Details&gt;&lt;Extra&gt;&lt;DBUID&gt;{6891F4B0-DCBA-459A-9A22-3059983243D4}&lt;/DBUID&gt;&lt;/Extra&gt;&lt;/Item&gt;&lt;/References&gt;&lt;/Group&gt;&lt;/Citation&gt;_x000a_"/>
    <w:docVar w:name="NE.Ref{517B762F-360F-4FBA-901B-0D8C00C0B560}" w:val=" ADDIN NE.Ref.{517B762F-360F-4FBA-901B-0D8C00C0B560}&lt;Citation&gt;&lt;Group&gt;&lt;References&gt;&lt;Item&gt;&lt;ID&gt;530&lt;/ID&gt;&lt;UID&gt;{022CDB3C-411E-47CA-99C7-ADF5817AEFD6}&lt;/UID&gt;&lt;Title&gt;《关于建立健全可再生能源电力消纳保障机制的通知》&lt;/Title&gt;&lt;Template&gt;Journal Article&lt;/Template&gt;&lt;Star&gt;0&lt;/Star&gt;&lt;Tag&gt;0&lt;/Tag&gt;&lt;Author&gt;张悦&lt;/Author&gt;&lt;Year&gt;2020&lt;/Year&gt;&lt;Details&gt;&lt;_created&gt;63659497&lt;/_created&gt;&lt;_db_provider&gt;CNKI&lt;/_db_provider&gt;&lt;_isbn&gt;2095-8676&lt;/_isbn&gt;&lt;_issue&gt;03&lt;/_issue&gt;&lt;_journal&gt;南方能源建设&lt;/_journal&gt;&lt;_keywords&gt;电力消纳;省级区域;《关于建立健全可再生能源电力消纳保障机制的通知》;可再生能源;保障机制;&lt;/_keywords&gt;&lt;_modified&gt;63659497&lt;/_modified&gt;&lt;_pages&gt;54&lt;/_pages&gt;&lt;_volume&gt;7&lt;/_volume&gt;&lt;_translated_author&gt;Zhang, Yue&lt;/_translated_author&gt;&lt;/Details&gt;&lt;Extra&gt;&lt;DBUID&gt;{F96A950B-833F-4880-A151-76DA2D6A2879}&lt;/DBUID&gt;&lt;/Extra&gt;&lt;/Item&gt;&lt;/References&gt;&lt;/Group&gt;&lt;/Citation&gt;_x000a_"/>
    <w:docVar w:name="NE.Ref{524973C0-1AB5-4524-BC20-ADE67D4C0F92}" w:val=" ADDIN NE.Ref.{524973C0-1AB5-4524-BC20-ADE67D4C0F92}&lt;Citation&gt;&lt;Group&gt;&lt;References&gt;&lt;Item&gt;&lt;ID&gt;421&lt;/ID&gt;&lt;UID&gt;{08ECBA8D-1FBE-4D81-A4D5-180B87BDA22A}&lt;/UID&gt;&lt;Title&gt;Integration of renewable energy sources in dynamic economic load dispatch problem using an improved fireworks algorithm&lt;/Title&gt;&lt;Template&gt;Journal Article&lt;/Template&gt;&lt;Star&gt;0&lt;/Star&gt;&lt;Tag&gt;0&lt;/Tag&gt;&lt;Author&gt;Kumar, Jadoun Vinay; Chandra, Pandey Vipin; Nikhil, Gupta; Rehman, Niazi Khaleequr; Anil, Swarnkar&lt;/Author&gt;&lt;Year&gt;2018&lt;/Year&gt;&lt;Details&gt;&lt;_collection_scope&gt;SCIE;EI&lt;/_collection_scope&gt;&lt;_created&gt;63643533&lt;/_created&gt;&lt;_impact_factor&gt;   3.894&lt;/_impact_factor&gt;&lt;_issue&gt;9&lt;/_issue&gt;&lt;_journal&gt;Iet Renewable Power Generation&lt;/_journal&gt;&lt;_modified&gt;63643533&lt;/_modified&gt;&lt;_pages&gt;1004-1011&lt;/_pages&gt;&lt;_volume&gt;12&lt;/_volume&gt;&lt;/Details&gt;&lt;Extra&gt;&lt;DBUID&gt;{F96A950B-833F-4880-A151-76DA2D6A2879}&lt;/DBUID&gt;&lt;/Extra&gt;&lt;/Item&gt;&lt;/References&gt;&lt;/Group&gt;&lt;/Citation&gt;_x000a_"/>
    <w:docVar w:name="NE.Ref{53A2B89A-FF88-4FDE-8A09-9620F85FDCDB}" w:val=" ADDIN NE.Ref.{53A2B89A-FF88-4FDE-8A09-9620F85FDCDB}&lt;Citation&gt;&lt;Group&gt;&lt;References&gt;&lt;Item&gt;&lt;ID&gt;591&lt;/ID&gt;&lt;UID&gt;{4BF5BE91-C5DF-49FB-B44E-41FC7C888E2B}&lt;/UID&gt;&lt;Title&gt;A Multiobjective Memetic Algorithm Based on Particle Swarm Optimization.&lt;/Title&gt;&lt;Template&gt;Journal Article&lt;/Template&gt;&lt;Star&gt;0&lt;/Star&gt;&lt;Tag&gt;0&lt;/Tag&gt;&lt;Author&gt;Dasheng; Liu; Tan; K.; C.; Goh; C.; K.; W.; K.&lt;/Author&gt;&lt;Year&gt;2007&lt;/Year&gt;&lt;Details&gt;&lt;_created&gt;63705108&lt;/_created&gt;&lt;_issue&gt;1&lt;/_issue&gt;&lt;_journal&gt;IEEE Transactions on Systems Man &amp;amp; Cybernetics Part B Cybernetics A Publication of the IEEE Systems Man &amp;amp; Cybernetics Society&lt;/_journal&gt;&lt;_modified&gt;63705108&lt;/_modified&gt;&lt;_pages&gt;42-50&lt;/_pages&gt;&lt;_volume&gt;37&lt;/_volume&gt;&lt;/Details&gt;&lt;Extra&gt;&lt;DBUID&gt;{F96A950B-833F-4880-A151-76DA2D6A2879}&lt;/DBUID&gt;&lt;/Extra&gt;&lt;/Item&gt;&lt;/References&gt;&lt;/Group&gt;&lt;/Citation&gt;_x000a_"/>
    <w:docVar w:name="NE.Ref{53A8CC5F-3331-408D-A3CE-162E5E3BC0C2}" w:val=" ADDIN NE.Ref.{53A8CC5F-3331-408D-A3CE-162E5E3BC0C2}&lt;Citation&gt;&lt;Group&gt;&lt;References&gt;&lt;Item&gt;&lt;ID&gt;477&lt;/ID&gt;&lt;UID&gt;{E36B792A-0F32-4CA8-99B4-F34E4DEB4890}&lt;/UID&gt;&lt;Title&gt;Decreasing the frequency of HVDC commutation failures caused by harmonics&lt;/Title&gt;&lt;Template&gt;Journal Article&lt;/Template&gt;&lt;Star&gt;0&lt;/Star&gt;&lt;Tag&gt;0&lt;/Tag&gt;&lt;Author&gt;Wang, Feng; Liu, Tian-qi; Li, Xing-yuan&lt;/Author&gt;&lt;Year&gt;2017&lt;/Year&gt;&lt;Details&gt;&lt;_accessed&gt;63445929&lt;/_accessed&gt;&lt;_accession_num&gt;WOS:000395529000009_x000d__x000a_ER&lt;/_accession_num&gt;&lt;_cited_count&gt;19&lt;/_cited_count&gt;&lt;_collection_scope&gt;SCIE;EI&lt;/_collection_scope&gt;&lt;_created&gt;63444588&lt;/_created&gt;&lt;_date_display&gt;2017, FEB 10 2017&lt;/_date_display&gt;&lt;_db_provider&gt;ISI&lt;/_db_provider&gt;&lt;_doi&gt;10.1049/iet-pel.2016.0230&lt;/_doi&gt;&lt;_impact_factor&gt;   2.112&lt;/_impact_factor&gt;&lt;_isbn&gt;1755-4535&lt;/_isbn&gt;&lt;_issue&gt;2&lt;/_issue&gt;&lt;_journal&gt;IET POWER ELECTRONICS&lt;/_journal&gt;&lt;_modified&gt;64498622&lt;/_modified&gt;&lt;_pages&gt;215-221&lt;/_pages&gt;&lt;_url&gt;http://gateway.isiknowledge.com/gateway/Gateway.cgi?GWVersion=2&amp;amp;SrcAuth=AegeanSoftware&amp;amp;SrcApp=NoteExpress&amp;amp;DestLinkType=FullRecord&amp;amp;DestApp=WOS&amp;amp;KeyUT=000395529000009 _x000d__x000a_https://ieeexplore.ieee.org/stampPDF/getPDF.jsp?tp=&amp;amp;arnumber=7845153&amp;amp;ref=aHR0cHM6Ly9pZWVleHBsb3JlLmllZWUub3JnL3Jlc3Qvc2VhcmNo _x000d__x000a_&lt;/_url&gt;&lt;_volume&gt;10&lt;/_volume&gt;&lt;/Details&gt;&lt;Extra&gt;&lt;DBUID&gt;{6891F4B0-DCBA-459A-9A22-3059983243D4}&lt;/DBUID&gt;&lt;/Extra&gt;&lt;/Item&gt;&lt;/References&gt;&lt;/Group&gt;&lt;/Citation&gt;_x000a_"/>
    <w:docVar w:name="NE.Ref{53F00FDE-0D79-414D-925E-1E7755D039AC}" w:val=" ADDIN NE.Ref.{53F00FDE-0D79-414D-925E-1E7755D039AC}&lt;Citation&gt;&lt;Group&gt;&lt;References&gt;&lt;Item&gt;&lt;ID&gt;52&lt;/ID&gt;&lt;UID&gt;{DC8C0CBB-6012-4CCA-850E-59A00BBF2E75}&lt;/UID&gt;&lt;Title&gt;发输电系统鲁棒优化规划研究综述与展望&lt;/Title&gt;&lt;Template&gt;Journal Article&lt;/Template&gt;&lt;Star&gt;0&lt;/Star&gt;&lt;Tag&gt;0&lt;/Tag&gt;&lt;Author&gt;袁杨; 张衡; 程浩忠; 柳璐; 张啸虎; 励刚; 张建平&lt;/Author&gt;&lt;Year&gt;2021&lt;/Year&gt;&lt;Details&gt;&lt;_accessed&gt;64304048&lt;/_accessed&gt;&lt;_author_aff&gt;上海交通大学电力传输与功率变换控制教育部重点实验室;国家电网有限公司华东分部;&lt;/_author_aff&gt;&lt;_collection_scope&gt;CSCD;PKU;EI&lt;/_collection_scope&gt;&lt;_created&gt;64100010&lt;/_created&gt;&lt;_date&gt;63967680&lt;/_date&gt;&lt;_db_updated&gt;CNKI - Reference&lt;/_db_updated&gt;&lt;_journal&gt;电力自动化设备&lt;/_journal&gt;&lt;_keywords&gt;发输电系统;优化规划;不确定性;鲁棒优化;分布鲁棒优化&lt;/_keywords&gt;&lt;_language&gt;Chinese&lt;/_language&gt;&lt;_modified&gt;64272563&lt;/_modified&gt;&lt;_pages&gt;1-11&lt;/_pages&gt;&lt;_url&gt;https://kns.cnki.net/kcms/detail/detail.aspx?FileName=DLZS20210813000&amp;amp;DbName=CAPJ2021&lt;/_url&gt;&lt;_translated_author&gt;Yuan, Yang;Zhang, Heng;Cheng, Haozhong;Liu, Lu;Zhang, Xiaohu;Li, Gang;Zhang, Jianping&lt;/_translated_author&gt;&lt;/Details&gt;&lt;Extra&gt;&lt;DBUID&gt;{560D5FFD-5A46-4EB8-859B-FD657304A42E}&lt;/DBUID&gt;&lt;/Extra&gt;&lt;/Item&gt;&lt;/References&gt;&lt;/Group&gt;&lt;/Citation&gt;_x000a_"/>
    <w:docVar w:name="NE.Ref{54194105-6F9E-4BB6-AD7A-6D1781A9334D}" w:val=" ADDIN NE.Ref.{54194105-6F9E-4BB6-AD7A-6D1781A9334D}&lt;Citation&gt;&lt;Group&gt;&lt;References&gt;&lt;Item&gt;&lt;ID&gt;1014&lt;/ID&gt;&lt;UID&gt;{9A154123-7EF8-43BE-AB47-8D7F093BCB2A}&lt;/UID&gt;&lt;Title&gt;Transient stability margin assessment of AC/DC hybrid system with commutation failure involved&lt;/Title&gt;&lt;Template&gt;Journal Article&lt;/Template&gt;&lt;Star&gt;0&lt;/Star&gt;&lt;Tag&gt;0&lt;/Tag&gt;&lt;Author&gt;Hu, J W; Wang, T; Wang, Z P&lt;/Author&gt;&lt;Year&gt;2021&lt;/Year&gt;&lt;Details&gt;&lt;_alternate_title&gt;INTERNATIONAL JOURNAL OF ELECTRICAL POWER &amp;amp; ENERGY SYSTEMS&lt;/_alternate_title&gt;&lt;_author_adr&gt;North China Elect Power Univ, Beijing, Peoples R China&lt;/_author_adr&gt;&lt;_cited_count&gt;3&lt;/_cited_count&gt;&lt;_date_display&gt;2021&lt;/_date_display&gt;&lt;_date&gt;2021-01-01&lt;/_date&gt;&lt;_doi&gt;10.1016/j.ijepes.2021.107056&lt;/_doi&gt;&lt;_journal&gt;INTERNATIONAL JOURNAL OF ELECTRICAL POWER &amp;amp; ENERGY SYSTEMS&lt;/_journal&gt;&lt;_keywords&gt;AC; DC hybrid system; Commutation failure; Energy function; Transient stability margin assessment&lt;/_keywords&gt;&lt;_volume&gt;131&lt;/_volume&gt;&lt;_created&gt;64779628&lt;/_created&gt;&lt;_modified&gt;64779628&lt;/_modified&gt;&lt;_db_updated&gt;Web of Science-Core&lt;/_db_updated&gt;&lt;_impact_factor&gt;   5.659&lt;/_impact_factor&gt;&lt;_collection_scope&gt;SCIE;EI&lt;/_collection_scope&gt;&lt;/Details&gt;&lt;Extra&gt;&lt;DBUID&gt;{6891F4B0-DCBA-459A-9A22-3059983243D4}&lt;/DBUID&gt;&lt;/Extra&gt;&lt;/Item&gt;&lt;/References&gt;&lt;/Group&gt;&lt;/Citation&gt;_x000a_"/>
    <w:docVar w:name="NE.Ref{5477A8B0-B5D9-4FB5-BE57-179A3156A41E}" w:val=" ADDIN NE.Ref.{5477A8B0-B5D9-4FB5-BE57-179A3156A41E}&lt;Citation&gt;&lt;Group&gt;&lt;References&gt;&lt;Item&gt;&lt;ID&gt;112&lt;/ID&gt;&lt;UID&gt;{AD3A6677-77D2-4558-9D0E-ADE75062CFC6}&lt;/UID&gt;&lt;Title&gt;计及需求侧响应的电力系统鲁棒优化规划模型&lt;/Title&gt;&lt;Template&gt;Journal Article&lt;/Template&gt;&lt;Star&gt;0&lt;/Star&gt;&lt;Tag&gt;0&lt;/Tag&gt;&lt;Author&gt;曾鸣; 杨雍琦; 向红伟; 王丽华; 孙静惠&lt;/Author&gt;&lt;Year&gt;2016&lt;/Year&gt;&lt;Details&gt;&lt;_accessed&gt;64357575&lt;/_accessed&gt;&lt;_author_aff&gt;华北电力大学经济与管理学院;新能源电力系统国家重点实验室(华北电力大学);&lt;/_author_aff&gt;&lt;_cited_count&gt;70&lt;/_cited_count&gt;&lt;_collection_scope&gt;CSCD;PKU;EI&lt;/_collection_scope&gt;&lt;_created&gt;64357568&lt;/_created&gt;&lt;_date&gt;61374240&lt;/_date&gt;&lt;_db_updated&gt;CNKI - Reference&lt;/_db_updated&gt;&lt;_issue&gt;17&lt;/_issue&gt;&lt;_journal&gt;电力系统自动化&lt;/_journal&gt;&lt;_keywords&gt;需求侧响应;鲁棒优化;电力系统规划;非支配排序遗传算法&lt;/_keywords&gt;&lt;_language&gt;Chinese&lt;/_language&gt;&lt;_modified&gt;64357575&lt;/_modified&gt;&lt;_pages&gt;137-145&lt;/_pages&gt;&lt;_url&gt;https://kns.cnki.net/kcms/detail/detail.aspx?FileName=DLXT201617019&amp;amp;DbName=CJFQ2016&lt;/_url&gt;&lt;_volume&gt;40&lt;/_volume&gt;&lt;_translated_author&gt;Ceng, Ming;Yang, Yongqi;Xiang, Hongwei;Wang, Lihua;Sun, Jinghui&lt;/_translated_author&gt;&lt;/Details&gt;&lt;Extra/&gt;&lt;/Item&gt;&lt;/References&gt;&lt;/Group&gt;&lt;/Citation&gt;_x000a_"/>
    <w:docVar w:name="NE.Ref{54A54366-BB57-41FC-9979-1AB8D1279A63}" w:val=" ADDIN NE.Ref.{54A54366-BB57-41FC-9979-1AB8D1279A63}&lt;Citation&gt;&lt;Group&gt;&lt;References&gt;&lt;Item&gt;&lt;ID&gt;610&lt;/ID&gt;&lt;UID&gt;{045C971A-0485-49C8-AC89-2F66CF48B110}&lt;/UID&gt;&lt;Title&gt;电容换相换流器在预防高压直流换相失败上的特性研究 &lt;/Title&gt;&lt;Template&gt;Journal Article&lt;/Template&gt;&lt;Star&gt;0&lt;/Star&gt;&lt;Tag&gt;0&lt;/Tag&gt;&lt;Author&gt;李思思; 贺兴容; 明志强; 王渝红; 李兴源; 何鹏飞&lt;/Author&gt;&lt;Year&gt;2011&lt;/Year&gt;&lt;Details&gt;&lt;_accessed&gt;63445736&lt;/_accessed&gt;&lt;_accession_num&gt;CSCD:4301839_x000d__x000a_ER&lt;/_accession_num&gt;&lt;_cited_count&gt;0&lt;/_cited_count&gt;&lt;_collection_scope&gt;CSCD;PKU&lt;/_collection_scope&gt;&lt;_created&gt;63444588&lt;/_created&gt;&lt;_date_display&gt;2011, 2011&lt;/_date_display&gt;&lt;_db_provider&gt;ISI&lt;/_db_provider&gt;&lt;_isbn&gt;1674-3415&lt;/_isbn&gt;&lt;_issue&gt;1674-3415(2011)39:18&amp;lt;88:DRHXHL&amp;gt;2.0.TX;2-I18&lt;/_issue&gt;&lt;_journal&gt;电力系统保护与控制&lt;/_journal&gt;&lt;_modified&gt;63445738&lt;/_modified&gt;&lt;_pages&gt;88-92,133&lt;/_pages&gt;&lt;_tertiary_title&gt;Power System Protection and Control &lt;/_tertiary_title&gt;&lt;_translated_author&gt;LI, Sisi; HE, Xingrong; MING, Zhiqiang; WANG, Yuhong; LI, Xingyuan; HE, Pengfei&lt;/_translated_author&gt;&lt;_translated_title&gt;Characteristics of capacitor commutated converter in the prevention of HVDC in commutation failure&lt;/_translated_title&gt;&lt;_url&gt;CSCD:4301839 _x000d__x000a_https://kns.cnki.net/kns/download.aspx?filename=a5mbNNUc1N1bGNXS1VWWn10R2Qna4cnQXtWS3djbl5mQmdzK4FVeX10aJJ1VilldQR0YDlVe5p0Sjl1TmlHU3hjdhtSRTFzT4Z1MEtSZWdHdZ9SVrMGVwBzVTNnWvEDWDBVempne2JjQ5QVYEJHajFVd1UmeYZFO&amp;amp;tablename=CJFD2011&amp;amp;dflag=pdfdown _x000d__x000a_&lt;/_url&gt;&lt;_volume&gt;39&lt;/_volume&gt;&lt;/Details&gt;&lt;Extra&gt;&lt;DBUID&gt;{6891F4B0-DCBA-459A-9A22-3059983243D4}&lt;/DBUID&gt;&lt;/Extra&gt;&lt;/Item&gt;&lt;/References&gt;&lt;/Group&gt;&lt;Group&gt;&lt;References&gt;&lt;Item&gt;&lt;ID&gt;557&lt;/ID&gt;&lt;UID&gt;{B637F39A-B705-4679-9251-CE3B2DF98D3D}&lt;/UID&gt;&lt;Title&gt;提高直流输电换相能力的强迫换相拓扑结构研究&lt;/Title&gt;&lt;Template&gt;Journal Article&lt;/Template&gt;&lt;Star&gt;0&lt;/Star&gt;&lt;Tag&gt;0&lt;/Tag&gt;&lt;Author&gt;赵成勇; 李春华; 李路遥; 刘羽超; 许韦华; 阳岳希&lt;/Author&gt;&lt;Year&gt;2015&lt;/Year&gt;&lt;Details&gt;&lt;_accessed&gt;63445913&lt;/_accessed&gt;&lt;_accession_num&gt;CSCD:5486612_x000d__x000a_ER&lt;/_accession_num&gt;&lt;_cited_count&gt;0&lt;/_cited_count&gt;&lt;_collection_scope&gt;CSCD;PKU;EI&lt;/_collection_scope&gt;&lt;_created&gt;63444588&lt;/_created&gt;&lt;_date_display&gt;2015, 2015&lt;/_date_display&gt;&lt;_db_provider&gt;ISI&lt;/_db_provider&gt;&lt;_isbn&gt;1003-6520&lt;/_isbn&gt;&lt;_issue&gt;1003-6520(2015)41:7&amp;lt;2370:TGZLSD&amp;gt;2.0.TX;2-V7&lt;/_issue&gt;&lt;_journal&gt;高电压技术&lt;/_journal&gt;&lt;_modified&gt;63445913&lt;/_modified&gt;&lt;_pages&gt;2370-2377&lt;/_pages&gt;&lt;_tertiary_title&gt;High Voltage Engineering&lt;/_tertiary_title&gt;&lt;_translated_author&gt;Zhao, Chengyong; Li, Chunhua; Li, Luyao; Liu, Yuchao; Xu, Weihua; Yang, Yuexi&lt;/_translated_author&gt;&lt;_translated_title&gt;Forced Commutation Topology to Improve Ability of HVDC Commutation&lt;/_translated_title&gt;&lt;_url&gt;CSCD:5486612&lt;/_url&gt;&lt;_volume&gt;41&lt;/_volume&gt;&lt;/Details&gt;&lt;Extra&gt;&lt;DBUID&gt;{6891F4B0-DCBA-459A-9A22-3059983243D4}&lt;/DBUID&gt;&lt;/Extra&gt;&lt;/Item&gt;&lt;/References&gt;&lt;/Group&gt;&lt;Group&gt;&lt;References&gt;&lt;Item&gt;&lt;ID&gt;573&lt;/ID&gt;&lt;UID&gt;{38D44A6F-4E7C-4723-963A-895803478946}&lt;/UID&gt;&lt;Title&gt;降低直流输电换相失败概率的改进拓扑及其控制策略&lt;/Title&gt;&lt;Template&gt;Journal Article&lt;/Template&gt;&lt;Star&gt;0&lt;/Star&gt;&lt;Tag&gt;5&lt;/Tag&gt;&lt;Author&gt;倪晓军; 赵成勇; 许韦华; 刘羽超; 郭春义; 阳岳希&lt;/Author&gt;&lt;Year&gt;2015&lt;/Year&gt;&lt;Details&gt;&lt;_accessed&gt;63445918&lt;/_accessed&gt;&lt;_accession_num&gt;CSCD:5356555_x000d__x000a_ER&lt;/_accession_num&gt;&lt;_cited_count&gt;1&lt;/_cited_count&gt;&lt;_collection_scope&gt;CSCD;PKU;EI&lt;/_collection_scope&gt;&lt;_created&gt;63444588&lt;/_created&gt;&lt;_date_display&gt;2015, 2015&lt;/_date_display&gt;&lt;_db_provider&gt;ISI&lt;/_db_provider&gt;&lt;_isbn&gt;0258-8013&lt;/_isbn&gt;&lt;_issue&gt;0258-8013(2015)35:4&amp;lt;811:JDZLSD&amp;gt;2.0.TX;2-34&lt;/_issue&gt;&lt;_journal&gt;中国电机工程学报&lt;/_journal&gt;&lt;_modified&gt;63502062&lt;/_modified&gt;&lt;_pages&gt;811-820&lt;/_pages&gt;&lt;_tertiary_title&gt;Proceedings of the Chinese Society of Electrical Engineering&lt;/_tertiary_title&gt;&lt;_translated_author&gt;Ni, Xiaojun; Zhao, Chengyong; Xu, Weihua; Liu, Yuchao; Guo, Chunyi; Yang, Yuexi&lt;/_translated_author&gt;&lt;_translated_title&gt;An Improved Topology to Decrease the Commutation Failure in LCC-HVDC and Its Control Strategy&lt;/_translated_title&gt;&lt;_url&gt;CSCD:5356555&lt;/_url&gt;&lt;_volume&gt;35&lt;/_volume&gt;&lt;/Details&gt;&lt;Extra&gt;&lt;DBUID&gt;{6891F4B0-DCBA-459A-9A22-3059983243D4}&lt;/DBUID&gt;&lt;/Extra&gt;&lt;/Item&gt;&lt;/References&gt;&lt;/Group&gt;&lt;Group&gt;&lt;References&gt;&lt;Item&gt;&lt;ID&gt;478&lt;/ID&gt;&lt;UID&gt;{B6EFA1FF-23CF-4182-9F90-568E5530C068}&lt;/UID&gt;&lt;Title&gt;An Evolutional Line-Commutated Converter Integrated With Thyristor-Based Full-Bridge Module to Mitigate the Commutation Failure&lt;/Title&gt;&lt;Template&gt;Journal Article&lt;/Template&gt;&lt;Star&gt;0&lt;/Star&gt;&lt;Tag&gt;0&lt;/Tag&gt;&lt;Author&gt;Guo, Chunyi; Li, Chunhua; Zhao, Chengyong; Ni, Xiaojun; Zha, Kunpeng; Xu, Weihua&lt;/Author&gt;&lt;Year&gt;2017&lt;/Year&gt;&lt;Details&gt;&lt;_accessed&gt;63445929&lt;/_accessed&gt;&lt;_accession_num&gt;WOS:000388867300012_x000d__x000a_ER&lt;/_accession_num&gt;&lt;_cited_count&gt;16&lt;/_cited_count&gt;&lt;_collection_scope&gt;SCI;SCIE;EI&lt;/_collection_scope&gt;&lt;_created&gt;63444588&lt;/_created&gt;&lt;_date_display&gt;2017, FEB 2017&lt;/_date_display&gt;&lt;_db_provider&gt;ISI&lt;/_db_provider&gt;&lt;_doi&gt;10.1109/TPEL.2016.2544107&lt;/_doi&gt;&lt;_impact_factor&gt;   6.373&lt;/_impact_factor&gt;&lt;_isbn&gt;0885-8993&lt;/_isbn&gt;&lt;_issue&gt;2&lt;/_issue&gt;&lt;_journal&gt;IEEE TRANSACTIONS ON POWER ELECTRONICS&lt;/_journal&gt;&lt;_modified&gt;63446050&lt;/_modified&gt;&lt;_pages&gt;967-976&lt;/_pages&gt;&lt;_url&gt;http://gateway.isiknowledge.com/gateway/Gateway.cgi?GWVersion=2&amp;amp;SrcAuth=AegeanSoftware&amp;amp;SrcApp=NoteExpress&amp;amp;DestLinkType=FullRecord&amp;amp;DestApp=WOS&amp;amp;KeyUT=000388867300012 _x000d__x000a_https://ieeexplore.ieee.org/stampPDF/getPDF.jsp?tp=&amp;amp;arnumber=7436805&amp;amp;ref=aHR0cHM6Ly9pZWVleHBsb3JlLmllZWUub3JnL3Jlc3Qvc2VhcmNo _x000d__x000a_&lt;/_url&gt;&lt;_volume&gt;32&lt;/_volume&gt;&lt;/Details&gt;&lt;Extra&gt;&lt;DBUID&gt;{6891F4B0-DCBA-459A-9A22-3059983243D4}&lt;/DBUID&gt;&lt;/Extra&gt;&lt;/Item&gt;&lt;/References&gt;&lt;/Group&gt;&lt;Group&gt;&lt;References&gt;&lt;Item&gt;&lt;ID&gt;435&lt;/ID&gt;&lt;UID&gt;{482B683F-1FD5-4D6A-9DD0-B19E42B4A8E4}&lt;/UID&gt;&lt;Title&gt;Commutation Failure Elimination of LCC HVDC Systems Using Thyristor-Based Controllable Capacitors&lt;/Title&gt;&lt;Template&gt;Journal Article&lt;/Template&gt;&lt;Star&gt;0&lt;/Star&gt;&lt;Tag&gt;0&lt;/Tag&gt;&lt;Author&gt;Xue, Ying; Zhang, Xiao-Ping; Yang, Conghuan&lt;/Author&gt;&lt;Year&gt;2018&lt;/Year&gt;&lt;Details&gt;&lt;_accessed&gt;63446087&lt;/_accessed&gt;&lt;_accession_num&gt;WOS:000429740200044_x000d__x000a_ER&lt;/_accession_num&gt;&lt;_cited_count&gt;18&lt;/_cited_count&gt;&lt;_collection_scope&gt;SCI;SCIE;EI&lt;/_collection_scope&gt;&lt;_created&gt;63444588&lt;/_created&gt;&lt;_date_display&gt;2018, JUN 2018&lt;/_date_display&gt;&lt;_db_provider&gt;ISI&lt;/_db_provider&gt;&lt;_db_updated&gt;CrossRef&lt;/_db_updated&gt;&lt;_doi&gt;10.1109/TPWRD.2017.2776867&lt;/_doi&gt;&lt;_impact_factor&gt;   3.681&lt;/_impact_factor&gt;&lt;_isbn&gt;0885-8977&lt;/_isbn&gt;&lt;_issue&gt;3&lt;/_issue&gt;&lt;_journal&gt;IEEE Transactions on Power Delivery&lt;/_journal&gt;&lt;_modified&gt;63446087&lt;/_modified&gt;&lt;_pages&gt;1448-1458&lt;/_pages&gt;&lt;_tertiary_title&gt;IEEE Trans. Power Delivery&lt;/_tertiary_title&gt;&lt;_url&gt;https://ieeexplore.ieee.org/document/8231202/ _x000d__x000a_http://xplorestaging.ieee.org/ielx7/61/8332909/08231202.pdf?arnumber=8231202 _x000d__x000a_https://ieeexplore.ieee.org/ielx7/61/8332909/08231202.pdf?tp=&amp;amp;arnumber=8231202&amp;amp;isnumber=8332909&amp;amp;ref=aHR0cHM6Ly9pZWVleHBsb3JlLmllZWUub3JnL3Jlc3Qvc2VhcmNo _x000d__x000a_&lt;/_url&gt;&lt;_volume&gt;33&lt;/_volume&gt;&lt;/Details&gt;&lt;Extra&gt;&lt;DBUID&gt;{6891F4B0-DCBA-459A-9A22-3059983243D4}&lt;/DBUID&gt;&lt;/Extra&gt;&lt;/Item&gt;&lt;/References&gt;&lt;/Group&gt;&lt;Group&gt;&lt;References&gt;&lt;Item&gt;&lt;ID&gt;442&lt;/ID&gt;&lt;UID&gt;{B882A204-28E0-42A0-BF02-4F1D1FE9B661}&lt;/UID&gt;&lt;Title&gt;抑制高压直流换相失败的串联电压换相变流器及控制方法&lt;/Title&gt;&lt;Template&gt;Journal Article&lt;/Template&gt;&lt;Star&gt;0&lt;/Star&gt;&lt;Tag&gt;0&lt;/Tag&gt;&lt;Author&gt;侯灵犀; 魏应冬; 张树卿; 姜齐荣; 韩英铎&lt;/Author&gt;&lt;Year&gt;2018&lt;/Year&gt;&lt;Details&gt;&lt;_accessed&gt;63445962&lt;/_accessed&gt;&lt;_accession_num&gt;CSCD:6385426_x000d__x000a_ER&lt;/_accession_num&gt;&lt;_cited_count&gt;1&lt;/_cited_count&gt;&lt;_collection_scope&gt;CSCD;PKU;EI&lt;/_collection_scope&gt;&lt;_created&gt;63444588&lt;/_created&gt;&lt;_date_display&gt;2018, 2018&lt;/_date_display&gt;&lt;_db_provider&gt;ISI&lt;/_db_provider&gt;&lt;_isbn&gt;0258-8013&lt;/_isbn&gt;&lt;_issue&gt;0258-8013(2018)38:22&amp;lt;6481:YZGYZL&amp;gt;2.0.TX;2-322&lt;/_issue&gt;&lt;_journal&gt;中国电机工程学报&lt;/_journal&gt;&lt;_modified&gt;63445962&lt;/_modified&gt;&lt;_pages&gt;6481-6491&lt;/_pages&gt;&lt;_tertiary_title&gt;Proceedings of the Chinese Society of Electrical Engineering&lt;/_tertiary_title&gt;&lt;_translated_author&gt;Hou, Lingxi; Wei, Yingdong; Zhang, Shuqing; Jiang, Qirong; Han, Yingduo&lt;/_translated_author&gt;&lt;_translated_title&gt;Series Voltage Commutated Converter to Suppress HVDC Commutation Failure and Its Control Strategy&lt;/_translated_title&gt;&lt;_url&gt;CSCD:6385426&lt;/_url&gt;&lt;_volume&gt;38&lt;/_volume&gt;&lt;/Details&gt;&lt;Extra&gt;&lt;DBUID&gt;{6891F4B0-DCBA-459A-9A22-3059983243D4}&lt;/DBUID&gt;&lt;/Extra&gt;&lt;/Item&gt;&lt;/References&gt;&lt;/Group&gt;&lt;/Citation&gt;_x000a_"/>
    <w:docVar w:name="NE.Ref{552820C9-72AF-4F95-8517-32574D93C4DD}" w:val=" ADDIN NE.Ref.{552820C9-72AF-4F95-8517-32574D93C4DD}&lt;Citation&gt;&lt;Group&gt;&lt;References&gt;&lt;Item&gt;&lt;ID&gt;520&lt;/ID&gt;&lt;UID&gt;{B6220A73-5654-42C6-AC86-6FA5F0F94F07}&lt;/UID&gt;&lt;Title&gt;考虑直流电流上升及交流电压下降速度的换相失败分析&lt;/Title&gt;&lt;Template&gt;Journal Article&lt;/Template&gt;&lt;Star&gt;0&lt;/Star&gt;&lt;Tag&gt;0&lt;/Tag&gt;&lt;Author&gt;王峰; 刘天琪; 李兴源; 杨稼祥&lt;/Author&gt;&lt;Year&gt;2016&lt;/Year&gt;&lt;Details&gt;&lt;_accessed&gt;63445920&lt;/_accessed&gt;&lt;_accession_num&gt;CSCD:5859063_x000d__x000a_ER&lt;/_accession_num&gt;&lt;_cited_count&gt;1&lt;/_cited_count&gt;&lt;_created&gt;63444588&lt;/_created&gt;&lt;_date_display&gt;2016, 2016&lt;/_date_display&gt;&lt;_db_provider&gt;ISI&lt;/_db_provider&gt;&lt;_isbn&gt;1000-1026&lt;/_isbn&gt;&lt;_issue&gt;1000-1026(2016)40:22&amp;lt;111:KLZLDL&amp;gt;2.0.TX;2-Q22&lt;/_issue&gt;&lt;_journal&gt;电力系统自动化 &lt;/_journal&gt;&lt;_modified&gt;63552605&lt;/_modified&gt;&lt;_pages&gt;111-117&lt;/_pages&gt;&lt;_tertiary_title&gt;Automation of Electric Power Systems&lt;/_tertiary_title&gt;&lt;_translated_author&gt;Wang, Feng; Liu, Tianqi; Li, Xingyuan; Yang, Jiaxiang&lt;/_translated_author&gt;&lt;_translated_title&gt;Commutation Failure Analysis Considering DC Current Rise and AC Voltage Drop Speed &lt;/_translated_title&gt;&lt;_url&gt;CSCD:5859063 _x000d__x000a_https://kns.cnki.net/kcms/download.aspx?filename=ZZXRY92VzVFVrckNv1GeJZETTtCRWllcYBzdUNDNtlWa6FVR6dnMWZzRnN0bzQzdwhUaYpXTWZXRIJWUMNHeYBHbHN1YBVXYChDbWtSbqdnRnd1YTpGSEd2U4YmNzcjMSpVOrVTNxN1cypWav1UQh12SyJWR14kM&amp;amp;tablename=CJFDLAST2016&amp;amp;dflag=pdfdown _x000d__x000a_&lt;/_url&gt;&lt;_volume&gt;40&lt;/_volume&gt;&lt;/Details&gt;&lt;Extra&gt;&lt;DBUID&gt;{6891F4B0-DCBA-459A-9A22-3059983243D4}&lt;/DBUID&gt;&lt;/Extra&gt;&lt;/Item&gt;&lt;/References&gt;&lt;/Group&gt;&lt;/Citation&gt;_x000a_"/>
    <w:docVar w:name="NE.Ref{556DDAD3-1738-4AF0-8895-870D3CB41F2D}" w:val=" ADDIN NE.Ref.{556DDAD3-1738-4AF0-8895-870D3CB41F2D}&lt;Citation&gt;&lt;Group&gt;&lt;References&gt;&lt;Item&gt;&lt;ID&gt;608&lt;/ID&gt;&lt;UID&gt;{61B02C9A-6F9A-47E5-A13A-EBC865384D36}&lt;/UID&gt;&lt;Title&gt;Energy Pricing and Management for Park-level Energy Internets with Electric Vehicles and Power-to-gas Devices&lt;/Title&gt;&lt;Template&gt;Journal Article&lt;/Template&gt;&lt;Star&gt;0&lt;/Star&gt;&lt;Tag&gt;0&lt;/Tag&gt;&lt;Author&gt;Li, Yuan; Feng, Changsen; Wen, Fushuan; Wang, Ke; Huang, Yuchun&lt;/Author&gt;&lt;Year&gt;2018&lt;/Year&gt;&lt;Details&gt;&lt;_accession_num&gt;CSCD:6305927_x000d__x000a_ER&lt;/_accession_num&gt;&lt;_cited_count&gt;5&lt;/_cited_count&gt;&lt;_created&gt;63705309&lt;/_created&gt;&lt;_date_display&gt;2018, 2018&lt;/_date_display&gt;&lt;_db_provider&gt;ISI&lt;/_db_provider&gt;&lt;_isbn&gt;1000-1026&lt;/_isbn&gt;&lt;_issue&gt;1000-1026(2018)42:16&amp;lt;1:HDDQCH&amp;gt;2.0.TX;2-V16&lt;/_issue&gt;&lt;_journal&gt;Automation of Electric Power Systems&lt;/_journal&gt;&lt;_modified&gt;63705309&lt;/_modified&gt;&lt;_pages&gt;1-10&lt;/_pages&gt;&lt;_tertiary_title&gt;电力系统自动化&lt;/_tertiary_title&gt;&lt;_translated_author&gt;李媛_x000d__x000a_   冯昌森_x000d__x000a_   文福拴_x000d__x000a_   王珂_x000d__x000a_   黄裕春&lt;/_translated_author&gt;&lt;_translated_title&gt;含电动汽车和电转气的园区能源互联网能源定价与管理&lt;/_translated_title&gt;&lt;_url&gt;CSCD:6305927&lt;/_url&gt;&lt;_volume&gt;42&lt;/_volume&gt;&lt;/Details&gt;&lt;Extra&gt;&lt;DBUID&gt;{F96A950B-833F-4880-A151-76DA2D6A2879}&lt;/DBUID&gt;&lt;/Extra&gt;&lt;/Item&gt;&lt;/References&gt;&lt;/Group&gt;&lt;/Citation&gt;_x000a_"/>
    <w:docVar w:name="NE.Ref{56DE703E-BC7B-4C38-A560-B8EB67B40B39}" w:val=" ADDIN NE.Ref.{56DE703E-BC7B-4C38-A560-B8EB67B40B39}&lt;Citation&gt;&lt;Group&gt;&lt;References&gt;&lt;Item&gt;&lt;ID&gt;60&lt;/ID&gt;&lt;UID&gt;{C6E9240B-9A2A-4689-B181-19E4FA59B3E8}&lt;/UID&gt;&lt;Title&gt;Modeling of CIGRE benchmark HVDC system using PSS/E compared with PSCAD&lt;/Title&gt;&lt;Template&gt;Conference Paper&lt;/Template&gt;&lt;Star&gt;0&lt;/Star&gt;&lt;Tag&gt;0&lt;/Tag&gt;&lt;Author&gt;D. Kwon; H. Moon; R. Kim; C. Kim; S. Moon&lt;/Author&gt;&lt;Year&gt;2015&lt;/Year&gt;&lt;Details&gt;&lt;_accessed&gt;63483426&lt;/_accessed&gt;&lt;_created&gt;62974709&lt;/_created&gt;&lt;_db_updated&gt;IEEE&lt;/_db_updated&gt;&lt;_doi&gt;10.1109/IYCE.2015.7180781&lt;/_doi&gt;&lt;_keywords&gt;differential equations; HVDC power convertors; HVDC power transmission; power conversion; power system control; power system simulation; CIGRE benchmark HVDC system modeling; PSS/E; PSCAD; DC line; control mode selection; equation conversion; different equations; DC voltage; DC power; DC transmission lines; ABB control; AREVA control; converter firing control; HVDC transmission; Mathematical model; Rectifiers; Voltage control; Inverters; PSCAD; Benchmark testing; HVDC transmission; CIGRE HVDC benchmark model; modeling; PSS/E&lt;/_keywords&gt;&lt;_modified&gt;63483426&lt;/_modified&gt;&lt;_pages&gt;1-8&lt;/_pages&gt;&lt;_secondary_title&gt;2015 5th International Youth Conference on Energy (IYCE)_x000d__x000a_2015 5th International Youth Conference on Energy (IYCE)&lt;/_secondary_title&gt;&lt;_url&gt;https://dx.doi.org/10.1109/IYCE.2015.7180781&lt;/_url&gt;&lt;/Details&gt;&lt;Extra&gt;&lt;DBUID&gt;{FF6D417D-54CD-4172-94D1-F718DDCF0579}&lt;/DBUID&gt;&lt;/Extra&gt;&lt;/Item&gt;&lt;/References&gt;&lt;/Group&gt;&lt;/Citation&gt;_x000a_"/>
    <w:docVar w:name="NE.Ref{56F4E913-6CEC-4F5B-B029-740A1DE78A4B}" w:val=" ADDIN NE.Ref.{56F4E913-6CEC-4F5B-B029-740A1DE78A4B}&lt;Citation&gt;&lt;Group&gt;&lt;References&gt;&lt;Item&gt;&lt;ID&gt;379&lt;/ID&gt;&lt;UID&gt;{03E4BB98-F3A1-406F-8BD4-8BA99ADD2557}&lt;/UID&gt;&lt;Title&gt;单极闭锁引起直流健全极换相失败分析&lt;/Title&gt;&lt;Template&gt;Journal Article&lt;/Template&gt;&lt;Star&gt;0&lt;/Star&gt;&lt;Tag&gt;0&lt;/Tag&gt;&lt;Author&gt;尹纯亚; 李凤婷; 陈伟伟; 张增强&lt;/Author&gt;&lt;Year&gt;2019&lt;/Year&gt;&lt;Details&gt;&lt;_accessed&gt;63445974&lt;/_accessed&gt;&lt;_accession_num&gt;CSCD:6604327_x000d__x000a_ER&lt;/_accession_num&gt;&lt;_cited_count&gt;0&lt;/_cited_count&gt;&lt;_collection_scope&gt;CSCD;PKU;EI&lt;/_collection_scope&gt;&lt;_created&gt;63444588&lt;/_created&gt;&lt;_date_display&gt;2019, 2019&lt;/_date_display&gt;&lt;_db_provider&gt;ISI&lt;/_db_provider&gt;&lt;_isbn&gt;1006-6047&lt;/_isbn&gt;&lt;_issue&gt;1006-6047(2019)39:11&amp;lt;114:SJBSYQ&amp;gt;2.0.TX;2-L11&lt;/_issue&gt;&lt;_journal&gt;电力自动化设备&lt;/_journal&gt;&lt;_modified&gt;63445974&lt;/_modified&gt;&lt;_pages&gt;114-119,132&lt;/_pages&gt;&lt;_tertiary_title&gt;Electric Power Automation Equipment&lt;/_tertiary_title&gt;&lt;_translated_author&gt;Yin, Chunya; Li, Fengting; Chen, Weiwei; Zhang, Zengqiang&lt;/_translated_author&gt;&lt;_translated_title&gt;Commutation failure risk analysis of sound pole caused by DC monopole blocking&lt;/_translated_title&gt;&lt;_url&gt;CSCD:6604327&lt;/_url&gt;&lt;_volume&gt;39&lt;/_volume&gt;&lt;/Details&gt;&lt;Extra&gt;&lt;DBUID&gt;{6891F4B0-DCBA-459A-9A22-3059983243D4}&lt;/DBUID&gt;&lt;/Extra&gt;&lt;/Item&gt;&lt;/References&gt;&lt;/Group&gt;&lt;Group&gt;&lt;References&gt;&lt;Item&gt;&lt;ID&gt;385&lt;/ID&gt;&lt;UID&gt;{E83E20A9-E79D-4545-BA0F-03A74EC2583D}&lt;/UID&gt;&lt;Title&gt;多馈出直流系统换相失败快速判别方法&lt;/Title&gt;&lt;Template&gt;Journal Article&lt;/Template&gt;&lt;Star&gt;0&lt;/Star&gt;&lt;Tag&gt;0&lt;/Tag&gt;&lt;Author&gt;尹纯亚; 李凤婷; 宋新甫; 万琪&lt;/Author&gt;&lt;Year&gt;2019&lt;/Year&gt;&lt;Details&gt;&lt;_accessed&gt;63445976&lt;/_accessed&gt;&lt;_accession_num&gt;CSCD:6586688_x000d__x000a_ER&lt;/_accession_num&gt;&lt;_cited_count&gt;0&lt;/_cited_count&gt;&lt;_collection_scope&gt;CSCD;PKU;EI&lt;/_collection_scope&gt;&lt;_created&gt;63444588&lt;/_created&gt;&lt;_date_display&gt;2019, 2019&lt;/_date_display&gt;&lt;_db_provider&gt;ISI&lt;/_db_provider&gt;&lt;_isbn&gt;1000-3673&lt;/_isbn&gt;&lt;_issue&gt;1000-3673(2019)43:10&amp;lt;3459:DKCZLX&amp;gt;2.0.TX;2-F10&lt;/_issue&gt;&lt;_journal&gt;电网技术&lt;/_journal&gt;&lt;_modified&gt;63445976&lt;/_modified&gt;&lt;_pages&gt;3459-3465&lt;/_pages&gt;&lt;_tertiary_title&gt;Power System Technology&lt;/_tertiary_title&gt;&lt;_translated_author&gt;Yin, Chunya; Li, Fengting; Song, Xinfu; Wan, Qi&lt;/_translated_author&gt;&lt;_translated_title&gt;A Fast Detection Method of Commutation Failure in Multi-outfeed DC System&lt;/_translated_title&gt;&lt;_url&gt;CSCD:6586688&lt;/_url&gt;&lt;_volume&gt;43&lt;/_volume&gt;&lt;/Details&gt;&lt;Extra&gt;&lt;DBUID&gt;{6891F4B0-DCBA-459A-9A22-3059983243D4}&lt;/DBUID&gt;&lt;/Extra&gt;&lt;/Item&gt;&lt;/References&gt;&lt;/Group&gt;&lt;/Citation&gt;_x000a_"/>
    <w:docVar w:name="NE.Ref{5703760C-833E-4CBA-9F54-C3E9CBE39420}" w:val=" ADDIN NE.Ref.{5703760C-833E-4CBA-9F54-C3E9CBE39420}&lt;Citation&gt;&lt;Group&gt;&lt;References&gt;&lt;Item&gt;&lt;ID&gt;995&lt;/ID&gt;&lt;UID&gt;{ADFBCE0C-7B5A-4F49-9042-03742F0AC274}&lt;/UID&gt;&lt;Title&gt;直流闭锁引发交流联络线功率波动的机理以及峰值计算&lt;/Title&gt;&lt;Template&gt;Journal Article&lt;/Template&gt;&lt;Star&gt;0&lt;/Star&gt;&lt;Tag&gt;0&lt;/Tag&gt;&lt;Author&gt;屠竞哲; 杨莉; 黄涌; 赵红生&lt;/Author&gt;&lt;Year&gt;2013&lt;/Year&gt;&lt;Details&gt;&lt;_author_aff&gt;浙江大学电气工程学院;华中电力科学研究院;&lt;/_author_aff&gt;&lt;_cited_count&gt;44&lt;/_cited_count&gt;&lt;_date&gt;2013-01-10&lt;/_date&gt;&lt;_issue&gt;01&lt;/_issue&gt;&lt;_journal&gt;电力自动化设备&lt;/_journal&gt;&lt;_keywords&gt;直流闭锁;交流联络线;功率波动;阶跃响应;转动惯量;阻尼比&lt;/_keywords&gt;&lt;_pages&gt;12-17&lt;/_pages&gt;&lt;_url&gt;https://kns.cnki.net/kcms/detail/detail.aspx?FileName=DLZS201301004&amp;amp;DbName=CJFQ2013&lt;/_url&gt;&lt;_volume&gt;33&lt;/_volume&gt;&lt;_created&gt;64779494&lt;/_created&gt;&lt;_modified&gt;64779495&lt;/_modified&gt;&lt;_db_updated&gt;CNKI - Reference&lt;/_db_updated&gt;&lt;_collection_scope&gt;CSCD;PKU;EI&lt;/_collection_scope&gt;&lt;_translated_author&gt;Tu, Jingzhe;Yang, Li;Huang, Yong;Zhao, Hongsheng&lt;/_translated_author&gt;&lt;/Details&gt;&lt;Extra&gt;&lt;DBUID&gt;{6891F4B0-DCBA-459A-9A22-3059983243D4}&lt;/DBUID&gt;&lt;/Extra&gt;&lt;/Item&gt;&lt;/References&gt;&lt;/Group&gt;&lt;/Citation&gt;_x000a_"/>
    <w:docVar w:name="NE.Ref{5716F609-FA54-4CEE-B8EB-51B951D79273}" w:val=" ADDIN NE.Ref.{5716F609-FA54-4CEE-B8EB-51B951D79273}&lt;Citation&gt;&lt;Group&gt;&lt;References&gt;&lt;Item&gt;&lt;ID&gt;679&lt;/ID&gt;&lt;UID&gt;{71418B17-D229-4360-8126-A4273DAA07D7}&lt;/UID&gt;&lt;Title&gt;Reactive Power and AC Voltage Control of LCC HVDC System With Controllable Capacitors&lt;/Title&gt;&lt;Template&gt;Journal Article&lt;/Template&gt;&lt;Star&gt;0&lt;/Star&gt;&lt;Tag&gt;0&lt;/Tag&gt;&lt;Author&gt;Xue, Ying; Zhang, Xiao Ping&lt;/Author&gt;&lt;Year&gt;2017&lt;/Year&gt;&lt;Details&gt;&lt;_accessed&gt;63480645&lt;/_accessed&gt;&lt;_collection_scope&gt;SCI;SCIE;EI&lt;/_collection_scope&gt;&lt;_created&gt;63480542&lt;/_created&gt;&lt;_impact_factor&gt;   6.074&lt;/_impact_factor&gt;&lt;_issue&gt;1&lt;/_issue&gt;&lt;_journal&gt;IEEE Transactions on Power Systems&lt;/_journal&gt;&lt;_modified&gt;63480644&lt;/_modified&gt;&lt;_pages&gt;753-764&lt;/_pages&gt;&lt;_url&gt;https://ieeexplore.ieee.org/ielx7/59/7792237/07465837.pdf?tp=&amp;amp;arnumber=7465837&amp;amp;isnumber=7792237&amp;amp;ref=aHR0cHM6Ly9pZWVleHBsb3JlLmllZWUub3JnL3Jlc3Qvc2VhcmNo _x000d__x000a_&lt;/_url&gt;&lt;_volume&gt;32&lt;/_volume&gt;&lt;/Details&gt;&lt;Extra&gt;&lt;DBUID&gt;{6891F4B0-DCBA-459A-9A22-3059983243D4}&lt;/DBUID&gt;&lt;/Extra&gt;&lt;/Item&gt;&lt;/References&gt;&lt;/Group&gt;&lt;/Citation&gt;_x000a_"/>
    <w:docVar w:name="NE.Ref{5764EE0D-CCBC-42B5-8649-8D86FD66A806}" w:val=" ADDIN NE.Ref.{5764EE0D-CCBC-42B5-8649-8D86FD66A806}&lt;Citation&gt;&lt;Group&gt;&lt;References&gt;&lt;Item&gt;&lt;ID&gt;615&lt;/ID&gt;&lt;UID&gt;{290BCD97-398B-4C6A-BB26-2F662D91A427}&lt;/UID&gt;&lt;Title&gt;Commutation Failure Analysis in Multi-Infeed HVDC Systems&lt;/Title&gt;&lt;Template&gt;Journal Article&lt;/Template&gt;&lt;Star&gt;0&lt;/Star&gt;&lt;Tag&gt;0&lt;/Tag&gt;&lt;Author&gt;Rahimi, Ebrahim; Gole, A M; Davies, J B; Fernando, Ioni T; Kent, K L&lt;/Author&gt;&lt;Year&gt;2011&lt;/Year&gt;&lt;Details&gt;&lt;_accessed&gt;63445738&lt;/_accessed&gt;&lt;_accession_num&gt;WOS:000285845600043_x000d__x000a_ER&lt;/_accession_num&gt;&lt;_cited_count&gt;125&lt;/_cited_count&gt;&lt;_collection_scope&gt;SCI;SCIE;EI&lt;/_collection_scope&gt;&lt;_created&gt;63444588&lt;/_created&gt;&lt;_date_display&gt;2011, JAN 2011&lt;/_date_display&gt;&lt;_db_provider&gt;ISI&lt;/_db_provider&gt;&lt;_doi&gt;10.1109/TPWRD.2010.2081692&lt;/_doi&gt;&lt;_impact_factor&gt;   3.681&lt;/_impact_factor&gt;&lt;_isbn&gt;0885-8977&lt;/_isbn&gt;&lt;_issue&gt;1&lt;/_issue&gt;&lt;_journal&gt;IEEE TRANSACTIONS ON POWER DELIVERY&lt;/_journal&gt;&lt;_modified&gt;63445741&lt;/_modified&gt;&lt;_pages&gt;378-384&lt;/_pages&gt;&lt;_url&gt;http://gateway.isiknowledge.com/gateway/Gateway.cgi?GWVersion=2&amp;amp;SrcAuth=AegeanSoftware&amp;amp;SrcApp=NoteExpress&amp;amp;DestLinkType=FullRecord&amp;amp;DestApp=WOS&amp;amp;KeyUT=000285845600043 _x000d__x000a_https://ieeexplore.ieee.org/stampPDF/getPDF.jsp?tp=&amp;amp;arnumber=5673966&amp;amp;ref=aHR0cHM6Ly9pZWVleHBsb3JlLmllZWUub3JnL3Jlc3Qvc2VhcmNo _x000d__x000a_&lt;/_url&gt;&lt;_volume&gt;26&lt;/_volume&gt;&lt;/Details&gt;&lt;Extra&gt;&lt;DBUID&gt;{6891F4B0-DCBA-459A-9A22-3059983243D4}&lt;/DBUID&gt;&lt;/Extra&gt;&lt;/Item&gt;&lt;/References&gt;&lt;/Group&gt;&lt;/Citation&gt;_x000a_"/>
    <w:docVar w:name="NE.Ref{576A9251-990B-45F3-9984-39C7F5BD3252}" w:val=" ADDIN NE.Ref.{576A9251-990B-45F3-9984-39C7F5BD3252}&lt;Citation&gt;&lt;Group&gt;&lt;References&gt;&lt;Item&gt;&lt;ID&gt;43&lt;/ID&gt;&lt;UID&gt;{9D92B4DB-BE5F-4F0F-B4F1-C151FD009BE0}&lt;/UID&gt;&lt;Title&gt;鲁棒优化在电力系统发电计划中的应用综述&lt;/Title&gt;&lt;Template&gt;Journal Article&lt;/Template&gt;&lt;Star&gt;0&lt;/Star&gt;&lt;Tag&gt;0&lt;/Tag&gt;&lt;Author&gt;朱光远; 林济铿; 罗治强; 戴赛; 覃岭; 刘纯&lt;/Author&gt;&lt;Year&gt;2017&lt;/Year&gt;&lt;Details&gt;&lt;_accessed&gt;64357569&lt;/_accessed&gt;&lt;_author_aff&gt;同济大学电子与信息工程学院;国家电网公司国家电力调度控制中心;中国电力科学研究院;智能电网教育部重点实验室(天津大学);新能源与储能运行控制国家重点实验室(中国电力科学研究院);&lt;/_author_aff&gt;&lt;_cited_count&gt;68&lt;/_cited_count&gt;&lt;_collection_scope&gt;CSCD;PKU;EI&lt;/_collection_scope&gt;&lt;_created&gt;64357565&lt;/_created&gt;&lt;_date&gt;61604640&lt;/_date&gt;&lt;_db_updated&gt;CNKI - Reference&lt;/_db_updated&gt;&lt;_issue&gt;20&lt;/_issue&gt;&lt;_journal&gt;中国电机工程学报&lt;/_journal&gt;&lt;_keywords&gt;不确定性;鲁棒优化;发电计划;应用实例&lt;/_keywords&gt;&lt;_language&gt;Chinese&lt;/_language&gt;&lt;_modified&gt;64357569&lt;/_modified&gt;&lt;_pages&gt;5881-5892&lt;/_pages&gt;&lt;_url&gt;https://kns.cnki.net/kcms/detail/detail.aspx?FileName=ZGDC201720007&amp;amp;DbName=CJFQ2017&lt;/_url&gt;&lt;_volume&gt;37&lt;/_volume&gt;&lt;_translated_author&gt;Zhu, Guangyuan;Lin, Jikeng;Luo, Zhiqiang;Dai, Sai;Tan, Ling;Liu, Chun&lt;/_translated_author&gt;&lt;/Details&gt;&lt;Extra/&gt;&lt;/Item&gt;&lt;/References&gt;&lt;/Group&gt;&lt;/Citation&gt;_x000a_"/>
    <w:docVar w:name="NE.Ref{57892CD8-956D-4CC4-B23D-44F4FA139F62}" w:val=" ADDIN NE.Ref.{57892CD8-956D-4CC4-B23D-44F4FA139F62}&lt;Citation&gt;&lt;Group&gt;&lt;References&gt;&lt;Item&gt;&lt;ID&gt;492&lt;/ID&gt;&lt;UID&gt;{E6804F58-1EDC-44A5-9CE5-77B118EB1AB7}&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1741&lt;/_created&gt;&lt;_impact_factor&gt;  11.169&lt;/_impact_factor&gt;&lt;_issue&gt;99&lt;/_issue&gt;&lt;_journal&gt;IEEE Transactions on Evolutionary Computation&lt;/_journal&gt;&lt;_modified&gt;63651741&lt;/_modified&gt;&lt;_volume&gt;PP&lt;/_volume&gt;&lt;/Details&gt;&lt;Extra&gt;&lt;DBUID&gt;{F96A950B-833F-4880-A151-76DA2D6A2879}&lt;/DBUID&gt;&lt;/Extra&gt;&lt;/Item&gt;&lt;/References&gt;&lt;/Group&gt;&lt;/Citation&gt;_x000a_"/>
    <w:docVar w:name="NE.Ref{58266C01-E05F-4F0F-8D24-3A9B15CE80E1}" w:val=" ADDIN NE.Ref.{58266C01-E05F-4F0F-8D24-3A9B15CE80E1}&lt;Citation&gt;&lt;Group&gt;&lt;References&gt;&lt;Item&gt;&lt;ID&gt;495&lt;/ID&gt;&lt;UID&gt;{07135031-6331-4F83-BE72-80FE82206715}&lt;/UID&gt;&lt;Title&gt;基于能源集线器的微能源网能量流建模及优化运行分析&lt;/Title&gt;&lt;Template&gt;Journal Article&lt;/Template&gt;&lt;Star&gt;0&lt;/Star&gt;&lt;Tag&gt;0&lt;/Tag&gt;&lt;Author&gt;马腾飞; 吴俊勇; 郝亮亮; 李玉君; 闫华光; 李德智; 陈宋宋&lt;/Author&gt;&lt;Year&gt;2018&lt;/Year&gt;&lt;Details&gt;&lt;_author_adr&gt;北京交通大学电气工程学院;中国电力科学研究院;&lt;/_author_adr&gt;&lt;_collection_scope&gt;CSCD;PKU;EI&lt;/_collection_scope&gt;&lt;_created&gt;63651888&lt;/_created&gt;&lt;_db_provider&gt;CNKI&lt;/_db_provider&gt;&lt;_isbn&gt;1000-3673&lt;/_isbn&gt;&lt;_issue&gt;01&lt;/_issue&gt;&lt;_journal&gt;电网技术&lt;/_journal&gt;&lt;_keywords&gt;能源互联网;微能源网;能源集线器;需求响应;优化运行&lt;/_keywords&gt;&lt;_modified&gt;63651888&lt;/_modified&gt;&lt;_pages&gt;179-186&lt;/_pages&gt;&lt;_volume&gt;42&lt;/_volume&gt;&lt;_translated_author&gt;Ma, Tengfei;Wu, Junyong;Hao, Liangliang;Li, Yujun;Yan, Huaguang;Li, Dezhi;Chen, Songsong&lt;/_translated_author&gt;&lt;/Details&gt;&lt;Extra&gt;&lt;DBUID&gt;{F96A950B-833F-4880-A151-76DA2D6A2879}&lt;/DBUID&gt;&lt;/Extra&gt;&lt;/Item&gt;&lt;/References&gt;&lt;/Group&gt;&lt;/Citation&gt;_x000a_"/>
    <w:docVar w:name="NE.Ref{588FAA49-3382-493B-96FF-FB9F943A6B4E}" w:val=" ADDIN NE.Ref.{588FAA49-3382-493B-96FF-FB9F943A6B4E}&lt;Citation&gt;&lt;Group&gt;&lt;References&gt;&lt;Item&gt;&lt;ID&gt;459&lt;/ID&gt;&lt;UID&gt;{A6310B94-6C84-4DDE-AA25-01C97DC0B854}&lt;/UID&gt;&lt;Title&gt;一种抑制直流输电连续换相失败的控制方法&lt;/Title&gt;&lt;Template&gt;Journal Article&lt;/Template&gt;&lt;Star&gt;0&lt;/Star&gt;&lt;Tag&gt;0&lt;/Tag&gt;&lt;Author&gt;李瑞鹏; 李永丽; 陈晓龙&lt;/Author&gt;&lt;Year&gt;2018&lt;/Year&gt;&lt;Details&gt;&lt;_accessed&gt;63445968&lt;/_accessed&gt;&lt;_accession_num&gt;CSCD:6322237_x000d__x000a_ER&lt;/_accession_num&gt;&lt;_cited_count&gt;1&lt;/_cited_count&gt;&lt;_collection_scope&gt;CSCD;PKU;EI&lt;/_collection_scope&gt;&lt;_created&gt;63444588&lt;/_created&gt;&lt;_date_display&gt;2018, 2018&lt;/_date_display&gt;&lt;_db_provider&gt;ISI&lt;/_db_provider&gt;&lt;_isbn&gt;0258-8013&lt;/_isbn&gt;&lt;_issue&gt;0258-8013(2018)38:17&amp;lt;5029:YZYZZL&amp;gt;2.0.TX;2-M17&lt;/_issue&gt;&lt;_journal&gt;中国电机工程学报&lt;/_journal&gt;&lt;_modified&gt;63445968&lt;/_modified&gt;&lt;_pages&gt;5029-5042&lt;/_pages&gt;&lt;_tertiary_title&gt;Proceedings of the Chinese Society of Electrical Engineering&lt;/_tertiary_title&gt;&lt;_translated_author&gt;Li, Ruipeng; Li, Yongli; Chen, Xiaolong&lt;/_translated_author&gt;&lt;_translated_title&gt;A Control Method for Suppressing the Continuous Commutation Failure of HVDC Transmission&lt;/_translated_title&gt;&lt;_url&gt;CSCD:6322237&lt;/_url&gt;&lt;_volume&gt;38&lt;/_volume&gt;&lt;/Details&gt;&lt;Extra&gt;&lt;DBUID&gt;{6891F4B0-DCBA-459A-9A22-3059983243D4}&lt;/DBUID&gt;&lt;/Extra&gt;&lt;/Item&gt;&lt;/References&gt;&lt;/Group&gt;&lt;/Citation&gt;_x000a_"/>
    <w:docVar w:name="NE.Ref{589732F1-9414-4169-89CD-14BA960174C1}" w:val=" ADDIN NE.Ref.{589732F1-9414-4169-89CD-14BA960174C1}&lt;Citation&gt;&lt;Group&gt;&lt;References&gt;&lt;Item&gt;&lt;ID&gt;616&lt;/ID&gt;&lt;UID&gt;{D5B5D19F-BC48-45C5-95D1-058F767F7AA5}&lt;/UID&gt;&lt;Title&gt;主动配电网中多微网鲁棒环境经济调度研究&lt;/Title&gt;&lt;Template&gt;Journal Article&lt;/Template&gt;&lt;Star&gt;0&lt;/Star&gt;&lt;Tag&gt;0&lt;/Tag&gt;&lt;Author&gt;马丽叶; 刘美思; 尹钰; 王志强; 卢志刚&lt;/Author&gt;&lt;Year&gt;2020&lt;/Year&gt;&lt;Details&gt;&lt;_author_adr&gt;电力电子节能及传动控制河北省重点实验室(燕山大学);&lt;/_author_adr&gt;&lt;_collection_scope&gt;CSCD;PKU;EI&lt;/_collection_scope&gt;&lt;_created&gt;63705360&lt;/_created&gt;&lt;_db_provider&gt;CNKI&lt;/_db_provider&gt;&lt;_isbn&gt;0254-0096&lt;/_isbn&gt;&lt;_issue&gt;11&lt;/_issue&gt;&lt;_journal&gt;太阳能学报&lt;/_journal&gt;&lt;_keywords&gt;鲁棒优化;Pareto最优;多目标;多微网;能量交互;多目标细菌群体趋药性算法&lt;/_keywords&gt;&lt;_modified&gt;63705360&lt;/_modified&gt;&lt;_pages&gt;1-10&lt;/_pages&gt;&lt;_volume&gt;41&lt;/_volume&gt;&lt;_translated_author&gt;Ma, Liye;Liu, Meisi;Yin, Yu;Wang, Zhiqiang;Lu, Zhigang&lt;/_translated_author&gt;&lt;/Details&gt;&lt;Extra&gt;&lt;DBUID&gt;{F96A950B-833F-4880-A151-76DA2D6A2879}&lt;/DBUID&gt;&lt;/Extra&gt;&lt;/Item&gt;&lt;/References&gt;&lt;/Group&gt;&lt;/Citation&gt;_x000a_"/>
    <w:docVar w:name="NE.Ref{5A7AC206-CA7F-4F4D-835D-F0CEE71E98C4}" w:val=" ADDIN NE.Ref.{5A7AC206-CA7F-4F4D-835D-F0CEE71E98C4}&lt;Citation&gt;&lt;Group&gt;&lt;References&gt;&lt;Item&gt;&lt;ID&gt;414&lt;/ID&gt;&lt;UID&gt;{E9B3AA07-B767-4AB6-88D9-3E2F79C77D81}&lt;/UID&gt;&lt;Title&gt;Multi-objective self-adaptive differential evolution with elitist archive and crowding entropy-based diversity measure&lt;/Title&gt;&lt;Template&gt;Journal Article&lt;/Template&gt;&lt;Star&gt;0&lt;/Star&gt;&lt;Tag&gt;0&lt;/Tag&gt;&lt;Author&gt;Wang, Yao Nan; Wu, Liang Hong; Yuan, Xiao Fang&lt;/Author&gt;&lt;Year&gt;2010&lt;/Year&gt;&lt;Details&gt;&lt;_collection_scope&gt;SCIE;EI&lt;/_collection_scope&gt;&lt;_created&gt;63642181&lt;/_created&gt;&lt;_impact_factor&gt;   3.050&lt;/_impact_factor&gt;&lt;_issue&gt;3&lt;/_issue&gt;&lt;_journal&gt;Soft Computing&lt;/_journal&gt;&lt;_modified&gt;63642181&lt;/_modified&gt;&lt;_pages&gt;193-209&lt;/_pages&gt;&lt;_volume&gt;14&lt;/_volume&gt;&lt;/Details&gt;&lt;Extra&gt;&lt;DBUID&gt;{F96A950B-833F-4880-A151-76DA2D6A2879}&lt;/DBUID&gt;&lt;/Extra&gt;&lt;/Item&gt;&lt;/References&gt;&lt;/Group&gt;&lt;/Citation&gt;_x000a_"/>
    <w:docVar w:name="NE.Ref{5A7FDCEB-4657-4ED5-9DEF-7C7B12A961B8}" w:val=" ADDIN NE.Ref.{5A7FDCEB-4657-4ED5-9DEF-7C7B12A961B8}&lt;Citation&gt;&lt;Group&gt;&lt;References&gt;&lt;Item&gt;&lt;ID&gt;604&lt;/ID&gt;&lt;UID&gt;{59EDAFE2-8824-41E1-9970-4E339550E69F}&lt;/UID&gt;&lt;Title&gt;Multiobjective Evolutionary Algorithm Research: A History and Analysis&lt;/Title&gt;&lt;Template&gt;Journal Article&lt;/Template&gt;&lt;Star&gt;0&lt;/Star&gt;&lt;Tag&gt;0&lt;/Tag&gt;&lt;Author&gt;Van, David A; Gary, Veldhuizen; Lamont, B&lt;/Author&gt;&lt;Year&gt;1998&lt;/Year&gt;&lt;Details&gt;&lt;_collection_scope&gt;SCIE;EI&lt;/_collection_scope&gt;&lt;_created&gt;63705184&lt;/_created&gt;&lt;_impact_factor&gt;   3.933&lt;/_impact_factor&gt;&lt;_issue&gt;2&lt;/_issue&gt;&lt;_journal&gt;Evolutionary Computation&lt;/_journal&gt;&lt;_modified&gt;63705184&lt;/_modified&gt;&lt;_volume&gt;8&lt;/_volume&gt;&lt;/Details&gt;&lt;Extra&gt;&lt;DBUID&gt;{F96A950B-833F-4880-A151-76DA2D6A2879}&lt;/DBUID&gt;&lt;/Extra&gt;&lt;/Item&gt;&lt;/References&gt;&lt;/Group&gt;&lt;/Citation&gt;_x000a_"/>
    <w:docVar w:name="NE.Ref{5B9B4BCF-DBF0-43B3-BA87-43F1734B4B6F}" w:val=" ADDIN NE.Ref.{5B9B4BCF-DBF0-43B3-BA87-43F1734B4B6F}&lt;Citation&gt;&lt;Group&gt;&lt;References&gt;&lt;Item&gt;&lt;ID&gt;109&lt;/ID&gt;&lt;UID&gt;{BDF0A4C5-D76C-467E-8F84-458625ED3859}&lt;/UID&gt;&lt;Title&gt;基于机会约束规划的风–火–蓄联合系统优化调度&lt;/Title&gt;&lt;Template&gt;Journal Article&lt;/Template&gt;&lt;Star&gt;0&lt;/Star&gt;&lt;Tag&gt;0&lt;/Tag&gt;&lt;Author&gt;马丽叶; 王志强; 陆肖宇; 卢志刚&lt;/Author&gt;&lt;Year&gt;0&lt;/Year&gt;&lt;Details&gt;&lt;_accessed&gt;64308261&lt;/_accessed&gt;&lt;_created&gt;64303912&lt;/_created&gt;&lt;_language&gt;Chinese&lt;/_language&gt;&lt;_modified&gt;64308265&lt;/_modified&gt;&lt;_translated_author&gt;Ma, Liye;Wang, Zhiqiang;Lu, Xiaoyu;Lu, Zhigang&lt;/_translated_author&gt;&lt;/Details&gt;&lt;Extra&gt;&lt;DBUID&gt;{560D5FFD-5A46-4EB8-859B-FD657304A42E}&lt;/DBUID&gt;&lt;/Extra&gt;&lt;/Item&gt;&lt;/References&gt;&lt;/Group&gt;&lt;/Citation&gt;_x000a_"/>
    <w:docVar w:name="NE.Ref{5BAE014B-B87A-490C-8111-D25DBA70ECA0}" w:val=" ADDIN NE.Ref.{5BAE014B-B87A-490C-8111-D25DBA70ECA0}&lt;Citation&gt;&lt;Group&gt;&lt;References&gt;&lt;Item&gt;&lt;ID&gt;481&lt;/ID&gt;&lt;UID&gt;{880FAB91-EE0D-4DDD-90AB-CEB07202ED25}&lt;/UID&gt;&lt;Title&gt;基于供需双侧博弈互动的园区多能运营商能源交易优化决策&lt;/Title&gt;&lt;Template&gt;Journal Article&lt;/Template&gt;&lt;Star&gt;0&lt;/Star&gt;&lt;Tag&gt;0&lt;/Tag&gt;&lt;Author&gt;向恩民; 高红均; 刘畅; 刘友波; 刘俊勇&lt;/Author&gt;&lt;Year&gt;0&lt;/Year&gt;&lt;Details&gt;&lt;_author_adr&gt;四川大学电气工程学院;&lt;/_author_adr&gt;&lt;_collection_scope&gt;CSCD;PKU;EI&lt;/_collection_scope&gt;&lt;_created&gt;63650102&lt;/_created&gt;&lt;_db_provider&gt;CNKI&lt;/_db_provider&gt;&lt;_isbn&gt;0258-8013&lt;/_isbn&gt;&lt;_journal&gt;中国电机工程学报&lt;/_journal&gt;&lt;_keywords&gt;园区运营商;综合能源系统;Stackelberg博弈;互动交易;日前调度&lt;/_keywords&gt;&lt;_modified&gt;63650102&lt;/_modified&gt;&lt;_pages&gt;1-13&lt;/_pages&gt;&lt;_translated_author&gt;Xiang, Enmin;Gao, Hongjun;Liu, Chang;Liu, Youbo;Liu, Junyong&lt;/_translated_author&gt;&lt;/Details&gt;&lt;Extra&gt;&lt;DBUID&gt;{F96A950B-833F-4880-A151-76DA2D6A2879}&lt;/DBUID&gt;&lt;/Extra&gt;&lt;/Item&gt;&lt;/References&gt;&lt;/Group&gt;&lt;/Citation&gt;_x000a_"/>
    <w:docVar w:name="NE.Ref{5BB28835-E6C3-40F0-B80B-179F28677956}" w:val=" ADDIN NE.Ref.{5BB28835-E6C3-40F0-B80B-179F28677956}&lt;Citation&gt;&lt;Group&gt;&lt;References&gt;&lt;Item&gt;&lt;ID&gt;485&lt;/ID&gt;&lt;UID&gt;{662855DD-491E-4851-A81B-789F8E722613}&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0779&lt;/_created&gt;&lt;_impact_factor&gt;  11.169&lt;/_impact_factor&gt;&lt;_issue&gt;99&lt;/_issue&gt;&lt;_journal&gt;IEEE Transactions on Evolutionary Computation&lt;/_journal&gt;&lt;_modified&gt;63650779&lt;/_modified&gt;&lt;_volume&gt;PP&lt;/_volume&gt;&lt;/Details&gt;&lt;Extra&gt;&lt;DBUID&gt;{F96A950B-833F-4880-A151-76DA2D6A2879}&lt;/DBUID&gt;&lt;/Extra&gt;&lt;/Item&gt;&lt;/References&gt;&lt;/Group&gt;&lt;/Citation&gt;_x000a_"/>
    <w:docVar w:name="NE.Ref{5BB6A9D7-F756-4228-96A9-7BA910FF26B0}" w:val=" ADDIN NE.Ref.{5BB6A9D7-F756-4228-96A9-7BA910FF26B0}&lt;Citation&gt;&lt;Group&gt;&lt;References&gt;&lt;Item&gt;&lt;ID&gt;633&lt;/ID&gt;&lt;UID&gt;{98F4B536-D3A8-48A9-9A82-37C3A1B60B96}&lt;/UID&gt;&lt;Title&gt;基于可再生能源配额制的风电并网节能经济调度&lt;/Title&gt;&lt;Template&gt;Journal Article&lt;/Template&gt;&lt;Star&gt;0&lt;/Star&gt;&lt;Tag&gt;0&lt;/Tag&gt;&lt;Author&gt;梁吉; 左艺; 张玉琢; 赵新刚&lt;/Author&gt;&lt;Year&gt;2019&lt;/Year&gt;&lt;Details&gt;&lt;_author_adr&gt;华北电力大学经济与管理学院;北京市新能源与低碳发展重点实验室(华北电力大学);&lt;/_author_adr&gt;&lt;_db_provider&gt;CNKI&lt;/_db_provider&gt;&lt;_isbn&gt;1000-3673&lt;/_isbn&gt;&lt;_issue&gt;07&lt;/_issue&gt;&lt;_journal&gt;电网技术&lt;/_journal&gt;&lt;_keywords&gt;节能经济调度;可再生能源配额制;可交易绿色证书;风电消纳&lt;/_keywords&gt;&lt;_pages&gt;2528-2534&lt;/_pages&gt;&lt;_volume&gt;43&lt;/_volume&gt;&lt;_created&gt;63705555&lt;/_created&gt;&lt;_modified&gt;63705555&lt;/_modified&gt;&lt;_collection_scope&gt;CSCD;PKU;EI&lt;/_collection_scope&gt;&lt;_translated_author&gt;Liang, Ji;Zuo, Yi;Zhang, Yuzhuo;Zhao, Xingang&lt;/_translated_author&gt;&lt;/Details&gt;&lt;Extra&gt;&lt;DBUID&gt;{F96A950B-833F-4880-A151-76DA2D6A2879}&lt;/DBUID&gt;&lt;/Extra&gt;&lt;/Item&gt;&lt;/References&gt;&lt;/Group&gt;&lt;/Citation&gt;_x000a_"/>
    <w:docVar w:name="NE.Ref{5C5EFF08-21C9-4298-AD75-534EA02DDABB}" w:val=" ADDIN NE.Ref.{5C5EFF08-21C9-4298-AD75-534EA02DDABB}&lt;Citation&gt;&lt;Group&gt;&lt;References&gt;&lt;Item&gt;&lt;ID&gt;70&lt;/ID&gt;&lt;UID&gt;{972BC67B-8965-4887-A987-0DD5F9F1E4AE}&lt;/UID&gt;&lt;Title&gt;风电并网电力系统环境经济调度优化分析&lt;/Title&gt;&lt;Template&gt;Journal Article&lt;/Template&gt;&lt;Star&gt;0&lt;/Star&gt;&lt;Tag&gt;0&lt;/Tag&gt;&lt;Author&gt;金晶亮; 张明明; 李晨宇; 丁浩; 钱润康&lt;/Author&gt;&lt;Year&gt;2018&lt;/Year&gt;&lt;Details&gt;&lt;_accessed&gt;64322946&lt;/_accessed&gt;&lt;_author_adr&gt;南京航空航天大学; 中国石油大学（华东）; 南通大学; 南京航空航天大学; 南通大学&lt;/_author_adr&gt;&lt;_author_aff&gt;南京航空航天大学; 中国石油大学（华东）; 南通大学; 南京航空航天大学; 南通大学&lt;/_author_aff&gt;&lt;_created&gt;64261198&lt;/_created&gt;&lt;_db_provider&gt;北京万方数据股份有限公司&lt;/_db_provider&gt;&lt;_db_updated&gt;Wanfangdata&lt;/_db_updated&gt;&lt;_doi&gt;10.13216/j.cnki.upcjess.2018.01.0002&lt;/_doi&gt;&lt;_isbn&gt;1673-5595&lt;/_isbn&gt;&lt;_issue&gt;1&lt;/_issue&gt;&lt;_journal&gt;中国石油大学学报（社会科学版）&lt;/_journal&gt;&lt;_keywords&gt;环境经济调度; 风电; 惩罚成本; 备用成本; 惩罚排放; 备用排放&lt;/_keywords&gt;&lt;_language&gt;chi&lt;/_language&gt;&lt;_modified&gt;64266722&lt;/_modified&gt;&lt;_pages&gt;8-14&lt;/_pages&gt;&lt;_tertiary_title&gt;Journal of China University of Petroleum (Edition of Social Science)&lt;/_tertiary_title&gt;&lt;_translated_author&gt;Jingliang, JIN; Mingming, ZHANG; Chenyu, L I; Hao, DING; Runkang, QIAN&lt;/_translated_author&gt;&lt;_translated_title&gt;Optimization Analysis of Economic Emission Dispatch for Wind Power Integrated Systems&lt;/_translated_title&gt;&lt;_url&gt;http://www.wanfangdata.com.cn/details/detail.do?_type=perio&amp;amp;id=sydxxb-shkx201801002&lt;/_url&gt;&lt;_volume&gt;34&lt;/_volume&gt;&lt;/Details&gt;&lt;Extra&gt;&lt;DBUID&gt;{560D5FFD-5A46-4EB8-859B-FD657304A42E}&lt;/DBUID&gt;&lt;/Extra&gt;&lt;/Item&gt;&lt;/References&gt;&lt;/Group&gt;&lt;/Citation&gt;_x000a_"/>
    <w:docVar w:name="NE.Ref{5D201323-CC5C-48E0-A89C-F75331760D52}" w:val=" ADDIN NE.Ref.{5D201323-CC5C-48E0-A89C-F75331760D52}&lt;Citation&gt;&lt;Group&gt;&lt;References&gt;&lt;Item&gt;&lt;ID&gt;117&lt;/ID&gt;&lt;UID&gt;{90AA279F-1CDD-4E94-ACD0-8C9FEA67BEEC}&lt;/UID&gt;&lt;Title&gt;基于两阶段鲁棒区间优化的风储联合运行调度模型&lt;/Title&gt;&lt;Template&gt;Journal Article&lt;/Template&gt;&lt;Star&gt;0&lt;/Star&gt;&lt;Tag&gt;0&lt;/Tag&gt;&lt;Author&gt;张刘冬; 袁宇波; 孙大雁; 袁晓冬; 李强; 苏大威&lt;/Author&gt;&lt;Year&gt;2018&lt;/Year&gt;&lt;Details&gt;&lt;_accessed&gt;64308261&lt;/_accessed&gt;&lt;_author_aff&gt;国网江苏省电力有限公司电力科学研究院;河海大学能源与电气工程学院;国网江苏省电力有限公司;&lt;/_author_aff&gt;&lt;_cited_count&gt;37&lt;/_cited_count&gt;&lt;_collection_scope&gt;CSCD;PKU;EI&lt;/_collection_scope&gt;&lt;_created&gt;64308205&lt;/_created&gt;&lt;_date&gt;62556480&lt;/_date&gt;&lt;_db_updated&gt;CNKI - Reference&lt;/_db_updated&gt;&lt;_issue&gt;12&lt;/_issue&gt;&lt;_journal&gt;电力自动化设备&lt;/_journal&gt;&lt;_keywords&gt;风力发电;储能系统;鲁棒区间优化;机组组合;Benders分解&lt;/_keywords&gt;&lt;_language&gt;Chinese&lt;/_language&gt;&lt;_modified&gt;64308261&lt;/_modified&gt;&lt;_pages&gt;59-66+93&lt;/_pages&gt;&lt;_url&gt;https://kns.cnki.net/kcms/detail/detail.aspx?FileName=DLZS201812009&amp;amp;DbName=CJFQ2018&lt;/_url&gt;&lt;_volume&gt;38&lt;/_volume&gt;&lt;_translated_author&gt;Zhang, Liudong;Yuan, Yubo;Sun, Dayan;Yuan, Xiaodong;Li, Qiang;Su, Dawei&lt;/_translated_author&gt;&lt;/Details&gt;&lt;Extra&gt;&lt;DBUID&gt;{560D5FFD-5A46-4EB8-859B-FD657304A42E}&lt;/DBUID&gt;&lt;/Extra&gt;&lt;/Item&gt;&lt;/References&gt;&lt;/Group&gt;&lt;/Citation&gt;_x000a_"/>
    <w:docVar w:name="NE.Ref{5D3F8DA6-C8E3-4386-801A-D6FBC517172A}" w:val=" ADDIN NE.Ref.{5D3F8DA6-C8E3-4386-801A-D6FBC517172A}&lt;Citation&gt;&lt;Group&gt;&lt;References&gt;&lt;Item&gt;&lt;ID&gt;394&lt;/ID&gt;&lt;UID&gt;{9027A971-998C-4857-B26D-E97B13AE4D68}&lt;/UID&gt;&lt;Title&gt;可再生能源配额制下绿色证书补偿辅助服务方案探讨&lt;/Title&gt;&lt;Template&gt;Journal Article&lt;/Template&gt;&lt;Star&gt;0&lt;/Star&gt;&lt;Tag&gt;0&lt;/Tag&gt;&lt;Author&gt;刘秋华; 袁浩; 杨争林; 樊海锋; 徐春雷&lt;/Author&gt;&lt;Year&gt;2020&lt;/Year&gt;&lt;Details&gt;&lt;_author_adr&gt;南京工程学院经济与管理学院;中国电力科学研究院有限公司(南京);国网江苏省电力有限公司;&lt;/_author_adr&gt;&lt;_collection_scope&gt;CSCD;PKU;EI&lt;/_collection_scope&gt;&lt;_created&gt;63640281&lt;/_created&gt;&lt;_db_provider&gt;CNKI&lt;/_db_provider&gt;&lt;_isbn&gt;1000-1026&lt;/_isbn&gt;&lt;_issue&gt;06&lt;/_issue&gt;&lt;_journal&gt;电力系统自动化&lt;/_journal&gt;&lt;_keywords&gt;辅助服务;绿色证书;电力市场;可再生能源配额制&lt;/_keywords&gt;&lt;_modified&gt;63640281&lt;/_modified&gt;&lt;_pages&gt;1-8&lt;/_pages&gt;&lt;_volume&gt;44&lt;/_volume&gt;&lt;_translated_author&gt;Liu, Qiuhua;Yuan, Hao;Yang, Zhenglin;Fan, Haifeng;Xu, Chunlei&lt;/_translated_author&gt;&lt;/Details&gt;&lt;Extra&gt;&lt;DBUID&gt;{F96A950B-833F-4880-A151-76DA2D6A2879}&lt;/DBUID&gt;&lt;/Extra&gt;&lt;/Item&gt;&lt;/References&gt;&lt;/Group&gt;&lt;/Citation&gt;_x000a_"/>
    <w:docVar w:name="NE.Ref{5DC4A8A0-D7DD-4E1A-84CC-E44F355EED1A}" w:val=" ADDIN NE.Ref.{5DC4A8A0-D7DD-4E1A-84CC-E44F355EED1A}&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5DDD60BD-1516-4F48-98C0-8E992AF34DAA}" w:val=" ADDIN NE.Ref.{5DDD60BD-1516-4F48-98C0-8E992AF34DAA}&lt;Citation&gt;&lt;Group&gt;&lt;References&gt;&lt;Item&gt;&lt;ID&gt;503&lt;/ID&gt;&lt;UID&gt;{D6C4CBEC-6466-41FF-AD22-61D8A9CC6B6D}&lt;/UID&gt;&lt;Title&gt;分布鲁棒优化方法在电力系统中的理论分析与应用综述&lt;/Title&gt;&lt;Template&gt;Journal Article&lt;/Template&gt;&lt;Star&gt;0&lt;/Star&gt;&lt;Tag&gt;0&lt;/Tag&gt;&lt;Author&gt;贺帅佳; 阮贺彬; 高红均; 刘俊勇&lt;/Author&gt;&lt;Year&gt;2020&lt;/Year&gt;&lt;Details&gt;&lt;_author_adr&gt;四川大学电气工程学院;&lt;/_author_adr&gt;&lt;_collection_scope&gt;CSCD;PKU;EI&lt;/_collection_scope&gt;&lt;_created&gt;63654819&lt;/_created&gt;&lt;_db_provider&gt;CNKI&lt;/_db_provider&gt;&lt;_isbn&gt;1000-1026&lt;/_isbn&gt;&lt;_issue&gt;14&lt;/_issue&gt;&lt;_journal&gt;电力系统自动化&lt;/_journal&gt;&lt;_keywords&gt;不确定性;电力系统;分布鲁棒优化;机会约束方法&lt;/_keywords&gt;&lt;_modified&gt;63654819&lt;/_modified&gt;&lt;_pages&gt;179-191&lt;/_pages&gt;&lt;_volume&gt;44&lt;/_volume&gt;&lt;_translated_author&gt;He, Shuaijia;Ruan, Hebin;Gao, Hongjun;Liu, Junyong&lt;/_translated_author&gt;&lt;/Details&gt;&lt;Extra&gt;&lt;DBUID&gt;{F96A950B-833F-4880-A151-76DA2D6A2879}&lt;/DBUID&gt;&lt;/Extra&gt;&lt;/Item&gt;&lt;/References&gt;&lt;/Group&gt;&lt;/Citation&gt;_x000a_"/>
    <w:docVar w:name="NE.Ref{5DFFC56F-35B0-414D-9B94-19802B5C4753}" w:val=" ADDIN NE.Ref.{5DFFC56F-35B0-414D-9B94-19802B5C4753}&lt;Citation&gt;&lt;Group&gt;&lt;References&gt;&lt;Item&gt;&lt;ID&gt;621&lt;/ID&gt;&lt;UID&gt;{9E597715-8BB1-49AC-A422-28E64389477D}&lt;/UID&gt;&lt;Title&gt;Robust Optimal Dispatch of AC/DC Hybrid Microgrids Considering Generation and Load Uncertainties and Energy Storage Loss&lt;/Title&gt;&lt;Template&gt;Journal Article&lt;/Template&gt;&lt;Star&gt;0&lt;/Star&gt;&lt;Tag&gt;0&lt;/Tag&gt;&lt;Author&gt;Zhao, Bo; Qiu, Haifeng; Qin, Ruwen; Zhang, Xuesong; Gu, Wei; Wang, Caisheng&lt;/Author&gt;&lt;Year&gt;2018&lt;/Year&gt;&lt;Details&gt;&lt;_accession_num&gt;WOS:000447834200013_x000d__x000a_ER&lt;/_accession_num&gt;&lt;_cited_count&gt;27&lt;/_cited_count&gt;&lt;_date_display&gt;2018, NOV 2018&lt;/_date_display&gt;&lt;_doi&gt;10.1109/TPWRS.2018.2835464&lt;/_doi&gt;&lt;_isbn&gt;0885-8950&lt;/_isbn&gt;&lt;_issue&gt;6&lt;/_issue&gt;&lt;_journal&gt;IEEE TRANSACTIONS ON POWER SYSTEMS&lt;/_journal&gt;&lt;_pages&gt;5945-5957&lt;/_pages&gt;&lt;_url&gt;http://gateway.isiknowledge.com/gateway/Gateway.cgi?GWVersion=2&amp;amp;SrcAuth=AegeanSoftware&amp;amp;SrcApp=NoteExpress&amp;amp;DestLinkType=FullRecord&amp;amp;DestApp=WOS&amp;amp;KeyUT=000447834200013&lt;/_url&gt;&lt;_volume&gt;33&lt;/_volume&gt;&lt;_created&gt;63705543&lt;/_created&gt;&lt;_modified&gt;63705543&lt;/_modified&gt;&lt;_db_provider&gt;ISI&lt;/_db_provider&gt;&lt;_impact_factor&gt;   6.074&lt;/_impact_factor&gt;&lt;_collection_scope&gt;SCI;SCIE;EI&lt;/_collection_scope&gt;&lt;/Details&gt;&lt;Extra&gt;&lt;DBUID&gt;{F96A950B-833F-4880-A151-76DA2D6A2879}&lt;/DBUID&gt;&lt;/Extra&gt;&lt;/Item&gt;&lt;/References&gt;&lt;/Group&gt;&lt;/Citation&gt;_x000a_"/>
    <w:docVar w:name="NE.Ref{5E030B24-182E-41BC-A6CB-D15F16ECC55B}" w:val=" ADDIN NE.Ref.{5E030B24-182E-41BC-A6CB-D15F16ECC55B}&lt;Citation&gt;&lt;Group&gt;&lt;References&gt;&lt;Item&gt;&lt;ID&gt;721&lt;/ID&gt;&lt;UID&gt;{DEB1051D-BAAD-4556-87A1-57BD4AEAD25B}&lt;/UID&gt;&lt;Title&gt;针对直流闭锁故障的协调二级电压紧急控制模型&lt;/Title&gt;&lt;Template&gt;Journal Article&lt;/Template&gt;&lt;Star&gt;0&lt;/Star&gt;&lt;Tag&gt;0&lt;/Tag&gt;&lt;Author&gt;李婷; 刘明波; 林舜江; 杨银国; 温柏坚&lt;/Author&gt;&lt;Year&gt;2012&lt;/Year&gt;&lt;Details&gt;&lt;_author_aff&gt;华南理工大学电力学院;广东电网电力调度控制中心;&lt;/_author_aff&gt;&lt;_date&gt;2012-12-05&lt;/_date&gt;&lt;_db_provider&gt;CNKI: 期刊&lt;/_db_provider&gt;&lt;_issue&gt;12&lt;/_issue&gt;&lt;_journal&gt;电网技术&lt;/_journal&gt;&lt;_keywords&gt;协调二级电压紧急控制;时域仿真;轨迹灵敏度;直流闭锁&lt;/_keywords&gt;&lt;_pages&gt;137-145&lt;/_pages&gt;&lt;_url&gt;http://kns.cnki.net/KCMS/detail/detail.aspx?FileName=DWJS201212023&amp;amp;DbName=CJFQ2012&lt;/_url&gt;&lt;_volume&gt;36&lt;/_volume&gt;&lt;_created&gt;63727899&lt;/_created&gt;&lt;_modified&gt;63727899&lt;/_modified&gt;&lt;_db_updated&gt;CNKI - Reference&lt;/_db_updated&gt;&lt;_collection_scope&gt;CSCD;PKU;EI&lt;/_collection_scope&gt;&lt;_translated_author&gt;Li, Ting;Liu, Mingbo;Lin, Shunjiang;Yang, Yinguo;Wen, Bojian&lt;/_translated_author&gt;&lt;/Details&gt;&lt;Extra&gt;&lt;DBUID&gt;{6891F4B0-DCBA-459A-9A22-3059983243D4}&lt;/DBUID&gt;&lt;/Extra&gt;&lt;/Item&gt;&lt;/References&gt;&lt;/Group&gt;&lt;Group&gt;&lt;References&gt;&lt;Item&gt;&lt;ID&gt;722&lt;/ID&gt;&lt;UID&gt;{15EB9E58-0A0B-4C30-B57A-028D57CC47EF}&lt;/UID&gt;&lt;Title&gt;高压直流输电系统故障后电网安全控制装置调制策略&lt;/Title&gt;&lt;Template&gt;Journal Article&lt;/Template&gt;&lt;Star&gt;0&lt;/Star&gt;&lt;Tag&gt;0&lt;/Tag&gt;&lt;Author&gt;冯长有; 陈刚; 许涛; 伦涛; 贺静波; 韩鹏飞&lt;/Author&gt;&lt;Year&gt;2012&lt;/Year&gt;&lt;Details&gt;&lt;_author_aff&gt;国家电力调度通信中心;&lt;/_author_aff&gt;&lt;_date&gt;2012-09-05&lt;/_date&gt;&lt;_db_provider&gt;CNKI: 期刊&lt;/_db_provider&gt;&lt;_issue&gt;09&lt;/_issue&gt;&lt;_journal&gt;电网技术&lt;/_journal&gt;&lt;_keywords&gt;功率调制策略;安控装置;高压直流输电系统;直流闭锁&lt;/_keywords&gt;&lt;_pages&gt;88-94&lt;/_pages&gt;&lt;_url&gt;http://kns.cnki.net/KCMS/detail/detail.aspx?FileName=DWJS201209014&amp;amp;DbName=CJFQ2012&lt;/_url&gt;&lt;_volume&gt;36&lt;/_volume&gt;&lt;_created&gt;63727899&lt;/_created&gt;&lt;_modified&gt;63727899&lt;/_modified&gt;&lt;_db_updated&gt;CNKI - Reference&lt;/_db_updated&gt;&lt;_collection_scope&gt;CSCD;PKU;EI&lt;/_collection_scope&gt;&lt;_translated_author&gt;Feng, Zhangyou;Chen, Gang;Xu, Tao;Lun, Tao;He, Jingbo;Han, Pengfei&lt;/_translated_author&gt;&lt;/Details&gt;&lt;Extra&gt;&lt;DBUID&gt;{6891F4B0-DCBA-459A-9A22-3059983243D4}&lt;/DBUID&gt;&lt;/Extra&gt;&lt;/Item&gt;&lt;/References&gt;&lt;/Group&gt;&lt;Group&gt;&lt;References&gt;&lt;Item&gt;&lt;ID&gt;723&lt;/ID&gt;&lt;UID&gt;{A25154BE-D488-4253-A7EB-312F308F268C}&lt;/UID&gt;&lt;Title&gt;哈郑直流受端华中电网基于响应的交直流协调控制措施&lt;/Title&gt;&lt;Template&gt;Journal Article&lt;/Template&gt;&lt;Star&gt;0&lt;/Star&gt;&lt;Tag&gt;0&lt;/Tag&gt;&lt;Author&gt;徐式蕴; 吴萍; 赵兵; 孙华东; 易俊; 陈占明; 卜广全&lt;/Author&gt;&lt;Year&gt;2015&lt;/Year&gt;&lt;Details&gt;&lt;_author_aff&gt;中国电力科学研究院;中国人民大学经济学院;&lt;/_author_aff&gt;&lt;_date&gt;2015-07-05&lt;/_date&gt;&lt;_db_provider&gt;CNKI: 期刊&lt;/_db_provider&gt;&lt;_issue&gt;07&lt;/_issue&gt;&lt;_journal&gt;电网技术&lt;/_journal&gt;&lt;_keywords&gt;哈密—郑州特高压直流;交直流协调控制;实时响应;不平衡功率再分配;量化计算;安控措施&lt;/_keywords&gt;&lt;_pages&gt;1773-1778&lt;/_pages&gt;&lt;_url&gt;http://kns.cnki.net/KCMS/detail/detail.aspx?FileName=DWJS201507003&amp;amp;DbName=CJFQ2015&lt;/_url&gt;&lt;_volume&gt;39&lt;/_volume&gt;&lt;_created&gt;63727900&lt;/_created&gt;&lt;_modified&gt;63727900&lt;/_modified&gt;&lt;_db_updated&gt;CNKI - Reference&lt;/_db_updated&gt;&lt;_collection_scope&gt;CSCD;PKU;EI&lt;/_collection_scope&gt;&lt;_translated_author&gt;Xu, Shiyun;Wu, Ping;Zhao, Bing;Sun, Huadong;Yi, Jun;Chen, Zhanming;Bu, Guangquan&lt;/_translated_author&gt;&lt;/Details&gt;&lt;Extra&gt;&lt;DBUID&gt;{6891F4B0-DCBA-459A-9A22-3059983243D4}&lt;/DBUID&gt;&lt;/Extra&gt;&lt;/Item&gt;&lt;/References&gt;&lt;/Group&gt;&lt;/Citation&gt;_x000a_"/>
    <w:docVar w:name="NE.Ref{5E2DEAE0-806C-4588-9751-E3A083D8F8AC}" w:val=" ADDIN NE.Ref.{5E2DEAE0-806C-4588-9751-E3A083D8F8AC}&lt;Citation&gt;&lt;Group&gt;&lt;References&gt;&lt;Item&gt;&lt;ID&gt;1046&lt;/ID&gt;&lt;UID&gt;{C80B405F-6BEB-4781-92B1-57A569301870}&lt;/UID&gt;&lt;Title&gt;Real-Time Calculation Method of DC Voltage and Current to Eliminate the Influence of Signal Delay&lt;/Title&gt;&lt;Template&gt;Journal Article&lt;/Template&gt;&lt;Star&gt;0&lt;/Star&gt;&lt;Tag&gt;0&lt;/Tag&gt;&lt;Author&gt;Yin, C Y; Li, F T&lt;/Author&gt;&lt;Year&gt;2020&lt;/Year&gt;&lt;Details&gt;&lt;_alternate_title&gt;IEEE ACCESS&lt;/_alternate_title&gt;&lt;_author_adr&gt;Xinjiang Univ, Sch Elect Engn, Urumqi 830046, Peoples R China&lt;/_author_adr&gt;&lt;_cited_count&gt;0&lt;/_cited_count&gt;&lt;_date_display&gt;2020&lt;/_date_display&gt;&lt;_date&gt;2020-01-01&lt;/_date&gt;&lt;_doi&gt;10.1109/ACCESS.2020.3019594&lt;/_doi&gt;&lt;_journal&gt;IEEE ACCESS&lt;/_journal&gt;&lt;_keywords&gt;Inverters; Rectifiers; Delays; Control systems; HVDC transmission; Analytical models; Voltage control; Commutation failure; DC~voltage; high voltage DC transmission; signal delay time&lt;/_keywords&gt;&lt;_pages&gt;157168-157176&lt;/_pages&gt;&lt;_volume&gt;8&lt;/_volume&gt;&lt;_created&gt;64789178&lt;/_created&gt;&lt;_modified&gt;64789178&lt;/_modified&gt;&lt;_db_updated&gt;Web of Science-Core&lt;/_db_updated&gt;&lt;_impact_factor&gt;   3.476&lt;/_impact_factor&gt;&lt;_collection_scope&gt;SCIE;EI&lt;/_collection_scope&gt;&lt;/Details&gt;&lt;Extra&gt;&lt;DBUID&gt;{6891F4B0-DCBA-459A-9A22-3059983243D4}&lt;/DBUID&gt;&lt;/Extra&gt;&lt;/Item&gt;&lt;/References&gt;&lt;/Group&gt;&lt;/Citation&gt;_x000a_"/>
    <w:docVar w:name="NE.Ref{5EDAB5D5-CC33-4E4F-AE04-F39AA51FD17E}" w:val=" ADDIN NE.Ref.{5EDAB5D5-CC33-4E4F-AE04-F39AA51FD17E}&lt;Citation&gt;&lt;Group&gt;&lt;References&gt;&lt;Item&gt;&lt;ID&gt;670&lt;/ID&gt;&lt;UID&gt;{C52C7549-6C4E-4EBE-9351-A8E8FC96DCA1}&lt;/UID&gt;&lt;Title&gt;Analysis of the sending-side system instability caused by multiple HVDC commutation failure&lt;/Title&gt;&lt;Template&gt;Journal Article&lt;/Template&gt;&lt;Star&gt;0&lt;/Star&gt;&lt;Tag&gt;0&lt;/Tag&gt;&lt;Author&gt;Tu, Jingzhe; Zhang, Jian; Bu, Guangquan; Yi, Jun; Yin, Yonghua; Jia, Junchuan&lt;/Author&gt;&lt;Year&gt;2015&lt;/Year&gt;&lt;Details&gt;&lt;_accessed&gt;63446184&lt;/_accessed&gt;&lt;_created&gt;63446184&lt;/_created&gt;&lt;_db_updated&gt;CrossRef&lt;/_db_updated&gt;&lt;_doi&gt;10.17775/CSEEJPES.2015.00051&lt;/_doi&gt;&lt;_impact_factor&gt;   3.115&lt;/_impact_factor&gt;&lt;_isbn&gt;2096-0042&lt;/_isbn&gt;&lt;_issue&gt;4&lt;/_issue&gt;&lt;_journal&gt;CSEE Journal of Power and Energy Systems&lt;/_journal&gt;&lt;_modified&gt;63480623&lt;/_modified&gt;&lt;_pages&gt;37-44&lt;/_pages&gt;&lt;_tertiary_title&gt;CSEE Power and Energy Syst.&lt;/_tertiary_title&gt;&lt;_url&gt;http://ieeexplore.ieee.org/lpdocs/epic03/wrapper.htm?arnumber=7377172 _x000d__x000a_http://ieeexplore.ieee.org/stamp/stamp.jsp?arnumber=7377172 _x000d__x000a_https://ieeexplore.ieee.org/ielx7/7054730/7377160/07377172.pdf?tp=&amp;amp;arnumber=7377172&amp;amp;isnumber=7377160&amp;amp;ref=aHR0cHM6Ly9pZWVleHBsb3JlLmllZWUub3JnL3Jlc3Qvc2VhcmNo _x000d__x000a_&lt;/_url&gt;&lt;_volume&gt;1&lt;/_volume&gt;&lt;/Details&gt;&lt;Extra&gt;&lt;DBUID&gt;{6891F4B0-DCBA-459A-9A22-3059983243D4}&lt;/DBUID&gt;&lt;/Extra&gt;&lt;/Item&gt;&lt;/References&gt;&lt;/Group&gt;&lt;Group&gt;&lt;References&gt;&lt;Item&gt;&lt;ID&gt;675&lt;/ID&gt;&lt;UID&gt;{EDE50766-AE31-49DE-A70B-D60C5F434C39}&lt;/UID&gt;&lt;Title&gt;Transient Stability Assessment of Multi-Machine Multi-Converter Power Systems&lt;/Title&gt;&lt;Template&gt;Journal Article&lt;/Template&gt;&lt;Star&gt;0&lt;/Star&gt;&lt;Tag&gt;0&lt;/Tag&gt;&lt;Author&gt;Pico, Hugo N Villegas; Johnson, Brian B&lt;/Author&gt;&lt;Year&gt;2019&lt;/Year&gt;&lt;Details&gt;&lt;_accessed&gt;63480639&lt;/_accessed&gt;&lt;_accession_num&gt;WOS:000483016500018&lt;/_accession_num&gt;&lt;_cited_count&gt;0&lt;/_cited_count&gt;&lt;_collection_scope&gt;SCI;SCIE;EI&lt;/_collection_scope&gt;&lt;_created&gt;63480531&lt;/_created&gt;&lt;_date_display&gt;2019, SEP 2019&lt;/_date_display&gt;&lt;_db_provider&gt;ISI&lt;/_db_provider&gt;&lt;_db_updated&gt;Web of Science-All&lt;/_db_updated&gt;&lt;_doi&gt;10.1109/TPWRS.2019.2898182&lt;/_doi&gt;&lt;_impact_factor&gt;   6.074&lt;/_impact_factor&gt;&lt;_isbn&gt;0885-8950&lt;/_isbn&gt;&lt;_issue&gt;5&lt;/_issue&gt;&lt;_journal&gt;IEEE TRANSACTIONS ON POWER SYSTEMS&lt;/_journal&gt;&lt;_modified&gt;63480639&lt;/_modified&gt;&lt;_pages&gt;3504-3514&lt;/_pages&gt;&lt;_url&gt;http://gateway.isiknowledge.com/gateway/Gateway.cgi?GWVersion=2&amp;amp;SrcAuth=AegeanSoftware&amp;amp;SrcApp=NoteExpress&amp;amp;DestLinkType=FullRecord&amp;amp;DestApp=WOS&amp;amp;KeyUT=000483016500018 _x000d__x000a_https://ieeexplore.ieee.org/stampPDF/getPDF.jsp?tp=&amp;amp;arnumber=8661790&amp;amp;ref=aHR0cHM6Ly9pZWVleHBsb3JlLmllZWUub3JnL3Jlc3Qvc2VhcmNo _x000d__x000a_&lt;/_url&gt;&lt;_volume&gt;34&lt;/_volume&gt;&lt;/Details&gt;&lt;Extra&gt;&lt;DBUID&gt;{6891F4B0-DCBA-459A-9A22-3059983243D4}&lt;/DBUID&gt;&lt;/Extra&gt;&lt;/Item&gt;&lt;/References&gt;&lt;/Group&gt;&lt;Group&gt;&lt;References&gt;&lt;Item&gt;&lt;ID&gt;342&lt;/ID&gt;&lt;UID&gt;{F91F1229-3DF9-4AF7-9AD8-CA81C2386094}&lt;/UID&gt;&lt;Title&gt;AC Tie-Line Power Oscillation Mechanism and Peak Value Calculation for a Two-Area AC/DC Parallel Interconnected Power System Caused by LCC-HVDC Commutation Failures&lt;/Title&gt;&lt;Template&gt;Journal Article&lt;/Template&gt;&lt;Star&gt;0&lt;/Star&gt;&lt;Tag&gt;0&lt;/Tag&gt;&lt;Author&gt;Sun, Li; Liu, Hongbo; Ma, Chenglian&lt;/Author&gt;&lt;Year&gt;2020&lt;/Year&gt;&lt;Details&gt;&lt;_accessed&gt;63480649&lt;/_accessed&gt;&lt;_accession_num&gt;WOS:000524318700208_x000d__x000a_ER&lt;/_accession_num&gt;&lt;_cited_count&gt;0&lt;/_cited_count&gt;&lt;_collection_scope&gt;SCIE;EI&lt;/_collection_scope&gt;&lt;_created&gt;63444588&lt;/_created&gt;&lt;_date_display&gt;2020, MAR 2020&lt;/_date_display&gt;&lt;_db_provider&gt;ISI&lt;/_db_provider&gt;&lt;_doi&gt;10.3390/en13051221&lt;/_doi&gt;&lt;_impact_factor&gt;   2.702&lt;/_impact_factor&gt;&lt;_issue&gt;12215&lt;/_issue&gt;&lt;_journal&gt;ENERGIES&lt;/_journal&gt;&lt;_modified&gt;63446009&lt;/_modified&gt;&lt;_url&gt;http://gateway.isiknowledge.com/gateway/Gateway.cgi?GWVersion=2&amp;amp;SrcAuth=AegeanSoftware&amp;amp;SrcApp=NoteExpress&amp;amp;DestLinkType=FullRecord&amp;amp;DestApp=WOS&amp;amp;KeyUT=000524318700208&lt;/_url&gt;&lt;_volume&gt;13&lt;/_volume&gt;&lt;/Details&gt;&lt;Extra&gt;&lt;DBUID&gt;{6891F4B0-DCBA-459A-9A22-3059983243D4}&lt;/DBUID&gt;&lt;/Extra&gt;&lt;/Item&gt;&lt;/References&gt;&lt;/Group&gt;&lt;/Citation&gt;_x000a_"/>
    <w:docVar w:name="NE.Ref{5F44EAAC-458D-4C11-8EE7-9C5F99B7D59A}" w:val=" ADDIN NE.Ref.{5F44EAAC-458D-4C11-8EE7-9C5F99B7D59A}&lt;Citation&gt;&lt;Group&gt;&lt;References&gt;&lt;Item&gt;&lt;ID&gt;647&lt;/ID&gt;&lt;UID&gt;{F25AF618-8E89-408E-9A2F-AB04356AFDC3}&lt;/UID&gt;&lt;Title&gt;Exergo-economic analysis method and optimization of a novel photovoltaic/ thermal solar-assisted hybrid combined cooling, heating and power system&lt;/Title&gt;&lt;Template&gt;Journal Article&lt;/Template&gt;&lt;Star&gt;0&lt;/Star&gt;&lt;Tag&gt;0&lt;/Tag&gt;&lt;Author&gt;Wang, Jiangjiang; Chen, Yuzhu; Lior, Noam&lt;/Author&gt;&lt;Year&gt;2019&lt;/Year&gt;&lt;Details&gt;&lt;_issue&gt;Nov.&lt;/_issue&gt;&lt;_journal&gt;Energy Conversion &amp;amp; Management&lt;/_journal&gt;&lt;_pages&gt;111945.1-111945.15&lt;/_pages&gt;&lt;_volume&gt;199&lt;/_volume&gt;&lt;_created&gt;63705609&lt;/_created&gt;&lt;_modified&gt;63705609&lt;/_modified&gt;&lt;/Details&gt;&lt;Extra&gt;&lt;DBUID&gt;{F96A950B-833F-4880-A151-76DA2D6A2879}&lt;/DBUID&gt;&lt;/Extra&gt;&lt;/Item&gt;&lt;/References&gt;&lt;/Group&gt;&lt;/Citation&gt;_x000a_"/>
    <w:docVar w:name="NE.Ref{5F88D5E8-AC09-48D8-BCDB-602F20FCD680}" w:val=" ADDIN NE.Ref.{5F88D5E8-AC09-48D8-BCDB-602F20FCD680}&lt;Citation&gt;&lt;Group&gt;&lt;References&gt;&lt;Item&gt;&lt;ID&gt;648&lt;/ID&gt;&lt;UID&gt;{9864421F-716F-4C3A-95DB-D294DF41BC5F}&lt;/UID&gt;&lt;Title&gt;Reactive Power Control Strategy for Inhibiting Transient Overvoltage Caused by Commutation Failure&lt;/Title&gt;&lt;Template&gt;Journal Article&lt;/Template&gt;&lt;Star&gt;0&lt;/Star&gt;&lt;Tag&gt;0&lt;/Tag&gt;&lt;Author&gt;Yin, C Y; Li, F T&lt;/Author&gt;&lt;Year&gt;2021&lt;/Year&gt;&lt;Details&gt;&lt;_accessed&gt;64494517&lt;/_accessed&gt;&lt;_alternate_title&gt;IEEE TRANSACTIONS ON POWER SYSTEMS&lt;/_alternate_title&gt;&lt;_author_adr&gt;Xinjiang Univ, Sch Elect Engn, Urumqi 830047, Peoples R China&lt;/_author_adr&gt;&lt;_cited_count&gt;4&lt;/_cited_count&gt;&lt;_collection_scope&gt;SCI;SCIE;EI&lt;/_collection_scope&gt;&lt;_created&gt;64493973&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494517&lt;/_modified&gt;&lt;_pages&gt;4764-4777&lt;/_pages&gt;&lt;_url&gt;https://ieeexplore.ieee.org/stampPDF/getPDF.jsp?tp=&amp;amp;arnumber=9369111&amp;amp;ref=aHR0cHM6Ly9pZWVleHBsb3JlLmllZWUub3JnL3Jlc3Qvc2VhcmNo _x000d__x000a_&lt;/_url&gt;&lt;_volume&gt;36&lt;/_volume&gt;&lt;/Details&gt;&lt;Extra&gt;&lt;DBUID&gt;{F96A950B-833F-4880-A151-76DA2D6A2879}&lt;/DBUID&gt;&lt;/Extra&gt;&lt;/Item&gt;&lt;/References&gt;&lt;/Group&gt;&lt;Group&gt;&lt;References&gt;&lt;Item&gt;&lt;ID&gt;629&lt;/ID&gt;&lt;UID&gt;{CCB72473-8296-4D2D-81B9-CF1153905A5D}&lt;/UID&gt;&lt;Title&gt;Analytical Expression on Transient Overvoltage Peak Value of Converter Bus Caused by DC Faults&lt;/Title&gt;&lt;Template&gt;Journal Article&lt;/Template&gt;&lt;Star&gt;0&lt;/Star&gt;&lt;Tag&gt;0&lt;/Tag&gt;&lt;Author&gt;Yin, C Y; Li, F T&lt;/Author&gt;&lt;Year&gt;2021&lt;/Year&gt;&lt;Details&gt;&lt;_alternate_title&gt;IEEE TRANSACTIONS ON POWER SYSTEMS&lt;/_alternate_title&gt;&lt;_author_adr&gt;Xinjiang Univ, Sch Elect Engn, Urumqi 830047, Peoples R China&lt;/_author_adr&gt;&lt;_cited_count&gt;3&lt;/_cited_count&gt;&lt;_collection_scope&gt;SCI;SCIE;EI&lt;/_collection_scope&gt;&lt;_created&gt;64493973&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494422&lt;/_modified&gt;&lt;_pages&gt;2741-2744&lt;/_pages&gt;&lt;_url&gt;https://ieeexplore.ieee.org/stampPDF/getPDF.jsp?tp=&amp;amp;arnumber=9366344&amp;amp;ref=aHR0cHM6Ly9pZWVleHBsb3JlLmllZWUub3JnL3Jlc3Qvc2VhcmNo _x000d__x000a_&lt;/_url&gt;&lt;_volume&gt;36&lt;/_volume&gt;&lt;/Details&gt;&lt;Extra&gt;&lt;DBUID&gt;{F96A950B-833F-4880-A151-76DA2D6A2879}&lt;/DBUID&gt;&lt;/Extra&gt;&lt;/Item&gt;&lt;/References&gt;&lt;/Group&gt;&lt;/Citation&gt;_x000a_"/>
    <w:docVar w:name="NE.Ref{6002F71B-60DF-4040-8520-C3886BD85ADC}" w:val=" ADDIN NE.Ref.{6002F71B-60DF-4040-8520-C3886BD85ADC}&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60AFE9D4-E7A4-41F6-A750-D685F7EAF184}" w:val=" ADDIN NE.Ref.{60AFE9D4-E7A4-41F6-A750-D685F7EAF184}&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Details&gt;&lt;Extra&gt;&lt;DBUID&gt;{6891F4B0-DCBA-459A-9A22-3059983243D4}&lt;/DBUID&gt;&lt;/Extra&gt;&lt;/Item&gt;&lt;/References&gt;&lt;/Group&gt;&lt;/Citation&gt;_x000a_"/>
    <w:docVar w:name="NE.Ref{614AD250-A67D-4B69-936D-C3F9E07F35C9}" w:val=" ADDIN NE.Ref.{614AD250-A67D-4B69-936D-C3F9E07F35C9}&lt;Citation&gt;&lt;Group&gt;&lt;References&gt;&lt;Item&gt;&lt;ID&gt;59&lt;/ID&gt;&lt;UID&gt;{52C8E72E-1F8D-4464-B7FA-C1E17C01F448}&lt;/UID&gt;&lt;Title&gt;消纳大规模风电的鲁棒区间经济调度  (二)不确定集合构建与保守度调节&lt;/Title&gt;&lt;Template&gt;Journal Article&lt;/Template&gt;&lt;Star&gt;0&lt;/Star&gt;&lt;Tag&gt;0&lt;/Tag&gt;&lt;Author&gt;李志刚; 吴文传; 张伯明&lt;/Author&gt;&lt;Year&gt;2014&lt;/Year&gt;&lt;Details&gt;&lt;_accessed&gt;64102962&lt;/_accessed&gt;&lt;_author_aff&gt;清华大学电机工程与应用电子技术系;电力系统及发电设备控制和仿真国家重点实验室,清华大学;&lt;/_author_aff&gt;&lt;_cited_count&gt;75&lt;/_cited_count&gt;&lt;_collection_scope&gt;CSCD;PKU;EI&lt;/_collection_scope&gt;&lt;_created&gt;64102676&lt;/_created&gt;&lt;_date&gt;60409440&lt;/_date&gt;&lt;_db_updated&gt;CNKI - Reference&lt;/_db_updated&gt;&lt;_issue&gt;21&lt;/_issue&gt;&lt;_journal&gt;电力系统自动化&lt;/_journal&gt;&lt;_keywords&gt;不确定集合;鲁棒优化;经济调度;预测区间;风力发电&lt;/_keywords&gt;&lt;_language&gt;Chinese&lt;/_language&gt;&lt;_modified&gt;64102962&lt;/_modified&gt;&lt;_pages&gt;32-38&lt;/_pages&gt;&lt;_url&gt;https://kns.cnki.net/kcms/detail/detail.aspx?FileName=DLXT201421006&amp;amp;DbName=CJFQ2014&lt;/_url&gt;&lt;_volume&gt;38&lt;/_volume&gt;&lt;_translated_author&gt;Li, Zhigang;Wu, Wenchuan;Zhang, Boming&lt;/_translated_author&gt;&lt;/Details&gt;&lt;Extra&gt;&lt;DBUID&gt;{560D5FFD-5A46-4EB8-859B-FD657304A42E}&lt;/DBUID&gt;&lt;/Extra&gt;&lt;/Item&gt;&lt;/References&gt;&lt;/Group&gt;&lt;Group&gt;&lt;References&gt;&lt;Item&gt;&lt;ID&gt;56&lt;/ID&gt;&lt;UID&gt;{64E36D0B-C2C1-49A9-A5C8-1D1826315601}&lt;/UID&gt;&lt;Title&gt;电力系统鲁棒经济调度  (一)理论基础&lt;/Title&gt;&lt;Template&gt;Journal Article&lt;/Template&gt;&lt;Star&gt;0&lt;/Star&gt;&lt;Tag&gt;0&lt;/Tag&gt;&lt;Author&gt;魏韡; 刘锋; 梅生伟&lt;/Author&gt;&lt;Year&gt;2013&lt;/Year&gt;&lt;Details&gt;&lt;_accessed&gt;64302517&lt;/_accessed&gt;&lt;_author_aff&gt;清华大学电机工程与应用电子技术系;电力系统及发电设备控制和仿真国家重点实验室,清华大学;&lt;/_author_aff&gt;&lt;_cited_count&gt;191&lt;/_cited_count&gt;&lt;_collection_scope&gt;CSCD;PKU;EI&lt;/_collection_scope&gt;&lt;_created&gt;64102676&lt;/_created&gt;&lt;_date&gt;59796000&lt;/_date&gt;&lt;_db_updated&gt;CNKI - Reference&lt;/_db_updated&gt;&lt;_issue&gt;17&lt;/_issue&gt;&lt;_journal&gt;电力系统自动化&lt;/_journal&gt;&lt;_keywords&gt;电力系统;鲁棒经济调度;新能源发电;两阶段零和博弈;不确定性&lt;/_keywords&gt;&lt;_language&gt;Chinese&lt;/_language&gt;&lt;_modified&gt;64105503&lt;/_modified&gt;&lt;_pages&gt;37-43&lt;/_pages&gt;&lt;_url&gt;https://kns.cnki.net/kcms/detail/detail.aspx?FileName=DLXT201317006&amp;amp;DbName=CJFQ2013&lt;/_url&gt;&lt;_volume&gt;37&lt;/_volume&gt;&lt;_translated_author&gt;Wei, Wei;Liu, Feng;Mei, Shengwei&lt;/_translated_author&gt;&lt;/Details&gt;&lt;Extra&gt;&lt;DBUID&gt;{560D5FFD-5A46-4EB8-859B-FD657304A42E}&lt;/DBUID&gt;&lt;/Extra&gt;&lt;/Item&gt;&lt;/References&gt;&lt;/Group&gt;&lt;/Citation&gt;_x000a_"/>
    <w:docVar w:name="NE.Ref{6160886D-58C8-4D65-ABA0-0CF4C86D5B8B}" w:val=" ADDIN NE.Ref.{6160886D-58C8-4D65-ABA0-0CF4C86D5B8B}&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ccessed&gt;64647193&lt;/_accessed&gt;&lt;_author_aff&gt;四川大学电气信息学院;&lt;/_author_aff&gt;&lt;_cited_count&gt;64&lt;/_cited_count&gt;&lt;_collection_scope&gt;CSCD;PKU;EI&lt;/_collection_scope&gt;&lt;_created&gt;64646900&lt;/_created&gt;&lt;_date&gt;2016-07-07&lt;/_date&gt;&lt;_db_updated&gt;CNKI - Reference&lt;/_db_updated&gt;&lt;_issue&gt;10&lt;/_issue&gt;&lt;_journal&gt;电网技术&lt;/_journal&gt;&lt;_keywords&gt;高压直流;暂态过电压;短路比;影响因素;故障分析;机理分析&lt;/_keywords&gt;&lt;_modified&gt;64647194&lt;/_modified&gt;&lt;_pages&gt;3059-3065&lt;/_pages&gt;&lt;_tertiary_title&gt;Power System Technology&lt;/_tertiary_title&gt;&lt;_translated_author&gt;WANG, Feng; LIU, Tianqi; DING, Yuanyuan; ZENG, Qi; LI, Xingyuan&lt;/_translated_author&gt;&lt;_translated_title&gt;Calculation Method and Influencing Factors of Transient Overvoltage&lt;/_translated_title&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Details&gt;&lt;Extra&gt;&lt;DBUID&gt;{6891F4B0-DCBA-459A-9A22-3059983243D4}&lt;/DBUID&gt;&lt;/Extra&gt;&lt;/Item&gt;&lt;/References&gt;&lt;/Group&gt;&lt;/Citation&gt;_x000a_"/>
    <w:docVar w:name="NE.Ref{61D24C47-9B0E-45A7-9BC5-F6AB67EDFA35}" w:val=" ADDIN NE.Ref.{61D24C47-9B0E-45A7-9BC5-F6AB67EDFA35}&lt;Citation&gt;&lt;Group&gt;&lt;References&gt;&lt;Item&gt;&lt;ID&gt;520&lt;/ID&gt;&lt;UID&gt;{DC67DA3C-DECD-400E-B6DB-7F0B32516434}&lt;/UID&gt;&lt;Title&gt;考虑风电不确定性的混合储能容量优化配置及运行策略研究&lt;/Title&gt;&lt;Template&gt;Journal Article&lt;/Template&gt;&lt;Star&gt;0&lt;/Star&gt;&lt;Tag&gt;0&lt;/Tag&gt;&lt;Author&gt;陈厚合; 杜欢欢; 张儒峰; 姜涛; 李雪&lt;/Author&gt;&lt;Year&gt;2018&lt;/Year&gt;&lt;Details&gt;&lt;_author_adr&gt;东北电力大学电气工程学院;&lt;/_author_adr&gt;&lt;_collection_scope&gt;CSCD;PKU;EI&lt;/_collection_scope&gt;&lt;_created&gt;63657440&lt;/_created&gt;&lt;_db_provider&gt;CNKI&lt;/_db_provider&gt;&lt;_isbn&gt;1006-6047&lt;/_isbn&gt;&lt;_issue&gt;08&lt;/_issue&gt;&lt;_journal&gt;电力自动化设备&lt;/_journal&gt;&lt;_keywords&gt;频谱分析;混合储能系统;机会约束规划;储能运行策略;优化配置&lt;/_keywords&gt;&lt;_modified&gt;63657440&lt;/_modified&gt;&lt;_pages&gt;174-182+188&lt;/_pages&gt;&lt;_volume&gt;38&lt;/_volume&gt;&lt;_translated_author&gt;Chen, Houhe;Du, Huanhuan;Zhang, Rufeng;Jiang, Tao;Li, Xue&lt;/_translated_author&gt;&lt;/Details&gt;&lt;Extra&gt;&lt;DBUID&gt;{F96A950B-833F-4880-A151-76DA2D6A2879}&lt;/DBUID&gt;&lt;/Extra&gt;&lt;/Item&gt;&lt;/References&gt;&lt;/Group&gt;&lt;/Citation&gt;_x000a_"/>
    <w:docVar w:name="NE.Ref{61DC88AD-41EC-49DB-8DEA-72FAFDEC2403}" w:val=" ADDIN NE.Ref.{61DC88AD-41EC-49DB-8DEA-72FAFDEC2403}&lt;Citation&gt;&lt;Group&gt;&lt;References&gt;&lt;Item&gt;&lt;ID&gt;92&lt;/ID&gt;&lt;UID&gt;{A96A5856-050B-45D6-B093-7436B3E85112}&lt;/UID&gt;&lt;Title&gt;考虑负荷随机性的风电消纳能力概率评估&lt;/Title&gt;&lt;Template&gt;Journal Article&lt;/Template&gt;&lt;Star&gt;0&lt;/Star&gt;&lt;Tag&gt;0&lt;/Tag&gt;&lt;Author&gt;张晓英; 汪彬; 王琨; 王晓兰; 陈伟&lt;/Author&gt;&lt;Year&gt;2019&lt;/Year&gt;&lt;Details&gt;&lt;_accessed&gt;64303936&lt;/_accessed&gt;&lt;_author_aff&gt;兰州理工大学电气工程与信息工程学院;国网甘肃省电力公司电力科学研究院;&lt;/_author_aff&gt;&lt;_cited_count&gt;12&lt;/_cited_count&gt;&lt;_collection_scope&gt;CSCD;PKU;EI&lt;/_collection_scope&gt;&lt;_created&gt;64302632&lt;/_created&gt;&lt;_date&gt;62671680&lt;/_date&gt;&lt;_db_updated&gt;CNKI - Reference&lt;/_db_updated&gt;&lt;_issue&gt;02&lt;/_issue&gt;&lt;_journal&gt;太阳能学报&lt;/_journal&gt;&lt;_keywords&gt;风电消纳;概率评估;高斯混合模型;切片采样&lt;/_keywords&gt;&lt;_language&gt;Chinese&lt;/_language&gt;&lt;_modified&gt;64303838&lt;/_modified&gt;&lt;_pages&gt;341-347&lt;/_pages&gt;&lt;_url&gt;https://kns.cnki.net/kcms/detail/detail.aspx?FileName=TYLX201902008&amp;amp;DbName=DKFX2019&lt;/_url&gt;&lt;_volume&gt;40&lt;/_volume&gt;&lt;_translated_author&gt;Zhang, Xiaoying;Wang, Bin;Wang, Kun;Wang, Xiaolan;Chen, Wei&lt;/_translated_author&gt;&lt;/Details&gt;&lt;Extra&gt;&lt;DBUID&gt;{560D5FFD-5A46-4EB8-859B-FD657304A42E}&lt;/DBUID&gt;&lt;/Extra&gt;&lt;/Item&gt;&lt;/References&gt;&lt;/Group&gt;&lt;/Citation&gt;_x000a_"/>
    <w:docVar w:name="NE.Ref{626E38EF-5451-451A-BDC1-E314A1B2EA18}" w:val=" ADDIN NE.Ref.{626E38EF-5451-451A-BDC1-E314A1B2EA18}&lt;Citation&gt;&lt;Group&gt;&lt;References&gt;&lt;Item&gt;&lt;ID&gt;593&lt;/ID&gt;&lt;UID&gt;{2A35C63F-1838-4AEC-987E-F1F357CDBD04}&lt;/UID&gt;&lt;Title&gt;A Multiobjective Evolutionary Algorithm Using Gaussian Process-Based Inverse Modeling&lt;/Title&gt;&lt;Template&gt;Journal Article&lt;/Template&gt;&lt;Star&gt;0&lt;/Star&gt;&lt;Tag&gt;0&lt;/Tag&gt;&lt;Author&gt;Cheng, Ran; Jin, Yaochu; Narukawa, Kaname; Sendhoff, Bernhard&lt;/Author&gt;&lt;Year&gt;2015&lt;/Year&gt;&lt;Details&gt;&lt;_collection_scope&gt;SCI;SCIE;EI&lt;/_collection_scope&gt;&lt;_created&gt;63705120&lt;/_created&gt;&lt;_impact_factor&gt;  11.169&lt;/_impact_factor&gt;&lt;_issue&gt;6&lt;/_issue&gt;&lt;_journal&gt;IEEE Transactions on Evolutionary Computation&lt;/_journal&gt;&lt;_modified&gt;63705120&lt;/_modified&gt;&lt;_pages&gt;838-856&lt;/_pages&gt;&lt;_volume&gt;19&lt;/_volume&gt;&lt;/Details&gt;&lt;Extra&gt;&lt;DBUID&gt;{F96A950B-833F-4880-A151-76DA2D6A2879}&lt;/DBUID&gt;&lt;/Extra&gt;&lt;/Item&gt;&lt;/References&gt;&lt;/Group&gt;&lt;/Citation&gt;_x000a_"/>
    <w:docVar w:name="NE.Ref{627FE40B-7832-4FFD-8755-22A1718FEFC5}" w:val=" ADDIN NE.Ref.{627FE40B-7832-4FFD-8755-22A1718FEFC5}&lt;Citation&gt;&lt;Group&gt;&lt;References&gt;&lt;Item&gt;&lt;ID&gt;44&lt;/ID&gt;&lt;UID&gt;{618029ED-179B-443B-A7AE-100713877E77}&lt;/UID&gt;&lt;Title&gt;鲁棒优化在电力系统调度决策中的应用研究综述&lt;/Title&gt;&lt;Template&gt;Journal Article&lt;/Template&gt;&lt;Star&gt;0&lt;/Star&gt;&lt;Tag&gt;0&lt;/Tag&gt;&lt;Author&gt;于丹文; 杨明; 翟鹤峰; 韩学山&lt;/Author&gt;&lt;Year&gt;2016&lt;/Year&gt;&lt;Details&gt;&lt;_accessed&gt;64357569&lt;/_accessed&gt;&lt;_author_aff&gt;电网智能化调度与控制教育部重点实验室(山东大学);&lt;/_author_aff&gt;&lt;_cited_count&gt;138&lt;/_cited_count&gt;&lt;_collection_scope&gt;CSCD;PKU;EI&lt;/_collection_scope&gt;&lt;_created&gt;64357565&lt;/_created&gt;&lt;_date&gt;61153920&lt;/_date&gt;&lt;_db_updated&gt;CNKI - Reference&lt;/_db_updated&gt;&lt;_issue&gt;07&lt;/_issue&gt;&lt;_journal&gt;电力系统自动化&lt;/_journal&gt;&lt;_keywords&gt;鲁棒优化;调度决策;机组组合;经济调度&lt;/_keywords&gt;&lt;_language&gt;Chinese&lt;/_language&gt;&lt;_modified&gt;64357569&lt;/_modified&gt;&lt;_pages&gt;134-143+148&lt;/_pages&gt;&lt;_url&gt;https://kns.cnki.net/kcms/detail/detail.aspx?FileName=DLXT201607020&amp;amp;DbName=CJFQ2016&lt;/_url&gt;&lt;_volume&gt;40&lt;/_volume&gt;&lt;_translated_author&gt;Yu, Danwen;Yang, Ming;Zhai, Hefeng;Han, Xueshan&lt;/_translated_author&gt;&lt;/Details&gt;&lt;Extra/&gt;&lt;/Item&gt;&lt;/References&gt;&lt;/Group&gt;&lt;/Citation&gt;_x000a_"/>
    <w:docVar w:name="NE.Ref{62A75942-98A7-4F21-9FC5-8A8BF8183C6C}" w:val=" ADDIN NE.Ref.{62A75942-98A7-4F21-9FC5-8A8BF8183C6C}&lt;Citation&gt;&lt;Group&gt;&lt;References&gt;&lt;Item&gt;&lt;ID&gt;423&lt;/ID&gt;&lt;UID&gt;{2B3D28A3-421B-4A49-8199-D6D51E8AE379}&lt;/UID&gt;&lt;Title&gt;Multiobjective economic-environmental power dispatch with stochastic wind-solar-small hydro power&lt;/Title&gt;&lt;Template&gt;Journal Article&lt;/Template&gt;&lt;Star&gt;0&lt;/Star&gt;&lt;Tag&gt;0&lt;/Tag&gt;&lt;Author&gt;Biswas, Partha P; Suganthan, P N; Qu, B Y; Amaratunga, Gehan A J&lt;/Author&gt;&lt;Year&gt;2018&lt;/Year&gt;&lt;Details&gt;&lt;_accession_num&gt;WOS:000431748400083_x000d__x000a_ER&lt;/_accession_num&gt;&lt;_cited_count&gt;42&lt;/_cited_count&gt;&lt;_collection_scope&gt;SCI;SCIE;EI&lt;/_collection_scope&gt;&lt;_created&gt;63644451&lt;/_created&gt;&lt;_date_display&gt;2018, MAY 1 2018&lt;/_date_display&gt;&lt;_db_provider&gt;ISI&lt;/_db_provider&gt;&lt;_doi&gt;10.1016/j.energy.2018.03.002&lt;/_doi&gt;&lt;_impact_factor&gt;   6.082&lt;/_impact_factor&gt;&lt;_isbn&gt;0360-5442&lt;/_isbn&gt;&lt;_journal&gt;ENERGY&lt;/_journal&gt;&lt;_modified&gt;63644451&lt;/_modified&gt;&lt;_pages&gt;1039-1057&lt;/_pages&gt;&lt;_url&gt;http://gateway.isiknowledge.com/gateway/Gateway.cgi?GWVersion=2&amp;amp;SrcAuth=AegeanSoftware&amp;amp;SrcApp=NoteExpress&amp;amp;DestLinkType=FullRecord&amp;amp;DestApp=WOS&amp;amp;KeyUT=000431748400083&lt;/_url&gt;&lt;_volume&gt;150&lt;/_volume&gt;&lt;/Details&gt;&lt;Extra&gt;&lt;DBUID&gt;{F96A950B-833F-4880-A151-76DA2D6A2879}&lt;/DBUID&gt;&lt;/Extra&gt;&lt;/Item&gt;&lt;/References&gt;&lt;/Group&gt;&lt;/Citation&gt;_x000a_"/>
    <w:docVar w:name="NE.Ref{63369879-5C24-4263-A63A-1DB053BC9836}" w:val=" ADDIN NE.Ref.{63369879-5C24-4263-A63A-1DB053BC9836}&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db_provider&gt;CNKI&lt;/_db_provider&gt;&lt;_isbn&gt;1000-3673&lt;/_isbn&gt;&lt;_issue&gt;03&lt;/_issue&gt;&lt;_journal&gt;电网技术&lt;/_journal&gt;&lt;_keywords&gt;售电公司;虚拟电厂;双层规划;NSGA-Ⅱ算法;混合整数二阶锥规划&lt;/_keywords&gt;&lt;_pages&gt;952-961&lt;/_pages&gt;&lt;_volume&gt;43&lt;/_volume&gt;&lt;_created&gt;63648575&lt;/_created&gt;&lt;_modified&gt;63648575&lt;/_modified&gt;&lt;_collection_scope&gt;CSCD;PKU;EI&lt;/_collection_scope&gt;&lt;_translated_author&gt;Zhang, Tao;Wang, Cheng;Wang, Lingyun;Zhang, Dongfang;Zhang, Jiaying&lt;/_translated_author&gt;&lt;/Details&gt;&lt;Extra&gt;&lt;DBUID&gt;{F96A950B-833F-4880-A151-76DA2D6A2879}&lt;/DBUID&gt;&lt;/Extra&gt;&lt;/Item&gt;&lt;/References&gt;&lt;/Group&gt;&lt;/Citation&gt;_x000a_"/>
    <w:docVar w:name="NE.Ref{636052D5-6CEB-48FB-8E6A-85FEACFA9666}" w:val=" ADDIN NE.Ref.{636052D5-6CEB-48FB-8E6A-85FEACFA9666}&lt;Citation&gt;&lt;Group&gt;&lt;References&gt;&lt;Item&gt;&lt;ID&gt;526&lt;/ID&gt;&lt;UID&gt;{5FAEA3FF-5F76-46D8-AC09-080124D9DB30}&lt;/UID&gt;&lt;Title&gt;2019年全球能源供需分析——基于《BP世界能源统计年鉴(2020)》&lt;/Title&gt;&lt;Template&gt;Journal Article&lt;/Template&gt;&lt;Star&gt;0&lt;/Star&gt;&lt;Tag&gt;5&lt;/Tag&gt;&lt;Author&gt;李洪言; 赵朔; 林傲丹; 刘飞; 李雷; 代晓东&lt;/Author&gt;&lt;Year&gt;2020&lt;/Year&gt;&lt;Details&gt;&lt;_author_adr&gt;中国石油大学胜利学院油气工程学院;&lt;/_author_adr&gt;&lt;_created&gt;63659476&lt;/_created&gt;&lt;_db_provider&gt;CNKI&lt;/_db_provider&gt;&lt;_isbn&gt;1006-5539&lt;/_isbn&gt;&lt;_issue&gt;06&lt;/_issue&gt;&lt;_journal&gt;天然气与石油&lt;/_journal&gt;&lt;_keywords&gt;BP;2019年;全球能源;供需&lt;/_keywords&gt;&lt;_modified&gt;63705361&lt;/_modified&gt;&lt;_pages&gt;122-130&lt;/_pages&gt;&lt;_volume&gt;38&lt;/_volume&gt;&lt;_translated_author&gt;Li, Hongyan;Zhao, Shuo;Lin, Aodan;Liu, Fei;Li, Lei;Dai, Xiaodong&lt;/_translated_author&gt;&lt;/Details&gt;&lt;Extra&gt;&lt;DBUID&gt;{F96A950B-833F-4880-A151-76DA2D6A2879}&lt;/DBUID&gt;&lt;/Extra&gt;&lt;/Item&gt;&lt;/References&gt;&lt;/Group&gt;&lt;/Citation&gt;_x000a_"/>
    <w:docVar w:name="NE.Ref{63A839A6-A87E-44CB-86FD-88A904C12C25}" w:val=" ADDIN NE.Ref.{63A839A6-A87E-44CB-86FD-88A904C12C25}&lt;Citation&gt;&lt;Group&gt;&lt;References&gt;&lt;Item&gt;&lt;ID&gt;1037&lt;/ID&gt;&lt;UID&gt;{71B076DE-04BF-4729-92F3-3B9185A8E503}&lt;/UID&gt;&lt;Title&gt;Predictive Commutation Failure Suppression Strategy for High Voltage Direct Current System Considering Harmonic Components of Commutation Voltage&lt;/Title&gt;&lt;Template&gt;Journal Article&lt;/Template&gt;&lt;Star&gt;0&lt;/Star&gt;&lt;Tag&gt;0&lt;/Tag&gt;&lt;Author&gt;Liu, X L; Cao, Z Y; Gao, B T; Zhou, Z A; Wang, X G; Zhang, F&lt;/Author&gt;&lt;Year&gt;2022&lt;/Year&gt;&lt;Details&gt;&lt;_alternate_title&gt;PROCESSES&lt;/_alternate_title&gt;&lt;_author_adr&gt;Southeast Univ, Sch Elect Engn, Nanjing 210096, Peoples R China; State Grid Xinjiang Elect Power Co Ltd, Urumqi 830011, Peoples R China&lt;/_author_adr&gt;&lt;_cited_count&gt;1&lt;/_cited_count&gt;&lt;_collection_scope&gt;SCIE&lt;/_collection_scope&gt;&lt;_created&gt;64786191&lt;/_created&gt;&lt;_date&gt;2022-01-01&lt;/_date&gt;&lt;_date_display&gt;2022&lt;/_date_display&gt;&lt;_db_updated&gt;Web of Science-Core&lt;/_db_updated&gt;&lt;_doi&gt;10.3390/pr10102073&lt;/_doi&gt;&lt;_impact_factor&gt;   3.352&lt;/_impact_factor&gt;&lt;_issue&gt;10&lt;/_issue&gt;&lt;_journal&gt;PROCESSES&lt;/_journal&gt;&lt;_keywords&gt;high voltage direct current; harmonic components; voltage prediction; commutation failure suppression; commutation failure prevention&lt;/_keywords&gt;&lt;_modified&gt;64786195&lt;/_modified&gt;&lt;_volume&gt;10&lt;/_volume&gt;&lt;/Details&gt;&lt;Extra&gt;&lt;DBUID&gt;{6891F4B0-DCBA-459A-9A22-3059983243D4}&lt;/DBUID&gt;&lt;/Extra&gt;&lt;/Item&gt;&lt;/References&gt;&lt;/Group&gt;&lt;/Citation&gt;_x000a_"/>
    <w:docVar w:name="NE.Ref{64F68070-D2A6-4C5B-9B18-A549EC0D9333}" w:val=" ADDIN NE.Ref.{64F68070-D2A6-4C5B-9B18-A549EC0D9333}&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650E1C20-ECCF-42AD-A00A-6DAC54B04101}" w:val=" ADDIN NE.Ref.{650E1C20-ECCF-42AD-A00A-6DAC54B04101}&lt;Citation&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_accessed&gt;64646993&lt;/_accessed&gt;&lt;/Details&gt;&lt;Extra&gt;&lt;DBUID&gt;{6891F4B0-DCBA-459A-9A22-3059983243D4}&lt;/DBUID&gt;&lt;/Extra&gt;&lt;/Item&gt;&lt;/References&gt;&lt;/Group&gt;&lt;/Citation&gt;_x000a_"/>
    <w:docVar w:name="NE.Ref{65BA11E0-A967-46FA-BFCC-1A332181CCCA}" w:val=" ADDIN NE.Ref.{65BA11E0-A967-46FA-BFCC-1A332181CCCA}&lt;Citation&gt;&lt;Group&gt;&lt;References&gt;&lt;Item&gt;&lt;ID&gt;623&lt;/ID&gt;&lt;UID&gt;{43E481F1-CF5B-443B-BB69-E297D79E91FF}&lt;/UID&gt;&lt;Title&gt;风–光–水–碳捕集多区域虚拟电厂协调优化调度&lt;/Title&gt;&lt;Template&gt;Journal Article&lt;/Template&gt;&lt;Star&gt;0&lt;/Star&gt;&lt;Tag&gt;0&lt;/Tag&gt;&lt;Author&gt;孙惠娟; 蒙锦辉; 彭春华&lt;/Author&gt;&lt;Year&gt;2019&lt;/Year&gt;&lt;Details&gt;&lt;_author_adr&gt;华东交通大学电气与自动化工程学院;&lt;/_author_adr&gt;&lt;_db_provider&gt;CNKI&lt;/_db_provider&gt;&lt;_isbn&gt;1000-3673&lt;/_isbn&gt;&lt;_issue&gt;11&lt;/_issue&gt;&lt;_journal&gt;电网技术&lt;/_journal&gt;&lt;_keywords&gt;多区域虚拟电厂;综合能源;协调优化调度;主动弃水;分子微分进化&lt;/_keywords&gt;&lt;_pages&gt;4040-4051&lt;/_pages&gt;&lt;_volume&gt;43&lt;/_volume&gt;&lt;_created&gt;63705545&lt;/_created&gt;&lt;_modified&gt;63705545&lt;/_modified&gt;&lt;_collection_scope&gt;CSCD;PKU;EI&lt;/_collection_scope&gt;&lt;_translated_author&gt;Sun, Huijuan;Meng, Jinhui;Peng, Chunhua&lt;/_translated_author&gt;&lt;/Details&gt;&lt;Extra&gt;&lt;DBUID&gt;{F96A950B-833F-4880-A151-76DA2D6A2879}&lt;/DBUID&gt;&lt;/Extra&gt;&lt;/Item&gt;&lt;/References&gt;&lt;/Group&gt;&lt;Group&gt;&lt;References&gt;&lt;Item&gt;&lt;ID&gt;625&lt;/ID&gt;&lt;UID&gt;{E1525CEA-9CB1-4B26-A8DF-8B44E4939FF4}&lt;/UID&gt;&lt;Title&gt;基于遗传-禁忌搜索算法的微网群能量管理&lt;/Title&gt;&lt;Template&gt;Journal Article&lt;/Template&gt;&lt;Star&gt;0&lt;/Star&gt;&lt;Tag&gt;0&lt;/Tag&gt;&lt;Author&gt;张福民; 叶子静; 李占凯; 唐圣学; 马晨阳; 姜含&lt;/Author&gt;&lt;Year&gt;2018&lt;/Year&gt;&lt;Details&gt;&lt;_author_adr&gt;省部共建电工装备可靠性与智能化国家重点实验室(河北工业大学);河北省电磁场与电器可靠性重点实验室(河北工业大学);&lt;/_author_adr&gt;&lt;_db_provider&gt;CNKI&lt;/_db_provider&gt;&lt;_isbn&gt;1003-6520&lt;/_isbn&gt;&lt;_issue&gt;07&lt;/_issue&gt;&lt;_journal&gt;高电压技术&lt;/_journal&gt;&lt;_keywords&gt;配电系统;分布式发电;微网群;能量管理;优化调度;遗传-禁忌搜索算法&lt;/_keywords&gt;&lt;_pages&gt;2323-2330&lt;/_pages&gt;&lt;_volume&gt;44&lt;/_volume&gt;&lt;_created&gt;63705545&lt;/_created&gt;&lt;_modified&gt;63705545&lt;/_modified&gt;&lt;_collection_scope&gt;CSCD;PKU;EI&lt;/_collection_scope&gt;&lt;_translated_author&gt;Zhang, Fumin;Ye, Zijing;Li, Zhankai;Tang, Shengxue;Ma, Chenyang;Jiang, Han&lt;/_translated_author&gt;&lt;/Details&gt;&lt;Extra&gt;&lt;DBUID&gt;{F96A950B-833F-4880-A151-76DA2D6A2879}&lt;/DBUID&gt;&lt;/Extra&gt;&lt;/Item&gt;&lt;/References&gt;&lt;/Group&gt;&lt;/Citation&gt;_x000a_"/>
    <w:docVar w:name="NE.Ref{65D743E6-F1C4-4AF5-90B4-2EAED27FEDC0}" w:val=" ADDIN NE.Ref.{65D743E6-F1C4-4AF5-90B4-2EAED27FEDC0}&lt;Citation&gt;&lt;Group&gt;&lt;References&gt;&lt;Item&gt;&lt;ID&gt;522&lt;/ID&gt;&lt;UID&gt;{15C13D15-6CFD-4735-A9A4-49A89EDC2224}&lt;/UID&gt;&lt;Title&gt;基于机会约束规划的楼宇综合能源系统经济调度&lt;/Title&gt;&lt;Template&gt;Journal Article&lt;/Template&gt;&lt;Star&gt;0&lt;/Star&gt;&lt;Tag&gt;0&lt;/Tag&gt;&lt;Author&gt;张宇帆; 艾芊; 郝然; 孙树敏; 林琳; 袁帅&lt;/Author&gt;&lt;Year&gt;2019&lt;/Year&gt;&lt;Details&gt;&lt;_author_adr&gt;上海交通大学电子信息与电气工程学院;国网山东省电力有限公司电力科学研究院;山东电力调度控制中心;&lt;/_author_adr&gt;&lt;_collection_scope&gt;CSCD;PKU;EI&lt;/_collection_scope&gt;&lt;_created&gt;63657445&lt;/_created&gt;&lt;_db_provider&gt;CNKI&lt;/_db_provider&gt;&lt;_isbn&gt;1000-3673&lt;/_isbn&gt;&lt;_issue&gt;01&lt;/_issue&gt;&lt;_journal&gt;电网技术&lt;/_journal&gt;&lt;_keywords&gt;居民能源集线器;综合能源系统;机会约束规划;经济调度&lt;/_keywords&gt;&lt;_modified&gt;63657445&lt;/_modified&gt;&lt;_pages&gt;108-116&lt;/_pages&gt;&lt;_volume&gt;43&lt;/_volume&gt;&lt;_translated_author&gt;Zhang, Yufan;Ai, Qian;Hao, Ran;Sun, Shumin;Lin, Lin;Yuan, Shuai&lt;/_translated_author&gt;&lt;/Details&gt;&lt;Extra&gt;&lt;DBUID&gt;{F96A950B-833F-4880-A151-76DA2D6A2879}&lt;/DBUID&gt;&lt;/Extra&gt;&lt;/Item&gt;&lt;/References&gt;&lt;/Group&gt;&lt;/Citation&gt;_x000a_"/>
    <w:docVar w:name="NE.Ref{66332E5D-4D9A-45FD-8D0D-4C9D5265E6C1}" w:val=" ADDIN NE.Ref.{66332E5D-4D9A-45FD-8D0D-4C9D5265E6C1}&lt;Citation&gt;&lt;Group&gt;&lt;References&gt;&lt;Item&gt;&lt;ID&gt;110&lt;/ID&gt;&lt;UID&gt;{5357B0A4-2FF8-4724-9ED6-917FED7A1859}&lt;/UID&gt;&lt;Title&gt;基于遗传算法改进BP神经网络的风电功率预测研究&lt;/Title&gt;&lt;Template&gt;Journal Article&lt;/Template&gt;&lt;Star&gt;0&lt;/Star&gt;&lt;Tag&gt;0&lt;/Tag&gt;&lt;Author&gt;王冰冰; 赵天乐&lt;/Author&gt;&lt;Year&gt;2019&lt;/Year&gt;&lt;Details&gt;&lt;_accessed&gt;64308265&lt;/_accessed&gt;&lt;_author_aff&gt;南京理工大学自动化学院;&lt;/_author_aff&gt;&lt;_cited_count&gt;12&lt;/_cited_count&gt;&lt;_created&gt;64303916&lt;/_created&gt;&lt;_date&gt;63089280&lt;/_date&gt;&lt;_db_updated&gt;CNKI - Reference&lt;/_db_updated&gt;&lt;_issue&gt;12&lt;/_issue&gt;&lt;_journal&gt;电工电气&lt;/_journal&gt;&lt;_keywords&gt;风电;功率预测;BP神经网络;遗传算法&lt;/_keywords&gt;&lt;_language&gt;Chinese&lt;/_language&gt;&lt;_modified&gt;64308265&lt;/_modified&gt;&lt;_pages&gt;16-21&lt;/_pages&gt;&lt;_url&gt;https://kns.cnki.net/kcms/detail/detail.aspx?FileName=JSDQ201912004&amp;amp;DbName=CJFQ2019&lt;/_url&gt;&lt;_translated_author&gt;Wang, Bingbing;Zhao, Tianle&lt;/_translated_author&gt;&lt;/Details&gt;&lt;Extra&gt;&lt;DBUID&gt;{560D5FFD-5A46-4EB8-859B-FD657304A42E}&lt;/DBUID&gt;&lt;/Extra&gt;&lt;/Item&gt;&lt;/References&gt;&lt;/Group&gt;&lt;/Citation&gt;_x000a_"/>
    <w:docVar w:name="NE.Ref{66AF6C45-CD27-4AC1-A1B2-BCB7C0F9F9FD}" w:val=" ADDIN NE.Ref.{66AF6C45-CD27-4AC1-A1B2-BCB7C0F9F9FD}&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ccessed&gt;64647193&lt;/_accessed&gt;&lt;_author_aff&gt;四川大学电气信息学院;&lt;/_author_aff&gt;&lt;_cited_count&gt;64&lt;/_cited_count&gt;&lt;_collection_scope&gt;CSCD;PKU;EI&lt;/_collection_scope&gt;&lt;_created&gt;64646900&lt;/_created&gt;&lt;_date&gt;2016-07-07&lt;/_date&gt;&lt;_db_updated&gt;CNKI - Reference&lt;/_db_updated&gt;&lt;_issue&gt;10&lt;/_issue&gt;&lt;_journal&gt;电网技术&lt;/_journal&gt;&lt;_keywords&gt;高压直流;暂态过电压;短路比;影响因素;故障分析;机理分析&lt;/_keywords&gt;&lt;_modified&gt;64647194&lt;/_modified&gt;&lt;_pages&gt;3059-3065&lt;/_pages&gt;&lt;_tertiary_title&gt;Power System Technology&lt;/_tertiary_title&gt;&lt;_translated_author&gt;WANG, Feng; LIU, Tianqi; DING, Yuanyuan; ZENG, Qi; LI, Xingyuan&lt;/_translated_author&gt;&lt;_translated_title&gt;Calculation Method and Influencing Factors of Transient Overvoltage&lt;/_translated_title&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Details&gt;&lt;Extra&gt;&lt;DBUID&gt;{6891F4B0-DCBA-459A-9A22-3059983243D4}&lt;/DBUID&gt;&lt;/Extra&gt;&lt;/Item&gt;&lt;/References&gt;&lt;/Group&gt;&lt;/Citation&gt;_x000a_"/>
    <w:docVar w:name="NE.Ref{66D4E29D-750E-4CA3-BA04-41980F5121B9}" w:val=" ADDIN NE.Ref.{66D4E29D-750E-4CA3-BA04-41980F5121B9}&lt;Citation&gt;&lt;Group&gt;&lt;References&gt;&lt;Item&gt;&lt;ID&gt;377&lt;/ID&gt;&lt;UID&gt;{FF6551E7-E336-4DBF-815D-682300D2805B}&lt;/UID&gt;&lt;Title&gt;换相失败对含风电场的交直流混联系统送端过电压的影响&lt;/Title&gt;&lt;Template&gt;Journal Article&lt;/Template&gt;&lt;Star&gt;0&lt;/Star&gt;&lt;Tag&gt;0&lt;/Tag&gt;&lt;Author&gt;赵学明; 李永丽; 孙广宇; 张云柯; 曾亮&lt;/Author&gt;&lt;Year&gt;2019&lt;/Year&gt;&lt;Details&gt;&lt;_accessed&gt;64647189&lt;/_accessed&gt;&lt;_accession_num&gt;CSCD:6612778_x000d__x000a_ER&lt;/_accession_num&gt;&lt;_cited_count&gt;0&lt;/_cited_count&gt;&lt;_collection_scope&gt;CSCD;PKU;EI&lt;/_collection_scope&gt;&lt;_created&gt;63444588&lt;/_created&gt;&lt;_date_display&gt;2019, 2019&lt;/_date_display&gt;&lt;_db_provider&gt;ISI&lt;/_db_provider&gt;&lt;_isbn&gt;1003-6520&lt;/_isbn&gt;&lt;_issue&gt;11&lt;/_issue&gt;&lt;_journal&gt;高电压技术&lt;/_journal&gt;&lt;_modified&gt;64646955&lt;/_modified&gt;&lt;_pages&gt;3666-3673&lt;/_pages&gt;&lt;_tertiary_title&gt;High Voltage Engineering&lt;/_tertiary_title&gt;&lt;_translated_author&gt;Zhao, Xueming; Li, Yongli; Sun, Guangyu; Zhang, Yunke; Zeng, Liang&lt;/_translated_author&gt;&lt;_translated_title&gt;Effect of Commutation Failure on the Overvoltage on Rectifier Station in AC/DC Hybrid Power System With Wind Farms&lt;/_translated_title&gt;&lt;_url&gt;CSCD:6612778 _x000d__x000a_https://bar.cnki.net/bar/download/order?id=jBGETXBNdPImvx70aLAuJPYxPoFw%2bp%2bi0fIiSrcN6lU5M8dQjGypVjbMx6JjtGzTcp9rONqdA%2fiVAtQxj75ZJaly%2bcoaUbxKfbohfVkk2oLl8E%2bCUVp5GtDTYhVF2dNUoJeGx62Ssygg68TNXJ%2b5JrigejDAar8Xqw%2f6WR22OFXUdUGh4At8VBYSvh%2fCUD5aqrh0zQzVq9AVs%2fbx50b97OHCj0rcHFOqtzo%2fDKKQz1%2f5LXYX1qwFXwOc1HUZT%2bTB _x000d__x000a_https://bar.cnki.net/bar/download/order?id=jBGETXBNdPImvx70aLAuJPYxPoFw%2bp%2bi0fIiSrcN6lU5M8dQjGypVjbMx6JjtGzTcp9rONqdA%2fiVAtQxj75ZJaly%2bcoaUbxKfbohfVkk2oLl8E%2bCUVp5GtDTYhVF2dNUoJeGx62Ssygg68TNXJ%2b5JrigejDAar8Xqw%2f6WR22OFXUdUGh4At8VBYSvh%2fCUD5aZyQY9N6ogSR9tgYofZDjzDb8f2HAkymGE9BZVIFzUcf5LXYX1qwFXwOc1HUZT%2bTB _x000d__x000a_&lt;/_url&gt;&lt;_volume&gt;45&lt;/_volume&gt;&lt;/Details&gt;&lt;Extra&gt;&lt;DBUID&gt;{6891F4B0-DCBA-459A-9A22-3059983243D4}&lt;/DBUID&gt;&lt;/Extra&gt;&lt;/Item&gt;&lt;/References&gt;&lt;/Group&gt;&lt;/Citation&gt;_x000a_"/>
    <w:docVar w:name="NE.Ref{6744234B-7630-49F5-A044-4427521B3DBC}" w:val=" ADDIN NE.Ref.{6744234B-7630-49F5-A044-4427521B3DBC}&lt;Citation&gt;&lt;Group&gt;&lt;References&gt;&lt;Item&gt;&lt;ID&gt;377&lt;/ID&gt;&lt;UID&gt;{FF6551E7-E336-4DBF-815D-682300D2805B}&lt;/UID&gt;&lt;Title&gt;换相失败对含风电场的交直流混联系统送端过电压的影响&lt;/Title&gt;&lt;Template&gt;Journal Article&lt;/Template&gt;&lt;Star&gt;0&lt;/Star&gt;&lt;Tag&gt;0&lt;/Tag&gt;&lt;Author&gt;赵学明; 李永丽; 孙广宇; 张云柯; 曾亮&lt;/Author&gt;&lt;Year&gt;2019&lt;/Year&gt;&lt;Details&gt;&lt;_accessed&gt;64543285&lt;/_accessed&gt;&lt;_accession_num&gt;CSCD:6612778_x000d__x000a_ER&lt;/_accession_num&gt;&lt;_cited_count&gt;0&lt;/_cited_count&gt;&lt;_collection_scope&gt;CSCD;PKU;EI&lt;/_collection_scope&gt;&lt;_created&gt;63444588&lt;/_created&gt;&lt;_date_display&gt;2019, 2019&lt;/_date_display&gt;&lt;_db_provider&gt;ISI&lt;/_db_provider&gt;&lt;_isbn&gt;1003-6520&lt;/_isbn&gt;&lt;_issue&gt;1003-6520(2019)45:11&amp;lt;3666:HXSBDH&amp;gt;2.0.TX;2-411&lt;/_issue&gt;&lt;_journal&gt;高电压技术&lt;/_journal&gt;&lt;_modified&gt;64646884&lt;/_modified&gt;&lt;_pages&gt;3666-3673&lt;/_pages&gt;&lt;_tertiary_title&gt;High Voltage Engineering&lt;/_tertiary_title&gt;&lt;_translated_author&gt;Zhao, Xueming; Li, Yongli; Sun, Guangyu; Zhang, Yunke; Zeng, Liang&lt;/_translated_author&gt;&lt;_translated_title&gt;Effect of Commutation Failure on the Overvoltage on Rectifier Station in AC/DC Hybrid Power System With Wind Farms&lt;/_translated_title&gt;&lt;_url&gt;CSCD:6612778 _x000d__x000a_https://bar.cnki.net/bar/download/order?id=jBGETXBNdPImvx70aLAuJPYxPoFw%2bp%2bi0fIiSrcN6lU5M8dQjGypVjbMx6JjtGzTcp9rONqdA%2fiVAtQxj75ZJaly%2bcoaUbxKfbohfVkk2oLl8E%2bCUVp5GtDTYhVF2dNUoJeGx62Ssygg68TNXJ%2b5JrigejDAar8Xqw%2f6WR22OFXUdUGh4At8VBYSvh%2fCUD5aqrh0zQzVq9AVs%2fbx50b97OHCj0rcHFOqtzo%2fDKKQz1%2f5LXYX1qwFXwOc1HUZT%2bTB _x000d__x000a_https://bar.cnki.net/bar/download/order?id=jBGETXBNdPImvx70aLAuJPYxPoFw%2bp%2bi0fIiSrcN6lU5M8dQjGypVjbMx6JjtGzTcp9rONqdA%2fiVAtQxj75ZJaly%2bcoaUbxKfbohfVkk2oLl8E%2bCUVp5GtDTYhVF2dNUoJeGx62Ssygg68TNXJ%2b5JrigejDAar8Xqw%2f6WR22OFXUdUGh4At8VBYSvh%2fCUD5aZyQY9N6ogSR9tgYofZDjzDb8f2HAkymGE9BZVIFzUcf5LXYX1qwFXwOc1HUZT%2bTB _x000d__x000a_&lt;/_url&gt;&lt;_volume&gt;45&lt;/_volume&gt;&lt;/Details&gt;&lt;Extra&gt;&lt;DBUID&gt;{6891F4B0-DCBA-459A-9A22-3059983243D4}&lt;/DBUID&gt;&lt;/Extra&gt;&lt;/Item&gt;&lt;/References&gt;&lt;/Group&gt;&lt;/Citation&gt;_x000a_"/>
    <w:docVar w:name="NE.Ref{67C2B299-B744-4CA6-82FA-2A9E3EE17B09}" w:val=" ADDIN NE.Ref.{67C2B299-B744-4CA6-82FA-2A9E3EE17B09}&lt;Citation&gt;&lt;Group&gt;&lt;References&gt;&lt;Item&gt;&lt;ID&gt;673&lt;/ID&gt;&lt;UID&gt;{3BFC353C-EF56-4F4B-836A-BD68FC86A30C}&lt;/UID&gt;&lt;Title&gt;强直弱交的定义、内涵与形式及其应对措施&lt;/Title&gt;&lt;Template&gt;Journal Article&lt;/Template&gt;&lt;Star&gt;0&lt;/Star&gt;&lt;Tag&gt;0&lt;/Tag&gt;&lt;Author&gt;郑超; 马世英; 申旭辉; 刘道伟&lt;/Author&gt;&lt;Year&gt;2017&lt;/Year&gt;&lt;Details&gt;&lt;_accessed&gt;63726866&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电网技术&lt;/_journal&gt;&lt;_modified&gt;63726867&lt;/_modified&gt;&lt;_pages&gt;2491-2498&lt;/_pages&gt;&lt;_tertiary_title&gt;Power System Technology&lt;/_tertiary_title&gt;&lt;_translated_author&gt;Zheng, Chao; Ma, Shiying; Shen, Xuhui; Liu, Daowei&lt;/_translated_author&gt;&lt;_translated_title&gt;Definition, Connotation and Form of Strong HVDC and Weak AC and Countermeasures for Stable Operation of Hybrid Power Grid&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_collection_scope&gt;CSCD;PKU;EI&lt;/_collection_scope&gt;&lt;/Details&gt;&lt;Extra&gt;&lt;DBUID&gt;{6891F4B0-DCBA-459A-9A22-3059983243D4}&lt;/DBUID&gt;&lt;/Extra&gt;&lt;/Item&gt;&lt;/References&gt;&lt;/Group&gt;&lt;/Citation&gt;_x000a_"/>
    <w:docVar w:name="NE.Ref{67D66D1B-8C2D-40B9-A803-8F81A2CD9E48}" w:val=" ADDIN NE.Ref.{67D66D1B-8C2D-40B9-A803-8F81A2CD9E48}&lt;Citation&gt;&lt;Group&gt;&lt;References&gt;&lt;Item&gt;&lt;ID&gt;674&lt;/ID&gt;&lt;UID&gt;{89C9CD25-7A1B-4CDC-B1C2-52361D34149B}&lt;/UID&gt;&lt;Title&gt;A novelmethod tomitigate commutation failures in HVdc systems&lt;/Title&gt;&lt;Template&gt;Conference Proceedings&lt;/Template&gt;&lt;Star&gt;0&lt;/Star&gt;&lt;Tag&gt;0&lt;/Tag&gt;&lt;Author&gt;Zhang, L; Dofnas, L&lt;/Author&gt;&lt;Year&gt;2002&lt;/Year&gt;&lt;Details&gt;&lt;_secondary_title&gt; Proc. Int. Conf. Power Syst. Technol&lt;/_secondary_title&gt;&lt;_volume&gt;1&lt;/_volume&gt;&lt;_pages&gt;51-56&lt;/_pages&gt;&lt;_date&gt;54169920&lt;/_date&gt;&lt;_accessed&gt;63459198&lt;/_accessed&gt;&lt;_created&gt;63459198&lt;/_created&gt;&lt;_modified&gt;63459198&lt;/_modified&gt;&lt;/Details&gt;&lt;Extra&gt;&lt;DBUID&gt;{6891F4B0-DCBA-459A-9A22-3059983243D4}&lt;/DBUID&gt;&lt;/Extra&gt;&lt;/Item&gt;&lt;/References&gt;&lt;/Group&gt;&lt;/Citation&gt;_x000a_"/>
    <w:docVar w:name="NE.Ref{6826E0B5-0066-4D27-9898-B70A50DBF4B3}" w:val=" ADDIN NE.Ref.{6826E0B5-0066-4D27-9898-B70A50DBF4B3}&lt;Citation&gt;&lt;Group&gt;&lt;References&gt;&lt;Item&gt;&lt;ID&gt;1002&lt;/ID&gt;&lt;UID&gt;{EDF67904-B301-4C5C-AE91-9252A4EFE6F7}&lt;/UID&gt;&lt;Title&gt;风电基地经特高压直流送出系统换相失败故障(一)：送端风电机组暂态无功电压建模&lt;/Title&gt;&lt;Template&gt;Journal Article&lt;/Template&gt;&lt;Star&gt;0&lt;/Star&gt;&lt;Tag&gt;0&lt;/Tag&gt;&lt;Author&gt;何国庆; 王伟胜; 刘纯; 李光辉; 年珩&lt;/Author&gt;&lt;Year&gt;2022&lt;/Year&gt;&lt;Details&gt;&lt;_author_aff&gt;新能源与储能运行控制国家重点实验室(中国电力科学研究院有限公司);浙江大学电气工程学院;&lt;/_author_aff&gt;&lt;_cited_count&gt;1&lt;/_cited_count&gt;&lt;_date&gt;2021-12-06&lt;/_date&gt;&lt;_issue&gt;12&lt;/_issue&gt;&lt;_journal&gt;中国电机工程学报&lt;/_journal&gt;&lt;_keywords&gt;特高压直流;换相失败;高电压穿越;暂态过电压;风电机组&lt;/_keywords&gt;&lt;_pages&gt;4391-4405&lt;/_pages&gt;&lt;_url&gt;https://kns.cnki.net/kcms/detail/detail.aspx?FileName=ZGDC202212010&amp;amp;DbName=DKFX2022&lt;/_url&gt;&lt;_volume&gt;42&lt;/_volume&gt;&lt;_created&gt;64779564&lt;/_created&gt;&lt;_modified&gt;64779564&lt;/_modified&gt;&lt;_db_updated&gt;CNKI - Reference&lt;/_db_updated&gt;&lt;_collection_scope&gt;CSCD;PKU;EI&lt;/_collection_scope&gt;&lt;_translated_author&gt;He, Guoqing;Wang, Weisheng;Liu, Chun;Li, Guanghui;Nian, Heng&lt;/_translated_author&gt;&lt;/Details&gt;&lt;Extra&gt;&lt;DBUID&gt;{6891F4B0-DCBA-459A-9A22-3059983243D4}&lt;/DBUID&gt;&lt;/Extra&gt;&lt;/Item&gt;&lt;/References&gt;&lt;/Group&gt;&lt;Group&gt;&lt;References&gt;&lt;Item&gt;&lt;ID&gt;1003&lt;/ID&gt;&lt;UID&gt;{CB141C42-0E77-44FB-86AD-4200F4F04236}&lt;/UID&gt;&lt;Title&gt;风电基地经特高压直流送出系统换相失败故障(二)：送端风电机组暂态无功电压特性与作用机理分析&lt;/Title&gt;&lt;Template&gt;Journal Article&lt;/Template&gt;&lt;Star&gt;0&lt;/Star&gt;&lt;Tag&gt;0&lt;/Tag&gt;&lt;Author&gt;金一丁; 贺静波; 李光辉; 刘纯; 何国庆; 张怡&lt;/Author&gt;&lt;Year&gt;2022&lt;/Year&gt;&lt;Details&gt;&lt;_author_aff&gt;国家电力调度控制中心;新能源与储能运行控制国家重点实验室(中国电力科学研究院有限公司);&lt;/_author_aff&gt;&lt;_date&gt;2021-12-06&lt;/_date&gt;&lt;_issue&gt;13&lt;/_issue&gt;&lt;_journal&gt;中国电机工程学报&lt;/_journal&gt;&lt;_keywords&gt;特高压直流;换相失败;风电机组;暂态无功电压&lt;/_keywords&gt;&lt;_pages&gt;4738-4749&lt;/_pages&gt;&lt;_url&gt;https://kns.cnki.net/kcms/detail/detail.aspx?FileName=ZGDC202213011&amp;amp;DbName=DKFX2022 _x000d__x000a_https://bar.cnki.net/bar/download/order?id=jBGETXBNdPImvx70aLAuJPYxPoFw%2bp%2bi0fIiSrcN6lVfmfKLuHo84K7lynTFJ4eHH%2baLmkDLv%2bEsl5%2f0QJVlG50PLIIoFLYwy5BgUEfsTyzl8E%2bCUVp5GtDTYhVF2dNUoJeGx62Ssygg68TNXJ%2b5JrigejDAar8Xqw%2f6WR22OFXUdUGh4At8VBYSvh%2fCUD5aZrzBAJuI96bNBmLtCB3UvnJ%2fk3qb3YlLDmkYcfC%2bquX5LXYX1qwFXwOc1HUZT%2bTB _x000d__x000a_&lt;/_url&gt;&lt;_volume&gt;42&lt;/_volume&gt;&lt;_created&gt;64779564&lt;/_created&gt;&lt;_modified&gt;64780389&lt;/_modified&gt;&lt;_db_updated&gt;CNKI - Reference&lt;/_db_updated&gt;&lt;_collection_scope&gt;CSCD;PKU;EI&lt;/_collection_scope&gt;&lt;_accessed&gt;64780389&lt;/_accessed&gt;&lt;_translated_author&gt;Jin, Yiding;He, Jingbo;Li, Guanghui;Liu, Chun;He, Guoqing;Zhang, Yi&lt;/_translated_author&gt;&lt;/Details&gt;&lt;Extra&gt;&lt;DBUID&gt;{6891F4B0-DCBA-459A-9A22-3059983243D4}&lt;/DBUID&gt;&lt;/Extra&gt;&lt;/Item&gt;&lt;/References&gt;&lt;/Group&gt;&lt;Group&gt;&lt;References&gt;&lt;Item&gt;&lt;ID&gt;1001&lt;/ID&gt;&lt;UID&gt;{784EA6B4-49CE-41FB-946D-E8229F8A20D4}&lt;/UID&gt;&lt;Title&gt;风电基地经特高压直流送出系统换相失败故障(三):送端风电机组暂态过电压抑制措施&lt;/Title&gt;&lt;Template&gt;Journal Article&lt;/Template&gt;&lt;Star&gt;0&lt;/Star&gt;&lt;Tag&gt;0&lt;/Tag&gt;&lt;Author&gt;李光辉; 王伟胜; 何国庆; 刘纯&lt;/Author&gt;&lt;Year&gt;2022&lt;/Year&gt;&lt;Details&gt;&lt;_author_aff&gt;新能源与储能运行控制国家重点实验室(中国电力科学研究院有限公司);&lt;/_author_aff&gt;&lt;_cited_count&gt;1&lt;/_cited_count&gt;&lt;_date&gt;2021-12-06&lt;/_date&gt;&lt;_issue&gt;14&lt;/_issue&gt;&lt;_journal&gt;中国电机工程学报&lt;/_journal&gt;&lt;_keywords&gt;直驱风电机组;虚拟磁链;暂态无功优化;暂态过电压抑制&lt;/_keywords&gt;&lt;_pages&gt;5079-5089&lt;/_pages&gt;&lt;_url&gt;https://kns.cnki.net/kcms/detail/detail.aspx?FileName=ZGDC202214008&amp;amp;DbName=DKFX2022 _x000d__x000a_https://bar.cnki.net/bar/download/order?id=jBGETXBNdPImvx70aLAuJPYxPoFw%2bp%2bi0fIiSrcN6lXtR5VIAwZaORY%2f2s6ToV1bLDZRoj5cV7XU4AV9w9D2050PLIIoFLYwy5BgUEfsTyzl8E%2bCUVp5GtDTYhVF2dNUoJeGx62Ssygg68TNXJ%2b5JrigejDAar8Xqw%2f6WR22OFXUdUGh4At8VBYSvh%2fCUD5aMSwxDlk9oR0iyiUC7OofMAnGcBTsEVGEF%2b8%2bQLIfhC35LXYX1qwFXwOc1HUZT%2bTB _x000d__x000a_&lt;/_url&gt;&lt;_volume&gt;42&lt;/_volume&gt;&lt;_created&gt;64779564&lt;/_created&gt;&lt;_modified&gt;64779565&lt;/_modified&gt;&lt;_db_updated&gt;CNKI - Reference&lt;/_db_updated&gt;&lt;_collection_scope&gt;CSCD;PKU;EI&lt;/_collection_scope&gt;&lt;_translated_author&gt;Li, Guanghui;Wang, Weisheng;He, Guoqing;Liu, Chun&lt;/_translated_author&gt;&lt;/Details&gt;&lt;Extra&gt;&lt;DBUID&gt;{6891F4B0-DCBA-459A-9A22-3059983243D4}&lt;/DBUID&gt;&lt;/Extra&gt;&lt;/Item&gt;&lt;/References&gt;&lt;/Group&gt;&lt;/Citation&gt;_x000a_"/>
    <w:docVar w:name="NE.Ref{6898084D-034F-4DF4-8A5C-42A24D8B93F6}" w:val=" ADDIN NE.Ref.{6898084D-034F-4DF4-8A5C-42A24D8B93F6}&lt;Citation&gt;&lt;Group&gt;&lt;References&gt;&lt;Item&gt;&lt;ID&gt;926&lt;/ID&gt;&lt;UID&gt;{C4A89759-66D7-4141-A1FC-B474E70AEB29}&lt;/UID&gt;&lt;Title&gt;Interaction Mechanism and Coordinated Control of Commutation Failure Prevention in Multi-Infeed Ultra-HVDC System&lt;/Title&gt;&lt;Template&gt;Journal Article&lt;/Template&gt;&lt;Star&gt;0&lt;/Star&gt;&lt;Tag&gt;0&lt;/Tag&gt;&lt;Author&gt;Yao, W; Wang, L R; Xiong, Y X; Tan, Y C; Li, D H; Li, C H; Wen, J Y&lt;/Author&gt;&lt;Year&gt;2022&lt;/Year&gt;&lt;Details&gt;&lt;_alternate_title&gt;INTERNATIONAL TRANSACTIONS ON ELECTRICAL ENERGY SYSTEMS&lt;/_alternate_title&gt;&lt;_author_adr&gt;Huazhong Univ Sci &amp;amp; Technol, Sch Elect &amp;amp; Elect Engn, State Key Lab Adv Electromagnet Engn &amp;amp; Technol, Wuhan 430074, Peoples R China; State Grid Corp China, Northwest Branch, Xian 710048, Peoples R China; Smart Grid Hubei Elect Power Co Ltd, Wuhan 430077, Peoples R China; State Grid Henan Elect Power Co, Elect Power Res Inst, Zhengzhou 450052, Peoples R China&lt;/_author_adr&gt;&lt;_cited_count&gt;3&lt;/_cited_count&gt;&lt;_collection_scope&gt;SCIE;EI&lt;/_collection_scope&gt;&lt;_created&gt;64655769&lt;/_created&gt;&lt;_date&gt;2022-01-01&lt;/_date&gt;&lt;_date_display&gt;2022&lt;/_date_display&gt;&lt;_db_updated&gt;Web of Science-Core&lt;/_db_updated&gt;&lt;_doi&gt;10.1155/2022/7088114&lt;/_doi&gt;&lt;_impact_factor&gt;   2.639&lt;/_impact_factor&gt;&lt;_journal&gt;INTERNATIONAL TRANSACTIONS ON ELECTRICAL ENERGY SYSTEMS&lt;/_journal&gt;&lt;_modified&gt;64655770&lt;/_modified&gt;&lt;_volume&gt;2022&lt;/_volume&gt;&lt;/Details&gt;&lt;Extra&gt;&lt;DBUID&gt;{6891F4B0-DCBA-459A-9A22-3059983243D4}&lt;/DBUID&gt;&lt;/Extra&gt;&lt;/Item&gt;&lt;/References&gt;&lt;/Group&gt;&lt;/Citation&gt;_x000a_"/>
    <w:docVar w:name="NE.Ref{69939E6D-B2D0-4F8A-941F-1EE28A6A9D0C}" w:val=" ADDIN NE.Ref.{69939E6D-B2D0-4F8A-941F-1EE28A6A9D0C}&lt;Citation&gt;&lt;Group&gt;&lt;References&gt;&lt;Item&gt;&lt;ID&gt;667&lt;/ID&gt;&lt;UID&gt;{98A5A20D-907B-4103-A315-A9214E2F5AFE}&lt;/UID&gt;&lt;Title&gt;A Method to Detect the Deionization Margin Angle and to Prevent the Commutation Failure of an Inverter for DC Transmission&lt;/Title&gt;&lt;Template&gt;Journal Article&lt;/Template&gt;&lt;Star&gt;0&lt;/Star&gt;&lt;Tag&gt;0&lt;/Tag&gt;&lt;Author&gt;MACHIDA, T; YOSHIDA, Y&lt;/Author&gt;&lt;Year&gt;1967&lt;/Year&gt;&lt;Details&gt;&lt;_accessed&gt;63446176&lt;/_accessed&gt;&lt;_created&gt;63446171&lt;/_created&gt;&lt;_journal&gt;IEEE TRANSACTIONS ON POWER APPARATUS AND SYSTEMS&lt;/_journal&gt;&lt;_modified&gt;63446177&lt;/_modified&gt;&lt;/Details&gt;&lt;Extra&gt;&lt;DBUID&gt;{6891F4B0-DCBA-459A-9A22-3059983243D4}&lt;/DBUID&gt;&lt;/Extra&gt;&lt;/Item&gt;&lt;/References&gt;&lt;/Group&gt;&lt;Group&gt;&lt;References&gt;&lt;Item&gt;&lt;ID&gt;669&lt;/ID&gt;&lt;UID&gt;{5D86C198-DF12-4DB8-AD56-FC2DEC2218B7}&lt;/UID&gt;&lt;Title&gt;Constant power factor control system for HVDC transmission--1976&lt;/Title&gt;&lt;Template&gt;Journal Article&lt;/Template&gt;&lt;Star&gt;0&lt;/Star&gt;&lt;Tag&gt;0&lt;/Tag&gt;&lt;Author&gt;Nishimura, F; Watanabe, A; Fujii, N; Ogata, F&lt;/Author&gt;&lt;Year&gt;1976&lt;/Year&gt;&lt;Details&gt;&lt;_accessed&gt;63446180&lt;/_accessed&gt;&lt;_created&gt;63446175&lt;/_created&gt;&lt;_issue&gt;6&lt;/_issue&gt;&lt;_journal&gt;IEEE Transactions on Power Apparatus and Systems&lt;/_journal&gt;&lt;_modified&gt;63446182&lt;/_modified&gt;&lt;_pages&gt;1845-1853&lt;/_pages&gt;&lt;_volume&gt;PAS-95&lt;/_volume&gt;&lt;/Details&gt;&lt;Extra&gt;&lt;DBUID&gt;{6891F4B0-DCBA-459A-9A22-3059983243D4}&lt;/DBUID&gt;&lt;/Extra&gt;&lt;/Item&gt;&lt;/References&gt;&lt;/Group&gt;&lt;/Citation&gt;_x000a_"/>
    <w:docVar w:name="NE.Ref{69B06C85-3434-400F-97FE-62911D420010}" w:val=" ADDIN NE.Ref.{69B06C85-3434-400F-97FE-62911D420010}&lt;Citation&gt;&lt;Group&gt;&lt;References&gt;&lt;Item&gt;&lt;ID&gt;716&lt;/ID&gt;&lt;UID&gt;{25082D32-9092-4A20-839A-02CE172B58EE}&lt;/UID&gt;&lt;Title&gt;风光火打捆交直流混联外送系统交互影响及稳定性研究&lt;/Title&gt;&lt;Template&gt;Journal Article&lt;/Template&gt;&lt;Star&gt;0&lt;/Star&gt;&lt;Tag&gt;0&lt;/Tag&gt;&lt;Author&gt;吴萍; 陈昊; 赵兵; 徐式蕴; 易俊; 张健&lt;/Author&gt;&lt;Year&gt;2016&lt;/Year&gt;&lt;Details&gt;&lt;_author_aff&gt;中国电力科学研究院;&lt;/_author_aff&gt;&lt;_date&gt;2016-07-05&lt;/_date&gt;&lt;_db_provider&gt;CNKI: 期刊&lt;/_db_provider&gt;&lt;_issue&gt;07&lt;/_issue&gt;&lt;_journal&gt;电网技术&lt;/_journal&gt;&lt;_keywords&gt;风光火打捆外送系统;火电配比;脱网时序;交互影响&lt;/_keywords&gt;&lt;_pages&gt;1934-1942&lt;/_pages&gt;&lt;_url&gt;http://kns.cnki.net/KCMS/detail/detail.aspx?FileName=DWJS201607002&amp;amp;DbName=CJFQ2016&lt;/_url&gt;&lt;_volume&gt;40&lt;/_volume&gt;&lt;_created&gt;63727864&lt;/_created&gt;&lt;_modified&gt;63727865&lt;/_modified&gt;&lt;_db_updated&gt;CNKI - Reference&lt;/_db_updated&gt;&lt;_collection_scope&gt;CSCD;PKU;EI&lt;/_collection_scope&gt;&lt;_translated_author&gt;Wu, Ping;Chen, Hao;Zhao, Bing;Xu, Shiyun;Yi, Jun;Zhang, Jian&lt;/_translated_author&gt;&lt;/Details&gt;&lt;Extra&gt;&lt;DBUID&gt;{6891F4B0-DCBA-459A-9A22-3059983243D4}&lt;/DBUID&gt;&lt;/Extra&gt;&lt;/Item&gt;&lt;/References&gt;&lt;/Group&gt;&lt;/Citation&gt;_x000a_"/>
    <w:docVar w:name="NE.Ref{69B17E86-679F-4968-ABC8-5B19BD51F185}" w:val=" ADDIN NE.Ref.{69B17E86-679F-4968-ABC8-5B19BD51F185}&lt;Citation&gt;&lt;Group&gt;&lt;References&gt;&lt;Item&gt;&lt;ID&gt;490&lt;/ID&gt;&lt;UID&gt;{909CDC62-9864-4147-98BB-83F255322E38}&lt;/UID&gt;&lt;Title&gt;Application of modified NSGA-Ⅱ algorithm to Combined Economic and Emission Dispatch problem&lt;/Title&gt;&lt;Template&gt;Journal Article&lt;/Template&gt;&lt;Star&gt;0&lt;/Star&gt;&lt;Tag&gt;0&lt;/Tag&gt;&lt;Author&gt;Dhanalakshmi, S; Kannan, S; Mahadevan, K; Baskar, S&lt;/Author&gt;&lt;Year&gt;2011&lt;/Year&gt;&lt;Details&gt;&lt;_created&gt;63651735&lt;/_created&gt;&lt;_journal&gt;International journal of electrical power and energy systems&lt;/_journal&gt;&lt;_modified&gt;63651735&lt;/_modified&gt;&lt;/Details&gt;&lt;Extra&gt;&lt;DBUID&gt;{F96A950B-833F-4880-A151-76DA2D6A2879}&lt;/DBUID&gt;&lt;/Extra&gt;&lt;/Item&gt;&lt;/References&gt;&lt;/Group&gt;&lt;/Citation&gt;_x000a_"/>
    <w:docVar w:name="NE.Ref{69E1FF75-5A44-4A90-90BD-9A41F8B6B591}" w:val=" ADDIN NE.Ref.{69E1FF75-5A44-4A90-90BD-9A41F8B6B591}&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6A263C5B-1BB7-43B7-9280-F0AFB77A841E}" w:val=" ADDIN NE.Ref.{6A263C5B-1BB7-43B7-9280-F0AFB77A841E}&lt;Citation&gt;&lt;Group&gt;&lt;References&gt;&lt;Item&gt;&lt;ID&gt;575&lt;/ID&gt;&lt;UID&gt;{CD9AD7E9-0B57-46F0-BA58-F476D192894F}&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7.326&lt;/_impact_factor&gt;&lt;_isbn&gt;0885-8950&lt;/_isbn&gt;&lt;_issue&gt;5&lt;/_issue&gt;&lt;_journal&gt;IEEE TRANSACTIONS ON POWER SYSTEMS&lt;/_journal&gt;&lt;_modified&gt;64498627&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Citation&gt;_x000a_"/>
    <w:docVar w:name="NE.Ref{6BE2BDB4-B8F9-4548-9BBC-486F726B8216}" w:val=" ADDIN NE.Ref.{6BE2BDB4-B8F9-4548-9BBC-486F726B8216}&lt;Citation&gt;&lt;Group&gt;&lt;References&gt;&lt;Item&gt;&lt;ID&gt;594&lt;/ID&gt;&lt;UID&gt;{0A954338-111C-4E57-B5B8-4D23C30EA483}&lt;/UID&gt;&lt;Title&gt;基于换相电流时间面积的换相失败判别方法&lt;/Title&gt;&lt;Template&gt;Journal Article&lt;/Template&gt;&lt;Star&gt;0&lt;/Star&gt;&lt;Tag&gt;0&lt;/Tag&gt;&lt;Author&gt;李思思; 白仕雄; 丁志林; 王渝红; 李兴源; 魏巍; 何鹏飞&lt;/Author&gt;&lt;Year&gt;2013&lt;/Year&gt;&lt;Details&gt;&lt;_accessed&gt;63445897&lt;/_accessed&gt;&lt;_accession_num&gt;CSCD:4837171_x000d__x000a_ER&lt;/_accession_num&gt;&lt;_cited_count&gt;0&lt;/_cited_count&gt;&lt;_collection_scope&gt;CSCD;PKU&lt;/_collection_scope&gt;&lt;_created&gt;63444588&lt;/_created&gt;&lt;_date_display&gt;2013, 2013&lt;/_date_display&gt;&lt;_db_provider&gt;ISI&lt;/_db_provider&gt;&lt;_isbn&gt;1003-8930&lt;/_isbn&gt;&lt;_issue&gt;1003-8930(2013)25:2&amp;lt;98:JYHXDL&amp;gt;2.0.TX;2-L2&lt;/_issue&gt;&lt;_journal&gt;电力系统及其自动化学报&lt;/_journal&gt;&lt;_modified&gt;63445899&lt;/_modified&gt;&lt;_pages&gt;98-102&lt;/_pages&gt;&lt;_tertiary_title&gt;Proceedings of the Electric Power System and Automation&lt;/_tertiary_title&gt;&lt;_translated_author&gt;Li, Sisi; Bai, Shixiong; Ding, Zhilin; Wang, Yuhong; Li, Xingyuan; Wei, Wei; He, Pengfei&lt;/_translated_author&gt;&lt;_translated_title&gt;Current-time Area Method for the Identification of Commutation Failure&lt;/_translated_title&gt;&lt;_url&gt;CSCD:4837171 _x000d__x000a_https://kns.cnki.net/kns/download.aspx?filename=hFGaoxWcwglQvJXW6F1SWBVeQV1R2VGbWBDavdWVopHTHN0KtRWelpXOw1WTXVzKCdVU2lmZTVFb6BXdidXN2hGe6V0LLdUYCJHNYBTZ1F0Mp9GSvh0dLRDRkVVSpBnauhTc5hHazYHOCRDathjQxQHa2YkbXpHS&amp;amp;tablename=CJFD2013&amp;amp;dflag=pdfdown _x000d__x000a_&lt;/_url&gt;&lt;_volume&gt;25&lt;/_volume&gt;&lt;/Details&gt;&lt;Extra&gt;&lt;DBUID&gt;{6891F4B0-DCBA-459A-9A22-3059983243D4}&lt;/DBUID&gt;&lt;/Extra&gt;&lt;/Item&gt;&lt;/References&gt;&lt;/Group&gt;&lt;/Citation&gt;_x000a_"/>
    <w:docVar w:name="NE.Ref{6BE98151-BAB3-467D-8D4B-1114D7165B7F}" w:val=" ADDIN NE.Ref.{6BE98151-BAB3-467D-8D4B-1114D7165B7F}&lt;Citation&gt;&lt;Group&gt;&lt;References&gt;&lt;Item&gt;&lt;ID&gt;640&lt;/ID&gt;&lt;UID&gt;{60755EB7-8CA7-48EF-AEA9-1EB4E0E7074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db_provider&gt;CNKI&lt;/_db_provider&gt;&lt;_isbn&gt;1000-3673&lt;/_isbn&gt;&lt;_issue&gt;03&lt;/_issue&gt;&lt;_journal&gt;电网技术&lt;/_journal&gt;&lt;_keywords&gt;售电公司;虚拟电厂;双层规划;NSGA-Ⅱ算法;混合整数二阶锥规划&lt;/_keywords&gt;&lt;_pages&gt;952-961&lt;/_pages&gt;&lt;_volume&gt;43&lt;/_volume&gt;&lt;_created&gt;63705589&lt;/_created&gt;&lt;_modified&gt;63705589&lt;/_modified&gt;&lt;_collection_scope&gt;CSCD;PKU;EI&lt;/_collection_scope&gt;&lt;_translated_author&gt;Zhang, Tao;Wang, Cheng;Wang, Lingyun;Zhang, Dongfang;Zhang, Jiaying&lt;/_translated_author&gt;&lt;/Details&gt;&lt;Extra&gt;&lt;DBUID&gt;{F96A950B-833F-4880-A151-76DA2D6A2879}&lt;/DBUID&gt;&lt;/Extra&gt;&lt;/Item&gt;&lt;/References&gt;&lt;/Group&gt;&lt;/Citation&gt;_x000a_"/>
    <w:docVar w:name="NE.Ref{6D3FD14E-6E65-4BDE-B736-936BED15C628}" w:val=" ADDIN NE.Ref.{6D3FD14E-6E65-4BDE-B736-936BED15C628}&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6D7905E0-183F-4AE6-8803-117E1E4724B0}" w:val=" ADDIN NE.Ref.{6D7905E0-183F-4AE6-8803-117E1E4724B0}&lt;Citation&gt;&lt;Group&gt;&lt;References&gt;&lt;Item&gt;&lt;ID&gt;425&lt;/ID&gt;&lt;UID&gt;{D444049E-CD9B-4BF1-8B1E-3097DDADC2EB}&lt;/UID&gt;&lt;Title&gt;电力系统鲁棒经济调度 (一)理论基础&lt;/Title&gt;&lt;Template&gt;Journal Article&lt;/Template&gt;&lt;Star&gt;0&lt;/Star&gt;&lt;Tag&gt;0&lt;/Tag&gt;&lt;Author&gt;魏韡; 刘锋; 梅生伟&lt;/Author&gt;&lt;Year&gt;2013&lt;/Year&gt;&lt;Details&gt;&lt;_author_adr&gt;清华大学电机工程与应用电子技术系;电力系统及发电设备控制和仿真国家重点实验室,清华大学;&lt;/_author_adr&gt;&lt;_collection_scope&gt;CSCD;PKU;EI&lt;/_collection_scope&gt;&lt;_created&gt;63645052&lt;/_created&gt;&lt;_db_provider&gt;CNKI&lt;/_db_provider&gt;&lt;_isbn&gt;1000-1026&lt;/_isbn&gt;&lt;_issue&gt;17&lt;/_issue&gt;&lt;_journal&gt;电力系统自动化&lt;/_journal&gt;&lt;_keywords&gt;电力系统;鲁棒经济调度;新能源发电;两阶段零和博弈;不确定性&lt;/_keywords&gt;&lt;_modified&gt;63645052&lt;/_modified&gt;&lt;_pages&gt;37-43&lt;/_pages&gt;&lt;_volume&gt;37&lt;/_volume&gt;&lt;_translated_author&gt;Wei, Wei;Liu, Feng;Mei, Shengwei&lt;/_translated_author&gt;&lt;/Details&gt;&lt;Extra&gt;&lt;DBUID&gt;{F96A950B-833F-4880-A151-76DA2D6A2879}&lt;/DBUID&gt;&lt;/Extra&gt;&lt;/Item&gt;&lt;/References&gt;&lt;/Group&gt;&lt;Group&gt;&lt;References&gt;&lt;Item&gt;&lt;ID&gt;426&lt;/ID&gt;&lt;UID&gt;{2442C3FB-641B-4EB2-B035-A7C552871228}&lt;/UID&gt;&lt;Title&gt;电力系统鲁棒经济调度(二)应用实例&lt;/Title&gt;&lt;Template&gt;Journal Article&lt;/Template&gt;&lt;Star&gt;0&lt;/Star&gt;&lt;Tag&gt;0&lt;/Tag&gt;&lt;Author&gt;魏韡; 刘锋; 梅生伟&lt;/Author&gt;&lt;Year&gt;2013&lt;/Year&gt;&lt;Details&gt;&lt;_author_adr&gt;清华大学电机工程与应用电子技术系;电力系统及发电设备控制和仿真国家重点实验室,清华大学;&lt;/_author_adr&gt;&lt;_collection_scope&gt;CSCD;PKU;EI&lt;/_collection_scope&gt;&lt;_created&gt;63645054&lt;/_created&gt;&lt;_db_provider&gt;CNKI&lt;/_db_provider&gt;&lt;_isbn&gt;1000-1026&lt;/_isbn&gt;&lt;_issue&gt;18&lt;/_issue&gt;&lt;_journal&gt;电力系统自动化&lt;/_journal&gt;&lt;_keywords&gt;电力系统;新能源发电;鲁棒备用整定;鲁棒机组组合;不确定性&lt;/_keywords&gt;&lt;_modified&gt;63645054&lt;/_modified&gt;&lt;_pages&gt;60-67&lt;/_pages&gt;&lt;_volume&gt;37&lt;/_volume&gt;&lt;_translated_author&gt;Wei, Wei;Liu, Feng;Mei, Shengwei&lt;/_translated_author&gt;&lt;/Details&gt;&lt;Extra&gt;&lt;DBUID&gt;{F96A950B-833F-4880-A151-76DA2D6A2879}&lt;/DBUID&gt;&lt;/Extra&gt;&lt;/Item&gt;&lt;/References&gt;&lt;/Group&gt;&lt;/Citation&gt;_x000a_"/>
    <w:docVar w:name="NE.Ref{6DB0B262-565D-4B14-A158-4F39E41B1212}" w:val=" ADDIN NE.Ref.{6DB0B262-565D-4B14-A158-4F39E41B1212}&lt;Citation&gt;&lt;Group&gt;&lt;References&gt;&lt;Item&gt;&lt;ID&gt;648&lt;/ID&gt;&lt;UID&gt;{4055988D-86BC-4DC7-AFF7-13C66643AFB5}&lt;/UID&gt;&lt;Title&gt;Integration of day-ahead market and redispatch to increase cross-border exchanges in the European electricity market&lt;/Title&gt;&lt;Template&gt;Journal Article&lt;/Template&gt;&lt;Star&gt;0&lt;/Star&gt;&lt;Tag&gt;0&lt;/Tag&gt;&lt;Author&gt;B, Ksenia Poplavskaya A; A, Gerhard Totschnig; A, Fabian Leimgruber; C, Gerard Doorman; D, Gilles Etienne; B, Laurens De Vries&lt;/Author&gt;&lt;Year&gt;0&lt;/Year&gt;&lt;Details&gt;&lt;_journal&gt;Applied Energy&lt;/_journal&gt;&lt;_volume&gt;278&lt;/_volume&gt;&lt;_created&gt;63705610&lt;/_created&gt;&lt;_modified&gt;63705610&lt;/_modified&gt;&lt;_collection_scope&gt;SCI;SCIE;EI&lt;/_collection_scope&gt;&lt;/Details&gt;&lt;Extra&gt;&lt;DBUID&gt;{F96A950B-833F-4880-A151-76DA2D6A2879}&lt;/DBUID&gt;&lt;/Extra&gt;&lt;/Item&gt;&lt;/References&gt;&lt;/Group&gt;&lt;/Citation&gt;_x000a_"/>
    <w:docVar w:name="NE.Ref{6DDA0719-6910-4393-95A6-2A122831CF66}" w:val=" ADDIN NE.Ref.{6DDA0719-6910-4393-95A6-2A122831CF66}&lt;Citation&gt;&lt;Group&gt;&lt;References&gt;&lt;Item&gt;&lt;ID&gt;673&lt;/ID&gt;&lt;UID&gt;{3BFC353C-EF56-4F4B-836A-BD68FC86A30C}&lt;/UID&gt;&lt;Title&gt;强直弱交的定义、内涵与形式及其应对措施&lt;/Title&gt;&lt;Template&gt;Journal Article&lt;/Template&gt;&lt;Star&gt;0&lt;/Star&gt;&lt;Tag&gt;0&lt;/Tag&gt;&lt;Author&gt;郑超; 马世英; 申旭辉; 刘道伟&lt;/Author&gt;&lt;Year&gt;2017&lt;/Year&gt;&lt;Details&gt;&lt;_accessed&gt;63726866&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电网技术&lt;/_journal&gt;&lt;_modified&gt;63726867&lt;/_modified&gt;&lt;_pages&gt;2491-2498&lt;/_pages&gt;&lt;_tertiary_title&gt;Power System Technology&lt;/_tertiary_title&gt;&lt;_translated_author&gt;Zheng, Chao; Ma, Shiying; Shen, Xuhui; Liu, Daowei&lt;/_translated_author&gt;&lt;_translated_title&gt;Definition, Connotation and Form of Strong HVDC and Weak AC and Countermeasures for Stable Operation of Hybrid Power Grid&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_collection_scope&gt;CSCD;PKU;EI&lt;/_collection_scope&gt;&lt;/Details&gt;&lt;Extra&gt;&lt;DBUID&gt;{6891F4B0-DCBA-459A-9A22-3059983243D4}&lt;/DBUID&gt;&lt;/Extra&gt;&lt;/Item&gt;&lt;/References&gt;&lt;/Group&gt;&lt;/Citation&gt;_x000a_"/>
    <w:docVar w:name="NE.Ref{6EE4B720-0D15-430C-A8C4-420AFA2E4DB8}" w:val=" ADDIN NE.Ref.{6EE4B720-0D15-430C-A8C4-420AFA2E4DB8}&lt;Citation&gt;&lt;Group&gt;&lt;References&gt;&lt;Item&gt;&lt;ID&gt;477&lt;/ID&gt;&lt;UID&gt;{E36B792A-0F32-4CA8-99B4-F34E4DEB4890}&lt;/UID&gt;&lt;Title&gt;Decreasing the frequency of HVDC commutation failures caused by harmonics&lt;/Title&gt;&lt;Template&gt;Journal Article&lt;/Template&gt;&lt;Star&gt;0&lt;/Star&gt;&lt;Tag&gt;0&lt;/Tag&gt;&lt;Author&gt;Wang, Feng; Liu, Tian-qi; Li, Xing-yuan&lt;/Author&gt;&lt;Year&gt;2017&lt;/Year&gt;&lt;Details&gt;&lt;_accessed&gt;63445929&lt;/_accessed&gt;&lt;_accession_num&gt;WOS:000395529000009_x000d__x000a_ER&lt;/_accession_num&gt;&lt;_cited_count&gt;19&lt;/_cited_count&gt;&lt;_collection_scope&gt;SCIE;EI&lt;/_collection_scope&gt;&lt;_created&gt;63444588&lt;/_created&gt;&lt;_date_display&gt;2017, FEB 10 2017&lt;/_date_display&gt;&lt;_db_provider&gt;ISI&lt;/_db_provider&gt;&lt;_doi&gt;10.1049/iet-pel.2016.0230&lt;/_doi&gt;&lt;_impact_factor&gt;   2.112&lt;/_impact_factor&gt;&lt;_isbn&gt;1755-4535&lt;/_isbn&gt;&lt;_issue&gt;2&lt;/_issue&gt;&lt;_journal&gt;IET POWER ELECTRONICS&lt;/_journal&gt;&lt;_modified&gt;63446049&lt;/_modified&gt;&lt;_pages&gt;215-221&lt;/_pages&gt;&lt;_url&gt;http://gateway.isiknowledge.com/gateway/Gateway.cgi?GWVersion=2&amp;amp;SrcAuth=AegeanSoftware&amp;amp;SrcApp=NoteExpress&amp;amp;DestLinkType=FullRecord&amp;amp;DestApp=WOS&amp;amp;KeyUT=000395529000009 _x000d__x000a_https://ieeexplore.ieee.org/stampPDF/getPDF.jsp?tp=&amp;amp;arnumber=7845153&amp;amp;ref=aHR0cHM6Ly9pZWVleHBsb3JlLmllZWUub3JnL3Jlc3Qvc2VhcmNo _x000d__x000a_&lt;/_url&gt;&lt;_volume&gt;10&lt;/_volume&gt;&lt;/Details&gt;&lt;Extra&gt;&lt;DBUID&gt;{6891F4B0-DCBA-459A-9A22-3059983243D4}&lt;/DBUID&gt;&lt;/Extra&gt;&lt;/Item&gt;&lt;/References&gt;&lt;/Group&gt;&lt;Group&gt;&lt;References&gt;&lt;Item&gt;&lt;ID&gt;590&lt;/ID&gt;&lt;UID&gt;{BD1FFA8A-3617-47B0-A0AC-5A3F00281363}&lt;/UID&gt;&lt;Title&gt;Effect of a SFCL on Commutation Failure in a HVDC System&lt;/Title&gt;&lt;Template&gt;Journal Article&lt;/Template&gt;&lt;Star&gt;0&lt;/Star&gt;&lt;Tag&gt;0&lt;/Tag&gt;&lt;Author&gt;Lee, Hee-Jin; Son, Gum Tae; Yoo, Jae-Ik; Park, Jung-Wook&lt;/Author&gt;&lt;Year&gt;2013&lt;/Year&gt;&lt;Details&gt;&lt;_accession_num&gt;WOS:000314275800096_x000d__x000a_ER&lt;/_accession_num&gt;&lt;_cited_count&gt;16&lt;/_cited_count&gt;&lt;_collection_scope&gt;SCI;SCIE;EI&lt;/_collection_scope&gt;&lt;_created&gt;63444588&lt;/_created&gt;&lt;_date_display&gt;2013, JUN 2013&lt;/_date_display&gt;&lt;_db_provider&gt;ISI&lt;/_db_provider&gt;&lt;_doi&gt;10.1109/TASC.2012.2230291&lt;/_doi&gt;&lt;_impact_factor&gt;   1.949&lt;/_impact_factor&gt;&lt;_isbn&gt;1051-8223&lt;/_isbn&gt;&lt;_issue&gt;560010432&lt;/_issue&gt;&lt;_journal&gt;IEEE TRANSACTIONS ON APPLIED SUPERCONDUCTIVITY&lt;/_journal&gt;&lt;_modified&gt;64498617&lt;/_modified&gt;&lt;_url&gt;http://gateway.isiknowledge.com/gateway/Gateway.cgi?GWVersion=2&amp;amp;SrcAuth=AegeanSoftware&amp;amp;SrcApp=NoteExpress&amp;amp;DestLinkType=FullRecord&amp;amp;DestApp=WOS&amp;amp;KeyUT=000314275800096 _x000d__x000a_https://ieeexplore.ieee.org/stampPDF/getPDF.jsp?tp=&amp;amp;arnumber=6363555&amp;amp;ref=aHR0cHM6Ly9pZWVleHBsb3JlLmllZWUub3JnL3Jlc3Qvc2VhcmNo _x000d__x000a_&lt;/_url&gt;&lt;_volume&gt;23&lt;/_volume&gt;&lt;/Details&gt;&lt;Extra&gt;&lt;DBUID&gt;{6891F4B0-DCBA-459A-9A22-3059983243D4}&lt;/DBUID&gt;&lt;/Extra&gt;&lt;/Item&gt;&lt;/References&gt;&lt;/Group&gt;&lt;/Citation&gt;_x000a_"/>
    <w:docVar w:name="NE.Ref{6F2A7BF2-3907-4E62-A00A-7133D96B3B7F}" w:val=" ADDIN NE.Ref.{6F2A7BF2-3907-4E62-A00A-7133D96B3B7F}&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6F37BE96-FDE4-4182-BE59-6BB8856A0B3E}" w:val=" ADDIN NE.Ref.{6F37BE96-FDE4-4182-BE59-6BB8856A0B3E}&lt;Citation&gt;&lt;Group&gt;&lt;References&gt;&lt;Item&gt;&lt;ID&gt;680&lt;/ID&gt;&lt;UID&gt;{35C37A46-88EE-4EEA-A0B4-2426D53F0976}&lt;/UID&gt;&lt;Title&gt;A novel evaluation method for the risk of simultaneous commutation failure in multi-infeed HVDC-systems that considers DC current rise&lt;/Title&gt;&lt;Template&gt;Journal Article&lt;/Template&gt;&lt;Star&gt;0&lt;/Star&gt;&lt;Tag&gt;0&lt;/Tag&gt;&lt;Author&gt;Yin, C Y; Li, F T&lt;/Author&gt;&lt;Year&gt;2021&lt;/Year&gt;&lt;Details&gt;&lt;_alternate_title&gt;INTERNATIONAL JOURNAL OF ELECTRICAL POWER &amp;amp; ENERGY SYSTEMS&lt;/_alternate_title&gt;&lt;_author_adr&gt;Xinjiang Univ, Sch Elect Engn, Urumqi, Peoples R China&lt;/_author_adr&gt;&lt;_cited_count&gt;1&lt;/_cited_count&gt;&lt;_collection_scope&gt;SCIE;EI&lt;/_collection_scope&gt;&lt;_created&gt;64504092&lt;/_created&gt;&lt;_date&gt;2021-01-01&lt;/_date&gt;&lt;_date_display&gt;2021&lt;/_date_display&gt;&lt;_db_updated&gt;Web of Science-Core&lt;/_db_updated&gt;&lt;_doi&gt;10.1016/j.ijepes.2021.107051&lt;/_doi&gt;&lt;_impact_factor&gt;   5.659&lt;/_impact_factor&gt;&lt;_journal&gt;INTERNATIONAL JOURNAL OF ELECTRICAL POWER &amp;amp; ENERGY SYSTEMS&lt;/_journal&gt;&lt;_keywords&gt;Extinction angle; Commutation failure; DC current; HVDC&lt;/_keywords&gt;&lt;_modified&gt;64504093&lt;/_modified&gt;&lt;_volume&gt;131&lt;/_volume&gt;&lt;/Details&gt;&lt;Extra&gt;&lt;DBUID&gt;{F96A950B-833F-4880-A151-76DA2D6A2879}&lt;/DBUID&gt;&lt;/Extra&gt;&lt;/Item&gt;&lt;/References&gt;&lt;/Group&gt;&lt;/Citation&gt;_x000a_"/>
    <w:docVar w:name="NE.Ref{6F80137E-BBF6-408E-B1CA-84D99D8F36E1}" w:val=" ADDIN NE.Ref.{6F80137E-BBF6-408E-B1CA-84D99D8F36E1}&lt;Citation&gt;&lt;Group&gt;&lt;References&gt;&lt;Item&gt;&lt;ID&gt;536&lt;/ID&gt;&lt;UID&gt;{4CC7AF0A-1202-481F-B3E5-223E3C1D6B55}&lt;/UID&gt;&lt;Title&gt;大规模特高压交直流混联电网特性分析与运行控制&lt;/Title&gt;&lt;Template&gt;Journal Article&lt;/Template&gt;&lt;Star&gt;0&lt;/Star&gt;&lt;Tag&gt;0&lt;/Tag&gt;&lt;Author&gt;李明节&lt;/Author&gt;&lt;Year&gt;2016&lt;/Year&gt;&lt;Details&gt;&lt;_accessed&gt;63726861&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电网技术&lt;/_journal&gt;&lt;_modified&gt;63726861&lt;/_modified&gt;&lt;_pages&gt;985-991&lt;/_pages&gt;&lt;_tertiary_title&gt;Power System Technology&lt;/_tertiary_title&gt;&lt;_translated_author&gt;Li, Mingjie&lt;/_translated_author&gt;&lt;_translated_title&gt;Characteristic Analysis and Operational Control of Large-Scale Hybrid UHV AC/DC Power Grids &lt;/_translated_title&gt;&lt;_url&gt;CSCD:5679313 _x000d__x000a_https://kns.cnki.net/kcms/download.aspx?filename=zEUOKFGNGtSMGZzK6FlaNVXOyI2bsdFSt5kYoFFMtJzU2t0Y0wUTGdHVnFTd4YDZ2MUaxhVdONFdnhVaaNXWUF2VFxUN510SilnajJXd0lWWZdERppXR4djTzNXbFtUMQl1bwlFea9SS1FUbF52RthWTm9kUL5US&amp;amp;tablename=CJFDLAST2016&amp;amp;dflag=pdfdown _x000d__x000a_&lt;/_url&gt;&lt;_volume&gt;40&lt;/_volume&gt;&lt;/Details&gt;&lt;Extra&gt;&lt;DBUID&gt;{6891F4B0-DCBA-459A-9A22-3059983243D4}&lt;/DBUID&gt;&lt;/Extra&gt;&lt;/Item&gt;&lt;/References&gt;&lt;/Group&gt;&lt;Group&gt;&lt;References&gt;&lt;Item&gt;&lt;ID&gt;518&lt;/ID&gt;&lt;UID&gt;{AFAA75FB-64B3-4386-B3B5-AA85111B65FD}&lt;/UID&gt;&lt;Title&gt; 强直弱交区域互联大电网运行控制技术与分析&lt;/Title&gt;&lt;Template&gt;Journal Article&lt;/Template&gt;&lt;Star&gt;0&lt;/Star&gt;&lt;Tag&gt;0&lt;/Tag&gt;&lt;Author&gt;李勇&lt;/Author&gt;&lt;Year&gt;2016&lt;/Year&gt;&lt;Details&gt;&lt;_accessed&gt;63726863&lt;/_accessed&gt;&lt;_accession_num&gt;CSCD:5877643_x000d__x000a_ER&lt;/_accession_num&gt;&lt;_cited_count&gt;7&lt;/_cited_count&gt;&lt;_collection_scope&gt;CSCD;PKU;EI&lt;/_collection_scope&gt;&lt;_created&gt;63444588&lt;/_created&gt;&lt;_date_display&gt;2016, 2016&lt;/_date_display&gt;&lt;_db_provider&gt;ISI&lt;/_db_provider&gt;&lt;_isbn&gt;1000-3673&lt;/_isbn&gt;&lt;_issue&gt;12&lt;/_issue&gt;&lt;_journal&gt;电网技术&lt;/_journal&gt;&lt;_modified&gt;63726863&lt;/_modified&gt;&lt;_pages&gt;3756-3760&lt;/_pages&gt;&lt;_tertiary_title&gt;Power System Technology&lt;/_tertiary_title&gt;&lt;_translated_author&gt;Li, Yong&lt;/_translated_author&gt;&lt;_translated_title&gt;Technology and Practice of the Operation Control of Large Power Grid Connected With Weak AC area&lt;/_translated_title&gt;&lt;_url&gt;CSCD:5877643 _x000d__x000a_https://kns.cnki.net/kcms/download.aspx?filename=SVkS6N2YzEWU5ZUTx1GaDlEeVlFZ5lUdyYmY0JjV4E1cQBXSkZWQHhmUGJVeZ9UaNlzdzhERul2YjtkRiFFc1UHU10WZwgXZWlEWyFVdsRUMLhDUal0Qh10ZqJkdnN3TIBXcw40Trg3RThXaGBzN2gmM0YlSapmU&amp;amp;tablename=CJFDLAST2017&amp;amp;dflag=pdfdown _x000d__x000a_&lt;/_url&gt;&lt;_volume&gt;40&lt;/_volume&gt;&lt;/Details&gt;&lt;Extra&gt;&lt;DBUID&gt;{6891F4B0-DCBA-459A-9A22-3059983243D4}&lt;/DBUID&gt;&lt;/Extra&gt;&lt;/Item&gt;&lt;/References&gt;&lt;/Group&gt;&lt;/Citation&gt;_x000a_"/>
    <w:docVar w:name="NE.Ref{70664E51-6A04-4FE7-AFB7-BDC61C9700EA}" w:val=" ADDIN NE.Ref.{70664E51-6A04-4FE7-AFB7-BDC61C9700EA}&lt;Citation&gt;&lt;Group&gt;&lt;References&gt;&lt;Item&gt;&lt;ID&gt;433&lt;/ID&gt;&lt;UID&gt;{20539A2C-ABB6-496A-9339-9B01D31191F7}&lt;/UID&gt;&lt;Title&gt;Design of Direct-Current Fuzzy Controller for Mitigating Commutation Failure in HVDC System&lt;/Title&gt;&lt;Template&gt;Journal Article&lt;/Template&gt;&lt;Star&gt;0&lt;/Star&gt;&lt;Tag&gt;0&lt;/Tag&gt;&lt;Author&gt;Gao, Benfeng; Yuan, Kewei; Dong, Peiyi; Luo, Chao; Zhao, Shuqiang&lt;/Author&gt;&lt;Year&gt;2018&lt;/Year&gt;&lt;Details&gt;&lt;_accessed&gt;63445946&lt;/_accessed&gt;&lt;_accession_num&gt;WOS:000435496700005_x000d__x000a_ER&lt;/_accession_num&gt;&lt;_cited_count&gt;2&lt;/_cited_count&gt;&lt;_collection_scope&gt;SCIE;EI&lt;/_collection_scope&gt;&lt;_created&gt;63444588&lt;/_created&gt;&lt;_date_display&gt;2018, JUL 2018&lt;/_date_display&gt;&lt;_db_provider&gt;ISI&lt;/_db_provider&gt;&lt;_doi&gt;10.5370/JEET.2018.13.4.1450&lt;/_doi&gt;&lt;_impact_factor&gt;   1.528&lt;/_impact_factor&gt;&lt;_isbn&gt;1975-0102&lt;/_isbn&gt;&lt;_issue&gt;4&lt;/_issue&gt;&lt;_journal&gt;JOURNAL OF ELECTRICAL ENGINEERING &amp;amp; TECHNOLOGY&lt;/_journal&gt;&lt;_modified&gt;63445946&lt;/_modified&gt;&lt;_pages&gt;1450-1458&lt;/_pages&gt;&lt;_url&gt;http://gateway.isiknowledge.com/gateway/Gateway.cgi?GWVersion=2&amp;amp;SrcAuth=AegeanSoftware&amp;amp;SrcApp=NoteExpress&amp;amp;DestLinkType=FullRecord&amp;amp;DestApp=WOS&amp;amp;KeyUT=000435496700005&lt;/_url&gt;&lt;_volume&gt;13&lt;/_volume&gt;&lt;/Details&gt;&lt;Extra&gt;&lt;DBUID&gt;{6891F4B0-DCBA-459A-9A22-3059983243D4}&lt;/DBUID&gt;&lt;/Extra&gt;&lt;/Item&gt;&lt;/References&gt;&lt;/Group&gt;&lt;/Citation&gt;_x000a_"/>
    <w:docVar w:name="NE.Ref{70AFD86F-6A93-4CF1-B293-AC43C55ADD0E}" w:val=" ADDIN NE.Ref.{70AFD86F-6A93-4CF1-B293-AC43C55ADD0E}&lt;Citation&gt;&lt;Group&gt;&lt;References&gt;&lt;Item&gt;&lt;ID&gt;643&lt;/ID&gt;&lt;UID&gt;{7AB98618-CF1B-4927-8B79-E8E7C8CD2B11}&lt;/UID&gt;&lt;Title&gt;基于小波能量统计法的HVDC换相失败故障诊断&lt;/Title&gt;&lt;Template&gt;Journal Article&lt;/Template&gt;&lt;Star&gt;0&lt;/Star&gt;&lt;Tag&gt;0&lt;/Tag&gt;&lt;Author&gt;林凌雪; 张尧; 钟庆; 武志刚&lt;/Author&gt;&lt;Year&gt;2007&lt;/Year&gt;&lt;Details&gt;&lt;_accessed&gt;63444807&lt;/_accessed&gt;&lt;_accession_num&gt;CSCD:3047898_x000d__x000a_ER&lt;/_accession_num&gt;&lt;_cited_count&gt;1&lt;/_cited_count&gt;&lt;_collection_scope&gt;CSCD;PKU;EI&lt;/_collection_scope&gt;&lt;_created&gt;63444588&lt;/_created&gt;&lt;_date_display&gt;2007, 2007&lt;/_date_display&gt;&lt;_db_provider&gt;ISI&lt;/_db_provider&gt;&lt;_isbn&gt;1000-1026&lt;/_isbn&gt;&lt;_issue&gt;1000-1026(2007)31:23&amp;lt;61:JYXBNL&amp;gt;2.0.TX;2-M23&lt;/_issue&gt;&lt;_journal&gt;电力系统自动化&lt;/_journal&gt;&lt;_modified&gt;63444810&lt;/_modified&gt;&lt;_pages&gt;61-64&lt;/_pages&gt;&lt;_tertiary_title&gt;Automation of Electric Power Systems&lt;/_tertiary_title&gt;&lt;_translated_author&gt;LIN, Lingxue; ZHANG, Yao; ZHONG, Qing; WU, Zhigang&lt;/_translated_author&gt;&lt;_translated_title&gt;Fault Diagnosis of Commutation Failures in the HVDC System Based on a Method of Wavelet Energy Statistics &lt;/_translated_title&gt;&lt;_url&gt;CSCD:3047898 _x000d__x000a_https://kns.cnki.net/kns/download.aspx?filename=qhHdQRWOIVFUw10MwQ0QvRDbEJVU20Wa49mcDZ0NyBlQPV3Q5JUVxsmZXJ2NWFVcUhWd4NncUVWRJt2YFV1a29UNJdzVy92bYVzZYV1dHZGW2cTNH1kSzBnMN5UQmVUSv9iZSBnYykjM1YlQGJ2QNdFbDJlQ3AzK&amp;amp;tablename=CJFD2007&amp;amp;dflag=pdfdown _x000d__x000a_&lt;/_url&gt;&lt;_volume&gt;31&lt;/_volume&gt;&lt;/Details&gt;&lt;Extra&gt;&lt;DBUID&gt;{6891F4B0-DCBA-459A-9A22-3059983243D4}&lt;/DBUID&gt;&lt;/Extra&gt;&lt;/Item&gt;&lt;/References&gt;&lt;/Group&gt;&lt;Group&gt;&lt;References&gt;&lt;Item&gt;&lt;ID&gt;645&lt;/ID&gt;&lt;UID&gt;{2CD6EBFB-42DF-4DE9-AB22-617974AE7FD1}&lt;/UID&gt;&lt;Title&gt; HVDC换相失败小波故障诊断方法&lt;/Title&gt;&lt;Template&gt;Journal Article&lt;/Template&gt;&lt;Star&gt;0&lt;/Star&gt;&lt;Tag&gt;0&lt;/Tag&gt;&lt;Author&gt;张尧; 林凌雪; 钟庆&lt;/Author&gt;&lt;Year&gt;2007&lt;/Year&gt;&lt;Details&gt;&lt;_accessed&gt;63444807&lt;/_accessed&gt;&lt;_accession_num&gt;CSCD:3009972_x000d__x000a_ER&lt;/_accession_num&gt;&lt;_cited_count&gt;0&lt;/_cited_count&gt;&lt;_collection_scope&gt;PKU;EI&lt;/_collection_scope&gt;&lt;_created&gt;63444588&lt;/_created&gt;&lt;_date_display&gt;2007, 2007&lt;/_date_display&gt;&lt;_db_provider&gt;ISI&lt;/_db_provider&gt;&lt;_isbn&gt;1000-565X&lt;/_isbn&gt;&lt;_issue&gt;1000-565X(2007)35:10&amp;lt;172:HHXSBX&amp;gt;2.0.TX;2-410&lt;/_issue&gt;&lt;_journal&gt;华南理工大学学报. 自然科学版&lt;/_journal&gt;&lt;_modified&gt;63444811&lt;/_modified&gt;&lt;_pages&gt;172-177&lt;/_pages&gt;&lt;_tertiary_title&gt;Journal of South China University of Technology. Natural Science Edition&lt;/_tertiary_title&gt;&lt;_translated_author&gt;Zhang, Yao; Lin, Lingxue; Zhong, Qing&lt;/_translated_author&gt;&lt;_translated_title&gt;Fault Diagnosis Based on Wavelet for Commutation Failures in HVDC&lt;/_translated_title&gt;&lt;_url&gt;CSCD:3009972 _x000d__x000a_https://kns.cnki.net/kns/download.aspx?filename=VlzSvBDashUOMZ0asVWeW9mQOJHOxUlcMtCMzVkbz8kVvE0Y1JDeStEV3RWbTJmTnRXUwNnaC1UYWZnQ1B1NzI0YUFjdV1kTYFTazA1R2pUWzdkevZmSyk3Q1NEaOhjcLJmWWFTeSxGe2s0QxAXZPJDTW52LwMTa&amp;amp;tablename=CJFD2007&amp;amp;dflag=pdfdown _x000d__x000a_https://kns.cnki.net/kns/download.aspx?filename=3oXcqNkU5hTeTV0TMFTdOlmZ09CVo92b0h2LW90LSNmZat0LuZTUMpEbx92Um9UZ1g2aLhnYNxGaNZ2VhV2b1ZEO612NidGNYlXTuVFbQlkYI12UHJHSThGM0NGVn1EcupHNyZza2t0TORHTBtySQZmVw1UWzZ2V&amp;amp;tablename=CJFD2007&amp;amp;dflag=pdfdown _x000d__x000a_&lt;/_url&gt;&lt;_volume&gt;35&lt;/_volume&gt;&lt;/Details&gt;&lt;Extra&gt;&lt;DBUID&gt;{6891F4B0-DCBA-459A-9A22-3059983243D4}&lt;/DBUID&gt;&lt;/Extra&gt;&lt;/Item&gt;&lt;/References&gt;&lt;/Group&gt;&lt;Group&gt;&lt;References&gt;&lt;Item&gt;&lt;ID&gt;605&lt;/ID&gt;&lt;UID&gt;{02CCD83B-833B-412D-8F3A-7C0A858E671D}&lt;/UID&gt;&lt;Title&gt;基于小波能量谱和灰色综合关联度的HVDC换相失败故障诊断 &lt;/Title&gt;&lt;Template&gt;Journal Article&lt;/Template&gt;&lt;Star&gt;0&lt;/Star&gt;&lt;Tag&gt;0&lt;/Tag&gt;&lt;Author&gt;徐松林; 黄少先&lt;/Author&gt;&lt;Year&gt;2012&lt;/Year&gt;&lt;Details&gt;&lt;_accessed&gt;63445743&lt;/_accessed&gt;&lt;_accession_num&gt;CSCD:4448282_x000d__x000a_ER&lt;/_accession_num&gt;&lt;_cited_count&gt;2&lt;/_cited_count&gt;&lt;_collection_scope&gt;CSCD;PKU&lt;/_collection_scope&gt;&lt;_created&gt;63444588&lt;/_created&gt;&lt;_date_display&gt;2012, 2012&lt;/_date_display&gt;&lt;_db_provider&gt;ISI&lt;/_db_provider&gt;&lt;_isbn&gt;1674-3415&lt;/_isbn&gt;&lt;_issue&gt;1674-3415(2012)40:3&amp;lt;85:JYXBNL&amp;gt;2.0.TX;2-K3&lt;/_issue&gt;&lt;_journal&gt;电力系统保护与控制&lt;/_journal&gt;&lt;_modified&gt;63445748&lt;/_modified&gt;&lt;_pages&gt;85-89&lt;/_pages&gt;&lt;_tertiary_title&gt;Power System Protection and Control&lt;/_tertiary_title&gt;&lt;_translated_author&gt;Xu, Songlin; Huang, Shaoxian&lt;/_translated_author&gt;&lt;_translated_title&gt;Fault diagnosis of commutation failures in the HVDC system based on the wavelet energy spectrum and grey comprehensive relationship degree&lt;/_translated_title&gt;&lt;_url&gt;CSCD:4448282 _x000d__x000a_https://kns.cnki.net/kns/download.aspx?filename=DlzSWdnT5F1bl9kUqZmbJBHd3U1VPREbPh3SG1EVwRnR2J1c490YVp1QyBlV2YmWNpWcCNXe1hXcDNEaUlFOhRWVQVXe0YjQ0hDcURDTUtiellUT4MTQSJFNEF1cwNFMy0UU5lzL240UJh2UTp2d2ZVehRkUqxme&amp;amp;tablename=CJFD2012&amp;amp;dflag=pdfdown _x000d__x000a_&lt;/_url&gt;&lt;_volume&gt;40&lt;/_volume&gt;&lt;/Details&gt;&lt;Extra&gt;&lt;DBUID&gt;{6891F4B0-DCBA-459A-9A22-3059983243D4}&lt;/DBUID&gt;&lt;/Extra&gt;&lt;/Item&gt;&lt;/References&gt;&lt;/Group&gt;&lt;Group&gt;&lt;References&gt;&lt;Item&gt;&lt;ID&gt;507&lt;/ID&gt;&lt;UID&gt;{F01A8D18-6E33-458A-B389-29BF07909557}&lt;/UID&gt;&lt;Title&gt;小波能量偏度神经网络的HVDC换相失败故障诊断&lt;/Title&gt;&lt;Template&gt;Journal Article&lt;/Template&gt;&lt;Star&gt;0&lt;/Star&gt;&lt;Tag&gt;0&lt;/Tag&gt;&lt;Author&gt;朱艳; 王渝红; 丁志林; 宋梁; 李兴源; 邱大强&lt;/Author&gt;&lt;Year&gt;2017&lt;/Year&gt;&lt;Details&gt;&lt;_accessed&gt;63445943&lt;/_accessed&gt;&lt;_accession_num&gt;CSCD:5935137_x000d__x000a_ER&lt;/_accession_num&gt;&lt;_cited_count&gt;1&lt;/_cited_count&gt;&lt;_collection_scope&gt;CSCD;PKU&lt;/_collection_scope&gt;&lt;_created&gt;63444588&lt;/_created&gt;&lt;_date_display&gt;2017, 2017&lt;/_date_display&gt;&lt;_db_provider&gt;ISI&lt;/_db_provider&gt;&lt;_isbn&gt;1003-8930&lt;/_isbn&gt;&lt;_issue&gt;1003-8930(2017)29:2&amp;lt;39:XBNLPD&amp;gt;2.0.TX;2-82&lt;/_issue&gt;&lt;_journal&gt;电力系统及其自动化学报&lt;/_journal&gt;&lt;_modified&gt;63445943&lt;/_modified&gt;&lt;_pages&gt;39-44&lt;/_pages&gt;&lt;_tertiary_title&gt;Proceedings of the CSU-EPSA&lt;/_tertiary_title&gt;&lt;_translated_author&gt;Zhu, Yan; Wang, Yuhong; Ding, Zhilin; Song, Liang; Li, Xingyuan; Qiu, Daqiang&lt;/_translated_author&gt;&lt;_translated_title&gt;Fault Diagnosis of Commutation Failures in HVDC System Based on Neural Network of Wavelet Energy Skewness &lt;/_translated_title&gt;&lt;_url&gt;CSCD:5935137&lt;/_url&gt;&lt;_volume&gt;29&lt;/_volume&gt;&lt;/Details&gt;&lt;Extra&gt;&lt;DBUID&gt;{6891F4B0-DCBA-459A-9A22-3059983243D4}&lt;/DBUID&gt;&lt;/Extra&gt;&lt;/Item&gt;&lt;/References&gt;&lt;/Group&gt;&lt;/Citation&gt;_x000a_"/>
    <w:docVar w:name="NE.Ref{7102FF73-9602-455B-B0AC-EB6858AE7945}" w:val=" ADDIN NE.Ref.{7102FF73-9602-455B-B0AC-EB6858AE7945}&lt;Citation&gt;&lt;Group&gt;&lt;References&gt;&lt;Item&gt;&lt;ID&gt;672&lt;/ID&gt;&lt;UID&gt;{B6DBA7D4-5C6A-4C88-9423-A6565F782082}&lt;/UID&gt;&lt;Title&gt;Confronting Problem and Challenge of Large Scale AC-DC Hybrid Power Grid Operation&lt;/Title&gt;&lt;Template&gt;Journal Article&lt;/Template&gt;&lt;Star&gt;0&lt;/Star&gt;&lt;Tag&gt;0&lt;/Tag&gt;&lt;Author&gt;Dong, Xinzhou; Tang, Yong; Bu, Guangquan; Shen, Chen; Song, Guobing; Wang, Zengping; Gan, Deqiang; Hou, Junxian; Wang, Bin; Zhao, Bing; Shi, Shenxing&lt;/Author&gt;&lt;Year&gt;2019&lt;/Year&gt;&lt;Details&gt;&lt;_accessed&gt;63480642&lt;/_accessed&gt;&lt;_accession_num&gt;CSCD:6508051&lt;/_accession_num&gt;&lt;_cited_count&gt;0&lt;/_cited_count&gt;&lt;_created&gt;63459184&lt;/_created&gt;&lt;_date_display&gt;2019, 2019&lt;/_date_display&gt;&lt;_db_provider&gt;ISI&lt;/_db_provider&gt;&lt;_db_updated&gt;Web of Science-All&lt;/_db_updated&gt;&lt;_isbn&gt;0258-8013&lt;/_isbn&gt;&lt;_issue&gt;11&lt;/_issue&gt;&lt;_journal&gt;Proceedings of the CSEE&lt;/_journal&gt;&lt;_modified&gt;63480642&lt;/_modified&gt;&lt;_pages&gt;3107-3118&lt;/_pages&gt;&lt;_tertiary_title&gt;中国电机工程学报&lt;/_tertiary_title&gt;&lt;_translated_author&gt;董新洲_x000d__x000a_   汤涌_x000d__x000a_   卜广全_x000d__x000a_   沈沉_x000d__x000a_   宋国兵_x000d__x000a_   王增平_x000d__x000a_   甘德强_x000d__x000a_   侯俊贤_x000d__x000a_   王宾_x000d__x000a_   赵兵_x000d__x000a_   施慎行&lt;/_translated_author&gt;&lt;_translated_title&gt;大型交直流混联电网安全运行面临的问题与挑战&lt;/_translated_title&gt;&lt;_url&gt;CSCD:6508051&lt;/_url&gt;&lt;_volume&gt;39&lt;/_volume&gt;&lt;/Details&gt;&lt;Extra&gt;&lt;DBUID&gt;{6891F4B0-DCBA-459A-9A22-3059983243D4}&lt;/DBUID&gt;&lt;/Extra&gt;&lt;/Item&gt;&lt;/References&gt;&lt;/Group&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80640&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3.588&lt;/_impact_factor&gt;&lt;_isbn&gt;0142-0615&lt;/_isbn&gt;&lt;_issue&gt;2020&lt;/_issue&gt;&lt;_journal&gt;INTERNATIONAL JOURNAL OF ELECTRICAL POWER &amp;amp; ENERGY SYSTEMS&lt;/_journal&gt;&lt;_modified&gt;63480640&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711149F7-B145-42DB-A00C-FCD23441C336}" w:val=" ADDIN NE.Ref.{711149F7-B145-42DB-A00C-FCD23441C336}&lt;Citation&gt;&lt;Group&gt;&lt;References&gt;&lt;Item&gt;&lt;ID&gt;425&lt;/ID&gt;&lt;UID&gt;{D444049E-CD9B-4BF1-8B1E-3097DDADC2EB}&lt;/UID&gt;&lt;Title&gt;电力系统鲁棒经济调度 (一)理论基础&lt;/Title&gt;&lt;Template&gt;Journal Article&lt;/Template&gt;&lt;Star&gt;0&lt;/Star&gt;&lt;Tag&gt;0&lt;/Tag&gt;&lt;Author&gt;魏韡; 刘锋; 梅生伟&lt;/Author&gt;&lt;Year&gt;2013&lt;/Year&gt;&lt;Details&gt;&lt;_author_adr&gt;清华大学电机工程与应用电子技术系;电力系统及发电设备控制和仿真国家重点实验室,清华大学;&lt;/_author_adr&gt;&lt;_collection_scope&gt;CSCD;PKU;EI&lt;/_collection_scope&gt;&lt;_created&gt;63645052&lt;/_created&gt;&lt;_db_provider&gt;CNKI&lt;/_db_provider&gt;&lt;_isbn&gt;1000-1026&lt;/_isbn&gt;&lt;_issue&gt;17&lt;/_issue&gt;&lt;_journal&gt;电力系统自动化&lt;/_journal&gt;&lt;_keywords&gt;电力系统;鲁棒经济调度;新能源发电;两阶段零和博弈;不确定性&lt;/_keywords&gt;&lt;_modified&gt;63645052&lt;/_modified&gt;&lt;_pages&gt;37-43&lt;/_pages&gt;&lt;_volume&gt;37&lt;/_volume&gt;&lt;_translated_author&gt;Wei, Wei;Liu, Feng;Mei, Shengwei&lt;/_translated_author&gt;&lt;/Details&gt;&lt;Extra&gt;&lt;DBUID&gt;{F96A950B-833F-4880-A151-76DA2D6A2879}&lt;/DBUID&gt;&lt;/Extra&gt;&lt;/Item&gt;&lt;/References&gt;&lt;/Group&gt;&lt;/Citation&gt;_x000a_"/>
    <w:docVar w:name="NE.Ref{71401C1D-8257-4C43-8F21-CA2D61D68DA9}" w:val=" ADDIN NE.Ref.{71401C1D-8257-4C43-8F21-CA2D61D68DA9}&lt;Citation&gt;&lt;Group&gt;&lt;References&gt;&lt;Item&gt;&lt;ID&gt;614&lt;/ID&gt;&lt;UID&gt;{7E893243-A036-4202-9C51-39D99E6238E2}&lt;/UID&gt;&lt;Title&gt;Multi-objective economic dispatch with residential demand response programme under renewable obligation&lt;/Title&gt;&lt;Template&gt;Journal Article&lt;/Template&gt;&lt;Star&gt;0&lt;/Star&gt;&lt;Tag&gt;0&lt;/Tag&gt;&lt;Author&gt;Hlalele, Thabo G; Zhang, Jiangfeng; Naidoo, Raj M; Bansal, Ramesh C&lt;/Author&gt;&lt;Year&gt;2021&lt;/Year&gt;&lt;Details&gt;&lt;_collection_scope&gt;SCI;SCIE;EI&lt;/_collection_scope&gt;&lt;_created&gt;63705317&lt;/_created&gt;&lt;_impact_factor&gt;   6.082&lt;/_impact_factor&gt;&lt;_journal&gt;Energy&lt;/_journal&gt;&lt;_modified&gt;63705317&lt;/_modified&gt;&lt;_volume&gt;218&lt;/_volume&gt;&lt;/Details&gt;&lt;Extra&gt;&lt;DBUID&gt;{F96A950B-833F-4880-A151-76DA2D6A2879}&lt;/DBUID&gt;&lt;/Extra&gt;&lt;/Item&gt;&lt;/References&gt;&lt;/Group&gt;&lt;/Citation&gt;_x000a_"/>
    <w:docVar w:name="NE.Ref{7258E6FC-413F-42F9-8E7F-3E43CCF5BF67}" w:val=" ADDIN NE.Ref.{7258E6FC-413F-42F9-8E7F-3E43CCF5BF67}&lt;Citation&gt;&lt;Group&gt;&lt;References&gt;&lt;Item&gt;&lt;ID&gt;408&lt;/ID&gt;&lt;UID&gt;{F7CC8877-F704-421F-BF11-9C1BC7D1AA90}&lt;/UID&gt;&lt;Title&gt;基于改进PSO算法的动态环境经济调度研究&lt;/Title&gt;&lt;Template&gt;Journal Article&lt;/Template&gt;&lt;Star&gt;0&lt;/Star&gt;&lt;Tag&gt;0&lt;/Tag&gt;&lt;Author&gt;稳国栋&lt;/Author&gt;&lt;Year&gt;2017&lt;/Year&gt;&lt;Details&gt;&lt;_created&gt;63641961&lt;/_created&gt;&lt;_issue&gt;02&lt;/_issue&gt;&lt;_journal&gt;黑龙江电力&lt;/_journal&gt;&lt;_modified&gt;63641961&lt;/_modified&gt;&lt;_pages&gt;120-124&lt;/_pages&gt;&lt;_translated_author&gt;Wen, Guodong&lt;/_translated_author&gt;&lt;/Details&gt;&lt;Extra&gt;&lt;DBUID&gt;{F96A950B-833F-4880-A151-76DA2D6A2879}&lt;/DBUID&gt;&lt;/Extra&gt;&lt;/Item&gt;&lt;/References&gt;&lt;/Group&gt;&lt;/Citation&gt;_x000a_"/>
    <w:docVar w:name="NE.Ref{72597C96-B489-4EEC-8A87-0F18312A4AFF}" w:val=" ADDIN NE.Ref.{72597C96-B489-4EEC-8A87-0F18312A4AFF}&lt;Citation&gt;&lt;Group&gt;&lt;References&gt;&lt;Item&gt;&lt;ID&gt;498&lt;/ID&gt;&lt;UID&gt;{CCAFF608-60E2-4146-92B8-E9EA0634FF70}&lt;/UID&gt;&lt;Title&gt;Game theory based interactive demand side management responding to dynamic pricing in price-based demand response of smart grids&lt;/Title&gt;&lt;Template&gt;Journal Article&lt;/Template&gt;&lt;Star&gt;0&lt;/Star&gt;&lt;Tag&gt;0&lt;/Tag&gt;&lt;Author&gt;Tang, Rui; Wang, Shengwei; Li, Hangxin&lt;/Author&gt;&lt;Year&gt;2019&lt;/Year&gt;&lt;Details&gt;&lt;_collection_scope&gt;SCI;SCIE;EI&lt;/_collection_scope&gt;&lt;_created&gt;63652006&lt;/_created&gt;&lt;_impact_factor&gt;   8.848&lt;/_impact_factor&gt;&lt;_issue&gt;PT.1&lt;/_issue&gt;&lt;_journal&gt;Applied Energy&lt;/_journal&gt;&lt;_modified&gt;63652006&lt;/_modified&gt;&lt;_pages&gt;118-130&lt;/_pages&gt;&lt;_volume&gt;250&lt;/_volume&gt;&lt;/Details&gt;&lt;Extra&gt;&lt;DBUID&gt;{F96A950B-833F-4880-A151-76DA2D6A2879}&lt;/DBUID&gt;&lt;/Extra&gt;&lt;/Item&gt;&lt;/References&gt;&lt;/Group&gt;&lt;/Citation&gt;_x000a_"/>
    <w:docVar w:name="NE.Ref{72C6CE5F-DB19-4AE8-B58E-CC4B79DF4E11}" w:val=" ADDIN NE.Ref.{72C6CE5F-DB19-4AE8-B58E-CC4B79DF4E11}&lt;Citation&gt;&lt;Group&gt;&lt;References&gt;&lt;Item&gt;&lt;ID&gt;641&lt;/ID&gt;&lt;UID&gt;{FFBCBADD-28B7-4089-8EEF-C42617538C56}&lt;/UID&gt;&lt;Title&gt;Commutation failure reduction in HVDC systems using adaptive fuzzy logic controller&lt;/Title&gt;&lt;Template&gt;Journal Article&lt;/Template&gt;&lt;Star&gt;0&lt;/Star&gt;&lt;Tag&gt;0&lt;/Tag&gt;&lt;Author&gt;Bauman, Jennifer; Kazerani, Mehrdad&lt;/Author&gt;&lt;Year&gt;2007&lt;/Year&gt;&lt;Details&gt;&lt;_accessed&gt;63447018&lt;/_accessed&gt;&lt;_accession_num&gt;WOS:000250559200064_x000d__x000a_ER&lt;/_accession_num&gt;&lt;_cited_count&gt;37&lt;/_cited_count&gt;&lt;_collection_scope&gt;SCI;SCIE;EI&lt;/_collection_scope&gt;&lt;_created&gt;63444588&lt;/_created&gt;&lt;_date_display&gt;2007, NOV 2007&lt;/_date_display&gt;&lt;_db_provider&gt;ISI&lt;/_db_provider&gt;&lt;_doi&gt;10.1109/TPWRS.2007.907385&lt;/_doi&gt;&lt;_impact_factor&gt;   6.074&lt;/_impact_factor&gt;&lt;_isbn&gt;0885-8950&lt;/_isbn&gt;&lt;_issue&gt;4&lt;/_issue&gt;&lt;_journal&gt;IEEE TRANSACTIONS ON POWER SYSTEMS&lt;/_journal&gt;&lt;_modified&gt;63446129&lt;/_modified&gt;&lt;_pages&gt;1995-2002&lt;/_pages&gt;&lt;_url&gt;http://gateway.isiknowledge.com/gateway/Gateway.cgi?GWVersion=2&amp;amp;SrcAuth=AegeanSoftware&amp;amp;SrcApp=NoteExpress&amp;amp;DestLinkType=FullRecord&amp;amp;DestApp=WOS&amp;amp;KeyUT=000250559200064 _x000d__x000a_https://ieeexplore.ieee.org/stampPDF/getPDF.jsp?tp=&amp;amp;arnumber=4349060&amp;amp;ref=aHR0cHM6Ly9pZWVleHBsb3JlLmllZWUub3JnL3Jlc3Qvc2VhcmNo _x000d__x000a_&lt;/_url&gt;&lt;_volume&gt;22&lt;/_volume&gt;&lt;/Details&gt;&lt;Extra&gt;&lt;DBUID&gt;{6891F4B0-DCBA-459A-9A22-3059983243D4}&lt;/DBUID&gt;&lt;/Extra&gt;&lt;/Item&gt;&lt;/References&gt;&lt;/Group&gt;&lt;Group&gt;&lt;References&gt;&lt;Item&gt;&lt;ID&gt;633&lt;/ID&gt;&lt;UID&gt;{5B9E0360-85B8-41AD-90A1-4D74C56D0AFE}&lt;/UID&gt;&lt;Title&gt;Design a fuzzy controller to minimize the effect of HVDC commutation failure on power system&lt;/Title&gt;&lt;Template&gt;Journal Article&lt;/Template&gt;&lt;Star&gt;0&lt;/Star&gt;&lt;Tag&gt;0&lt;/Tag&gt;&lt;Author&gt;Sun, Y Z; Peng, Ling; Ma, Feng; Li, G J; Lv, P F&lt;/Author&gt;&lt;Year&gt;2008&lt;/Year&gt;&lt;Details&gt;&lt;_accessed&gt;63447020&lt;/_accessed&gt;&lt;_accession_num&gt;WOS:000252623300011_x000d__x000a_ER&lt;/_accession_num&gt;&lt;_cited_count&gt;51&lt;/_cited_count&gt;&lt;_collection_scope&gt;SCI;SCIE;EI&lt;/_collection_scope&gt;&lt;_created&gt;63444588&lt;/_created&gt;&lt;_date_display&gt;2008, FEB 2008&lt;/_date_display&gt;&lt;_db_provider&gt;ISI&lt;/_db_provider&gt;&lt;_doi&gt;10.1109/TPWRS.2007.913212&lt;/_doi&gt;&lt;_impact_factor&gt;   6.074&lt;/_impact_factor&gt;&lt;_isbn&gt;0885-8950&lt;/_isbn&gt;&lt;_issue&gt;1&lt;/_issue&gt;&lt;_journal&gt;IEEE TRANSACTIONS ON POWER SYSTEMS&lt;/_journal&gt;&lt;_modified&gt;63444844&lt;/_modified&gt;&lt;_pages&gt;100-107&lt;/_pages&gt;&lt;_url&gt;http://gateway.isiknowledge.com/gateway/Gateway.cgi?GWVersion=2&amp;amp;SrcAuth=AegeanSoftware&amp;amp;SrcApp=NoteExpress&amp;amp;DestLinkType=FullRecord&amp;amp;DestApp=WOS&amp;amp;KeyUT=000252623300011 _x000d__x000a_https://ieeexplore.ieee.org/stampPDF/getPDF.jsp?tp=&amp;amp;arnumber=4400720&amp;amp;ref=aHR0cHM6Ly9pZWVleHBsb3JlLmllZWUub3JnL3Jlc3Qvc2VhcmNo _x000d__x000a_&lt;/_url&gt;&lt;_volume&gt;23&lt;/_volume&gt;&lt;/Details&gt;&lt;Extra&gt;&lt;DBUID&gt;{6891F4B0-DCBA-459A-9A22-3059983243D4}&lt;/DBUID&gt;&lt;/Extra&gt;&lt;/Item&gt;&lt;/References&gt;&lt;/Group&gt;&lt;/Citation&gt;_x000a_"/>
    <w:docVar w:name="NE.Ref{74141192-26EA-4398-B3AB-5E1E16BCE129}" w:val=" ADDIN NE.Ref.{74141192-26EA-4398-B3AB-5E1E16BCE129}&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743E9684-CBFC-4AF0-8883-CEF5D229BF9A}" w:val=" ADDIN NE.Ref.{743E9684-CBFC-4AF0-8883-CEF5D229BF9A}&lt;Citation&gt;&lt;Group&gt;&lt;References&gt;&lt;Item&gt;&lt;ID&gt;628&lt;/ID&gt;&lt;UID&gt;{4A64C2E1-9498-4266-BA15-BA56C5F1B827}&lt;/UID&gt;&lt;Title&gt;The Development of the Renewable Energy Power Industry under Feed-In Tariff and Renewable Portfolio Standard: A Case Study of China&amp;apos;s Photovoltaic Power Industry&lt;/Title&gt;&lt;Template&gt;Journal Article&lt;/Template&gt;&lt;Star&gt;0&lt;/Star&gt;&lt;Tag&gt;0&lt;/Tag&gt;&lt;Author&gt;Yuzhuo, Zhang; Xingang, Zhao; Yi, Zuo; Lingzhi, Ren; Ling, Wang&lt;/Author&gt;&lt;Year&gt;2017&lt;/Year&gt;&lt;Details&gt;&lt;_issue&gt;4&lt;/_issue&gt;&lt;_journal&gt;Sustainability&lt;/_journal&gt;&lt;_pages&gt;532&lt;/_pages&gt;&lt;_volume&gt;9&lt;/_volume&gt;&lt;_created&gt;63705551&lt;/_created&gt;&lt;_modified&gt;63705551&lt;/_modified&gt;&lt;_impact_factor&gt;   2.576&lt;/_impact_factor&gt;&lt;_collection_scope&gt;SCIE;SSCI&lt;/_collection_scope&gt;&lt;/Details&gt;&lt;Extra&gt;&lt;DBUID&gt;{F96A950B-833F-4880-A151-76DA2D6A2879}&lt;/DBUID&gt;&lt;/Extra&gt;&lt;/Item&gt;&lt;/References&gt;&lt;/Group&gt;&lt;Group&gt;&lt;References&gt;&lt;Item&gt;&lt;ID&gt;629&lt;/ID&gt;&lt;UID&gt;{BD86D93A-8C99-4492-A31C-70D1F4DD7D5E}&lt;/UID&gt;&lt;Title&gt;The development of the renewable energy power industry under feed-in tariff and renewable portfolio standard: A case study of China&amp;apos;s wind power industry&lt;/Title&gt;&lt;Template&gt;Journal Article&lt;/Template&gt;&lt;Star&gt;0&lt;/Star&gt;&lt;Tag&gt;0&lt;/Tag&gt;&lt;Author&gt;Zhang, Yu Zhuo; Zhao, Xin Gang; Ren, Ling Zhi; Zuo, Yi&lt;/Author&gt;&lt;Year&gt;2017&lt;/Year&gt;&lt;Details&gt;&lt;_issue&gt;Dec.1&lt;/_issue&gt;&lt;_journal&gt;Journal of Cleaner Production&lt;/_journal&gt;&lt;_pages&gt;1262-1276&lt;/_pages&gt;&lt;_volume&gt;168&lt;/_volume&gt;&lt;_created&gt;63705552&lt;/_created&gt;&lt;_modified&gt;63705552&lt;/_modified&gt;&lt;_impact_factor&gt;   7.246&lt;/_impact_factor&gt;&lt;_collection_scope&gt;SCIE;EI&lt;/_collection_scope&gt;&lt;/Details&gt;&lt;Extra&gt;&lt;DBUID&gt;{F96A950B-833F-4880-A151-76DA2D6A2879}&lt;/DBUID&gt;&lt;/Extra&gt;&lt;/Item&gt;&lt;/References&gt;&lt;/Group&gt;&lt;Group&gt;&lt;References&gt;&lt;Item&gt;&lt;ID&gt;630&lt;/ID&gt;&lt;UID&gt;{5F7228E9-F1A7-451E-8407-8A3E83B73FA8}&lt;/UID&gt;&lt;Title&gt;The policy effects of feed-in tariff and renewable portfolio standard: A case study of China&amp;apos;s waste incineration power industry.&lt;/Title&gt;&lt;Template&gt;Journal Article&lt;/Template&gt;&lt;Star&gt;0&lt;/Star&gt;&lt;Tag&gt;0&lt;/Tag&gt;&lt;Author&gt;Zhao; Xin-Gang; Zhang; Yu-Zhuo; Ren; Ling-Zhi; Zuo; Yi; Wu; Zhi-Gong&lt;/Author&gt;&lt;Year&gt;2017&lt;/Year&gt;&lt;Details&gt;&lt;_journal&gt;Waste Management&lt;/_journal&gt;&lt;_created&gt;63705553&lt;/_created&gt;&lt;_modified&gt;63705553&lt;/_modified&gt;&lt;_impact_factor&gt;   5.448&lt;/_impact_factor&gt;&lt;_collection_scope&gt;SCIE;EI&lt;/_collection_scope&gt;&lt;/Details&gt;&lt;Extra&gt;&lt;DBUID&gt;{F96A950B-833F-4880-A151-76DA2D6A2879}&lt;/DBUID&gt;&lt;/Extra&gt;&lt;/Item&gt;&lt;/References&gt;&lt;/Group&gt;&lt;/Citation&gt;_x000a_"/>
    <w:docVar w:name="NE.Ref{75542999-9097-48A4-AFF4-56AA9C7ACD17}" w:val=" ADDIN NE.Ref.{75542999-9097-48A4-AFF4-56AA9C7ACD17}&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_accessed&gt;64646993&lt;/_accessed&gt;&lt;/Details&gt;&lt;Extra&gt;&lt;DBUID&gt;{6891F4B0-DCBA-459A-9A22-3059983243D4}&lt;/DBUID&gt;&lt;/Extra&gt;&lt;/Item&gt;&lt;/References&gt;&lt;/Group&gt;&lt;Group&gt;&lt;References&gt;&lt;Item&gt;&lt;ID&gt;506&lt;/ID&gt;&lt;UID&gt;{0CA79713-1F51-43FC-BC61-0680E95A24EA}&lt;/UID&gt;&lt;Title&gt; 抑制HVDC送端交流暂态过电压的控制系统优化&lt;/Title&gt;&lt;Template&gt;Journal Article&lt;/Template&gt;&lt;Star&gt;0&lt;/Star&gt;&lt;Tag&gt;0&lt;/Tag&gt;&lt;Author&gt;冀肖彤&lt;/Author&gt;&lt;Year&gt;2017&lt;/Year&gt;&lt;Details&gt;&lt;_accessed&gt;64646999&lt;/_accessed&gt;&lt;_accession_num&gt;CSCD:5946358_x000d__x000a_ER&lt;/_accession_num&gt;&lt;_cited_count&gt;0&lt;/_cited_count&gt;&lt;_collection_scope&gt;CSCD;PKU;EI&lt;/_collection_scope&gt;&lt;_created&gt;63444588&lt;/_created&gt;&lt;_date_display&gt;2017, 2017&lt;/_date_display&gt;&lt;_db_provider&gt;ISI&lt;/_db_provider&gt;&lt;_isbn&gt;1000-3673&lt;/_isbn&gt;&lt;_issue&gt;3&lt;/_issue&gt;&lt;_journal&gt;电网技术&lt;/_journal&gt;&lt;_modified&gt;64646999&lt;/_modified&gt;&lt;_pages&gt;721-728&lt;/_pages&gt;&lt;_tertiary_title&gt;Power System Technology&lt;/_tertiary_title&gt;&lt;_translated_author&gt;Ji, Xiaotong&lt;/_translated_author&gt;&lt;_translated_title&gt;Optimization of HVDC Control System for Mitigating AC Transient Overvoltage on Rectifier Station&lt;/_translated_title&gt;&lt;_url&gt;CSCD:5946358 _x000d__x000a_https://bar.cnki.net/bar/download/order?id=jBGETXBNdPImvx70aLAuJPYxPoFw%2bp%2bi0fIiSrcN6lX%2bscTGRrDxnZvQ4G%2flXB5Sk3PgOdB%2f8KZdF0hYj%2bY0tFaDlGRGqfvrZs8WIjNZTiDl8E%2bCUVp5GtDTYhVF2dNUoJeGx62Ssygg68TNXJ%2b5JrigejDAar8Xqw%2f6WR22OFXUdUGh4At8VBYSvh%2fCUD5a9htC2rlTL2k74%2bYQH4i5m3y0DUMyLbwyMBR3th7LWsj5LXYX1qwFXwOc1HUZT%2bTB _x000d__x000a_&lt;/_url&gt;&lt;_volume&gt;41&lt;/_volume&gt;&lt;/Details&gt;&lt;Extra&gt;&lt;DBUID&gt;{6891F4B0-DCBA-459A-9A22-3059983243D4}&lt;/DBUID&gt;&lt;/Extra&gt;&lt;/Item&gt;&lt;/References&gt;&lt;/Group&gt;&lt;/Citation&gt;_x000a_"/>
    <w:docVar w:name="NE.Ref{766E8B4C-5797-497B-A6CF-C972ABA2690A}" w:val=" ADDIN NE.Ref.{766E8B4C-5797-497B-A6CF-C972ABA2690A}&lt;Citation&gt;&lt;Group&gt;&lt;References&gt;&lt;Item&gt;&lt;ID&gt;966&lt;/ID&gt;&lt;UID&gt;{DF12C660-1BA9-4940-BF92-07D04FDB6FF2}&lt;/UID&gt;&lt;Title&gt;基于短路容量量化评估的大规模新能源直流送端电网运行方式优化方法&lt;/Title&gt;&lt;Template&gt;Journal Article&lt;/Template&gt;&lt;Star&gt;0&lt;/Star&gt;&lt;Tag&gt;0&lt;/Tag&gt;&lt;Author&gt;牛拴保; 柯贤波; 任冲; 霍超; 王智伟; 张钢; 卫琳&lt;/Author&gt;&lt;Year&gt;2021&lt;/Year&gt;&lt;Details&gt;&lt;_accessed&gt;64696187&lt;/_accessed&gt;&lt;_author_aff&gt;西安交通大学电气工程学院;国家电网公司西北分部;&lt;/_author_aff&gt;&lt;_cited_count&gt;1&lt;/_cited_count&gt;&lt;_collection_scope&gt;CSCD;PKU;EI&lt;/_collection_scope&gt;&lt;_created&gt;64690420&lt;/_created&gt;&lt;_date&gt;2021-09-07&lt;/_date&gt;&lt;_db_updated&gt;CNKI - Reference&lt;/_db_updated&gt;&lt;_issue&gt;12&lt;/_issue&gt;&lt;_journal&gt;电力自动化设备&lt;/_journal&gt;&lt;_keywords&gt;特高压直流;暂态过电压;短路容量;机组组合;优化&lt;/_keywords&gt;&lt;_modified&gt;64696187&lt;/_modified&gt;&lt;_pages&gt;123-129&lt;/_pages&gt;&lt;_url&gt;https://kns.cnki.net/kcms/detail/detail.aspx?FileName=DLZS202112016&amp;amp;DbName=CJFQ2021 _x000d__x000a_https://bar.cnki.net/bar/download/order?id=jBGETXBNdPImvx70aLAuJPYxPoFw%2bp%2bi0fIiSrcN6lUsmghocH64yV638luJi40%2bOk4eyki12Xg7hP2OioSOFp0PLIIoFLYwy5BgUEfsTyzl8E%2bCUVp5GtDTYhVF2dNUoJeGx62Ssygg68TNXJ%2b5JrigejDAar8Xqw%2f6WR22OFXUdUGh4At8VBYSvh%2fCUD5aV1FwI0JCBj6JRT9%2bv8ry22jrjiUA1i7Br0HLYwF%2fecz5LXYX1qwFXwOc1HUZT%2bTB _x000d__x000a_https://bar.cnki.net/bar/download/order?id=jBGETXBNdPImvx70aLAuJPYxPoFw%2bp%2bi0fIiSrcN6lUsmghocH64yV638luJi40%2bOk4eyki12Xg7hP2OioSOFp0PLIIoFLYwy5BgUEfsTyzl8E%2bCUVp5GtDTYhVF2dNUoJeGx62Ssygg68TNXJ%2b5JrigejDAar8Xqw%2f6WR22OFXUdUGh4At8VBYSvh%2fCUD5aZym5YiwCyeTNoIRti9Hso5OuUyHkorBs%2f26UjMjDhzP5LXYX1qwFXwOc1HUZT%2bTB _x000d__x000a_&lt;/_url&gt;&lt;_volume&gt;41&lt;/_volume&gt;&lt;_translated_author&gt;Niu, Shuanbao;Ke, Xianbo;Ren, Chong;Huo, Chao;Wang, Zhiwei;Zhang, Gang;Wei, Lin&lt;/_translated_author&gt;&lt;/Details&gt;&lt;Extra&gt;&lt;DBUID&gt;{6891F4B0-DCBA-459A-9A22-3059983243D4}&lt;/DBUID&gt;&lt;/Extra&gt;&lt;/Item&gt;&lt;/References&gt;&lt;/Group&gt;&lt;/Citation&gt;_x000a_"/>
    <w:docVar w:name="NE.Ref{7696462E-104A-4597-B267-5DEBAC5BD18A}" w:val=" ADDIN NE.Ref.{7696462E-104A-4597-B267-5DEBAC5BD18A}&lt;Citation&gt;&lt;Group&gt;&lt;References&gt;&lt;Item&gt;&lt;ID&gt;672&lt;/ID&gt;&lt;UID&gt;{B6DBA7D4-5C6A-4C88-9423-A6565F782082}&lt;/UID&gt;&lt;Title&gt;大型交直流混联电网安全运行面临的问题与挑战&lt;/Title&gt;&lt;Template&gt;Journal Article&lt;/Template&gt;&lt;Star&gt;0&lt;/Star&gt;&lt;Tag&gt;0&lt;/Tag&gt;&lt;Author&gt;董新洲; 汤涌; 卜广全; 沈沉; 宋国兵; 王增平; 甘德强; 侯俊贤; 王宾; 赵兵; 施慎行&lt;/Author&gt;&lt;Year&gt;2019&lt;/Year&gt;&lt;Details&gt;&lt;_accessed&gt;63726865&lt;/_accessed&gt;&lt;_accession_num&gt;CSCD:6508051&lt;/_accession_num&gt;&lt;_cited_count&gt;0&lt;/_cited_count&gt;&lt;_created&gt;63459184&lt;/_created&gt;&lt;_date_display&gt;2019, 2019&lt;/_date_display&gt;&lt;_db_provider&gt;ISI&lt;/_db_provider&gt;&lt;_db_updated&gt;Web of Science-All&lt;/_db_updated&gt;&lt;_isbn&gt;0258-8013&lt;/_isbn&gt;&lt;_issue&gt;11&lt;/_issue&gt;&lt;_journal&gt;中国电机工程学报&lt;/_journal&gt;&lt;_modified&gt;63726865&lt;/_modified&gt;&lt;_pages&gt;3107-3118&lt;/_pages&gt;&lt;_tertiary_title&gt;Proceedings of the CSEE&lt;/_tertiary_title&gt;&lt;_translated_author&gt;Dong, Xinzhou; Tang, Yong; Bu, Guangquan; Shen, Chen; Song, Guobing; Wang, Zengping; Gan, Deqiang; Hou, Junxian; Wang, Bin; Zhao, Bing; Shi, Shenxing&lt;/_translated_author&gt;&lt;_translated_title&gt;Confronting Problem and Challenge of Large Scale AC-DC Hybrid Power Grid Operation&lt;/_translated_title&gt;&lt;_url&gt;CSCD:6508051 _x000d__x000a_https://kns.cnki.net/kcms/download.aspx?filename=5NXcNdzNyZTOjZjbZdVWEN0KDJmMBhFM28mVwBVSRVWaHpET0AXdxNTbZFjaKdUWy9iaXNme21kRYVERsdkdUx2VG9GeIlka3x0QkNlUoZGWThGVZhHZMF3QGVXMs1mUzITeYd1YOJFWxdUTE5mZGp1M3pUc2JzR&amp;amp;tablename=CJFDLAST2019&amp;amp;dflag=pdfdown _x000d__x000a_&lt;/_url&gt;&lt;_volume&gt;39&lt;/_volume&gt;&lt;_collection_scope&gt;CSCD;PKU;EI&lt;/_collection_scope&gt;&lt;/Details&gt;&lt;Extra&gt;&lt;DBUID&gt;{6891F4B0-DCBA-459A-9A22-3059983243D4}&lt;/DBUID&gt;&lt;/Extra&gt;&lt;/Item&gt;&lt;/References&gt;&lt;/Group&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720712&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3.588&lt;/_impact_factor&gt;&lt;_isbn&gt;0142-0615&lt;/_isbn&gt;&lt;_issue&gt;2020&lt;/_issue&gt;&lt;_journal&gt;INTERNATIONAL JOURNAL OF ELECTRICAL POWER &amp;amp; ENERGY SYSTEMS&lt;/_journal&gt;&lt;_modified&gt;63480640&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76D9BD66-E917-45B2-87BC-B881561DDFE2}" w:val=" ADDIN NE.Ref.{76D9BD66-E917-45B2-87BC-B881561DDFE2}&lt;Citation&gt;&lt;Group&gt;&lt;References&gt;&lt;Item&gt;&lt;ID&gt;360&lt;/ID&gt;&lt;UID&gt;{21A00E8A-0281-4038-9BBD-93D5F4612E88}&lt;/UID&gt;&lt;Title&gt;Prevention and mitigation of high-voltage direct current commutation failures: a review and future directions&lt;/Title&gt;&lt;Template&gt;Journal Article&lt;/Template&gt;&lt;Star&gt;0&lt;/Star&gt;&lt;Tag&gt;0&lt;/Tag&gt;&lt;Author&gt;Zhu, Yanan; Zhang, Shuqing; Liu, Dong; Zhu, Lin; Zou, Sheng; Yu, Siqi; Sun, Yubo&lt;/Author&gt;&lt;Year&gt;2019&lt;/Year&gt;&lt;Details&gt;&lt;_accessed&gt;63445972&lt;/_accessed&gt;&lt;_accession_num&gt;WOS:000504975000002_x000d__x000a_ER&lt;/_accession_num&gt;&lt;_cited_count&gt;0&lt;/_cited_count&gt;&lt;_collection_scope&gt;SCI;SCIE;EI&lt;/_collection_scope&gt;&lt;_created&gt;63444588&lt;/_created&gt;&lt;_date_display&gt;2019, DEC 17 2019&lt;/_date_display&gt;&lt;_db_provider&gt;ISI&lt;/_db_provider&gt;&lt;_doi&gt;10.1049/iet-gtd.2019.0874&lt;/_doi&gt;&lt;_impact_factor&gt;   2.503&lt;/_impact_factor&gt;&lt;_isbn&gt;1751-8687&lt;/_isbn&gt;&lt;_issue&gt;24&lt;/_issue&gt;&lt;_journal&gt;IET GENERATION TRANSMISSION &amp;amp; DISTRIBUTION&lt;/_journal&gt;&lt;_modified&gt;64498639&lt;/_modified&gt;&lt;_pages&gt;5449-5456&lt;/_pages&gt;&lt;_url&gt;http://gateway.isiknowledge.com/gateway/Gateway.cgi?GWVersion=2&amp;amp;SrcAuth=AegeanSoftware&amp;amp;SrcApp=NoteExpress&amp;amp;DestLinkType=FullRecord&amp;amp;DestApp=WOS&amp;amp;KeyUT=000504975000002 _x000d__x000a_https://ieeexplore.ieee.org/stampPDF/getPDF.jsp?tp=&amp;amp;arnumber=8945512&amp;amp;ref=aHR0cHM6Ly9pZWVleHBsb3JlLmllZWUub3JnL3Jlc3Qvc2VhcmNo _x000d__x000a_&lt;/_url&gt;&lt;_volume&gt;13&lt;/_volume&gt;&lt;/Details&gt;&lt;Extra&gt;&lt;DBUID&gt;{6891F4B0-DCBA-459A-9A22-3059983243D4}&lt;/DBUID&gt;&lt;/Extra&gt;&lt;/Item&gt;&lt;/References&gt;&lt;/Group&gt;&lt;/Citation&gt;_x000a_"/>
    <w:docVar w:name="NE.Ref{77936875-A457-4F43-888A-0DB4DB314380}" w:val=" ADDIN NE.Ref.{77936875-A457-4F43-888A-0DB4DB314380}&lt;Citation&gt;&lt;Group&gt;&lt;References&gt;&lt;Item&gt;&lt;ID&gt;527&lt;/ID&gt;&lt;UID&gt;{291B8031-6D51-45D5-91E7-A340E5A9D44D}&lt;/UID&gt;&lt;Title&gt; Study on Cascading Tripping Risk of Wind Turbines Caused by Transient Overvoltage and Its Countermeasures&lt;/Title&gt;&lt;Template&gt;Journal Article&lt;/Template&gt;&lt;Star&gt;0&lt;/Star&gt;&lt;Tag&gt;0&lt;/Tag&gt;&lt;Author&gt;He, Jingbo; Zhuang, Wei; Xu, Tao; Huo, Chao; Jiang, Weiyong&lt;/Author&gt;&lt;Year&gt;2016&lt;/Year&gt;&lt;Details&gt;&lt;_accessed&gt;63480656&lt;/_accessed&gt;&lt;_accession_num&gt;CSCD:5736009_x000d__x000a_ER&lt;/_accession_num&gt;&lt;_cited_count&gt;9&lt;/_cited_count&gt;&lt;_created&gt;63444588&lt;/_created&gt;&lt;_date_display&gt;2016, 2016&lt;/_date_display&gt;&lt;_db_provider&gt;ISI&lt;/_db_provider&gt;&lt;_isbn&gt;1000-3673&lt;/_isbn&gt;&lt;_issue&gt;6&lt;/_issue&gt;&lt;_journal&gt;Power System Technology&lt;/_journal&gt;&lt;_modified&gt;63480656&lt;/_modified&gt;&lt;_pages&gt;1839-1844&lt;/_pages&gt;&lt;_tertiary_title&gt;电网技术 &lt;/_tertiary_title&gt;&lt;_translated_author&gt;贺静波; 庄伟; 许涛; 霍超; 蒋维勇&lt;/_translated_author&gt;&lt;_translated_title&gt;暂态过电压引起风电机组连锁脱网风险分析及对策&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Citation&gt;_x000a_"/>
    <w:docVar w:name="NE.Ref{787BF0AA-7C49-4A23-A2DA-A81679A72B28}" w:val=" ADDIN NE.Ref.{787BF0AA-7C49-4A23-A2DA-A81679A72B28}&lt;Citation&gt;&lt;Group&gt;&lt;References&gt;&lt;Item&gt;&lt;ID&gt;656&lt;/ID&gt;&lt;UID&gt;{2264F1B9-3F48-4938-B75A-6C5547D51AAB}&lt;/UID&gt;&lt;Title&gt;Analysis and Improvement of the Multiple Controller Interaction in LCC-HVDC for Mitigating Repetitive Commutation Failure&lt;/Title&gt;&lt;Template&gt;Journal Article&lt;/Template&gt;&lt;Star&gt;0&lt;/Star&gt;&lt;Tag&gt;0&lt;/Tag&gt;&lt;Author&gt;Hong, L R; Zhou, X P; Liu, Y F; Xia, H T; Yin, H H; Chen, Y D; Zhou, L M; Xu, Q M&lt;/Author&gt;&lt;Year&gt;2021&lt;/Year&gt;&lt;Details&gt;&lt;_alternate_title&gt;IEEE TRANSACTIONS ON POWER DELIVERY&lt;/_alternate_title&gt;&lt;_author_adr&gt;Hunan Univ, Coll Elect &amp;amp; Informat Engn, Changsha 410082, Peoples R China&lt;/_author_adr&gt;&lt;_cited_count&gt;7&lt;/_cited_count&gt;&lt;_collection_scope&gt;SCI;SCIE;EI&lt;/_collection_scope&gt;&lt;_created&gt;64493973&lt;/_created&gt;&lt;_date&gt;2021-01-01&lt;/_date&gt;&lt;_date_display&gt;2021&lt;/_date_display&gt;&lt;_db_updated&gt;Web of Science-Core&lt;/_db_updated&gt;&lt;_doi&gt;10.1109/TPWRD.2020.3017802&lt;/_doi&gt;&lt;_impact_factor&gt;   4.825&lt;/_impact_factor&gt;&lt;_issue&gt;4&lt;/_issue&gt;&lt;_journal&gt;IEEE TRANSACTIONS ON POWER DELIVERY&lt;/_journal&gt;&lt;_keywords&gt;Inverters; Rectifiers; Switches; Process control; HVDC transmission; Voltage control; LCC-HVDC; commutation failure; HVDC control; controller interaction; fault recovery&lt;/_keywords&gt;&lt;_modified&gt;64494423&lt;/_modified&gt;&lt;_pages&gt;1982-1991&lt;/_pages&gt;&lt;_url&gt;https://ieeexplore.ieee.org/stampPDF/getPDF.jsp?tp=&amp;amp;arnumber=9171463&amp;amp;ref=aHR0cHM6Ly9pZWVleHBsb3JlLmllZWUub3JnL3Jlc3Qvc2VhcmNo _x000d__x000a_&lt;/_url&gt;&lt;_volume&gt;36&lt;/_volume&gt;&lt;/Details&gt;&lt;Extra&gt;&lt;DBUID&gt;{F96A950B-833F-4880-A151-76DA2D6A2879}&lt;/DBUID&gt;&lt;/Extra&gt;&lt;/Item&gt;&lt;/References&gt;&lt;/Group&gt;&lt;/Citation&gt;_x000a_"/>
    <w:docVar w:name="NE.Ref{78E284AA-44AD-437D-8D26-4825EB3E7986}" w:val=" ADDIN NE.Ref.{78E284AA-44AD-437D-8D26-4825EB3E7986}&lt;Citation&gt;&lt;Group&gt;&lt;References&gt;&lt;Item&gt;&lt;ID&gt;539&lt;/ID&gt;&lt;UID&gt;{0CE5E00B-073A-42F3-88F4-4500B0DC7BA8}&lt;/UID&gt;&lt;Title&gt;特高压直流送端系统的运行约束及新能源消纳挑战研究&lt;/Title&gt;&lt;Template&gt;Journal Article&lt;/Template&gt;&lt;Star&gt;0&lt;/Star&gt;&lt;Tag&gt;0&lt;/Tag&gt;&lt;Author&gt;郭晨; 王碧阳; 李立; 倪鸣; 张启文&lt;/Author&gt;&lt;Year&gt;2021&lt;/Year&gt;&lt;Details&gt;&lt;_author_adr&gt;国网陕西电力调度控制中心;西安交通大学;国家电网有限公司西北分部;&lt;/_author_adr&gt;&lt;_collection_scope&gt;PKU&lt;/_collection_scope&gt;&lt;_created&gt;64344277&lt;/_created&gt;&lt;_db_provider&gt;CNKI&lt;/_db_provider&gt;&lt;_isbn&gt;2096-4145&lt;/_isbn&gt;&lt;_issue&gt;05&lt;/_issue&gt;&lt;_journal&gt;智慧电力&lt;/_journal&gt;&lt;_keywords&gt;交直流外送系统;新能源消纳;暂态功角稳定;暂态过电压&lt;/_keywords&gt;&lt;_modified&gt;64766529&lt;/_modified&gt;&lt;_pages&gt;56-62&lt;/_pages&gt;&lt;_url&gt;https://bar.cnki.net/bar/download/order?id=jBGETXBNdPImvx70aLAuJPYxPoFw%2bp%2bi0fIiSrcN6lUhOsbi9Mr9eOzkviFp312tNMzCyB7hda7A48JEX9bxskGxVkq8YHJNz4jV3WhknTrl8E%2bCUVp5GtDTYhVF2dNUoJeGx62Ssygg68TNXJ%2b5JrigejDAar8Xqw%2f6WR22OFXUdUGh4At8VBYSvh%2fCUD5aggDG25UxiuibLhrSMgtbReHCj0rcHFOqtzo%2fDKKQz1%2f5LXYX1qwFXwOc1HUZT%2bTB _x000d__x000a_https://bar.cnki.net/bar/download/order?id=jBGETXBNdPImvx70aLAuJPYxPoFw%2bp%2bi0fIiSrcN6lUhOsbi9Mr9eOzkviFp312tNMzCyB7hda7A48JEX9bxskGxVkq8YHJNz4jV3WhknTrl8E%2bCUVp5GtDTYhVF2dNUoJeGx62Ssygg68TNXJ%2b5JrigejDAar8Xqw%2f6WR22OFXUdUGh4At8VBYSvh%2fCUD5a8HH2hsWcj7IOIHPsFiZQaXd4HP5JdGOEfbxNHgIWwuT5LXYX1qwFXwOc1HUZT%2bTB _x000d__x000a_https://bar.cnki.net/bar/download/order?id=jBGETXBNdPImvx70aLAuJPYxPoFw%2bp%2bi0fIiSrcN6lUhOsbi9Mr9eOzkviFp312tNMzCyB7hda7A48JEX9bxskGxVkq8YHJNz4jV3WhknTrl8E%2bCUVp5GtDTYhVF2dNUoJeGx62Ssygg68TNXJ%2b5JrigejDAar8Xqw%2f6WR22OFXUdUGh4At8VBYSvh%2fCUD5aMNBQN%2ffjfJmBKyLDuRR83CWZL0ai5A42K%2bdv2kg5hcj5LXYX1qwFXwOc1HUZT%2bTB _x000d__x000a_&lt;/_url&gt;&lt;_volume&gt;49&lt;/_volume&gt;&lt;_translated_author&gt;Guo, Chen;Wang, Bi yang;Li, Li;Ni, Ming;Zhang, Qi wen&lt;/_translated_author&gt;&lt;/Details&gt;&lt;Extra&gt;&lt;DBUID&gt;{684DF7C5-873E-4B6A-A11E-0CD148BF4011}&lt;/DBUID&gt;&lt;/Extra&gt;&lt;/Item&gt;&lt;/References&gt;&lt;/Group&gt;&lt;Group&gt;&lt;References&gt;&lt;Item&gt;&lt;ID&gt;692&lt;/ID&gt;&lt;UID&gt;{609EF128-6A5E-46BC-8BFE-ED21C6AB57BE}&lt;/UID&gt;&lt;Title&gt;换相失败引起的送端电网暂态过电压抑制措施研究&lt;/Title&gt;&lt;Template&gt;Journal Article&lt;/Template&gt;&lt;Star&gt;0&lt;/Star&gt;&lt;Tag&gt;0&lt;/Tag&gt;&lt;Author&gt;牛宇昆; 文俊; 马立民; 王书杰&lt;/Author&gt;&lt;Year&gt;2021&lt;/Year&gt;&lt;Details&gt;&lt;_author_adr&gt;华北电力大学电气与电子工程学院;&lt;/_author_adr&gt;&lt;_collection_scope&gt;PKU&lt;/_collection_scope&gt;&lt;_created&gt;64344283&lt;/_created&gt;&lt;_db_provider&gt;CNKI&lt;/_db_provider&gt;&lt;_isbn&gt;2096-4145&lt;/_isbn&gt;&lt;_issue&gt;11&lt;/_issue&gt;&lt;_journal&gt;智慧电力&lt;/_journal&gt;&lt;_keywords&gt;高压直流输电;换相失败;暂态过电压;送端电网;无功补偿&lt;/_keywords&gt;&lt;_modified&gt;64625224&lt;/_modified&gt;&lt;_pages&gt;59-65+96&lt;/_pages&gt;&lt;_url&gt;https://bar.cnki.net/bar/download/order?id=jBGETXBNdPImvx70aLAuJPYxPoFw%2bp%2bi0fIiSrcN6lUA4cBjWxkF6%2fzVnXr0cmyoNMzCyB7hda7A48JEX9bxskGxVkq8YHJNz4jV3WhknTrl8E%2bCUVp5GtDTYhVF2dNUoJeGx62Ssygg68TNXJ%2b5JrigejDAar8Xqw%2f6WR22OFXUdUGh4At8VBYSvh%2fCUD5aOpXQcCPpVLLSvnxHWZ6C1KbPqkOHz6XHGO1cnd%2fPGTr5LXYX1qwFXwOc1HUZT%2bTB _x000d__x000a_https://bar.cnki.net/bar/download/order?id=jBGETXBNdPImvx70aLAuJPYxPoFw%2bp%2bi0fIiSrcN6lUA4cBjWxkF6%2fzVnXr0cmyoNMzCyB7hda7A48JEX9bxskGxVkq8YHJNz4jV3WhknTrl8E%2bCUVp5GtDTYhVF2dNUoJeGx62Ssygg68TNXJ%2b5JrigejDAar8Xqw%2f6WR22OFXUdUGh4At8VBYSvh%2fCUD5aa8qNp8CqOv8bYkVNkjZbOHer9pR9nXZBl%2baaQcBkiWr5LXYX1qwFXwOc1HUZT%2bTB _x000d__x000a_https://bar.cnki.net/bar/download/order?id=jBGETXBNdPImvx70aLAuJPYxPoFw%2bp%2bi0fIiSrcN6lUA4cBjWxkF6%2fzVnXr0cmyoNMzCyB7hda7A48JEX9bxskGxVkq8YHJNz4jV3WhknTrl8E%2bCUVp5GtDTYhVF2dNUoJeGx62Ssygg68TNXJ%2b5JrigejDAar8Xqw%2f6WR22OFXUdUGh4At8VBYSvh%2fCUD5aM6L5H%2btYmeAIkjGmTyMVyNXIyhR%2f6DgyMcrWgQpe2O%2f5LXYX1qwFXwOc1HUZT%2bTB _x000d__x000a_&lt;/_url&gt;&lt;_volume&gt;49&lt;/_volume&gt;&lt;_translated_author&gt;Niu, Yu kun;Wen, Jun;Ma, Li min;Wang, Shu jie&lt;/_translated_author&gt;&lt;/Details&gt;&lt;Extra&gt;&lt;DBUID&gt;{684DF7C5-873E-4B6A-A11E-0CD148BF4011}&lt;/DBUID&gt;&lt;/Extra&gt;&lt;/Item&gt;&lt;/References&gt;&lt;/Group&gt;&lt;Group&gt;&lt;References&gt;&lt;Item&gt;&lt;ID&gt;691&lt;/ID&gt;&lt;UID&gt;{341E0B55-340A-45EC-A31B-1AD0DE7101B2}&lt;/UID&gt;&lt;Title&gt;风电汇集系统无功盈余导致暂态过电压问题的研究综述&lt;/Title&gt;&lt;Template&gt;Journal Article&lt;/Template&gt;&lt;Star&gt;0&lt;/Star&gt;&lt;Tag&gt;5&lt;/Tag&gt;&lt;Author&gt;杜维柱; 罗亚洲; 李蕴红; 吴林林; 赵峰; 孙大卫&lt;/Author&gt;&lt;Year&gt;2021&lt;/Year&gt;&lt;Details&gt;&lt;_accessed&gt;64441003&lt;/_accessed&gt;&lt;_author_adr&gt;国网冀北电力科学研究院(国家电网公司风光储联合发电运行技术实验室);国家电网有限公司华北分部;&lt;/_author_adr&gt;&lt;_author_aff&gt;国网冀北电力科学研究院(国家电网公司风光储联合发电运行技术实验室);国家电网有限公司华北分部;&lt;/_author_aff&gt;&lt;_collection_scope&gt;CSCD;PKU;EI&lt;/_collection_scope&gt;&lt;_created&gt;64344283&lt;/_created&gt;&lt;_date&gt;64128960&lt;/_date&gt;&lt;_db_provider&gt;CNKI&lt;/_db_provider&gt;&lt;_db_updated&gt;CNKI - Reference&lt;/_db_updated&gt;&lt;_isbn&gt;0258-8013&lt;/_isbn&gt;&lt;_journal&gt;中国电机工程学报&lt;/_journal&gt;&lt;_keywords&gt;暂态过电压;风电汇集地区;风机脱网;故障穿越;弱交流电网;LCC-HVDC&lt;/_keywords&gt;&lt;_modified&gt;64441003&lt;/_modified&gt;&lt;_pages&gt;1-14&lt;/_pages&gt;&lt;_url&gt;https://kns.cnki.net/kcms/detail/detail.aspx?FileName=ZGDC2021120200A&amp;amp;DbName=DKFX2021 _x000d__x000a_https://bar.cnki.net/bar/download/order?id=jBGETXBNdPImvx70aLAuJPjDI3A2vZL8vlJ5Yxju1VLCR5wMXAMa61LwBcwCxTXRKH91ckCJ%2fAkPHPQQVIt9rIXNr%2bq%2fxAZGaJQaVfGy3LZXUusYHsGzJp9yrhvnk3r3JRJIuitYASY3ZPhq07jV3E2KrDbH2i1UsOVLzAXdpwmbKKoXvHPzsB%2bN7b8wc595PVN%2bf7ocyVaCzTeZVAXsJ9r%2b93LrdvkD9CwUbXbsT4sYgW1T3oFZ4xO0eVG7BcLs _x000d__x000a_https://bar.cnki.net/bar/download/order?id=jBGETXBNdPImvx70aLAuJPYxPoFw%2bp%2bi0fIiSrcN6lV5fyvzOlo8kpblq0FaU%2bH0NMzCyB7hda7A48JEX9bxssm82jDOg3yr%2bqRqj9L2CzQtqddCdidyosdSaMNWur3ZJBjdlDrNnftoR5pdZPiFRNlKM4sfpT3nRHSqBOA4sms8GQBtE8Z8mK%2fNwS15YoSEROiNaFdEEDfwFBCJagaenKopkQ6JnjQzfIvFcCnka0M%3d _x000d__x000a_https://bar.cnki.net/bar/download/order?id=jBGETXBNdPImvx70aLAuJPYxPoFw%2bp%2bi0fIiSrcN6lV5fyvzOlo8kpblq0FaU%2bH0NMzCyB7hda7A48JEX9bxssm82jDOg3yr%2bqRqj9L2CzQtqddCdidyosdSaMNWur3ZJBjdlDrNnftoR5pdZPiFRNlKM4sfpT3nRHSqBOA4sms8GQBtE8Z8mK%2fNwS15YoSEMIJ%2fbkLz3wpcg3STND8FHqopkQ6JnjQzfIvFcCnka0M%3d _x000d__x000a_https://bar.cnki.net/bar/download/order?id=jBGETXBNdPImvx70aLAuJPYxPoFw%2bp%2bi0fIiSrcN6lV5fyvzOlo8kpblq0FaU%2bH0NMzCyB7hda7A48JEX9bxssm82jDOg3yr%2bqRqj9L2CzQtqddCdidyosdSaMNWur3ZJBjdlDrNnftoR5pdZPiFRNlKM4sfpT3nRHSqBOA4sms8GQBtE8Z8mK%2fNwS15YoSEHtSKvWzWIoSO9HhIHH2kKKopkQ6JnjQzfIvFcCnka0M%3d _x000d__x000a_&lt;/_url&gt;&lt;_translated_author&gt;Du, Wei zhu;Luo, Ya zhou;Li, Yun hong;Wu, Lin lin;Zhao, Feng;Sun, Da wei&lt;/_translated_author&gt;&lt;/Details&gt;&lt;Extra&gt;&lt;DBUID&gt;{684DF7C5-873E-4B6A-A11E-0CD148BF4011}&lt;/DBUID&gt;&lt;/Extra&gt;&lt;/Item&gt;&lt;/References&gt;&lt;/Group&gt;&lt;Group&gt;&lt;References&gt;&lt;Item&gt;&lt;ID&gt;449&lt;/ID&gt;&lt;UID&gt;{69E5207F-44B4-4721-B729-75BB9D348A77}&lt;/UID&gt;&lt;Title&gt;风电基地经特高压直流送出系统换相失败故障（一）：送端风电机组暂态无功电压建模&lt;/Title&gt;&lt;Template&gt;Journal Article&lt;/Template&gt;&lt;Star&gt;0&lt;/Star&gt;&lt;Tag&gt;0&lt;/Tag&gt;&lt;Author&gt;何国庆; 王伟胜; 刘纯; 李光辉; 年珩&lt;/Author&gt;&lt;Year&gt;2021&lt;/Year&gt;&lt;Details&gt;&lt;_accessed&gt;64439360&lt;/_accessed&gt;&lt;_author_aff&gt;新能源与储能运行控制国家重点实验室(中国电力科学研究院有限公司);浙江大学电气工程学院;&lt;/_author_aff&gt;&lt;_collection_scope&gt;CSCD;PKU;EI&lt;/_collection_scope&gt;&lt;_created&gt;64132958&lt;/_created&gt;&lt;_date&gt;2021-12-06&lt;/_date&gt;&lt;_db_updated&gt;CNKI - Reference&lt;/_db_updated&gt;&lt;_journal&gt;中国电机工程学报&lt;/_journal&gt;&lt;_keywords&gt;UHVDC;换相失败;高电压穿越;暂态过电压;风电机组&lt;/_keywords&gt;&lt;_modified&gt;64441017&lt;/_modified&gt;&lt;_pages&gt;1-14&lt;/_pages&gt;&lt;_url&gt;https://kns.cnki.net/kcms/detail/detail.aspx?FileName=ZGDC20211203000&amp;amp;DbName=DKFX2021 _x000d__x000a_https://bar.cnki.net/bar/download/order?id=jBGETXBNdPImvx70aLAuJPjDI3A2vZL8vlJ5Yxju1VLCR5wMXAMa61LwBcwCxTXReiUF%2b0eNc8dcLHkgLUkI%2bYXNr%2bq%2fxAZGaJQaVfGy3LZXUusYHsGzJp9yrhvnk3r3JRJIuitYASY3ZPhq07jV3E2KrDbH2i1UsOVLzAXdpwmbKKoXvHPzsB%2bN7b8wc595Obr53JXm%2bztzW2BZnlN9O9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k%2fA%2b%2fLb9WmnmMF%2fJPwdWj9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fgcmh%2fFgBggsS6mwjmwQR9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2fHJ2ow7w8V%2bhwT6iVKCaVdr%2b93LrdvkD9CwUbXbsT4sYgW1T3oFZ4xO0eVG7BcLs _x000d__x000a_&lt;/_url&gt;&lt;_translated_author&gt;He, Guo qing;Wang, Wei sheng;Liu, Chun;Li, Guang hui;Nian, Heng&lt;/_translated_author&gt;&lt;/Details&gt;&lt;Extra&gt;&lt;DBUID&gt;{684DF7C5-873E-4B6A-A11E-0CD148BF4011}&lt;/DBUID&gt;&lt;/Extra&gt;&lt;/Item&gt;&lt;/References&gt;&lt;/Group&gt;&lt;Group&gt;&lt;References&gt;&lt;Item&gt;&lt;ID&gt;845&lt;/ID&gt;&lt;UID&gt;{96A00DF6-8855-485E-89A6-D7236EBA4C4D}&lt;/UID&gt;&lt;Title&gt;风电基地经特高压直流送出系统换相失败故障（二）：送端风电机组暂态无功电压特性与作用机理分析&lt;/Title&gt;&lt;Template&gt;Journal Article&lt;/Template&gt;&lt;Star&gt;0&lt;/Star&gt;&lt;Tag&gt;0&lt;/Tag&gt;&lt;Author&gt;金一丁; 贺静波; 李光辉; 刘纯; 何国庆; 张怡&lt;/Author&gt;&lt;Year&gt;2021&lt;/Year&gt;&lt;Details&gt;&lt;_accessed&gt;64449526&lt;/_accessed&gt;&lt;_author_aff&gt;国家电力调度控制中心;新能源与储能运行控制国家重点实验室(中国电力科学研究院有限公司);&lt;/_author_aff&gt;&lt;_collection_scope&gt;CSCD;PKU;EI&lt;/_collection_scope&gt;&lt;_created&gt;64344286&lt;/_created&gt;&lt;_date&gt;64128960&lt;/_date&gt;&lt;_db_updated&gt;CNKI - Reference&lt;/_db_updated&gt;&lt;_journal&gt;中国电机工程学报&lt;/_journal&gt;&lt;_keywords&gt;UHVDC;换相失败;风电机组;暂态无功电压;叠加&lt;/_keywords&gt;&lt;_modified&gt;64442224&lt;/_modified&gt;&lt;_pages&gt;1-12&lt;/_pages&gt;&lt;_url&gt;https://kns.cnki.net/kcms/detail/detail.aspx?FileName=ZGDC20211203001&amp;amp;DbName=DKFX2021&lt;/_url&gt;&lt;_translated_author&gt;Jin, Yi ding;He, Jing bo;Li, Guang hui;Liu, Chun;He, Guo qing;Zhang, Yi&lt;/_translated_author&gt;&lt;/Details&gt;&lt;Extra&gt;&lt;DBUID&gt;{684DF7C5-873E-4B6A-A11E-0CD148BF4011}&lt;/DBUID&gt;&lt;/Extra&gt;&lt;/Item&gt;&lt;/References&gt;&lt;/Group&gt;&lt;Group&gt;&lt;References&gt;&lt;Item&gt;&lt;ID&gt;448&lt;/ID&gt;&lt;UID&gt;{37BA8635-79D5-44F5-B2C4-4978C92E2A2C}&lt;/UID&gt;&lt;Title&gt;风电基地经特高压直流送出系统换相失败故障（三）：送端风电机组暂态过电压抑制措施&lt;/Title&gt;&lt;Template&gt;Journal Article&lt;/Template&gt;&lt;Star&gt;0&lt;/Star&gt;&lt;Tag&gt;0&lt;/Tag&gt;&lt;Author&gt;李光辉; 王伟胜; 何国庆; 刘纯&lt;/Author&gt;&lt;Year&gt;2021&lt;/Year&gt;&lt;Details&gt;&lt;_accessed&gt;64688715&lt;/_accessed&gt;&lt;_author_aff&gt;新能源与储能运行控制国家重点实验室(中国电力科学研究院有限公司);;&lt;/_author_aff&gt;&lt;_collection_scope&gt;CSCD;PKU;EI&lt;/_collection_scope&gt;&lt;_created&gt;64132958&lt;/_created&gt;&lt;_date&gt;2021-12-06&lt;/_date&gt;&lt;_db_updated&gt;CNKI - Reference&lt;/_db_updated&gt;&lt;_journal&gt;中国电机工程学报&lt;/_journal&gt;&lt;_keywords&gt;PMSG;虚拟磁链;暂态无功优化;暂态过电压抑制&lt;/_keywords&gt;&lt;_modified&gt;64441017&lt;/_modified&gt;&lt;_pages&gt;1-11&lt;/_pages&gt;&lt;_url&gt;https://kns.cnki.net/kcms/detail/detail.aspx?FileName=ZGDC20211203002&amp;amp;DbName=DKFX2021 _x000d__x000a_https://bar.cnki.net/bar/download/order?id=jBGETXBNdPImvx70aLAuJPjDI3A2vZL8vlJ5Yxju1VLCR5wMXAMa61LwBcwCxTXReiUF%2b0eNc8dcLHkgLUkI%2bYXNr%2bq%2fxAZGaJQaVfGy3LZXUusYHsGzJp9yrhvnk3r3JRJIuitYASY3ZPhq07jV3E2KrDbH2i1UsOVLzAXdpwmbKKoXvHPzsB%2bN7b8wc595Ks2C3uVd4sWSP1etdR%2boId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nG3aA%2bwHhoUNeGnF1HQ8M9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nTVxQ2c%2bncvA2j%2bp3YGNJNr%2b93LrdvkD9CwUbXbsT4sYgW1T3oFZ4xO0eVG7BcLs _x000d__x000a_https://bar.cnki.net/bar/download/order?id=jBGETXBNdPImvx70aLAuJPjDI3A2vZL8vlJ5Yxju1VLCR5wMXAMa61LwBcwCxTXReiUF%2b0eNc8dcLHkgLUkI%2bYXNr%2bq%2fxAZGaJQaVfGy3LZXUusYHsGzJp9yrhvnk3r3JRJIuitYASY3ZPhq07jV3E2KrDbH2i1UsOVLzAXdpwmbKKoXvHPzsB%2bN7b8wc595GEg7ZVAesx1mBGBiYe2i99r%2b93LrdvkD9CwUbXbsT4sYgW1T3oFZ4xO0eVG7BcLs _x000d__x000a_&lt;/_url&gt;&lt;_translated_author&gt;Li, Guang hui;Wang, Wei sheng;He, Guo qing;Liu, Chun&lt;/_translated_author&gt;&lt;/Details&gt;&lt;Extra&gt;&lt;DBUID&gt;{684DF7C5-873E-4B6A-A11E-0CD148BF4011}&lt;/DBUID&gt;&lt;/Extra&gt;&lt;/Item&gt;&lt;/References&gt;&lt;/Group&gt;&lt;Group&gt;&lt;References&gt;&lt;Item&gt;&lt;ID&gt;515&lt;/ID&gt;&lt;UID&gt;{E1464C6B-B78F-4A55-860A-88674FC849B7}&lt;/UID&gt;&lt;Title&gt;弱电网直驱风机低电压穿越特性及其对机端暂态电压的影响&lt;/Title&gt;&lt;Template&gt;Journal Article&lt;/Template&gt;&lt;Star&gt;0&lt;/Star&gt;&lt;Tag&gt;0&lt;/Tag&gt;&lt;Author&gt;孙大卫; 吴林林; 刘辉; 宋鹏; 李蕴红; 王潇; 刘京波&lt;/Author&gt;&lt;Year&gt;2021&lt;/Year&gt;&lt;Details&gt;&lt;_author_aff&gt;国家电网公司风光储联合发电运行技术实验室(国网冀北电力科学研究院);&lt;/_author_aff&gt;&lt;_cited_count&gt;7&lt;/_cited_count&gt;&lt;_collection_scope&gt;CSCD;PKU;EI&lt;/_collection_scope&gt;&lt;_created&gt;64344255&lt;/_created&gt;&lt;_date&gt;2021-02-18&lt;/_date&gt;&lt;_db_updated&gt;CNKI - Reference&lt;/_db_updated&gt;&lt;_issue&gt;14&lt;/_issue&gt;&lt;_journal&gt;中国电机工程学报&lt;/_journal&gt;&lt;_keywords&gt;永磁直驱风机;弱交流电网;暂态过电压;低电压穿越;锁相环&lt;/_keywords&gt;&lt;_modified&gt;64438150&lt;/_modified&gt;&lt;_pages&gt;4777-4786&lt;/_pages&gt;&lt;_url&gt;https://kns.cnki.net/kcms/detail/detail.aspx?FileName=ZGDC202114005&amp;amp;DbName=DKFX2021 _x000d__x000a_https://bar.cnki.net/bar/download/order?id=jBGETXBNdPImvx70aLAuJPYxPoFw%2bp%2bi0fIiSrcN6lVg2jJBFdkCIeMpmldd1LeZds%2fr85YSD8tWj6u6R%2b%2fkcUGxVkq8YHJNz4jV3WhknTrl8E%2bCUVp5GtDTYhVF2dNUoJeGx62Ssygg68TNXJ%2b5JrigejDAar8Xqw%2f6WR22OFXUdUGh4At8VBYSvh%2fCUD5aVRSuwwRB0r5cBNVJDYeWC9Ur2kvoJV7Lyc0%2fNbix2nb5LXYX1qwFXwOc1HUZT%2bTB _x000d__x000a_https://bar.cnki.net/bar/download/order?id=jBGETXBNdPImvx70aLAuJPYxPoFw%2bp%2bi0fIiSrcN6lVg2jJBFdkCIeMpmldd1LeZds%2fr85YSD8tWj6u6R%2b%2fkcUGxVkq8YHJNz4jV3WhknTrl8E%2bCUVp5GtDTYhVF2dNUoJeGx62Ssygg68TNXJ%2b5JrigejDAar8Xqw%2f6WR22OFXUdUGh4At8VBYSvh%2fCUD5aZPW9d%2ff8QI1HAASXOyTuiIkWl%2f5%2bM02t3C4Rt6mdaoj5LXYX1qwFXwOc1HUZT%2bTB _x000d__x000a_https://bar.cnki.net/bar/download/order?id=jBGETXBNdPImvx70aLAuJPYxPoFw%2bp%2bi0fIiSrcN6lVg2jJBFdkCIeMpmldd1LeZds%2fr85YSD8tWj6u6R%2b%2fkcUGxVkq8YHJNz4jV3WhknTrl8E%2bCUVp5GtDTYhVF2dNUoJeGx62Ssygg68TNXJ%2b5JrigejDAar8Xqw%2f6WR22OFXUdUGh4At8VBYSvh%2fCUD5asHLKxYvsETKGrO2%2f04M5%2f49vHLVKI4FnXdW88TUokWX5LXYX1qwFXwOc1HUZT%2bTB _x000d__x000a_&lt;/_url&gt;&lt;_volume&gt;41&lt;/_volume&gt;&lt;_translated_author&gt;Sun, Da wei;Wu, Lin lin;Liu, Hui;Song, Peng;Li, Yun hong;Wang, Xiao;Liu, Jing bo&lt;/_translated_author&gt;&lt;/Details&gt;&lt;Extra&gt;&lt;DBUID&gt;{684DF7C5-873E-4B6A-A11E-0CD148BF4011}&lt;/DBUID&gt;&lt;/Extra&gt;&lt;/Item&gt;&lt;/References&gt;&lt;/Group&gt;&lt;Group&gt;&lt;References&gt;&lt;Item&gt;&lt;ID&gt;518&lt;/ID&gt;&lt;UID&gt;{86431153-EF0F-4AC2-8DF0-49E446879B27}&lt;/UID&gt;&lt;Title&gt;直流闭锁故障下风电并网功率和直流输送功率的耦合关系分析&lt;/Title&gt;&lt;Template&gt;Journal Article&lt;/Template&gt;&lt;Star&gt;0&lt;/Star&gt;&lt;Tag&gt;0&lt;/Tag&gt;&lt;Author&gt;郄朝辉; 李兆伟; 王维洲; 李威; 柯贤波&lt;/Author&gt;&lt;Year&gt;2021&lt;/Year&gt;&lt;Details&gt;&lt;_author_aff&gt;南瑞集团有限公司(国网电力科学研究院有限公司);国网甘肃省电力公司电力科学研究院;国家电网有限公司西北分部;&lt;/_author_aff&gt;&lt;_cited_count&gt;1&lt;/_cited_count&gt;&lt;_collection_scope&gt;CSCD;PKU&lt;/_collection_scope&gt;&lt;_created&gt;64344257&lt;/_created&gt;&lt;_date&gt;2020-09-08&lt;/_date&gt;&lt;_db_updated&gt;CNKI - Reference&lt;/_db_updated&gt;&lt;_issue&gt;06&lt;/_issue&gt;&lt;_journal&gt;中国电力&lt;/_journal&gt;&lt;_keywords&gt;风电并网功率;直流输送能力;耦合;暂态过电压;正态分布&lt;/_keywords&gt;&lt;_modified&gt;64438119&lt;/_modified&gt;&lt;_pages&gt;175-182&lt;/_pages&gt;&lt;_url&gt;https://kns.cnki.net/kcms/detail/detail.aspx?FileName=ZGDL202106023&amp;amp;DbName=CJFQ2021 _x000d__x000a_https://bar.cnki.net/bar/download/order?id=jBGETXBNdPImvx70aLAuJPYxPoFw%2bp%2bi0fIiSrcN6lX50vcHTj8PVxhAmTAY7bcZfIposeNU2ImrJAJ3lANen0GxVkq8YHJNz4jV3WhknTrl8E%2bCUVp5GtDTYhVF2dNUoJeGx62Ssygg68TNXJ%2b5JrigejDAar8Xqw%2f6WR22OFXUdUGh4At8VBYSvh%2fCUD5aSr5OZ1jnsXWLLIQdvG%2bqhdLUJCXLErHU6wU%2bEbrzZ%2fD5LXYX1qwFXwOc1HUZT%2bTB _x000d__x000a_https://bar.cnki.net/bar/download/order?id=jBGETXBNdPImvx70aLAuJPYxPoFw%2bp%2bi0fIiSrcN6lX50vcHTj8PVxhAmTAY7bcZfIposeNU2ImrJAJ3lANen0GxVkq8YHJNz4jV3WhknTrl8E%2bCUVp5GtDTYhVF2dNUoJeGx62Ssygg68TNXJ%2b5JrigejDAar8Xqw%2f6WR22OFXUdUGh4At8VBYSvh%2fCUD5axTDCZb64xUUVfbSjpug3gqqZHyie2Ddw94BHMoP%2f3wL5LXYX1qwFXwOc1HUZT%2bTB _x000d__x000a_&lt;/_url&gt;&lt;_volume&gt;54&lt;/_volume&gt;&lt;_translated_author&gt;Qie, Chao hui;Li, Zhao wei;Wang, Wei zhou;Li, Wei;Ke, Xian bo&lt;/_translated_author&gt;&lt;/Details&gt;&lt;Extra&gt;&lt;DBUID&gt;{684DF7C5-873E-4B6A-A11E-0CD148BF4011}&lt;/DBUID&gt;&lt;/Extra&gt;&lt;/Item&gt;&lt;/References&gt;&lt;/Group&gt;&lt;Group&gt;&lt;References&gt;&lt;Item&gt;&lt;ID&gt;710&lt;/ID&gt;&lt;UID&gt;{07CB7ECE-95C6-4847-90DE-20D4BFD357AC}&lt;/UID&gt;&lt;Title&gt;风火储联合多通道外送系统直流闭锁后的稳控措施&lt;/Title&gt;&lt;Template&gt;Journal Article&lt;/Template&gt;&lt;Star&gt;0&lt;/Star&gt;&lt;Tag&gt;0&lt;/Tag&gt;&lt;Author&gt;赵吉贤; 李凤婷; 尹纯亚&lt;/Author&gt;&lt;Year&gt;2021&lt;/Year&gt;&lt;Details&gt;&lt;_author_adr&gt;新疆大学电气工程学院;&lt;/_author_adr&gt;&lt;_collection_scope&gt;CSCD;PKU&lt;/_collection_scope&gt;&lt;_created&gt;64344283&lt;/_created&gt;&lt;_db_provider&gt;CNKI&lt;/_db_provider&gt;&lt;_isbn&gt;1004-9649&lt;/_isbn&gt;&lt;_issue&gt;05&lt;/_issue&gt;&lt;_journal&gt;中国电力&lt;/_journal&gt;&lt;_keywords&gt;交直流混联系统;直流闭锁;潮流转移;抽水蓄能;风火储联合系统;稳控措施&lt;/_keywords&gt;&lt;_modified&gt;64438146&lt;/_modified&gt;&lt;_pages&gt;65-73&lt;/_pages&gt;&lt;_url&gt;https://kns.cnki.net/kcms/detail/11.3265.TM.20200904.1101.002.html _x000d__x000a_https://bar.cnki.net/bar/download/order?id=jBGETXBNdPImvx70aLAuJPYxPoFw%2bp%2bi0fIiSrcN6lXN3f6F%2f2mGMVc0egfxgZ%2fTsshnTQdlzf0o9Rxczx2nOkGxVkq8YHJNz4jV3WhknTrl8E%2bCUVp5GtDTYhVF2dNUoJeGx62Ssygg68TNXJ%2b5JrigejDAar8Xqw%2f6WR22OFXUdUGh4At8VBYSvh%2fCUD5adl7JuRg0H%2fWBQDx7piqCjQSUVLmggogtCe%2bW%2f%2bhXCQj5LXYX1qwFXwOc1HUZT%2bTB _x000d__x000a_https://bar.cnki.net/bar/download/order?id=jBGETXBNdPImvx70aLAuJPYxPoFw%2bp%2bi0fIiSrcN6lXN3f6F%2f2mGMVc0egfxgZ%2fTsshnTQdlzf0o9Rxczx2nOkGxVkq8YHJNz4jV3WhknTrl8E%2bCUVp5GtDTYhVF2dNUoJeGx62Ssygg68TNXJ%2b5JrigejDAar8Xqw%2f6WR22OFXUdUGh4At8VBYSvh%2fCUD5avOYPfGSR0SROpm0w8i34KHJ%2fk3qb3YlLDmkYcfC%2bquX5LXYX1qwFXwOc1HUZT%2bTB _x000d__x000a_https://bar.cnki.net/bar/download/order?id=jBGETXBNdPImvx70aLAuJPYxPoFw%2bp%2bi0fIiSrcN6lXN3f6F%2f2mGMVc0egfxgZ%2fTsshnTQdlzf0o9Rxczx2nOkGxVkq8YHJNz4jV3WhknTrl8E%2bCUVp5GtDTYhVF2dNUoJeGx62Ssygg68TNXJ%2b5JrigejDAar8Xqw%2f6WR22OFXUdUGh4At8VBYSvh%2fCUD5aRu5M%2fP9ZhbyjR9byRAsXPqqZHyie2Ddw94BHMoP%2f3wL5LXYX1qwFXwOc1HUZT%2bTB _x000d__x000a_&lt;/_url&gt;&lt;_volume&gt;54&lt;/_volume&gt;&lt;_translated_author&gt;Zhao, Ji xian;Li, Feng ting;Yin, Chun ya&lt;/_translated_author&gt;&lt;/Details&gt;&lt;Extra&gt;&lt;DBUID&gt;{684DF7C5-873E-4B6A-A11E-0CD148BF4011}&lt;/DBUID&gt;&lt;/Extra&gt;&lt;/Item&gt;&lt;/References&gt;&lt;/Group&gt;&lt;/Citation&gt;_x000a_"/>
    <w:docVar w:name="NE.Ref{7979EFBE-9611-4037-AADD-AAEA22055795}" w:val=" ADDIN NE.Ref.{7979EFBE-9611-4037-AADD-AAEA22055795}&lt;Citation&gt;&lt;Group&gt;&lt;References&gt;&lt;Item&gt;&lt;ID&gt;510&lt;/ID&gt;&lt;UID&gt;{02D860A4-4262-4AD4-93E0-F5C185DC3E0F}&lt;/UID&gt;&lt;Title&gt;基于集中供热系统储热特性的热电联产机组多时间尺度灵活性协调调度&lt;/Title&gt;&lt;Template&gt;Journal Article&lt;/Template&gt;&lt;Star&gt;0&lt;/Star&gt;&lt;Tag&gt;0&lt;/Tag&gt;&lt;Author&gt;张磊; 罗毅; 罗恒恒; 苗世洪; 叶婧; 周桂平; 孙亮&lt;/Author&gt;&lt;Year&gt;2018&lt;/Year&gt;&lt;Details&gt;&lt;_author_adr&gt;华中科技大学电气与电子工程学院;国网辽宁省电力有限公司;三峡大学电气与新能源学院;&lt;/_author_adr&gt;&lt;_collection_scope&gt;CSCD;PKU;EI&lt;/_collection_scope&gt;&lt;_created&gt;63655099&lt;/_created&gt;&lt;_db_provider&gt;CNKI&lt;/_db_provider&gt;&lt;_isbn&gt;0258-8013&lt;/_isbn&gt;&lt;_issue&gt;04&lt;/_issue&gt;&lt;_journal&gt;中国电机工程学报&lt;/_journal&gt;&lt;_keywords&gt;热电联产机组;多时间尺度灵活性;高渗透率风电;热网系统&lt;/_keywords&gt;&lt;_modified&gt;63655099&lt;/_modified&gt;&lt;_pages&gt;985-998+1275&lt;/_pages&gt;&lt;_volume&gt;38&lt;/_volume&gt;&lt;_translated_author&gt;Zhang, Lei;Luo, Yi;Luo, Hengheng;Miao, Shihong;Ye, Jing;Zhou, Guiping;Sun, Liang&lt;/_translated_author&gt;&lt;/Details&gt;&lt;Extra&gt;&lt;DBUID&gt;{F96A950B-833F-4880-A151-76DA2D6A2879}&lt;/DBUID&gt;&lt;/Extra&gt;&lt;/Item&gt;&lt;/References&gt;&lt;/Group&gt;&lt;Group&gt;&lt;References&gt;&lt;Item&gt;&lt;ID&gt;514&lt;/ID&gt;&lt;UID&gt;{6C8A5A43-B832-48C9-90C9-F9788223EC74}&lt;/UID&gt;&lt;Title&gt;Economical flexibility options for integrating fluctuating wind energy in power systems: The case of China&lt;/Title&gt;&lt;Template&gt;Journal Article&lt;/Template&gt;&lt;Star&gt;0&lt;/Star&gt;&lt;Tag&gt;0&lt;/Tag&gt;&lt;Author&gt;Yi, Ding; Changzheng, Shao; Jinyue, Yan; Yonghua, Song; Chi, Zhang; Chuangxin, Guo&lt;/Author&gt;&lt;Year&gt;2018&lt;/Year&gt;&lt;Details&gt;&lt;_collection_scope&gt;SCI;SCIE;EI&lt;/_collection_scope&gt;&lt;_created&gt;63655101&lt;/_created&gt;&lt;_impact_factor&gt;   8.848&lt;/_impact_factor&gt;&lt;_journal&gt;Applied Energy&lt;/_journal&gt;&lt;_modified&gt;63655101&lt;/_modified&gt;&lt;_pages&gt;426-436&lt;/_pages&gt;&lt;_volume&gt;228&lt;/_volume&gt;&lt;/Details&gt;&lt;Extra&gt;&lt;DBUID&gt;{F96A950B-833F-4880-A151-76DA2D6A2879}&lt;/DBUID&gt;&lt;/Extra&gt;&lt;/Item&gt;&lt;/References&gt;&lt;/Group&gt;&lt;/Citation&gt;_x000a_"/>
    <w:docVar w:name="NE.Ref{79C0490C-57BE-4514-BC97-407E01ADAD6A}" w:val=" ADDIN NE.Ref.{79C0490C-57BE-4514-BC97-407E01ADAD6A}&lt;Citation&gt;&lt;Group&gt;&lt;References&gt;&lt;Item&gt;&lt;ID&gt;635&lt;/ID&gt;&lt;UID&gt;{14E7A137-0379-482B-A1FC-65220DD77A5D}&lt;/UID&gt;&lt;Title&gt;考虑碳排放成本的风光储多能互补系统优化运行研究&lt;/Title&gt;&lt;Template&gt;Journal Article&lt;/Template&gt;&lt;Star&gt;0&lt;/Star&gt;&lt;Tag&gt;0&lt;/Tag&gt;&lt;Author&gt;朱晔; 兰贞波; 隗震; 刘波; 冯万兴; 周盛; 陈轩恕; 韦古强; 孙辰军; 张崧&lt;/Author&gt;&lt;Year&gt;2019&lt;/Year&gt;&lt;Details&gt;&lt;_author_adr&gt;国网电力科学研究院武汉南瑞有限责任公司;南瑞集团公司(国网电力科学研究院);都城伟业集团有限公司;国网河北省电力公司;哈尔滨供电局有限公司;&lt;/_author_adr&gt;&lt;_db_provider&gt;CNKI&lt;/_db_provider&gt;&lt;_isbn&gt;1674-3415&lt;/_isbn&gt;&lt;_issue&gt;10&lt;/_issue&gt;&lt;_journal&gt;电力系统保护与控制&lt;/_journal&gt;&lt;_keywords&gt;风光储多能互补;并网运行;日前调度;碳排放;粒子群算法&lt;/_keywords&gt;&lt;_pages&gt;127-133&lt;/_pages&gt;&lt;_volume&gt;47&lt;/_volume&gt;&lt;_created&gt;63705565&lt;/_created&gt;&lt;_modified&gt;63705565&lt;/_modified&gt;&lt;_collection_scope&gt;CSCD;PKU&lt;/_collection_scope&gt;&lt;_translated_author&gt;Zhu, Ye;Lan, Zhenbo;Wei, Zhen;Liu, Bo;Feng, Wanxing;Zhou, Sheng;Chen, Xuanshu;Wei, Guqiang;Sun, Chenjun;Zhang, Song&lt;/_translated_author&gt;&lt;/Details&gt;&lt;Extra&gt;&lt;DBUID&gt;{F96A950B-833F-4880-A151-76DA2D6A2879}&lt;/DBUID&gt;&lt;/Extra&gt;&lt;/Item&gt;&lt;/References&gt;&lt;/Group&gt;&lt;/Citation&gt;_x000a_"/>
    <w:docVar w:name="NE.Ref{7A9AD604-C367-43CC-AE12-317A450112B2}" w:val=" ADDIN NE.Ref.{7A9AD604-C367-43CC-AE12-317A450112B2}&lt;Citation&gt;&lt;Group&gt;&lt;References&gt;&lt;Item&gt;&lt;ID&gt;524&lt;/ID&gt;&lt;UID&gt;{5D0EE478-E986-4EAA-9313-9C68899873EF}&lt;/UID&gt;&lt;Title&gt;Transmission Technologies and Operational Characteristic Analysis of Hybrid UHV AC/DC Power Grids in China&lt;/Title&gt;&lt;Template&gt;Conference Proceedings&lt;/Template&gt;&lt;Star&gt;0&lt;/Star&gt;&lt;Tag&gt;0&lt;/Tag&gt;&lt;Author&gt;Tian, Zhang; Yanfeng, Gong&lt;/Author&gt;&lt;Year&gt;2017&lt;/Year&gt;&lt;Details&gt;&lt;_created&gt;63657915&lt;/_created&gt;&lt;_modified&gt;63657915&lt;/_modified&gt;&lt;_pages&gt;012120&lt;/_pages&gt;&lt;_secondary_title&gt;Materials Science &amp;amp; Engineering Conference Series&lt;/_secondary_title&gt;&lt;/Details&gt;&lt;Extra&gt;&lt;DBUID&gt;{F96A950B-833F-4880-A151-76DA2D6A2879}&lt;/DBUID&gt;&lt;/Extra&gt;&lt;/Item&gt;&lt;/References&gt;&lt;/Group&gt;&lt;/Citation&gt;_x000a_"/>
    <w:docVar w:name="NE.Ref{7B2A54C9-5216-4BBC-B387-293CC6D5D128}" w:val=" ADDIN NE.Ref.{7B2A54C9-5216-4BBC-B387-293CC6D5D128}&lt;Citation&gt;&lt;Group&gt;&lt;References&gt;&lt;Item&gt;&lt;ID&gt;518&lt;/ID&gt;&lt;UID&gt;{AFAA75FB-64B3-4386-B3B5-AA85111B65FD}&lt;/UID&gt;&lt;Title&gt;Technology and Practice of the Operation Control of Large Power Grid Connected With Weak AC area &lt;/Title&gt;&lt;Template&gt;Journal Article&lt;/Template&gt;&lt;Star&gt;0&lt;/Star&gt;&lt;Tag&gt;0&lt;/Tag&gt;&lt;Author&gt;Li, Yong&lt;/Author&gt;&lt;Year&gt;2016&lt;/Year&gt;&lt;Details&gt;&lt;_accessed&gt;63480645&lt;/_accessed&gt;&lt;_accession_num&gt;CSCD:5877643_x000d__x000a_ER&lt;/_accession_num&gt;&lt;_cited_count&gt;7&lt;/_cited_count&gt;&lt;_collection_scope&gt;CSCD;PKU;EI&lt;/_collection_scope&gt;&lt;_created&gt;63444588&lt;/_created&gt;&lt;_date_display&gt;2016, 2016&lt;/_date_display&gt;&lt;_db_provider&gt;ISI&lt;/_db_provider&gt;&lt;_isbn&gt;1000-3673&lt;/_isbn&gt;&lt;_issue&gt;12&lt;/_issue&gt;&lt;_journal&gt;Power System Technology&lt;/_journal&gt;&lt;_modified&gt;63459186&lt;/_modified&gt;&lt;_pages&gt;3756-3760&lt;/_pages&gt;&lt;_tertiary_title&gt;电网技术&lt;/_tertiary_title&gt;&lt;_translated_author&gt;李勇&lt;/_translated_author&gt;&lt;_translated_title&gt;强直弱交区域互联大电网运行控制技术与分析&lt;/_translated_title&gt;&lt;_url&gt;CSCD:5877643&lt;/_url&gt;&lt;_volume&gt;40&lt;/_volume&gt;&lt;/Details&gt;&lt;Extra&gt;&lt;DBUID&gt;{6891F4B0-DCBA-459A-9A22-3059983243D4}&lt;/DBUID&gt;&lt;/Extra&gt;&lt;/Item&gt;&lt;/References&gt;&lt;/Group&gt;&lt;/Citation&gt;_x000a_"/>
    <w:docVar w:name="NE.Ref{7C060891-6084-4300-85FD-947FA7E63501}" w:val=" ADDIN NE.Ref.{7C060891-6084-4300-85FD-947FA7E63501}&lt;Citation&gt;&lt;Group&gt;&lt;References&gt;&lt;Item&gt;&lt;ID&gt;110&lt;/ID&gt;&lt;UID&gt;{A2AA3EA2-AEC5-4B39-A482-D73966363D96}&lt;/UID&gt;&lt;Title&gt;考虑源荷低碳特性互补的含风电电力系统经济调度&lt;/Title&gt;&lt;Template&gt;Journal Article&lt;/Template&gt;&lt;Star&gt;0&lt;/Star&gt;&lt;Tag&gt;0&lt;/Tag&gt;&lt;Author&gt;崔杨; 邓贵波; 赵钰婷; 仲悟之; 唐耀华; 刘新元&lt;/Author&gt;&lt;Year&gt;2021&lt;/Year&gt;&lt;Details&gt;&lt;_accessed&gt;64357575&lt;/_accessed&gt;&lt;_author_aff&gt;现代电力系统仿真控制与绿色电能新技术教育部重点实验室(东北电力大学);中国电力科学研究院有限公司;润电能源科学技术有限公司;国网山西省电力科学研究院;&lt;/_author_aff&gt;&lt;_cited_count&gt;6&lt;/_cited_count&gt;&lt;_collection_scope&gt;CSCD;PKU;EI&lt;/_collection_scope&gt;&lt;_created&gt;64357568&lt;/_created&gt;&lt;_date&gt;63878400&lt;/_date&gt;&lt;_db_updated&gt;CNKI - Reference&lt;/_db_updated&gt;&lt;_issue&gt;14&lt;/_issue&gt;&lt;_journal&gt;中国电机工程学报&lt;/_journal&gt;&lt;_keywords&gt;低碳;碳捕集电厂;风电;需求响应;综合成本&lt;/_keywords&gt;&lt;_language&gt;Chinese&lt;/_language&gt;&lt;_modified&gt;64357575&lt;/_modified&gt;&lt;_pages&gt;4799-4815&lt;/_pages&gt;&lt;_url&gt;https://kns.cnki.net/kcms/detail/detail.aspx?FileName=ZGDC202114007&amp;amp;DbName=DKFX2021&lt;/_url&gt;&lt;_volume&gt;41&lt;/_volume&gt;&lt;_translated_author&gt;Cui, Yang;Deng, Guibo;Zhao, Yuting;Zhong, Wuzhi;Tang, Yaohua;Liu, Xinyuan&lt;/_translated_author&gt;&lt;/Details&gt;&lt;Extra/&gt;&lt;/Item&gt;&lt;/References&gt;&lt;/Group&gt;&lt;/Citation&gt;_x000a_"/>
    <w:docVar w:name="NE.Ref{7CFD2A35-2F6C-4448-A776-59AD76FA4810}" w:val=" ADDIN NE.Ref.{7CFD2A35-2F6C-4448-A776-59AD76FA4810}&lt;Citation&gt;&lt;Group&gt;&lt;References&gt;&lt;Item&gt;&lt;ID&gt;2&lt;/ID&gt;&lt;UID&gt;{261A689A-043F-4C64-87F8-B08AC86205DF}&lt;/UID&gt;&lt;Title&gt;考虑风电不确定性的电力系统鲁棒优化调度&lt;/Title&gt;&lt;Template&gt;Journal Article&lt;/Template&gt;&lt;Star&gt;0&lt;/Star&gt;&lt;Tag&gt;0&lt;/Tag&gt;&lt;Author&gt;陈庆攀; 刘洋; 杨得洋&lt;/Author&gt;&lt;Year&gt;2019&lt;/Year&gt;&lt;Details&gt;&lt;_accessed&gt;64357565&lt;/_accessed&gt;&lt;_author_adr&gt;四川大学; 四川大学; 四川大学&lt;/_author_adr&gt;&lt;_author_aff&gt;四川大学; 四川大学; 四川大学&lt;/_author_aff&gt;&lt;_created&gt;64357565&lt;/_created&gt;&lt;_db_provider&gt;北京万方数据股份有限公司&lt;/_db_provider&gt;&lt;_db_updated&gt;Wanfangdata&lt;/_db_updated&gt;&lt;_doi&gt;10.3969/j.issn.1002-1388.2019.11.011&lt;/_doi&gt;&lt;_isbn&gt;1002-1388&lt;/_isbn&gt;&lt;_issue&gt;11&lt;/_issue&gt;&lt;_journal&gt;电工技术&lt;/_journal&gt;&lt;_keywords&gt;电力系统; 风电; 不确定性; 鲁棒调度模型&lt;/_keywords&gt;&lt;_language&gt;chi&lt;/_language&gt;&lt;_modified&gt;64357565&lt;/_modified&gt;&lt;_pages&gt;37-39,43&lt;/_pages&gt;&lt;_tertiary_title&gt;Electric Engineering&lt;/_tertiary_title&gt;&lt;_translated_author&gt;Qingpan, CHEN; Yang, LIU; Deyang, YANG&lt;/_translated_author&gt;&lt;_translated_title&gt;Robust Optimal Scheduling of Power System Considering Uncertainty of Wind Power&lt;/_translated_title&gt;&lt;_url&gt;http://www.wanfangdata.com.cn:443/details/detail.do?_type=perio&amp;amp;id=dgjs201911011&lt;/_url&gt;&lt;/Details&gt;&lt;Extra/&gt;&lt;/Item&gt;&lt;/References&gt;&lt;/Group&gt;&lt;/Citation&gt;_x000a_"/>
    <w:docVar w:name="NE.Ref{7DB4B926-0896-4F83-9EB4-33C2E0AE77BF}" w:val=" ADDIN NE.Ref.{7DB4B926-0896-4F83-9EB4-33C2E0AE77BF}&lt;Citation&gt;&lt;Group&gt;&lt;References&gt;&lt;Item&gt;&lt;ID&gt;679&lt;/ID&gt;&lt;UID&gt;{71418B17-D229-4360-8126-A4273DAA07D7}&lt;/UID&gt;&lt;Title&gt;Reactive Power and AC Voltage Control of LCC HVDC System With Controllable Capacitors&lt;/Title&gt;&lt;Template&gt;Journal Article&lt;/Template&gt;&lt;Star&gt;0&lt;/Star&gt;&lt;Tag&gt;0&lt;/Tag&gt;&lt;Author&gt;Xue, Ying; Zhang, Xiao Ping&lt;/Author&gt;&lt;Year&gt;2017&lt;/Year&gt;&lt;Details&gt;&lt;_accessed&gt;63480645&lt;/_accessed&gt;&lt;_collection_scope&gt;SCI;SCIE;EI&lt;/_collection_scope&gt;&lt;_created&gt;63480542&lt;/_created&gt;&lt;_impact_factor&gt;   6.074&lt;/_impact_factor&gt;&lt;_issue&gt;1&lt;/_issue&gt;&lt;_journal&gt;IEEE Transactions on Power Systems&lt;/_journal&gt;&lt;_modified&gt;63480644&lt;/_modified&gt;&lt;_pages&gt;753-764&lt;/_pages&gt;&lt;_url&gt;https://ieeexplore.ieee.org/ielx7/59/7792237/07465837.pdf?tp=&amp;amp;arnumber=7465837&amp;amp;isnumber=7792237&amp;amp;ref=aHR0cHM6Ly9pZWVleHBsb3JlLmllZWUub3JnL3Jlc3Qvc2VhcmNo _x000d__x000a_&lt;/_url&gt;&lt;_volume&gt;32&lt;/_volume&gt;&lt;/Details&gt;&lt;Extra&gt;&lt;DBUID&gt;{6891F4B0-DCBA-459A-9A22-3059983243D4}&lt;/DBUID&gt;&lt;/Extra&gt;&lt;/Item&gt;&lt;/References&gt;&lt;/Group&gt;&lt;/Citation&gt;_x000a_"/>
    <w:docVar w:name="NE.Ref{7E5282D6-ADF4-4DD2-8573-5D4A0CA70EA7}" w:val=" ADDIN NE.Ref.{7E5282D6-ADF4-4DD2-8573-5D4A0CA70EA7}&lt;Citation&gt;&lt;Group&gt;&lt;References&gt;&lt;Item&gt;&lt;ID&gt;518&lt;/ID&gt;&lt;UID&gt;{AFAA75FB-64B3-4386-B3B5-AA85111B65FD}&lt;/UID&gt;&lt;Title&gt;Technology and Practice of the Operation Control of Large Power Grid Connected With Weak AC area &lt;/Title&gt;&lt;Template&gt;Journal Article&lt;/Template&gt;&lt;Star&gt;0&lt;/Star&gt;&lt;Tag&gt;0&lt;/Tag&gt;&lt;Author&gt;Li, Yong&lt;/Author&gt;&lt;Year&gt;2016&lt;/Year&gt;&lt;Details&gt;&lt;_accessed&gt;63459185&lt;/_accessed&gt;&lt;_accession_num&gt;CSCD:5877643_x000d__x000a_ER&lt;/_accession_num&gt;&lt;_cited_count&gt;7&lt;/_cited_count&gt;&lt;_collection_scope&gt;CSCD;PKU;EI&lt;/_collection_scope&gt;&lt;_created&gt;63444588&lt;/_created&gt;&lt;_date_display&gt;2016, 2016&lt;/_date_display&gt;&lt;_db_provider&gt;ISI&lt;/_db_provider&gt;&lt;_isbn&gt;1000-3673&lt;/_isbn&gt;&lt;_issue&gt;12&lt;/_issue&gt;&lt;_journal&gt;Power System Technology&lt;/_journal&gt;&lt;_modified&gt;63459186&lt;/_modified&gt;&lt;_pages&gt;3756-3760&lt;/_pages&gt;&lt;_tertiary_title&gt;电网技术&lt;/_tertiary_title&gt;&lt;_translated_author&gt;李勇&lt;/_translated_author&gt;&lt;_translated_title&gt;强直弱交区域互联大电网运行控制技术与分析&lt;/_translated_title&gt;&lt;_url&gt;CSCD:5877643&lt;/_url&gt;&lt;_volume&gt;40&lt;/_volume&gt;&lt;/Details&gt;&lt;Extra&gt;&lt;DBUID&gt;{6891F4B0-DCBA-459A-9A22-3059983243D4}&lt;/DBUID&gt;&lt;/Extra&gt;&lt;/Item&gt;&lt;/References&gt;&lt;/Group&gt;&lt;Group&gt;&lt;References&gt;&lt;Item&gt;&lt;ID&gt;673&lt;/ID&gt;&lt;UID&gt;{3BFC353C-EF56-4F4B-836A-BD68FC86A30C}&lt;/UID&gt;&lt;Title&gt;Definition, Connotation and Form of Strong HVDC and Weak AC and Countermeasures for Stable Operation of Hybrid Power Grid&lt;/Title&gt;&lt;Template&gt;Journal Article&lt;/Template&gt;&lt;Star&gt;0&lt;/Star&gt;&lt;Tag&gt;0&lt;/Tag&gt;&lt;Author&gt;Zheng, Chao; Ma, Shiying; Shen, Xuhui; Liu, Daowei&lt;/Author&gt;&lt;Year&gt;2017&lt;/Year&gt;&lt;Details&gt;&lt;_accession_num&gt;CSCD:6050560&lt;/_accession_num&gt;&lt;_cited_count&gt;3&lt;/_cited_count&gt;&lt;_date_display&gt;2017, 2017&lt;/_date_display&gt;&lt;_isbn&gt;1000-3673&lt;/_isbn&gt;&lt;_issue&gt;8&lt;/_issue&gt;&lt;_journal&gt;Power System Technology&lt;/_journal&gt;&lt;_pages&gt;2491-2498&lt;/_pages&gt;&lt;_tertiary_title&gt;电网技术&lt;/_tertiary_title&gt;&lt;_translated_author&gt;郑超_x000d__x000a_   马世英_x000d__x000a_   申旭辉_x000d__x000a_   刘道伟&lt;/_translated_author&gt;&lt;_translated_title&gt;强直弱交的定义、内涵与形式及其应对措施&lt;/_translated_title&gt;&lt;_url&gt;CSCD:6050560&lt;/_url&gt;&lt;_volume&gt;41&lt;/_volume&gt;&lt;_created&gt;63459186&lt;/_created&gt;&lt;_modified&gt;63459187&lt;/_modified&gt;&lt;_db_provider&gt;ISI&lt;/_db_provider&gt;&lt;_db_updated&gt;Web of Science-All&lt;/_db_updated&gt;&lt;_accessed&gt;63459189&lt;/_accessed&gt;&lt;/Details&gt;&lt;Extra&gt;&lt;DBUID&gt;{6891F4B0-DCBA-459A-9A22-3059983243D4}&lt;/DBUID&gt;&lt;/Extra&gt;&lt;/Item&gt;&lt;/References&gt;&lt;/Group&gt;&lt;/Citation&gt;_x000a_"/>
    <w:docVar w:name="NE.Ref{7E6DDBEC-F492-4CE5-8E59-3F60BEC67154}" w:val=" ADDIN NE.Ref.{7E6DDBEC-F492-4CE5-8E59-3F60BEC67154}&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7E756D5C-394B-4CA3-BEF4-ADA94262B3C5}" w:val=" ADDIN NE.Ref.{7E756D5C-394B-4CA3-BEF4-ADA94262B3C5}&lt;Citation&gt;&lt;Group&gt;&lt;References&gt;&lt;Item&gt;&lt;ID&gt;503&lt;/ID&gt;&lt;UID&gt;{D6C4CBEC-6466-41FF-AD22-61D8A9CC6B6D}&lt;/UID&gt;&lt;Title&gt;分布鲁棒优化方法在电力系统中的理论分析与应用综述&lt;/Title&gt;&lt;Template&gt;Journal Article&lt;/Template&gt;&lt;Star&gt;0&lt;/Star&gt;&lt;Tag&gt;0&lt;/Tag&gt;&lt;Author&gt;贺帅佳; 阮贺彬; 高红均; 刘俊勇&lt;/Author&gt;&lt;Year&gt;2020&lt;/Year&gt;&lt;Details&gt;&lt;_author_adr&gt;四川大学电气工程学院;&lt;/_author_adr&gt;&lt;_collection_scope&gt;CSCD;PKU;EI&lt;/_collection_scope&gt;&lt;_created&gt;63654819&lt;/_created&gt;&lt;_db_provider&gt;CNKI&lt;/_db_provider&gt;&lt;_isbn&gt;1000-1026&lt;/_isbn&gt;&lt;_issue&gt;14&lt;/_issue&gt;&lt;_journal&gt;电力系统自动化&lt;/_journal&gt;&lt;_keywords&gt;不确定性;电力系统;分布鲁棒优化;机会约束方法&lt;/_keywords&gt;&lt;_modified&gt;63654819&lt;/_modified&gt;&lt;_pages&gt;179-191&lt;/_pages&gt;&lt;_volume&gt;44&lt;/_volume&gt;&lt;_translated_author&gt;He, Shuaijia;Ruan, Hebin;Gao, Hongjun;Liu, Junyong&lt;/_translated_author&gt;&lt;/Details&gt;&lt;Extra&gt;&lt;DBUID&gt;{F96A950B-833F-4880-A151-76DA2D6A2879}&lt;/DBUID&gt;&lt;/Extra&gt;&lt;/Item&gt;&lt;/References&gt;&lt;/Group&gt;&lt;/Citation&gt;_x000a_"/>
    <w:docVar w:name="NE.Ref{7EA46177-6583-421B-B6BD-B9FEB07BA286}" w:val=" ADDIN NE.Ref.{7EA46177-6583-421B-B6BD-B9FEB07BA286}&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7FC731DA-3904-411A-AA77-1CA04550B0E7}" w:val=" ADDIN NE.Ref.{7FC731DA-3904-411A-AA77-1CA04550B0E7}&lt;Citation&gt;&lt;Group&gt;&lt;References&gt;&lt;Item&gt;&lt;ID&gt;1028&lt;/ID&gt;&lt;UID&gt;{5EDA3D6F-C09B-4FC2-9AB6-04CF1F178E32}&lt;/UID&gt;&lt;Title&gt;High-voltage Ride Through Strategy for DFIG Considering Converter Blocking of HVDC System&lt;/Title&gt;&lt;Template&gt;Journal Article&lt;/Template&gt;&lt;Star&gt;0&lt;/Star&gt;&lt;Tag&gt;0&lt;/Tag&gt;&lt;Author&gt;Zhou, C P; Wang, Z; Ju, P; Gan, D Q&lt;/Author&gt;&lt;Year&gt;2020&lt;/Year&gt;&lt;Details&gt;&lt;_alternate_title&gt;JOURNAL OF MODERN POWER SYSTEMS AND CLEAN ENERGY&lt;/_alternate_title&gt;&lt;_author_adr&gt;Zhejiang Univ, Coll Elect Engn, Hangzhou 310027, Peoples R China&lt;/_author_adr&gt;&lt;_cited_count&gt;12&lt;/_cited_count&gt;&lt;_date_display&gt;2020&lt;/_date_display&gt;&lt;_date&gt;2020-01-01&lt;/_date&gt;&lt;_doi&gt;10.35833/mpce.2019.000321&lt;/_doi&gt;&lt;_issue&gt;3&lt;/_issue&gt;&lt;_journal&gt;JOURNAL OF MODERN POWER SYSTEMS AND CLEAN ENERGY&lt;/_journal&gt;&lt;_keywords&gt;Active power de-loading control; high-voltage ride through (HVRT); inductive power absorption; transient overvoltage&lt;/_keywords&gt;&lt;_pages&gt;491-498&lt;/_pages&gt;&lt;_volume&gt;8&lt;/_volume&gt;&lt;_created&gt;64780421&lt;/_created&gt;&lt;_modified&gt;64780423&lt;/_modified&gt;&lt;_db_updated&gt;Web of Science-Core&lt;/_db_updated&gt;&lt;_impact_factor&gt;   4.469&lt;/_impact_factor&gt;&lt;_collection_scope&gt;SCIE;EI&lt;/_collection_scope&gt;&lt;/Details&gt;&lt;Extra&gt;&lt;DBUID&gt;{6891F4B0-DCBA-459A-9A22-3059983243D4}&lt;/DBUID&gt;&lt;/Extra&gt;&lt;/Item&gt;&lt;/References&gt;&lt;/Group&gt;&lt;/Citation&gt;_x000a_"/>
    <w:docVar w:name="NE.Ref{7FD5D586-2228-4E14-BD00-0DC4A81699DF}" w:val=" ADDIN NE.Ref.{7FD5D586-2228-4E14-BD00-0DC4A81699DF}&lt;Citation&gt;&lt;Group&gt;&lt;References&gt;&lt;Item&gt;&lt;ID&gt;435&lt;/ID&gt;&lt;UID&gt;{482B683F-1FD5-4D6A-9DD0-B19E42B4A8E4}&lt;/UID&gt;&lt;Title&gt;Commutation Failure Elimination of LCC HVDC Systems Using Thyristor-Based Controllable Capacitors&lt;/Title&gt;&lt;Template&gt;Journal Article&lt;/Template&gt;&lt;Star&gt;0&lt;/Star&gt;&lt;Tag&gt;0&lt;/Tag&gt;&lt;Author&gt;Xue, Ying; Zhang, Xiao-Ping; Yang, Conghuan&lt;/Author&gt;&lt;Year&gt;2018&lt;/Year&gt;&lt;Details&gt;&lt;_accessed&gt;63446087&lt;/_accessed&gt;&lt;_accession_num&gt;WOS:000429740200044_x000d__x000a_ER&lt;/_accession_num&gt;&lt;_cited_count&gt;18&lt;/_cited_count&gt;&lt;_collection_scope&gt;SCI;SCIE;EI&lt;/_collection_scope&gt;&lt;_created&gt;63444588&lt;/_created&gt;&lt;_date_display&gt;2018, JUN 2018&lt;/_date_display&gt;&lt;_db_provider&gt;ISI&lt;/_db_provider&gt;&lt;_db_updated&gt;CrossRef&lt;/_db_updated&gt;&lt;_doi&gt;10.1109/TPWRD.2017.2776867&lt;/_doi&gt;&lt;_impact_factor&gt;   4.825&lt;/_impact_factor&gt;&lt;_isbn&gt;0885-8977&lt;/_isbn&gt;&lt;_issue&gt;3&lt;/_issue&gt;&lt;_journal&gt;IEEE Transactions on Power Delivery&lt;/_journal&gt;&lt;_modified&gt;64498622&lt;/_modified&gt;&lt;_pages&gt;1448-1458&lt;/_pages&gt;&lt;_tertiary_title&gt;IEEE Trans. Power Delivery&lt;/_tertiary_title&gt;&lt;_url&gt;https://ieeexplore.ieee.org/document/8231202/ _x000d__x000a_http://xplorestaging.ieee.org/ielx7/61/8332909/08231202.pdf?arnumber=8231202 _x000d__x000a_https://ieeexplore.ieee.org/ielx7/61/8332909/08231202.pdf?tp=&amp;amp;arnumber=8231202&amp;amp;isnumber=8332909&amp;amp;ref=aHR0cHM6Ly9pZWVleHBsb3JlLmllZWUub3JnL3Jlc3Qvc2VhcmNo _x000d__x000a_&lt;/_url&gt;&lt;_volume&gt;33&lt;/_volume&gt;&lt;/Details&gt;&lt;Extra&gt;&lt;DBUID&gt;{6891F4B0-DCBA-459A-9A22-3059983243D4}&lt;/DBUID&gt;&lt;/Extra&gt;&lt;/Item&gt;&lt;/References&gt;&lt;/Group&gt;&lt;/Citation&gt;_x000a_"/>
    <w:docVar w:name="NE.Ref{7FDF6F58-27E0-4BB9-B4D2-AE5C9696FE47}" w:val=" ADDIN NE.Ref.{7FDF6F58-27E0-4BB9-B4D2-AE5C9696FE47}&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db_provider&gt;CNKI&lt;/_db_provider&gt;&lt;_isbn&gt;1003-6520&lt;/_isbn&gt;&lt;_issue&gt;05&lt;/_issue&gt;&lt;_journal&gt;高电压技术&lt;/_journal&gt;&lt;_keywords&gt;跨区域;日前优化;双侧不确定;空间集群效应;鲁棒优化;滤子技术;协同进化算法&lt;/_keywords&gt;&lt;_pages&gt;1538-1549&lt;/_pages&gt;&lt;_volume&gt;46&lt;/_volume&gt;&lt;_created&gt;63646522&lt;/_created&gt;&lt;_modified&gt;63646522&lt;/_modified&gt;&lt;_collection_scope&gt;CSCD;PKU;EI&lt;/_collection_scope&gt;&lt;_translated_author&gt;Li, Xiaozhu;Wang, Weiqing;Wang, Haiyun;Wu, Jiahui;Xu, Qidan;Chang, Peng&lt;/_translated_author&gt;&lt;/Details&gt;&lt;Extra&gt;&lt;DBUID&gt;{F96A950B-833F-4880-A151-76DA2D6A2879}&lt;/DBUID&gt;&lt;/Extra&gt;&lt;/Item&gt;&lt;/References&gt;&lt;/Group&gt;&lt;/Citation&gt;_x000a_"/>
    <w:docVar w:name="NE.Ref{804835E3-8A99-41D7-8C4F-355A8D76C479}" w:val=" ADDIN NE.Ref.{804835E3-8A99-41D7-8C4F-355A8D76C479}&lt;Citation&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Citation&gt;_x000a_"/>
    <w:docVar w:name="NE.Ref{8084AFDA-E37B-4973-B2E7-0312AFC2E8E2}" w:val=" ADDIN NE.Ref.{8084AFDA-E37B-4973-B2E7-0312AFC2E8E2}&lt;Citation&gt;&lt;Group&gt;&lt;References&gt;&lt;Item&gt;&lt;ID&gt;672&lt;/ID&gt;&lt;UID&gt;{B6DBA7D4-5C6A-4C88-9423-A6565F782082}&lt;/UID&gt;&lt;Title&gt;Confronting Problem and Challenge of Large Scale AC-DC Hybrid Power Grid Operation&lt;/Title&gt;&lt;Template&gt;Journal Article&lt;/Template&gt;&lt;Star&gt;0&lt;/Star&gt;&lt;Tag&gt;0&lt;/Tag&gt;&lt;Author&gt;Dong, Xinzhou; Tang, Yong; Bu, Guangquan; Shen, Chen; Song, Guobing; Wang, Zengping; Gan, Deqiang; Hou, Junxian; Wang, Bin; Zhao, Bing; Shi, Shenxing&lt;/Author&gt;&lt;Year&gt;2019&lt;/Year&gt;&lt;Details&gt;&lt;_accession_num&gt;CSCD:6508051&lt;/_accession_num&gt;&lt;_cited_count&gt;0&lt;/_cited_count&gt;&lt;_date_display&gt;2019, 2019&lt;/_date_display&gt;&lt;_isbn&gt;0258-8013&lt;/_isbn&gt;&lt;_issue&gt;11&lt;/_issue&gt;&lt;_journal&gt;Proceedings of the Chinese Society of Electrical Engineering&lt;/_journal&gt;&lt;_pages&gt;3107-3118&lt;/_pages&gt;&lt;_tertiary_title&gt;中国电机工程学报&lt;/_tertiary_title&gt;&lt;_translated_author&gt;董新洲_x000d__x000a_   汤涌_x000d__x000a_   卜广全_x000d__x000a_   沈沉_x000d__x000a_   宋国兵_x000d__x000a_   王增平_x000d__x000a_   甘德强_x000d__x000a_   侯俊贤_x000d__x000a_   王宾_x000d__x000a_   赵兵_x000d__x000a_   施慎行&lt;/_translated_author&gt;&lt;_translated_title&gt;大型交直流混联电网安全运行面临的问题与挑战&lt;/_translated_title&gt;&lt;_url&gt;CSCD:6508051&lt;/_url&gt;&lt;_volume&gt;39&lt;/_volume&gt;&lt;_created&gt;63459184&lt;/_created&gt;&lt;_modified&gt;63459187&lt;/_modified&gt;&lt;_db_provider&gt;ISI&lt;/_db_provider&gt;&lt;_db_updated&gt;Web of Science-All&lt;/_db_updated&gt;&lt;_accessed&gt;63459187&lt;/_accessed&gt;&lt;/Details&gt;&lt;Extra&gt;&lt;DBUID&gt;{6891F4B0-DCBA-459A-9A22-3059983243D4}&lt;/DBUID&gt;&lt;/Extra&gt;&lt;/Item&gt;&lt;/References&gt;&lt;/Group&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46009&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3.588&lt;/_impact_factor&gt;&lt;_isbn&gt;0142-0615&lt;/_isbn&gt;&lt;_issue&gt;UNSP 105492&lt;/_issue&gt;&lt;_journal&gt;INTERNATIONAL JOURNAL OF ELECTRICAL POWER &amp;amp; ENERGY SYSTEMS&lt;/_journal&gt;&lt;_modified&gt;63446030&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Citation&gt;_x000a_"/>
    <w:docVar w:name="NE.Ref{80DD260A-ACE7-492F-9540-510F9463F4A1}" w:val=" ADDIN NE.Ref.{80DD260A-ACE7-492F-9540-510F9463F4A1}&lt;Citation&gt;&lt;Group&gt;&lt;References&gt;&lt;Item&gt;&lt;ID&gt;431&lt;/ID&gt;&lt;UID&gt;{0EBB3B78-3C17-48FB-9365-253FDA1BA525}&lt;/UID&gt;&lt;Title&gt;考虑虚拟电厂的电力系统多目标优化及政策模拟&lt;/Title&gt;&lt;Template&gt;Thesis&lt;/Template&gt;&lt;Star&gt;0&lt;/Star&gt;&lt;Tag&gt;0&lt;/Tag&gt;&lt;Author&gt;霍慧娟&lt;/Author&gt;&lt;Year&gt;2018&lt;/Year&gt;&lt;Details&gt;&lt;_created&gt;63648557&lt;/_created&gt;&lt;_db_provider&gt;CNKI&lt;/_db_provider&gt;&lt;_keywords&gt;虚拟电厂;经济调度;环境价值;双层随机优化;系统动力学&lt;/_keywords&gt;&lt;_modified&gt;63648557&lt;/_modified&gt;&lt;_publisher&gt;华北电力大学(北京)&lt;/_publisher&gt;&lt;_tertiary_author&gt;董军&lt;/_tertiary_author&gt;&lt;_type_work&gt;博士&lt;/_type_work&gt;&lt;_translated_author&gt;Huo, Huijuan&lt;/_translated_author&gt;&lt;_translated_tertiary_author&gt;Dong, Jun&lt;/_translated_tertiary_author&gt;&lt;/Details&gt;&lt;Extra&gt;&lt;DBUID&gt;{F96A950B-833F-4880-A151-76DA2D6A2879}&lt;/DBUID&gt;&lt;/Extra&gt;&lt;/Item&gt;&lt;/References&gt;&lt;/Group&gt;&lt;/Citation&gt;_x000a_"/>
    <w:docVar w:name="NE.Ref{811B9332-DF42-4E7D-BFF1-C1DBB505C6B1}" w:val=" ADDIN NE.Ref.{811B9332-DF42-4E7D-BFF1-C1DBB505C6B1}&lt;Citation&gt;&lt;Group&gt;&lt;References&gt;&lt;Item&gt;&lt;ID&gt;607&lt;/ID&gt;&lt;UID&gt;{1F564F4B-99B4-4B82-A1C7-4DFA70BB5EA1}&lt;/UID&gt;&lt;Title&gt;Decomposition for large-scale global optimization based on quantified variable correlations uncovered by metamodelling&lt;/Title&gt;&lt;Template&gt;Journal Article&lt;/Template&gt;&lt;Star&gt;0&lt;/Star&gt;&lt;Tag&gt;0&lt;/Tag&gt;&lt;Author&gt;Hajikolaei, Kambiz Haji; Pirmoradi, Zhila; Cheng, George H; Wang, G Gary&lt;/Author&gt;&lt;Year&gt;2015&lt;/Year&gt;&lt;Details&gt;&lt;_collection_scope&gt;SCIE;EI&lt;/_collection_scope&gt;&lt;_created&gt;63705196&lt;/_created&gt;&lt;_impact_factor&gt;   2.165&lt;/_impact_factor&gt;&lt;_issue&gt;4&lt;/_issue&gt;&lt;_journal&gt;Engineering Optimization&lt;/_journal&gt;&lt;_modified&gt;63705196&lt;/_modified&gt;&lt;_pages&gt;1-30&lt;/_pages&gt;&lt;_volume&gt;47&lt;/_volume&gt;&lt;/Details&gt;&lt;Extra&gt;&lt;DBUID&gt;{F96A950B-833F-4880-A151-76DA2D6A2879}&lt;/DBUID&gt;&lt;/Extra&gt;&lt;/Item&gt;&lt;/References&gt;&lt;/Group&gt;&lt;/Citation&gt;_x000a_"/>
    <w:docVar w:name="NE.Ref{819CE131-DCFF-4202-A85F-D5772DC3C9DD}" w:val=" ADDIN NE.Ref.{819CE131-DCFF-4202-A85F-D5772DC3C9DD}&lt;Citation&gt;&lt;Group&gt;&lt;References&gt;&lt;Item&gt;&lt;ID&gt;410&lt;/ID&gt;&lt;UID&gt;{AE1D83D3-6007-4A28-97A9-6C54B816E029}&lt;/UID&gt;&lt;Title&gt;Commutation Failure Prediction Method Considering Commutation Voltage Distortion and DC Current Variation&lt;/Title&gt;&lt;Template&gt;Journal Article&lt;/Template&gt;&lt;Star&gt;0&lt;/Star&gt;&lt;Tag&gt;0&lt;/Tag&gt;&lt;Author&gt;Wang, Qi; Zhang, Chaoming; Wu, Xingquan; Tang, Yi&lt;/Author&gt;&lt;Year&gt;2019&lt;/Year&gt;&lt;Details&gt;&lt;_accessed&gt;63459153&lt;/_accessed&gt;&lt;_accession_num&gt;WOS:000478961900093_x000d__x000a_ER&lt;/_accession_num&gt;&lt;_cited_count&gt;3&lt;/_cited_count&gt;&lt;_collection_scope&gt;SCIE;EI&lt;/_collection_scope&gt;&lt;_created&gt;63444588&lt;/_created&gt;&lt;_date_display&gt;2019, 2019&lt;/_date_display&gt;&lt;_db_provider&gt;ISI&lt;/_db_provider&gt;&lt;_doi&gt;10.1109/ACCESS.2019.2929301&lt;/_doi&gt;&lt;_impact_factor&gt;   3.745&lt;/_impact_factor&gt;&lt;_isbn&gt;2169-3536&lt;/_isbn&gt;&lt;_journal&gt;IEEE ACCESS&lt;/_journal&gt;&lt;_modified&gt;63446040&lt;/_modified&gt;&lt;_pages&gt;96531-96539&lt;/_pages&gt;&lt;_url&gt;http://gateway.isiknowledge.com/gateway/Gateway.cgi?GWVersion=2&amp;amp;SrcAuth=AegeanSoftware&amp;amp;SrcApp=NoteExpress&amp;amp;DestLinkType=FullRecord&amp;amp;DestApp=WOS&amp;amp;KeyUT=000478961900093 _x000d__x000a_https://ieeexplore.ieee.org/ielx7/6287639/8600701/08764543.pdf?tp=&amp;amp;arnumber=8764543&amp;amp;isnumber=8600701&amp;amp;ref=aHR0cHM6Ly9pZWVleHBsb3JlLmllZWUub3JnL3Jlc3Qvc2VhcmNo _x000d__x000a_&lt;/_url&gt;&lt;_volume&gt;7&lt;/_volume&gt;&lt;/Details&gt;&lt;Extra&gt;&lt;DBUID&gt;{6891F4B0-DCBA-459A-9A22-3059983243D4}&lt;/DBUID&gt;&lt;/Extra&gt;&lt;/Item&gt;&lt;/References&gt;&lt;/Group&gt;&lt;/Citation&gt;_x000a_"/>
    <w:docVar w:name="NE.Ref{8343BDE4-93E1-4546-AA8B-D73BEED017BD}" w:val=" ADDIN NE.Ref.{8343BDE4-93E1-4546-AA8B-D73BEED017BD}&lt;Citation&gt;&lt;Group&gt;&lt;References&gt;&lt;Item&gt;&lt;ID&gt;130&lt;/ID&gt;&lt;UID&gt;{8041213B-CD5E-4D19-85D6-F8FA64E0DCAC}&lt;/UID&gt;&lt;Title&gt;考虑源荷低碳特性互补的含风电电力系统经济调度&lt;/Title&gt;&lt;Template&gt;Journal Article&lt;/Template&gt;&lt;Star&gt;0&lt;/Star&gt;&lt;Tag&gt;0&lt;/Tag&gt;&lt;Author&gt;崔杨; 邓贵波; 赵钰婷; 仲悟之; 唐耀华; 刘新元&lt;/Author&gt;&lt;Year&gt;2021&lt;/Year&gt;&lt;Details&gt;&lt;_language&gt;Chinese&lt;/_language&gt;&lt;_created&gt;64322963&lt;/_created&gt;&lt;_modified&gt;64322963&lt;/_modified&gt;&lt;_url&gt;https://kns.cnki.net/kcms/detail/detail.aspx?FileName=ZGDC202114007&amp;amp;DbName=DKFX2021&lt;/_url&gt;&lt;_journal&gt;中国电机工程学报&lt;/_journal&gt;&lt;_volume&gt;41&lt;/_volume&gt;&lt;_issue&gt;14&lt;/_issue&gt;&lt;_pages&gt;4799-4815&lt;/_pages&gt;&lt;_cited_count&gt;3&lt;/_cited_count&gt;&lt;_date&gt;63878400&lt;/_date&gt;&lt;_keywords&gt;低碳;碳捕集电厂;风电;需求响应;综合成本&lt;/_keywords&gt;&lt;_author_aff&gt;现代电力系统仿真控制与绿色电能新技术教育部重点实验室(东北电力大学);中国电力科学研究院有限公司;润电能源科学技术有限公司;国网山西省电力科学研究院;&lt;/_author_aff&gt;&lt;_accessed&gt;64322963&lt;/_accessed&gt;&lt;_db_updated&gt;CNKI - Reference&lt;/_db_updated&gt;&lt;_collection_scope&gt;CSCD;PKU;EI&lt;/_collection_scope&gt;&lt;_translated_author&gt;Cui, Yang;Deng, Guibo;Zhao, Yuting;Zhong, Wuzhi;Tang, Yaohua;Liu, Xinyuan&lt;/_translated_author&gt;&lt;/Details&gt;&lt;Extra&gt;&lt;DBUID&gt;{560D5FFD-5A46-4EB8-859B-FD657304A42E}&lt;/DBUID&gt;&lt;/Extra&gt;&lt;/Item&gt;&lt;/References&gt;&lt;/Group&gt;&lt;/Citation&gt;_x000a_"/>
    <w:docVar w:name="NE.Ref{8411E350-C3DC-4320-A5B4-F9A1BF199093}" w:val=" ADDIN NE.Ref.{8411E350-C3DC-4320-A5B4-F9A1BF199093}&lt;Citation&gt;&lt;Group&gt;&lt;References&gt;&lt;Item&gt;&lt;ID&gt;648&lt;/ID&gt;&lt;UID&gt;{9864421F-716F-4C3A-95DB-D294DF41BC5F}&lt;/UID&gt;&lt;Title&gt;Reactive Power Control Strategy for Inhibiting Transient Overvoltage Caused by Commutation Failure&lt;/Title&gt;&lt;Template&gt;Journal Article&lt;/Template&gt;&lt;Star&gt;0&lt;/Star&gt;&lt;Tag&gt;0&lt;/Tag&gt;&lt;Author&gt;Yin, C Y; Li, F T&lt;/Author&gt;&lt;Year&gt;2021&lt;/Year&gt;&lt;Details&gt;&lt;_accessed&gt;64494517&lt;/_accessed&gt;&lt;_alternate_title&gt;IEEE TRANSACTIONS ON POWER SYSTEMS&lt;/_alternate_title&gt;&lt;_author_adr&gt;Xinjiang Univ, Sch Elect Engn, Urumqi 830047, Peoples R China&lt;/_author_adr&gt;&lt;_cited_count&gt;4&lt;/_cited_count&gt;&lt;_collection_scope&gt;SCI;SCIE;EI&lt;/_collection_scope&gt;&lt;_created&gt;64493973&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494517&lt;/_modified&gt;&lt;_pages&gt;4764-4777&lt;/_pages&gt;&lt;_url&gt;https://ieeexplore.ieee.org/stampPDF/getPDF.jsp?tp=&amp;amp;arnumber=9369111&amp;amp;ref=aHR0cHM6Ly9pZWVleHBsb3JlLmllZWUub3JnL3Jlc3Qvc2VhcmNo _x000d__x000a_&lt;/_url&gt;&lt;_volume&gt;36&lt;/_volume&gt;&lt;/Details&gt;&lt;Extra&gt;&lt;DBUID&gt;{F96A950B-833F-4880-A151-76DA2D6A2879}&lt;/DBUID&gt;&lt;/Extra&gt;&lt;/Item&gt;&lt;/References&gt;&lt;/Group&gt;&lt;/Citation&gt;_x000a_"/>
    <w:docVar w:name="NE.Ref{844A3985-7C5E-4726-95FB-A60D5512CDF1}" w:val=" ADDIN NE.Ref.{844A3985-7C5E-4726-95FB-A60D5512CDF1}&lt;Citation&gt;&lt;Group&gt;&lt;References&gt;&lt;Item&gt;&lt;ID&gt;643&lt;/ID&gt;&lt;UID&gt;{7AB98618-CF1B-4927-8B79-E8E7C8CD2B11}&lt;/UID&gt;&lt;Title&gt;基于小波能量统计法的HVDC换相失败故障诊断&lt;/Title&gt;&lt;Template&gt;Journal Article&lt;/Template&gt;&lt;Star&gt;0&lt;/Star&gt;&lt;Tag&gt;0&lt;/Tag&gt;&lt;Author&gt;林凌雪; 张尧; 钟庆; 武志刚&lt;/Author&gt;&lt;Year&gt;2007&lt;/Year&gt;&lt;Details&gt;&lt;_accessed&gt;63444807&lt;/_accessed&gt;&lt;_accession_num&gt;CSCD:3047898_x000d__x000a_ER&lt;/_accession_num&gt;&lt;_cited_count&gt;1&lt;/_cited_count&gt;&lt;_collection_scope&gt;CSCD;PKU;EI&lt;/_collection_scope&gt;&lt;_created&gt;63444588&lt;/_created&gt;&lt;_date_display&gt;2007, 2007&lt;/_date_display&gt;&lt;_db_provider&gt;ISI&lt;/_db_provider&gt;&lt;_isbn&gt;1000-1026&lt;/_isbn&gt;&lt;_issue&gt;1000-1026(2007)31:23&amp;lt;61:JYXBNL&amp;gt;2.0.TX;2-M23&lt;/_issue&gt;&lt;_journal&gt;电力系统自动化&lt;/_journal&gt;&lt;_modified&gt;63444810&lt;/_modified&gt;&lt;_pages&gt;61-64&lt;/_pages&gt;&lt;_tertiary_title&gt;Automation of Electric Power Systems&lt;/_tertiary_title&gt;&lt;_translated_author&gt;LIN, Lingxue; ZHANG, Yao; ZHONG, Qing; WU, Zhigang&lt;/_translated_author&gt;&lt;_translated_title&gt;Fault Diagnosis of Commutation Failures in the HVDC System Based on a Method of Wavelet Energy Statistics &lt;/_translated_title&gt;&lt;_url&gt;CSCD:3047898 _x000d__x000a_https://kns.cnki.net/kns/download.aspx?filename=qhHdQRWOIVFUw10MwQ0QvRDbEJVU20Wa49mcDZ0NyBlQPV3Q5JUVxsmZXJ2NWFVcUhWd4NncUVWRJt2YFV1a29UNJdzVy92bYVzZYV1dHZGW2cTNH1kSzBnMN5UQmVUSv9iZSBnYykjM1YlQGJ2QNdFbDJlQ3AzK&amp;amp;tablename=CJFD2007&amp;amp;dflag=pdfdown _x000d__x000a_&lt;/_url&gt;&lt;_volume&gt;31&lt;/_volume&gt;&lt;/Details&gt;&lt;Extra&gt;&lt;DBUID&gt;{6891F4B0-DCBA-459A-9A22-3059983243D4}&lt;/DBUID&gt;&lt;/Extra&gt;&lt;/Item&gt;&lt;/References&gt;&lt;/Group&gt;&lt;/Citation&gt;_x000a_"/>
    <w:docVar w:name="NE.Ref{850DBCC5-8F60-4321-B97B-D39CEFBF3F23}" w:val=" ADDIN NE.Ref.{850DBCC5-8F60-4321-B97B-D39CEFBF3F23}&lt;Citation&gt;&lt;Group&gt;&lt;References&gt;&lt;Item&gt;&lt;ID&gt;54&lt;/ID&gt;&lt;UID&gt;{52395079-C75E-4B08-8F9F-6BF05F3F845A}&lt;/UID&gt;&lt;Title&gt;鲁棒优化在电力系统调度决策中的应用研究综述&lt;/Title&gt;&lt;Template&gt;Journal Article&lt;/Template&gt;&lt;Star&gt;0&lt;/Star&gt;&lt;Tag&gt;0&lt;/Tag&gt;&lt;Author&gt;于丹文; 杨明; 翟鹤峰; 韩学山&lt;/Author&gt;&lt;Year&gt;2016&lt;/Year&gt;&lt;Details&gt;&lt;_accessed&gt;64320413&lt;/_accessed&gt;&lt;_author_aff&gt;电网智能化调度与控制教育部重点实验室(山东大学);&lt;/_author_aff&gt;&lt;_collection_scope&gt;CSCD;PKU;EI&lt;/_collection_scope&gt;&lt;_created&gt;64100010&lt;/_created&gt;&lt;_date&gt;61153920&lt;/_date&gt;&lt;_db_updated&gt;CNKI - Reference&lt;/_db_updated&gt;&lt;_issue&gt;07&lt;/_issue&gt;&lt;_journal&gt;电力系统自动化&lt;/_journal&gt;&lt;_keywords&gt;鲁棒优化;调度决策;机组组合;经济调度&lt;/_keywords&gt;&lt;_language&gt;Chinese&lt;/_language&gt;&lt;_modified&gt;64303994&lt;/_modified&gt;&lt;_pages&gt;134-143+148&lt;/_pages&gt;&lt;_url&gt;https://kns.cnki.net/kcms/detail/detail.aspx?FileName=DLXT201607020&amp;amp;DbName=CJFQ2016&lt;/_url&gt;&lt;_volume&gt;40&lt;/_volume&gt;&lt;_translated_author&gt;Yu, Danwen;Yang, Ming;Zhai, Hefeng;Han, Xueshan&lt;/_translated_author&gt;&lt;/Details&gt;&lt;Extra&gt;&lt;DBUID&gt;{560D5FFD-5A46-4EB8-859B-FD657304A42E}&lt;/DBUID&gt;&lt;/Extra&gt;&lt;/Item&gt;&lt;/References&gt;&lt;/Group&gt;&lt;/Citation&gt;_x000a_"/>
    <w:docVar w:name="NE.Ref{857008A7-C377-419A-994A-16F682D33646}" w:val=" ADDIN NE.Ref.{857008A7-C377-419A-994A-16F682D33646}&lt;Citation&gt;&lt;Group&gt;&lt;References&gt;&lt;Item&gt;&lt;ID&gt;408&lt;/ID&gt;&lt;UID&gt;{F7CC8877-F704-421F-BF11-9C1BC7D1AA90}&lt;/UID&gt;&lt;Title&gt;基于改进PSO算法的动态环境经济调度研究&lt;/Title&gt;&lt;Template&gt;Journal Article&lt;/Template&gt;&lt;Star&gt;0&lt;/Star&gt;&lt;Tag&gt;0&lt;/Tag&gt;&lt;Author&gt;稳国栋&lt;/Author&gt;&lt;Year&gt;2017&lt;/Year&gt;&lt;Details&gt;&lt;_created&gt;63641961&lt;/_created&gt;&lt;_issue&gt;02&lt;/_issue&gt;&lt;_journal&gt;黑龙江电力&lt;/_journal&gt;&lt;_modified&gt;63641961&lt;/_modified&gt;&lt;_pages&gt;120-124&lt;/_pages&gt;&lt;_translated_author&gt;Wen, Guodong&lt;/_translated_author&gt;&lt;/Details&gt;&lt;Extra&gt;&lt;DBUID&gt;{F96A950B-833F-4880-A151-76DA2D6A2879}&lt;/DBUID&gt;&lt;/Extra&gt;&lt;/Item&gt;&lt;/References&gt;&lt;/Group&gt;&lt;/Citation&gt;_x000a_"/>
    <w:docVar w:name="NE.Ref{85BB625C-0156-43C5-9F30-A192FC7CB0F0}" w:val=" ADDIN NE.Ref.{85BB625C-0156-43C5-9F30-A192FC7CB0F0}&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uthor_aff&gt;四川大学电气信息学院;&lt;/_author_aff&gt;&lt;_cited_count&gt;64&lt;/_cited_count&gt;&lt;_date&gt;2016-07-07&lt;/_date&gt;&lt;_issue&gt;10&lt;/_issue&gt;&lt;_journal&gt;电网技术&lt;/_journal&gt;&lt;_keywords&gt;高压直流;暂态过电压;短路比;影响因素;故障分析;机理分析&lt;/_keywords&gt;&lt;_pages&gt;3059-3065&lt;/_pages&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_created&gt;64646900&lt;/_created&gt;&lt;_modified&gt;64646901&lt;/_modified&gt;&lt;_db_updated&gt;CNKI - Reference&lt;/_db_updated&gt;&lt;_collection_scope&gt;CSCD;PKU;EI&lt;/_collection_scope&gt;&lt;_translated_author&gt;Wang, Feng;Liu, Tianqi;Ding, Yuanyuan;Ceng, Qi;Li, Xingyuan&lt;/_translated_author&gt;&lt;/Details&gt;&lt;Extra&gt;&lt;DBUID&gt;{6891F4B0-DCBA-459A-9A22-3059983243D4}&lt;/DBUID&gt;&lt;/Extra&gt;&lt;/Item&gt;&lt;/References&gt;&lt;/Group&gt;&lt;/Citation&gt;_x000a_"/>
    <w:docVar w:name="NE.Ref{87ADE4E4-12F3-4969-B583-747AFBCDD499}" w:val=" ADDIN NE.Ref.{87ADE4E4-12F3-4969-B583-747AFBCDD499}&lt;Citation&gt;&lt;Group&gt;&lt;References&gt;&lt;Item&gt;&lt;ID&gt;644&lt;/ID&gt;&lt;UID&gt;{A1B7B564-9E0B-4A48-AA5A-163DF6E045F1}&lt;/UID&gt;&lt;Title&gt;Planning multiple energy systems for low-carbon districts with high penetration of renewable energy: An empirical study in China&lt;/Title&gt;&lt;Template&gt;Journal Article&lt;/Template&gt;&lt;Star&gt;0&lt;/Star&gt;&lt;Tag&gt;0&lt;/Tag&gt;&lt;Author&gt;Cheng, Yaohua; Zhang, Ning; Kirschen, Daniel S; Huang, Wujing; Kang, Chongqing&lt;/Author&gt;&lt;Year&gt;2020&lt;/Year&gt;&lt;Details&gt;&lt;_journal&gt;Applied Energy&lt;/_journal&gt;&lt;_pages&gt;114390&lt;/_pages&gt;&lt;_volume&gt;261&lt;/_volume&gt;&lt;_created&gt;63705606&lt;/_created&gt;&lt;_modified&gt;63705606&lt;/_modified&gt;&lt;_impact_factor&gt;   8.848&lt;/_impact_factor&gt;&lt;_collection_scope&gt;SCI;SCIE;EI&lt;/_collection_scope&gt;&lt;/Details&gt;&lt;Extra&gt;&lt;DBUID&gt;{F96A950B-833F-4880-A151-76DA2D6A2879}&lt;/DBUID&gt;&lt;/Extra&gt;&lt;/Item&gt;&lt;/References&gt;&lt;/Group&gt;&lt;/Citation&gt;_x000a_"/>
    <w:docVar w:name="NE.Ref{88158F98-59A5-4810-9528-9A0A53842ADB}" w:val=" ADDIN NE.Ref.{88158F98-59A5-4810-9528-9A0A53842ADB}&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8852CCC6-FA18-4B52-9273-428D167A7A44}" w:val=" ADDIN NE.Ref.{8852CCC6-FA18-4B52-9273-428D167A7A44}&lt;Citation&gt;&lt;Group&gt;&lt;References&gt;&lt;Item&gt;&lt;ID&gt;886&lt;/ID&gt;&lt;UID&gt;{5493524B-56F1-4053-B9BE-BE4D8B75B3C8}&lt;/UID&gt;&lt;Title&gt;A novel evaluation method for the risk of simultaneous commutation failure in multi-infeed HVDC-systems that considers DC current rise&lt;/Title&gt;&lt;Template&gt;Journal Article&lt;/Template&gt;&lt;Star&gt;0&lt;/Star&gt;&lt;Tag&gt;0&lt;/Tag&gt;&lt;Author&gt;Yin, C Y; Li, F T&lt;/Author&gt;&lt;Year&gt;2021&lt;/Year&gt;&lt;Details&gt;&lt;_accessed&gt;64651006&lt;/_accessed&gt;&lt;_alternate_title&gt;INTERNATIONAL JOURNAL OF ELECTRICAL POWER &amp;amp; ENERGY SYSTEMS&lt;/_alternate_title&gt;&lt;_author_adr&gt;Xinjiang Univ, Sch Elect Engn, Urumqi, Peoples R China&lt;/_author_adr&gt;&lt;_cited_count&gt;2&lt;/_cited_count&gt;&lt;_collection_scope&gt;SCIE;EI&lt;/_collection_scope&gt;&lt;_created&gt;64649804&lt;/_created&gt;&lt;_date&gt;2021-01-01&lt;/_date&gt;&lt;_date_display&gt;2021&lt;/_date_display&gt;&lt;_db_updated&gt;Web of Science-Core&lt;/_db_updated&gt;&lt;_doi&gt;10.1016/j.ijepes.2021.107051&lt;/_doi&gt;&lt;_impact_factor&gt;   5.659&lt;/_impact_factor&gt;&lt;_journal&gt;INTERNATIONAL JOURNAL OF ELECTRICAL POWER &amp;amp; ENERGY SYSTEMS&lt;/_journal&gt;&lt;_keywords&gt;Extinction angle; Commutation failure; DC current; HVDC&lt;/_keywords&gt;&lt;_modified&gt;64649806&lt;/_modified&gt;&lt;_volume&gt;131&lt;/_volume&gt;&lt;/Details&gt;&lt;Extra&gt;&lt;DBUID&gt;{6891F4B0-DCBA-459A-9A22-3059983243D4}&lt;/DBUID&gt;&lt;/Extra&gt;&lt;/Item&gt;&lt;/References&gt;&lt;/Group&gt;&lt;/Citation&gt;_x000a_"/>
    <w:docVar w:name="NE.Ref{88D20629-1395-4EB0-812D-0190D55FC0C1}" w:val=" ADDIN NE.Ref.{88D20629-1395-4EB0-812D-0190D55FC0C1}&lt;Citation&gt;&lt;Group&gt;&lt;References&gt;&lt;Item&gt;&lt;ID&gt;643&lt;/ID&gt;&lt;UID&gt;{953E367F-5AFE-4602-A4E0-A38CBF3A11B9}&lt;/UID&gt;&lt;Title&gt;A Distributed Control Architecture for Global System Economic Operation in Autonomous Hybrid AC/DC Microgrids&lt;/Title&gt;&lt;Template&gt;Journal Article&lt;/Template&gt;&lt;Star&gt;0&lt;/Star&gt;&lt;Tag&gt;0&lt;/Tag&gt;&lt;Author&gt;Lin, Pengfeng; Jin, Chi; Xiao, Jianfang; Li, Xiaoqiang; Shi, Donghan; Tang, Yi; Wang, Peng&lt;/Author&gt;&lt;Year&gt;2018&lt;/Year&gt;&lt;Details&gt;&lt;_journal&gt;Smart Grid, IEEE Transactions on&lt;/_journal&gt;&lt;_created&gt;63705592&lt;/_created&gt;&lt;_modified&gt;63705592&lt;/_modified&gt;&lt;/Details&gt;&lt;Extra&gt;&lt;DBUID&gt;{F96A950B-833F-4880-A151-76DA2D6A2879}&lt;/DBUID&gt;&lt;/Extra&gt;&lt;/Item&gt;&lt;/References&gt;&lt;/Group&gt;&lt;/Citation&gt;_x000a_"/>
    <w:docVar w:name="NE.Ref{891E679C-B668-4F30-B604-93B8F9A5A61F}" w:val=" ADDIN NE.Ref.{891E679C-B668-4F30-B604-93B8F9A5A61F}&lt;Citation&gt;&lt;Group&gt;&lt;References&gt;&lt;Item&gt;&lt;ID&gt;486&lt;/ID&gt;&lt;UID&gt;{574D1813-A53B-45B1-AF36-3055B27AE56A}&lt;/UID&gt;&lt;Title&gt;Application of modified NSGA-Ⅱ algorithm to Combined Economic and Emission Dispatch problem&lt;/Title&gt;&lt;Template&gt;Journal Article&lt;/Template&gt;&lt;Star&gt;0&lt;/Star&gt;&lt;Tag&gt;0&lt;/Tag&gt;&lt;Author&gt;Dhanalakshmi, S; Kannan, S; Mahadevan, K; Baskar, S&lt;/Author&gt;&lt;Year&gt;2011&lt;/Year&gt;&lt;Details&gt;&lt;_created&gt;63650782&lt;/_created&gt;&lt;_journal&gt;International journal of electrical power and energy systems&lt;/_journal&gt;&lt;_modified&gt;63650782&lt;/_modified&gt;&lt;/Details&gt;&lt;Extra&gt;&lt;DBUID&gt;{F96A950B-833F-4880-A151-76DA2D6A2879}&lt;/DBUID&gt;&lt;/Extra&gt;&lt;/Item&gt;&lt;/References&gt;&lt;/Group&gt;&lt;/Citation&gt;_x000a_"/>
    <w:docVar w:name="NE.Ref{8934D1EC-696B-4B5A-8B2C-53EB75A5F35D}" w:val=" ADDIN NE.Ref.{8934D1EC-696B-4B5A-8B2C-53EB75A5F35D}&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8962EF8B-582A-4BEC-899D-ECC8010FCA78}" w:val=" ADDIN NE.Ref.{8962EF8B-582A-4BEC-899D-ECC8010FCA78}&lt;Citation&gt;&lt;Group&gt;&lt;References&gt;&lt;Item&gt;&lt;ID&gt;93&lt;/ID&gt;&lt;UID&gt;{050EE12A-708A-4C23-87DA-0F9759E57126}&lt;/UID&gt;&lt;Title&gt;Impact of Energy Storage on Security-Constrained Unit Commitment of Power System with Wind Power Integration&lt;/Title&gt;&lt;Template&gt;Conference Proceedings&lt;/Template&gt;&lt;Star&gt;1&lt;/Star&gt;&lt;Tag&gt;0&lt;/Tag&gt;&lt;Author&gt;Xi, Yanna; Song, Baotong; Li, Wei; Zhang, Hongyu; Wang, Fangmin&lt;/Author&gt;&lt;Year&gt;2020&lt;/Year&gt;&lt;Details&gt;&lt;_accessed&gt;64355827&lt;/_accessed&gt;&lt;_created&gt;64303838&lt;/_created&gt;&lt;_date&gt;63113760&lt;/_date&gt;&lt;_date_display&gt;2020&lt;/_date_display&gt;&lt;_db_updated&gt;PKU Search&lt;/_db_updated&gt;&lt;_doi&gt;10.1109/EI250167.2020.9347377&lt;/_doi&gt;&lt;_keywords&gt;Analytical models; Energy storage; Load modeling; Systems operation; unit commitment; Wind forecasting; wind power; Wind power generation; Wind turbines&lt;/_keywords&gt;&lt;_modified&gt;64303840&lt;/_modified&gt;&lt;_number&gt;1&lt;/_number&gt;&lt;_pages&gt;988-993&lt;/_pages&gt;&lt;_publisher&gt;IEEE&lt;/_publisher&gt;&lt;_url&gt;http://pku.summon.serialssolutions.com/2.0.0/link/0/eLvHCXMwlV1dS8MwFA3bnnxS2cRv8gPsljZtPp6lw4nCYAPBl5E0NzCUdoj7_96kYaL44lsJ_YBccu85ac49hPBiyrJfOQFKL72uPOcaEQpvGleZRnjupTCCuyBOfn1WT8tiXlePA3J3kMYAQDyLBtNwGX_tu67Zh52zmeal5FIOyVAx1Uu3kkYnZ3pWL7C650IiByzYNN37w0MllpD58f--dkIm31o8ujxUmVMygHZM3hdR3Eg7T-so3qMr5M6YGmjX0lWypMuCGWe0gABHA7akQQ2yjcfKw5PLYJBG-5blNOzH0hck6Gl4kdpIYNgmZD2v1_cPWfJNyLZY3zMQwgplS1M6l3Oba2gQR9hCulwrAxIAMaHivNQW8Z1SBheiR9pSgGXWQcXPyKjtWjgn1FujJOTCS6bKCoy1SLAkvh1JVsWMvSDjMFGbXd8ZY5Pm6PLv4StyFGIRMz-7JqPPjz3ckOHubX8bg_cFnU2iXQ&lt;/_url&gt;&lt;/Details&gt;&lt;Extra&gt;&lt;DBUID&gt;{560D5FFD-5A46-4EB8-859B-FD657304A42E}&lt;/DBUID&gt;&lt;/Extra&gt;&lt;/Item&gt;&lt;/References&gt;&lt;/Group&gt;&lt;/Citation&gt;_x000a_"/>
    <w:docVar w:name="NE.Ref{8ACF2F50-3E83-4364-8646-163D06033573}" w:val=" ADDIN NE.Ref.{8ACF2F50-3E83-4364-8646-163D06033573}&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publisher&gt;科学出版社&lt;/_publisher&gt;&lt;_created&gt;63641861&lt;/_created&gt;&lt;_modified&gt;63641861&lt;/_modified&gt;&lt;_translated_author&gt;Wu, Lianghong;Wang, Yaonan&lt;/_translated_author&gt;&lt;/Details&gt;&lt;Extra&gt;&lt;DBUID&gt;{F96A950B-833F-4880-A151-76DA2D6A2879}&lt;/DBUID&gt;&lt;/Extra&gt;&lt;/Item&gt;&lt;/References&gt;&lt;/Group&gt;&lt;/Citation&gt;_x000a_"/>
    <w:docVar w:name="NE.Ref{8B33654E-4DFA-459C-8285-9E48AC31B9D6}" w:val=" ADDIN NE.Ref.{8B33654E-4DFA-459C-8285-9E48AC31B9D6}&lt;Citation&gt;&lt;Group&gt;&lt;References&gt;&lt;Item&gt;&lt;ID&gt;873&lt;/ID&gt;&lt;UID&gt;{3FFF440F-D99C-4B51-9C25-CC6113EC0F58}&lt;/UID&gt;&lt;Title&gt;抑制直流单极闭锁引起大规模风电机组脱网的直流控制策略&lt;/Title&gt;&lt;Template&gt;Journal Article&lt;/Template&gt;&lt;Star&gt;0&lt;/Star&gt;&lt;Tag&gt;0&lt;/Tag&gt;&lt;Author&gt;张起瑞; 李凤婷; 尹纯亚; 刘江山; 陈睿康&lt;/Author&gt;&lt;Year&gt;2021&lt;/Year&gt;&lt;Details&gt;&lt;_accessed&gt;64647185&lt;/_accessed&gt;&lt;_author_aff&gt;新疆大学电气工程学院;&lt;/_author_aff&gt;&lt;_cited_count&gt;1&lt;/_cited_count&gt;&lt;_collection_scope&gt;CSCD;PKU;EI&lt;/_collection_scope&gt;&lt;_created&gt;64646879&lt;/_created&gt;&lt;_date&gt;2021-07-23&lt;/_date&gt;&lt;_db_updated&gt;CNKI - Reference&lt;/_db_updated&gt;&lt;_issue&gt;10&lt;/_issue&gt;&lt;_journal&gt;高电压技术&lt;/_journal&gt;&lt;_keywords&gt;交直流混联系统;单极闭锁;暂态过电压;风机高压脱网;直流控制策略&lt;/_keywords&gt;&lt;_modified&gt;64647185&lt;/_modified&gt;&lt;_pages&gt;3528-3537&lt;/_pages&gt;&lt;_tertiary_title&gt;High Voltage Engineering&lt;/_tertiary_title&gt;&lt;_translated_author&gt;ZHANG, Qirui; LI, Fengting; YIN, Chunya; LIU, Jiangshan; CHEN, Ruikang&lt;/_translated_author&gt;&lt;_translated_title&gt;DC Control Strategy for Suppressing Large-scale WTG Tripping Caused by Mono-polar Block Fault&lt;/_translated_title&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Wwr3RLRRtYESINzUbeq%2bhAl7yL%2fXgP2XIvFCNMl9HiP5LXYX1qwFXwOc1HUZT%2bTB _x000d__x000a_&lt;/_url&gt;&lt;_volume&gt;47&lt;/_volume&gt;&lt;/Details&gt;&lt;Extra&gt;&lt;DBUID&gt;{6891F4B0-DCBA-459A-9A22-3059983243D4}&lt;/DBUID&gt;&lt;/Extra&gt;&lt;/Item&gt;&lt;/References&gt;&lt;/Group&gt;&lt;Group&gt;&lt;References&gt;&lt;Item&gt;&lt;ID&gt;877&lt;/ID&gt;&lt;UID&gt;{26F617AE-6765-42DF-ACE7-AE47BD787311}&lt;/UID&gt;&lt;Title&gt;Reactive Power Control Strategy for Inhibiting Transient Overvoltage Caused by Commutation Failure&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646993&lt;/_modified&gt;&lt;_pages&gt;4764-4777&lt;/_pages&gt;&lt;_url&gt;https://ieeexplore.ieee.org/stampPDF/getPDF.jsp?tp=&amp;amp;arnumber=9369111&amp;amp;ref=aHR0cHM6Ly9pZWVleHBsb3JlLmllZWUub3JnL3Jlc3Qvc2VhcmNo _x000d__x000a_&lt;/_url&gt;&lt;_volume&gt;36&lt;/_volume&gt;&lt;/Details&gt;&lt;Extra&gt;&lt;DBUID&gt;{6891F4B0-DCBA-459A-9A22-3059983243D4}&lt;/DBUID&gt;&lt;/Extra&gt;&lt;/Item&gt;&lt;/References&gt;&lt;/Group&gt;&lt;Group&gt;&lt;References&gt;&lt;Item&gt;&lt;ID&gt;1027&lt;/ID&gt;&lt;UID&gt;{7EB40DED-9A13-4309-BBAF-0EEB41AD0266}&lt;/UID&gt;&lt;Title&gt;多直流协调的新能源送端地区暂态过电压抑制策略&lt;/Title&gt;&lt;Template&gt;Journal Article&lt;/Template&gt;&lt;Star&gt;0&lt;/Star&gt;&lt;Tag&gt;0&lt;/Tag&gt;&lt;Author&gt;张起瑞; 辛超山; 李凤婷; 尹纯亚; 刘江山; 李源&lt;/Author&gt;&lt;Year&gt;2023&lt;/Year&gt;&lt;Details&gt;&lt;_author_aff&gt;新疆大学电气工程学院;中国电建集团成都勘测设计研究院有限公司;国网新疆电力有限公司经济技术研究院;&lt;/_author_aff&gt;&lt;_date&gt;2023-01-28&lt;/_date&gt;&lt;_issue&gt;01&lt;/_issue&gt;&lt;_journal&gt;电力工程技术&lt;/_journal&gt;&lt;_keywords&gt;高比例新能源;调相机;多直流送端系统;暂态过电压;直流控制策略;直流闭锁&lt;/_keywords&gt;&lt;_pages&gt;98-106&lt;/_pages&gt;&lt;_url&gt;https://kns.cnki.net/kcms/detail/detail.aspx?FileName=JSDJ202301013&amp;amp;DbName=CJFQTEMP&lt;/_url&gt;&lt;_volume&gt;42&lt;/_volume&gt;&lt;_created&gt;64780419&lt;/_created&gt;&lt;_modified&gt;64780419&lt;/_modified&gt;&lt;_db_updated&gt;CNKI - Reference&lt;/_db_updated&gt;&lt;_translated_author&gt;Zhang, Qirui;Xin, Chaoshan;Li, Fengting;Yin, Chunya;Liu, Jiangshan;Li, Yuan&lt;/_translated_author&gt;&lt;/Details&gt;&lt;Extra&gt;&lt;DBUID&gt;{6891F4B0-DCBA-459A-9A22-3059983243D4}&lt;/DBUID&gt;&lt;/Extra&gt;&lt;/Item&gt;&lt;/References&gt;&lt;/Group&gt;&lt;/Citation&gt;_x000a_"/>
    <w:docVar w:name="NE.Ref{8B37AABB-A6D6-4F57-B2AC-73F26C150916}" w:val=" ADDIN NE.Ref.{8B37AABB-A6D6-4F57-B2AC-73F26C150916}&lt;Citation&gt;&lt;Group&gt;&lt;References&gt;&lt;Item&gt;&lt;ID&gt;344&lt;/ID&gt;&lt;UID&gt;{2197FF65-9C84-4571-B007-44BA5C6F12FC}&lt;/UID&gt;&lt;Title&gt;Simulation and analysis of cascading faults in hybrid AC/DC power grids&lt;/Title&gt;&lt;Template&gt;Journal Article&lt;/Template&gt;&lt;Star&gt;0&lt;/Star&gt;&lt;Tag&gt;0&lt;/Tag&gt;&lt;Author&gt;Dong, Xinzhou; Guan, Eryong; Jing, Liuming; Wang, Hao; Mirsaeidi, Sohrab&lt;/Author&gt;&lt;Year&gt;2020&lt;/Year&gt;&lt;Details&gt;&lt;_accessed&gt;63446009&lt;/_accessed&gt;&lt;_accession_num&gt;WOS:000491636300054_x000d__x000a_ER&lt;/_accession_num&gt;&lt;_cited_count&gt;0&lt;/_cited_count&gt;&lt;_collection_scope&gt;SCIE;EI&lt;/_collection_scope&gt;&lt;_created&gt;63444588&lt;/_created&gt;&lt;_date_display&gt;2020, FEB 2020&lt;/_date_display&gt;&lt;_db_provider&gt;ISI&lt;/_db_provider&gt;&lt;_doi&gt;10.1016/j.ijepes.2019.105492&lt;/_doi&gt;&lt;_impact_factor&gt;   3.588&lt;/_impact_factor&gt;&lt;_isbn&gt;0142-0615&lt;/_isbn&gt;&lt;_issue&gt;UNSP 105492&lt;/_issue&gt;&lt;_journal&gt;INTERNATIONAL JOURNAL OF ELECTRICAL POWER &amp;amp; ENERGY SYSTEMS&lt;/_journal&gt;&lt;_modified&gt;63446030&lt;/_modified&gt;&lt;_url&gt;http://gateway.isiknowledge.com/gateway/Gateway.cgi?GWVersion=2&amp;amp;SrcAuth=AegeanSoftware&amp;amp;SrcApp=NoteExpress&amp;amp;DestLinkType=FullRecord&amp;amp;DestApp=WOS&amp;amp;KeyUT=000491636300054 _x000d__x000a_https://pdf.sciencedirectassets.com/271479/1-s2.0-S0142061519X00095/1-s2.0-S0142061518332642/main.pdf?X-Amz-Security-Token=IQoJb3JpZ2luX2VjECkaCXVzLWVhc3QtMSJIMEYCIQDymjbX68aleK3Wo5PnAg0hwrh2K4%2FM%2BXMcdEH44p2NGgIhAKGM99NR8xPGe%2FHU64CKPDLyXz1TGdsEnF2hDA%2F3ew7UKrQDCBIQAxoMMDU5MDAzNTQ2ODY1IgzzBsXjQ0Tm0q6S9SoqkQOkrmX5Z%2Fu%2BEeH4vRiRCoMGRTQnIkc%2B9ZTJPhIxzN5VmBSN2UO8NuZjIlJHFAza1LTy2LCBWMLmGl2%2BWqsiUEsVwaIGg5yTPxQMyTysNA7oj92QQ6zGzikerv3NAw2pncDQkZ2qVhn86PftQMjW7xvs44pbRffbQ3dkUFAgMAu%2BXpr4gpLtojsJzYycxyrjHmytlOrvWJI0LWRGWnrFmUeuadyg26%2FJ3CJeOQ5XMI2Q79yiNBjBpTVMNW9ImWPCyk%2BPEkuIDVetVX8OwfR60HxSkr%2Fpb5zgOH2hsevJoNgdTiLj1sAcHkZxOos2UNs%2BTw%2BaGL3D5xVpV2zfwcVh3fbkqUeBozqX9QsA8EwXIITXWoyQpD9Ya77HrRMf1VOThlSDbsvPEq%2BVS5S%2FdNUuKQSKzaLWFyZ%2BunotkdjrN3CNhHLiaJRlEDQZuNZmlt8FO87V%2BXTFGFVqXHlgcS3lkv12e0wqWqGDZNa12DbcHuQS%2F5J2ScKOiPcWmhofDJwv0FlvtpNQhlCsN0crWGnC3Vl%2BZTCTqe75BTrqAW0925VvNriZTEgM0rHABjOqVpykPYpmGhlLCXu694I0c6wjGj28mXw8kp70QcPaAYICrQc%2ByIu0VzMJsdE1sFQ71cv2itGt13hBFR2yNOSl763beV6IgVHxWL5X9YL71QIJN4hMFRZ6c%2BQk9Gub4OxRQCFhSF7K6srM74LM6gYRIWfuvFYPUkvWM%2BmrdHaH%2Fq1gIBI1x70jFgvRKG3CWE6t0fnn5wdIwVbwWmLFVHgwePEsrFaVaCgfo1L4N71KCFm49sIhMgrN5WLcyK9JdiUYIr9CDz3rfYivUKvHsPxOMqD%2F9sfmFis8Vw%3D%3D&amp;amp;X-Amz-Algorithm=AWS4-HMAC-SHA256&amp;amp;X-Amz-Date=20200818T095000Z&amp;amp;X-Amz-SignedHeaders=host&amp;amp;X-Amz-Expires=300&amp;amp;X-Amz-Credential=ASIAQ3PHCVTY3UL74CEZ%2F20200818%2Fus-east-1%2Fs3%2Faws4_request&amp;amp;X-Amz-Signature=b2ef98bf96289a86e53218cf0fc8b0151a654387f092a79b4c53ef4a596aa98d&amp;amp;hash=711d8c155eff970210d9b1193c8771cfbe32977031f6f11022dcfeaa3a51dc0e&amp;amp;host=68042c943591013ac2b2430a89b270f6af2c76d8dfd086a07176afe7c76c2c61&amp;amp;pii=S0142061518332642&amp;amp;tid=spdf-261dea5e-e47a-4e6a-b8b1-b9e1ed910e94&amp;amp;sid=5c2a2e0d886c5947755ac5a7d3617ecd18dbgxrqa&amp;amp;type=client _x000d__x000a_&lt;/_url&gt;&lt;_volume&gt;115&lt;/_volume&gt;&lt;/Details&gt;&lt;Extra&gt;&lt;DBUID&gt;{6891F4B0-DCBA-459A-9A22-3059983243D4}&lt;/DBUID&gt;&lt;/Extra&gt;&lt;/Item&gt;&lt;/References&gt;&lt;/Group&gt;&lt;Group&gt;&lt;References&gt;&lt;Item&gt;&lt;ID&gt;672&lt;/ID&gt;&lt;UID&gt;{B6DBA7D4-5C6A-4C88-9423-A6565F782082}&lt;/UID&gt;&lt;Title&gt;Confronting Problem and Challenge of Large Scale AC-DC Hybrid Power Grid Operation&lt;/Title&gt;&lt;Template&gt;Journal Article&lt;/Template&gt;&lt;Star&gt;0&lt;/Star&gt;&lt;Tag&gt;0&lt;/Tag&gt;&lt;Author&gt;Dong, Xinzhou; Tang, Yong; Bu, Guangquan; Shen, Chen; Song, Guobing; Wang, Zengping; Gan, Deqiang; Hou, Junxian; Wang, Bin; Zhao, Bing; Shi, Shenxing&lt;/Author&gt;&lt;Year&gt;2019&lt;/Year&gt;&lt;Details&gt;&lt;_accession_num&gt;CSCD:6508051&lt;/_accession_num&gt;&lt;_cited_count&gt;0&lt;/_cited_count&gt;&lt;_date_display&gt;2019, 2019&lt;/_date_display&gt;&lt;_isbn&gt;0258-8013&lt;/_isbn&gt;&lt;_issue&gt;0258-8013(2019)39:11&amp;lt;3107:DXJZLH&amp;gt;2.0.TX;2-611&lt;/_issue&gt;&lt;_journal&gt;Proceedings of the Chinese Society of Electrical Engineering&lt;/_journal&gt;&lt;_pages&gt;3107-3118&lt;/_pages&gt;&lt;_tertiary_title&gt;中国电机工程学报&lt;/_tertiary_title&gt;&lt;_translated_author&gt;董新洲_x000d__x000a_   汤涌_x000d__x000a_   卜广全_x000d__x000a_   沈沉_x000d__x000a_   宋国兵_x000d__x000a_   王增平_x000d__x000a_   甘德强_x000d__x000a_   侯俊贤_x000d__x000a_   王宾_x000d__x000a_   赵兵_x000d__x000a_   施慎行&lt;/_translated_author&gt;&lt;_translated_title&gt;大型交直流混联电网安全运行面临的问题与挑战&lt;/_translated_title&gt;&lt;_url&gt;CSCD:6508051&lt;/_url&gt;&lt;_volume&gt;39&lt;/_volume&gt;&lt;_created&gt;63459184&lt;/_created&gt;&lt;_modified&gt;63459184&lt;/_modified&gt;&lt;_db_provider&gt;ISI&lt;/_db_provider&gt;&lt;_db_updated&gt;Web of Science-All&lt;/_db_updated&gt;&lt;/Details&gt;&lt;Extra&gt;&lt;DBUID&gt;{6891F4B0-DCBA-459A-9A22-3059983243D4}&lt;/DBUID&gt;&lt;/Extra&gt;&lt;/Item&gt;&lt;/References&gt;&lt;/Group&gt;&lt;/Citation&gt;_x000a_"/>
    <w:docVar w:name="NE.Ref{8C0D26EA-A647-4AB7-B3DB-07A64CBF4379}" w:val=" ADDIN NE.Ref.{8C0D26EA-A647-4AB7-B3DB-07A64CBF4379}&lt;Citation&gt;&lt;Group&gt;&lt;References&gt;&lt;Item&gt;&lt;ID&gt;673&lt;/ID&gt;&lt;UID&gt;{3BFC353C-EF56-4F4B-836A-BD68FC86A30C}&lt;/UID&gt;&lt;Title&gt;Definition, Connotation and Form of Strong HVDC and Weak AC and Countermeasures for Stable Operation of Hybrid Power Grid&lt;/Title&gt;&lt;Template&gt;Journal Article&lt;/Template&gt;&lt;Star&gt;0&lt;/Star&gt;&lt;Tag&gt;0&lt;/Tag&gt;&lt;Author&gt;Zheng, Chao; Ma, Shiying; Shen, Xuhui; Liu, Daowei&lt;/Author&gt;&lt;Year&gt;2017&lt;/Year&gt;&lt;Details&gt;&lt;_accessed&gt;63459189&lt;/_accessed&gt;&lt;_accession_num&gt;CSCD:6050560&lt;/_accession_num&gt;&lt;_cited_count&gt;3&lt;/_cited_count&gt;&lt;_created&gt;63459186&lt;/_created&gt;&lt;_date_display&gt;2017, 2017&lt;/_date_display&gt;&lt;_db_provider&gt;ISI&lt;/_db_provider&gt;&lt;_db_updated&gt;Web of Science-All&lt;/_db_updated&gt;&lt;_isbn&gt;1000-3673&lt;/_isbn&gt;&lt;_issue&gt;8&lt;/_issue&gt;&lt;_journal&gt;Power System Technology&lt;/_journal&gt;&lt;_modified&gt;63480624&lt;/_modified&gt;&lt;_pages&gt;2491-2498&lt;/_pages&gt;&lt;_tertiary_title&gt;电网技术&lt;/_tertiary_title&gt;&lt;_translated_author&gt;郑超_x000d__x000a_   马世英_x000d__x000a_   申旭辉_x000d__x000a_   刘道伟&lt;/_translated_author&gt;&lt;_translated_title&gt;强直弱交的定义、内涵与形式及其应对措施&lt;/_translated_title&gt;&lt;_url&gt;CSCD:6050560 _x000d__x000a_https://kns.cnki.net/kcms/download.aspx?filename=zcVOQdVbwAFM4MXQCZGRXFERs1kNqZFTnhDT3t2UwQjRUhTQxJHbadmWpVlQvATMilGO4RUW5dlV6VUTyhDWVJ3YKdVTld0VoZHWYZnSy10U5UkblZWSGRWYNh3QYZjZhNGe4tyKhNUOr8kVap1UFtCe0oHNqFWV&amp;amp;tablename=CJFDLAST2017&amp;amp;dflag=pdfdown _x000d__x000a_&lt;/_url&gt;&lt;_volume&gt;41&lt;/_volume&gt;&lt;/Details&gt;&lt;Extra&gt;&lt;DBUID&gt;{6891F4B0-DCBA-459A-9A22-3059983243D4}&lt;/DBUID&gt;&lt;/Extra&gt;&lt;/Item&gt;&lt;/References&gt;&lt;/Group&gt;&lt;Group&gt;&lt;References&gt;&lt;Item&gt;&lt;ID&gt;518&lt;/ID&gt;&lt;UID&gt;{AFAA75FB-64B3-4386-B3B5-AA85111B65FD}&lt;/UID&gt;&lt;Title&gt;Technology and Practice of the Operation Control of Large Power Grid Connected With Weak AC area &lt;/Title&gt;&lt;Template&gt;Journal Article&lt;/Template&gt;&lt;Star&gt;0&lt;/Star&gt;&lt;Tag&gt;0&lt;/Tag&gt;&lt;Author&gt;Li, Yong&lt;/Author&gt;&lt;Year&gt;2016&lt;/Year&gt;&lt;Details&gt;&lt;_accessed&gt;63480645&lt;/_accessed&gt;&lt;_accession_num&gt;CSCD:5877643_x000d__x000a_ER&lt;/_accession_num&gt;&lt;_cited_count&gt;7&lt;/_cited_count&gt;&lt;_collection_scope&gt;CSCD;PKU;EI&lt;/_collection_scope&gt;&lt;_created&gt;63444588&lt;/_created&gt;&lt;_date_display&gt;2016, 2016&lt;/_date_display&gt;&lt;_db_provider&gt;ISI&lt;/_db_provider&gt;&lt;_isbn&gt;1000-3673&lt;/_isbn&gt;&lt;_issue&gt;12&lt;/_issue&gt;&lt;_journal&gt;Power System Technology&lt;/_journal&gt;&lt;_modified&gt;63459186&lt;/_modified&gt;&lt;_pages&gt;3756-3760&lt;/_pages&gt;&lt;_tertiary_title&gt;电网技术&lt;/_tertiary_title&gt;&lt;_translated_author&gt;李勇&lt;/_translated_author&gt;&lt;_translated_title&gt;强直弱交区域互联大电网运行控制技术与分析&lt;/_translated_title&gt;&lt;_url&gt;CSCD:5877643&lt;/_url&gt;&lt;_volume&gt;40&lt;/_volume&gt;&lt;/Details&gt;&lt;Extra&gt;&lt;DBUID&gt;{6891F4B0-DCBA-459A-9A22-3059983243D4}&lt;/DBUID&gt;&lt;/Extra&gt;&lt;/Item&gt;&lt;/References&gt;&lt;/Group&gt;&lt;/Citation&gt;_x000a_"/>
    <w:docVar w:name="NE.Ref{8D1EE97C-F01C-4480-AC44-23F7E7CF9600}" w:val=" ADDIN NE.Ref.{8D1EE97C-F01C-4480-AC44-23F7E7CF9600}&lt;Citation&gt;&lt;Group&gt;&lt;References&gt;&lt;Item&gt;&lt;ID&gt;672&lt;/ID&gt;&lt;UID&gt;{37970E9E-E00F-4730-A820-EA20302E6C20}&lt;/UID&gt;&lt;Title&gt;A Predictive Method of LCC-HVDC Continuous Commutation Failure Based on Threshold Commutation Voltage Under Grid Fault&lt;/Title&gt;&lt;Template&gt;Journal Article&lt;/Template&gt;&lt;Star&gt;0&lt;/Star&gt;&lt;Tag&gt;0&lt;/Tag&gt;&lt;Author&gt;Ouyang, J X; Zhang, Z; Li, M Y; Pang, M Y; Xiong, X F; Diao, Y B&lt;/Author&gt;&lt;Year&gt;2021&lt;/Year&gt;&lt;Details&gt;&lt;_alternate_title&gt;IEEE TRANSACTIONS ON POWER SYSTEMS&lt;/_alternate_title&gt;&lt;_author_adr&gt;Chongqing Univ, State Key Lab Power Transmiss Equipment &amp;amp; Syst Se, Sch Elect Engn, Chongqing 400044, Peoples R China; Chongqing City Management Coll, Chongqing 400044, Peoples R China&lt;/_author_adr&gt;&lt;_cited_count&gt;10&lt;/_cited_count&gt;&lt;_collection_scope&gt;SCI;SCIE;EI&lt;/_collection_scope&gt;&lt;_created&gt;64494413&lt;/_created&gt;&lt;_date&gt;2021-01-01&lt;/_date&gt;&lt;_date_display&gt;2021&lt;/_date_display&gt;&lt;_db_updated&gt;Web of Science-Core&lt;/_db_updated&gt;&lt;_doi&gt;10.1109/TPWRS.2020.3001939&lt;/_doi&gt;&lt;_impact_factor&gt;   7.326&lt;/_impact_factor&gt;&lt;_issue&gt;1&lt;/_issue&gt;&lt;_journal&gt;IEEE TRANSACTIONS ON POWER SYSTEMS&lt;/_journal&gt;&lt;_keywords&gt;Threshold voltage; Inverters; Valves; HVDC transmission; Power grids; Process control; Control systems; HVDC transmission; continuous commutation failure; AC grid faults; predictive method; threshold voltage&lt;/_keywords&gt;&lt;_modified&gt;64788150&lt;/_modified&gt;&lt;_pages&gt;118-126&lt;/_pages&gt;&lt;_volume&gt;36&lt;/_volume&gt;&lt;_url&gt;https://ieeexplore.ieee.org/stampPDF/getPDF.jsp?tp=&amp;amp;arnumber=9115857&amp;amp;ref=aHR0cHM6Ly9pZWVleHBsb3JlLmllZWUub3JnL3Jlc3Qvc2VhcmNo _x000d__x000a_&lt;/_url&gt;&lt;/Details&gt;&lt;Extra&gt;&lt;DBUID&gt;{6891F4B0-DCBA-459A-9A22-3059983243D4}&lt;/DBUID&gt;&lt;/Extra&gt;&lt;/Item&gt;&lt;/References&gt;&lt;/Group&gt;&lt;/Citation&gt;_x000a_"/>
    <w:docVar w:name="NE.Ref{8D56DB33-2963-4DAB-806E-D4A457F3E88A}" w:val=" ADDIN NE.Ref.{8D56DB33-2963-4DAB-806E-D4A457F3E88A}&lt;Citation&gt;&lt;Group&gt;&lt;References&gt;&lt;Item&gt;&lt;ID&gt;417&lt;/ID&gt;&lt;UID&gt;{E82C69FF-EF5E-4BFC-B9B9-885F8BDB0005}&lt;/UID&gt;&lt;Title&gt;基于引力搜索算法的水火电短期优化调度方法&lt;/Title&gt;&lt;Template&gt;Thesis&lt;/Template&gt;&lt;Star&gt;0&lt;/Star&gt;&lt;Tag&gt;0&lt;/Tag&gt;&lt;Author&gt;田昊&lt;/Author&gt;&lt;Year&gt;2014&lt;/Year&gt;&lt;Details&gt;&lt;_created&gt;63642784&lt;/_created&gt;&lt;_db_provider&gt;CNKI&lt;/_db_provider&gt;&lt;_keywords&gt;水火电系统;节能环保;多目标优化;引力搜索算法;约束处理策略&lt;/_keywords&gt;&lt;_modified&gt;63642784&lt;/_modified&gt;&lt;_publisher&gt;华中科技大学&lt;/_publisher&gt;&lt;_tertiary_author&gt;袁晓辉&lt;/_tertiary_author&gt;&lt;_type_work&gt;硕士&lt;/_type_work&gt;&lt;_translated_author&gt;Tian, Hao&lt;/_translated_author&gt;&lt;_translated_tertiary_author&gt;Yuan, Xiaohui&lt;/_translated_tertiary_author&gt;&lt;/Details&gt;&lt;Extra&gt;&lt;DBUID&gt;{F96A950B-833F-4880-A151-76DA2D6A2879}&lt;/DBUID&gt;&lt;/Extra&gt;&lt;/Item&gt;&lt;/References&gt;&lt;/Group&gt;&lt;/Citation&gt;_x000a_"/>
    <w:docVar w:name="NE.Ref{8E659144-70CC-46BA-A86E-A073C308DDFE}" w:val=" ADDIN NE.Ref.{8E659144-70CC-46BA-A86E-A073C308DDFE}&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8E78FC29-B8B2-4A05-A881-6F3545EECEA3}" w:val=" ADDIN NE.Ref.{8E78FC29-B8B2-4A05-A881-6F3545EECEA3}&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5700&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6.373&lt;/_impact_factor&gt;&lt;_isbn&gt;0885-8993&lt;/_isbn&gt;&lt;_issue&gt;1&lt;/_issue&gt;&lt;_journal&gt;IEEE TRANSACTIONS ON POWER ELECTRONICS&lt;/_journal&gt;&lt;_modified&gt;63446037&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Citation&gt;_x000a_"/>
    <w:docVar w:name="NE.Ref{8EB5A6F6-1318-45CB-9231-20FEF4E0420F}" w:val=" ADDIN NE.Ref.{8EB5A6F6-1318-45CB-9231-20FEF4E0420F}&lt;Citation&gt;&lt;Group&gt;&lt;References&gt;&lt;Item&gt;&lt;ID&gt;634&lt;/ID&gt;&lt;UID&gt;{FC57A673-E76E-4A7E-9266-9036576CC8E6}&lt;/UID&gt;&lt;Title&gt;Fast Evaluation of Commutation Failure Risk in Multi-Infeed HVDC Systems&lt;/Title&gt;&lt;Template&gt;Journal Article&lt;/Template&gt;&lt;Star&gt;0&lt;/Star&gt;&lt;Tag&gt;0&lt;/Tag&gt;&lt;Author&gt;Shao, Y; Tang, Y&lt;/Author&gt;&lt;Year&gt;2018&lt;/Year&gt;&lt;Details&gt;&lt;_alternate_title&gt;IEEE TRANSACTIONS ON POWER SYSTEMS&lt;/_alternate_title&gt;&lt;_author_adr&gt;China Elect Power Res Inst, State Key Lab Power Grid Safety &amp;amp; Energy Conserva, Beijing 100192, Peoples R China&lt;/_author_adr&gt;&lt;_cited_count&gt;71&lt;/_cited_count&gt;&lt;_collection_scope&gt;SCI;SCIE;EI&lt;/_collection_scope&gt;&lt;_created&gt;64493993&lt;/_created&gt;&lt;_date&gt;2018-01-01&lt;/_date&gt;&lt;_date_display&gt;2018&lt;/_date_display&gt;&lt;_db_updated&gt;Web of Science-Core&lt;/_db_updated&gt;&lt;_doi&gt;10.1109/TPWRS.2017.2700045&lt;/_doi&gt;&lt;_impact_factor&gt;   7.326&lt;/_impact_factor&gt;&lt;_issue&gt;1&lt;/_issue&gt;&lt;_journal&gt;IEEE TRANSACTIONS ON POWER SYSTEMS&lt;/_journal&gt;&lt;_keywords&gt;AC-DC system voltage interaction factor; commutation failure; critical AC-DC system voltage interaction factor; multi-infeed HVDC; multi-infeed interaction factor&lt;/_keywords&gt;&lt;_modified&gt;64494334&lt;/_modified&gt;&lt;_pages&gt;646-653&lt;/_pages&gt;&lt;_url&gt;https://ieeexplore.ieee.org/stampPDF/getPDF.jsp?tp=&amp;amp;arnumber=7918634&amp;amp;ref=aHR0cHM6Ly9pZWVleHBsb3JlLmllZWUub3JnL3Jlc3Qvc2VhcmNo _x000d__x000a_&lt;/_url&gt;&lt;_volume&gt;33&lt;/_volume&gt;&lt;/Details&gt;&lt;Extra&gt;&lt;DBUID&gt;{F96A950B-833F-4880-A151-76DA2D6A2879}&lt;/DBUID&gt;&lt;/Extra&gt;&lt;/Item&gt;&lt;/References&gt;&lt;/Group&gt;&lt;/Citation&gt;_x000a_"/>
    <w:docVar w:name="NE.Ref{8F00CAC5-5E28-4055-874C-CBF94AC2F3E9}" w:val=" ADDIN NE.Ref.{8F00CAC5-5E28-4055-874C-CBF94AC2F3E9}&lt;Citation&gt;&lt;Group&gt;&lt;References&gt;&lt;Item&gt;&lt;ID&gt;436&lt;/ID&gt;&lt;UID&gt;{E4A3F548-3B9A-42BF-ADBE-5529F178C15D}&lt;/UID&gt;&lt;Title&gt;基于鲁棒优化的风光储联合发电系统储能配置策略&lt;/Title&gt;&lt;Template&gt;Journal Article&lt;/Template&gt;&lt;Star&gt;0&lt;/Star&gt;&lt;Tag&gt;0&lt;/Tag&gt;&lt;Author&gt;李笑竹; 王维庆; 王海云; 樊小朝; 武家辉; 王开科&lt;/Author&gt;&lt;Year&gt;2020&lt;/Year&gt;&lt;Details&gt;&lt;_author_adr&gt;新疆大学可再生能源发电与并网技术教育部工程研究中心;国网新疆电力公司电力科学研究院;&lt;/_author_adr&gt;&lt;_collection_scope&gt;CSCD;PKU;EI&lt;/_collection_scope&gt;&lt;_created&gt;63649294&lt;/_created&gt;&lt;_db_provider&gt;CNKI&lt;/_db_provider&gt;&lt;_isbn&gt;0254-0096&lt;/_isbn&gt;&lt;_issue&gt;08&lt;/_issue&gt;&lt;_journal&gt;太阳能学报&lt;/_journal&gt;&lt;_keywords&gt;鲁棒性;发电系统规划;储能配置;最优决策;飞蛾扑火算法;风光储&lt;/_keywords&gt;&lt;_modified&gt;63649294&lt;/_modified&gt;&lt;_pages&gt;67-78&lt;/_pages&gt;&lt;_volume&gt;41&lt;/_volume&gt;&lt;_translated_author&gt;Li, Xiaozhu;Wang, Weiqing;Wang, Haiyun;Fan, Xiaochao;Wu, Jiahui;Wang, Kaike&lt;/_translated_author&gt;&lt;/Details&gt;&lt;Extra&gt;&lt;DBUID&gt;{F96A950B-833F-4880-A151-76DA2D6A2879}&lt;/DBUID&gt;&lt;/Extra&gt;&lt;/Item&gt;&lt;/References&gt;&lt;/Group&gt;&lt;/Citation&gt;_x000a_"/>
    <w:docVar w:name="NE.Ref{8F2335D7-1658-4EBA-810F-D39D6AAA85F7}" w:val=" ADDIN NE.Ref.{8F2335D7-1658-4EBA-810F-D39D6AAA85F7}&lt;Citation&gt;&lt;Group&gt;&lt;References&gt;&lt;Item&gt;&lt;ID&gt;488&lt;/ID&gt;&lt;UID&gt;{7B6294E3-0DD0-42AD-AD2C-DEFAB7FE7BA3}&lt;/UID&gt;&lt;Title&gt;The Whale Optimization Algorithm&lt;/Title&gt;&lt;Template&gt;Journal Article&lt;/Template&gt;&lt;Star&gt;0&lt;/Star&gt;&lt;Tag&gt;0&lt;/Tag&gt;&lt;Author&gt;Mirjalili, Seyedali; Lewis, Andrew&lt;/Author&gt;&lt;Year&gt;2016&lt;/Year&gt;&lt;Details&gt;&lt;_collection_scope&gt;SCIE;EI&lt;/_collection_scope&gt;&lt;_created&gt;63650822&lt;/_created&gt;&lt;_doi&gt;https://doi.org/10.1016/j.advengsoft.2016.01.008&lt;/_doi&gt;&lt;_impact_factor&gt;   3.884&lt;/_impact_factor&gt;&lt;_isbn&gt;0965-9978&lt;/_isbn&gt;&lt;_journal&gt;Advances in Engineering Software&lt;/_journal&gt;&lt;_keywords&gt;Optimization, Benchmark, Constrained optimization, Particle swarm optimization, Algorithm, Heuristic algorithm, Genetic algorithm, Structural optimization&lt;/_keywords&gt;&lt;_modified&gt;63650822&lt;/_modified&gt;&lt;_pages&gt;51 - 67&lt;/_pages&gt;&lt;_url&gt;http://www.sciencedirect.com/science/article/pii/S0965997816300163&lt;/_url&gt;&lt;_volume&gt;95&lt;/_volume&gt;&lt;/Details&gt;&lt;Extra&gt;&lt;DBUID&gt;{F96A950B-833F-4880-A151-76DA2D6A2879}&lt;/DBUID&gt;&lt;/Extra&gt;&lt;/Item&gt;&lt;/References&gt;&lt;/Group&gt;&lt;/Citation&gt;_x000a_"/>
    <w:docVar w:name="NE.Ref{8FF659EE-A033-457E-9036-A2C97F8CACFC}" w:val=" ADDIN NE.Ref.{8FF659EE-A033-457E-9036-A2C97F8CACFC}&lt;Citation&gt;&lt;Group&gt;&lt;References&gt;&lt;Item&gt;&lt;ID&gt;612&lt;/ID&gt;&lt;UID&gt;{C131EFD7-F702-4EDA-AF35-9D5E518A16C4}&lt;/UID&gt;&lt;Title&gt;Game theory based interactive demand side management responding to dynamic pricing in price-based demand response of smart grids&lt;/Title&gt;&lt;Template&gt;Journal Article&lt;/Template&gt;&lt;Star&gt;0&lt;/Star&gt;&lt;Tag&gt;0&lt;/Tag&gt;&lt;Author&gt;Tang, Rui; Wang, Shengwei; Li, Hangxin&lt;/Author&gt;&lt;Year&gt;2019&lt;/Year&gt;&lt;Details&gt;&lt;_accession_num&gt;WOS:000482244000011_x000d__x000a_ER&lt;/_accession_num&gt;&lt;_cited_count&gt;25&lt;/_cited_count&gt;&lt;_collection_scope&gt;SCI;SCIE;EI&lt;/_collection_scope&gt;&lt;_created&gt;63705314&lt;/_created&gt;&lt;_date_display&gt;2019, SEP 15 2019&lt;/_date_display&gt;&lt;_db_provider&gt;ISI&lt;/_db_provider&gt;&lt;_doi&gt;10.1016/j.apenergy.2019.04.177&lt;/_doi&gt;&lt;_impact_factor&gt;   8.848&lt;/_impact_factor&gt;&lt;_isbn&gt;0306-2619&lt;/_isbn&gt;&lt;_journal&gt;APPLIED ENERGY&lt;/_journal&gt;&lt;_modified&gt;63705314&lt;/_modified&gt;&lt;_pages&gt;118-130&lt;/_pages&gt;&lt;_url&gt;http://gateway.isiknowledge.com/gateway/Gateway.cgi?GWVersion=2&amp;amp;SrcAuth=AegeanSoftware&amp;amp;SrcApp=NoteExpress&amp;amp;DestLinkType=FullRecord&amp;amp;DestApp=WOS&amp;amp;KeyUT=000482244000011&lt;/_url&gt;&lt;_volume&gt;250&lt;/_volume&gt;&lt;/Details&gt;&lt;Extra&gt;&lt;DBUID&gt;{F96A950B-833F-4880-A151-76DA2D6A2879}&lt;/DBUID&gt;&lt;/Extra&gt;&lt;/Item&gt;&lt;/References&gt;&lt;/Group&gt;&lt;/Citation&gt;_x000a_"/>
    <w:docVar w:name="NE.Ref{9041260D-55E3-40D2-A310-D32B5F8C31EB}" w:val=" ADDIN NE.Ref.{9041260D-55E3-40D2-A310-D32B5F8C31EB}&lt;Citation&gt;&lt;Group&gt;&lt;References&gt;&lt;Item&gt;&lt;ID&gt;657&lt;/ID&gt;&lt;UID&gt;{EE27D52D-9D3A-4A8D-BABE-D7177BE6C76E}&lt;/UID&gt;&lt;Title&gt;Application of CVaR risk aversion approach in the dynamical scheduling optimization model for virtual power plant connected with wind-photovoltaic-energy storage system with uncertainties and demand response&lt;/Title&gt;&lt;Template&gt;Journal Article&lt;/Template&gt;&lt;Star&gt;0&lt;/Star&gt;&lt;Tag&gt;0&lt;/Tag&gt;&lt;Author&gt;Tan, Zhongfu; Wang, Guan; Ju, Liwei; Tan, Qingkun; Yang, Wenhai&lt;/Author&gt;&lt;Year&gt;2017&lt;/Year&gt;&lt;Details&gt;&lt;_author_adr&gt;North China Electric Power University, Chang Ping District, Beijing, 102206, China&lt;/_author_adr&gt;&lt;_db_provider&gt;CNKI&lt;/_db_provider&gt;&lt;_isbn&gt;0360-5442&lt;/_isbn&gt;&lt;_journal&gt;Energy&lt;/_journal&gt;&lt;_keywords&gt;CVaR method;Virtual power plant;Demand response;Risk aversion;Dynamical scheduling&lt;/_keywords&gt;&lt;_volume&gt;124&lt;/_volume&gt;&lt;_created&gt;63705638&lt;/_created&gt;&lt;_modified&gt;63705638&lt;/_modified&gt;&lt;_impact_factor&gt;   6.082&lt;/_impact_factor&gt;&lt;_collection_scope&gt;SCI;SCIE;EI&lt;/_collection_scope&gt;&lt;/Details&gt;&lt;Extra&gt;&lt;DBUID&gt;{F96A950B-833F-4880-A151-76DA2D6A2879}&lt;/DBUID&gt;&lt;/Extra&gt;&lt;/Item&gt;&lt;/References&gt;&lt;/Group&gt;&lt;/Citation&gt;_x000a_"/>
    <w:docVar w:name="NE.Ref{921BB7E3-0419-40A6-9F85-FF4D065C28E3}" w:val=" ADDIN NE.Ref.{921BB7E3-0419-40A6-9F85-FF4D065C28E3}&lt;Citation&gt;&lt;Group&gt;&lt;References&gt;&lt;Item&gt;&lt;ID&gt;485&lt;/ID&gt;&lt;UID&gt;{662855DD-491E-4851-A81B-789F8E722613}&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0779&lt;/_created&gt;&lt;_impact_factor&gt;  11.169&lt;/_impact_factor&gt;&lt;_issue&gt;99&lt;/_issue&gt;&lt;_journal&gt;IEEE Transactions on Evolutionary Computation&lt;/_journal&gt;&lt;_modified&gt;63650779&lt;/_modified&gt;&lt;_volume&gt;PP&lt;/_volume&gt;&lt;/Details&gt;&lt;Extra&gt;&lt;DBUID&gt;{F96A950B-833F-4880-A151-76DA2D6A2879}&lt;/DBUID&gt;&lt;/Extra&gt;&lt;/Item&gt;&lt;/References&gt;&lt;/Group&gt;&lt;/Citation&gt;_x000a_"/>
    <w:docVar w:name="NE.Ref{93136891-9B50-4904-8DC6-38C4DCDCC446}" w:val=" ADDIN NE.Ref.{93136891-9B50-4904-8DC6-38C4DCDCC446}&lt;Citation&gt;&lt;Group&gt;&lt;References&gt;&lt;Item&gt;&lt;ID&gt;619&lt;/ID&gt;&lt;UID&gt;{B31DAB94-0759-4541-A215-7A753E23866F}&lt;/UID&gt;&lt;Title&gt;A New Recovery Strategy of HVDC System During AC Faults&lt;/Title&gt;&lt;Template&gt;Journal Article&lt;/Template&gt;&lt;Star&gt;0&lt;/Star&gt;&lt;Tag&gt;0&lt;/Tag&gt;&lt;Author&gt;Wang, J J; Huang, M H; Fu, C; Li, H; Xu, S K; Li, X H&lt;/Author&gt;&lt;Year&gt;2019&lt;/Year&gt;&lt;Details&gt;&lt;_alternate_title&gt;IEEE TRANSACTIONS ON POWER DELIVERY&lt;/_alternate_title&gt;&lt;_author_adr&gt;South China Univ Technol, Sch Elect Power, Guangzhou 510640, Guangdong, Peoples R China; China Southern Power Grid, Elect Power Res Inst, State Key Lab HVDC, Guangzhou 510663, Guangdong, Peoples R China&lt;/_author_adr&gt;&lt;_cited_count&gt;34&lt;/_cited_count&gt;&lt;_collection_scope&gt;SCI;SCIE;EI&lt;/_collection_scope&gt;&lt;_created&gt;64493989&lt;/_created&gt;&lt;_date&gt;2019-01-01&lt;/_date&gt;&lt;_date_display&gt;2019&lt;/_date_display&gt;&lt;_db_updated&gt;Web of Science-Core&lt;/_db_updated&gt;&lt;_doi&gt;10.1109/TPWRD.2019.2892410&lt;/_doi&gt;&lt;_impact_factor&gt;   4.825&lt;/_impact_factor&gt;&lt;_issue&gt;2&lt;/_issue&gt;&lt;_journal&gt;IEEE TRANSACTIONS ON POWER DELIVERY&lt;/_journal&gt;&lt;_keywords&gt;HVDC; fault recovery; DC current limit; instantaneous reactive power theory; reactive power control&lt;/_keywords&gt;&lt;_modified&gt;64494336&lt;/_modified&gt;&lt;_pages&gt;486-495&lt;/_pages&gt;&lt;_url&gt;https://ieeexplore.ieee.org/stampPDF/getPDF.jsp?tp=&amp;amp;arnumber=8610316&amp;amp;ref=aHR0cHM6Ly9pZWVleHBsb3JlLmllZWUub3JnL3Jlc3Qvc2VhcmNo _x000d__x000a_&lt;/_url&gt;&lt;_volume&gt;34&lt;/_volume&gt;&lt;/Details&gt;&lt;Extra&gt;&lt;DBUID&gt;{F96A950B-833F-4880-A151-76DA2D6A2879}&lt;/DBUID&gt;&lt;/Extra&gt;&lt;/Item&gt;&lt;/References&gt;&lt;/Group&gt;&lt;/Citation&gt;_x000a_"/>
    <w:docVar w:name="NE.Ref{936CE365-8CCE-42E3-B553-8C20A79399D7}" w:val=" ADDIN NE.Ref.{936CE365-8CCE-42E3-B553-8C20A79399D7}&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944FE378-A58C-4745-8240-DCB9EE4D4D0B}" w:val=" ADDIN NE.Ref.{944FE378-A58C-4745-8240-DCB9EE4D4D0B}&lt;Citation&gt;&lt;Group&gt;&lt;References&gt;&lt;Item&gt;&lt;ID&gt;341&lt;/ID&gt;&lt;UID&gt;{6D9A678F-8188-442B-8046-5048FD6D6ED1}&lt;/UID&gt;&lt;Title&gt;Probabilistic Analysis of Commutation Failure in LCC-HVDC System Considering the CFPREV and the Initial Fault Voltage Angle&lt;/Title&gt;&lt;Template&gt;Journal Article&lt;/Template&gt;&lt;Star&gt;0&lt;/Star&gt;&lt;Tag&gt;0&lt;/Tag&gt;&lt;Author&gt;Yao, Wei; Liu, Chang; Fang, Jiakun; Ai, Xiaomeng; Wen, Jinyu; Cheng, Shijie&lt;/Author&gt;&lt;Year&gt;2020&lt;/Year&gt;&lt;Details&gt;&lt;_accessed&gt;63446030&lt;/_accessed&gt;&lt;_accession_num&gt;WOS:000522350600029_x000d__x000a_ER&lt;/_accession_num&gt;&lt;_cited_count&gt;2&lt;/_cited_count&gt;&lt;_collection_scope&gt;SCI;SCIE;EI&lt;/_collection_scope&gt;&lt;_created&gt;63444588&lt;/_created&gt;&lt;_date_display&gt;2020, APR 2020&lt;/_date_display&gt;&lt;_db_provider&gt;ISI&lt;/_db_provider&gt;&lt;_doi&gt;10.1109/TPWRD.2019.2925399&lt;/_doi&gt;&lt;_impact_factor&gt;   4.825&lt;/_impact_factor&gt;&lt;_isbn&gt;0885-8977&lt;/_isbn&gt;&lt;_issue&gt;2&lt;/_issue&gt;&lt;_journal&gt;IEEE TRANSACTIONS ON POWER DELIVERY&lt;/_journal&gt;&lt;_modified&gt;64498618&lt;/_modified&gt;&lt;_pages&gt;715-724&lt;/_pages&gt;&lt;_url&gt;http://gateway.isiknowledge.com/gateway/Gateway.cgi?GWVersion=2&amp;amp;SrcAuth=AegeanSoftware&amp;amp;SrcApp=NoteExpress&amp;amp;DestLinkType=FullRecord&amp;amp;DestApp=WOS&amp;amp;KeyUT=000522350600029 _x000d__x000a_https://ieeexplore.ieee.org/stampPDF/getPDF.jsp?tp=&amp;amp;arnumber=8747540&amp;amp;ref=aHR0cHM6Ly9pZWVleHBsb3JlLmllZWUub3JnL3Jlc3Qvc2VhcmNo _x000d__x000a_&lt;/_url&gt;&lt;_volume&gt;35&lt;/_volume&gt;&lt;/Details&gt;&lt;Extra&gt;&lt;DBUID&gt;{6891F4B0-DCBA-459A-9A22-3059983243D4}&lt;/DBUID&gt;&lt;/Extra&gt;&lt;/Item&gt;&lt;/References&gt;&lt;/Group&gt;&lt;Group&gt;&lt;References&gt;&lt;Item&gt;&lt;ID&gt;1035&lt;/ID&gt;&lt;UID&gt;{1D16200A-8103-4705-A7EA-7D305F5F8C3F}&lt;/UID&gt;&lt;Title&gt;A novel method to predict and prevent commutation failures in LCC-HVDC systems&lt;/Title&gt;&lt;Template&gt;Journal Article&lt;/Template&gt;&lt;Star&gt;0&lt;/Star&gt;&lt;Tag&gt;0&lt;/Tag&gt;&lt;Author&gt;Zhou, B H; Li, F T; Yin, C Y&lt;/Author&gt;&lt;Year&gt;2023&lt;/Year&gt;&lt;Details&gt;&lt;_alternate_title&gt;INTERNATIONAL JOURNAL OF ELECTRICAL POWER &amp;amp; ENERGY SYSTEMS&lt;/_alternate_title&gt;&lt;_author_adr&gt;Tianjin Univ, Key Lab Smart Grid, Minist Educ, Sch Elect Engn, Tianjin 300072, Peoples R China; Xinjiang Univ, Sch Elect Engn, Urumqi 8300462, Peoples R China&lt;/_author_adr&gt;&lt;_cited_count&gt;1&lt;/_cited_count&gt;&lt;_collection_scope&gt;SCIE;EI&lt;/_collection_scope&gt;&lt;_created&gt;64786191&lt;/_created&gt;&lt;_date&gt;2023-01-01&lt;/_date&gt;&lt;_date_display&gt;2023&lt;/_date_display&gt;&lt;_db_updated&gt;Web of Science-Core&lt;/_db_updated&gt;&lt;_doi&gt;10.1016/j.ijepes.2022.108399&lt;/_doi&gt;&lt;_impact_factor&gt;   5.659&lt;/_impact_factor&gt;&lt;_journal&gt;INTERNATIONAL JOURNAL OF ELECTRICAL POWER &amp;amp; ENERGY SYSTEMS&lt;/_journal&gt;&lt;_keywords&gt;Commutation failures; Line -commutated converter; HVDC; Fault occurring time; CFPREV&lt;/_keywords&gt;&lt;_modified&gt;64786195&lt;/_modified&gt;&lt;_volume&gt;144&lt;/_volume&gt;&lt;/Details&gt;&lt;Extra&gt;&lt;DBUID&gt;{6891F4B0-DCBA-459A-9A22-3059983243D4}&lt;/DBUID&gt;&lt;/Extra&gt;&lt;/Item&gt;&lt;/References&gt;&lt;/Group&gt;&lt;/Citation&gt;_x000a_"/>
    <w:docVar w:name="NE.Ref{951D22D4-8FAE-42DE-BE25-D489E97111D1}" w:val=" ADDIN NE.Ref.{951D22D4-8FAE-42DE-BE25-D489E97111D1}&lt;Citation&gt;&lt;Group&gt;&lt;References&gt;&lt;Item&gt;&lt;ID&gt;575&lt;/ID&gt;&lt;UID&gt;{71326091-3C51-4967-8343-D3EE4AEA559F}&lt;/UID&gt;&lt;Title&gt;Long-Term Scheduling of Battery Storage Systems in Energy and Regulation Markets Considering Battery&amp;apos;s Lifespan&lt;/Title&gt;&lt;Template&gt;Journal Article&lt;/Template&gt;&lt;Star&gt;0&lt;/Star&gt;&lt;Tag&gt;0&lt;/Tag&gt;&lt;Author&gt;Kazemi, Mostafa; Zareipour, Hamidreza&lt;/Author&gt;&lt;Year&gt;2018&lt;/Year&gt;&lt;Details&gt;&lt;_accession_num&gt;WOS:000452475200125_x000d__x000a_ER&lt;/_accession_num&gt;&lt;_cited_count&gt;20&lt;/_cited_count&gt;&lt;_collection_scope&gt;SCIE;EI&lt;/_collection_scope&gt;&lt;_created&gt;63685283&lt;/_created&gt;&lt;_date_display&gt;2018, NOV 2018&lt;/_date_display&gt;&lt;_db_provider&gt;ISI&lt;/_db_provider&gt;&lt;_doi&gt;10.1109/TSG.2017.2724919&lt;/_doi&gt;&lt;_impact_factor&gt;   8.267&lt;/_impact_factor&gt;&lt;_isbn&gt;1949-3053&lt;/_isbn&gt;&lt;_issue&gt;6&lt;/_issue&gt;&lt;_journal&gt;IEEE TRANSACTIONS ON SMART GRID&lt;/_journal&gt;&lt;_modified&gt;63685283&lt;/_modified&gt;&lt;_pages&gt;6840-6849&lt;/_pages&gt;&lt;_url&gt;http://gateway.isiknowledge.com/gateway/Gateway.cgi?GWVersion=2&amp;amp;SrcAuth=AegeanSoftware&amp;amp;SrcApp=NoteExpress&amp;amp;DestLinkType=FullRecord&amp;amp;DestApp=WOS&amp;amp;KeyUT=000452475200125&lt;/_url&gt;&lt;_volume&gt;9&lt;/_volume&gt;&lt;/Details&gt;&lt;Extra&gt;&lt;DBUID&gt;{F96A950B-833F-4880-A151-76DA2D6A2879}&lt;/DBUID&gt;&lt;/Extra&gt;&lt;/Item&gt;&lt;/References&gt;&lt;/Group&gt;&lt;/Citation&gt;_x000a_"/>
    <w:docVar w:name="NE.Ref{95B1815F-FAA3-4A24-AA6E-3987BA1B115A}" w:val=" ADDIN NE.Ref.{95B1815F-FAA3-4A24-AA6E-3987BA1B115A}&lt;Citation&gt;&lt;Group&gt;&lt;References&gt;&lt;Item&gt;&lt;ID&gt;884&lt;/ID&gt;&lt;UID&gt;{395B6309-1C81-47AA-9B86-0E8635CCF340}&lt;/UID&gt;&lt;Title&gt;Analysis and prevention of commutation failure caused by HVDC rectifier AC faults&lt;/Title&gt;&lt;Template&gt;Journal Article&lt;/Template&gt;&lt;Star&gt;0&lt;/Star&gt;&lt;Tag&gt;0&lt;/Tag&gt;&lt;Author&gt;Lin, S; Lei, Y Q; Liu, J; Liu, L&lt;/Author&gt;&lt;Year&gt;2022&lt;/Year&gt;&lt;Details&gt;&lt;_accessed&gt;64647183&lt;/_accessed&gt;&lt;_alternate_title&gt;IET GENERATION TRANSMISSION &amp;amp; DISTRIBUTION&lt;/_alternate_title&gt;&lt;_author_adr&gt;Southwest Jiaotong Univ, Sch Elect Engn, Chengdu 611756, Peoples R China; State Grid Sichuan Elect Power Res Inst, Dept Protect &amp;amp; Automat, Chengdu, Peoples R China&lt;/_author_adr&gt;&lt;_cited_count&gt;0&lt;/_cited_count&gt;&lt;_collection_scope&gt;SCI;SCIE;EI&lt;/_collection_scope&gt;&lt;_created&gt;64647124&lt;/_created&gt;&lt;_date&gt;2022-01-01&lt;/_date&gt;&lt;_date_display&gt;2022&lt;/_date_display&gt;&lt;_db_updated&gt;Web of Science-Core&lt;/_db_updated&gt;&lt;_doi&gt;10.1049/gtd2.12377&lt;/_doi&gt;&lt;_impact_factor&gt;   2.503&lt;/_impact_factor&gt;&lt;_issue&gt;7&lt;/_issue&gt;&lt;_journal&gt;IET GENERATION TRANSMISSION &amp;amp; DISTRIBUTION&lt;/_journal&gt;&lt;_modified&gt;64647127&lt;/_modified&gt;&lt;_pages&gt;1416-1424&lt;/_pages&gt;&lt;_url&gt;https://onlinelibrary.wiley.com/doi/pdfdirect/10.1049/gtd2.12377?download=true _x000d__x000a_&lt;/_url&gt;&lt;_volume&gt;16&lt;/_volume&gt;&lt;/Details&gt;&lt;Extra&gt;&lt;DBUID&gt;{6891F4B0-DCBA-459A-9A22-3059983243D4}&lt;/DBUID&gt;&lt;/Extra&gt;&lt;/Item&gt;&lt;/References&gt;&lt;/Group&gt;&lt;Group&gt;&lt;References&gt;&lt;Item&gt;&lt;ID&gt;874&lt;/ID&gt;&lt;UID&gt;{755202DE-01BD-4D80-8FAF-25A5819DA0EE}&lt;/UID&gt;&lt;Title&gt;整流侧换流母线电压恢复导致逆变器换相失败的机理分析&lt;/Title&gt;&lt;Template&gt;Journal Article&lt;/Template&gt;&lt;Star&gt;0&lt;/Star&gt;&lt;Tag&gt;0&lt;/Tag&gt;&lt;Author&gt;马星; 李凤婷; 尹纯亚; 解超&lt;/Author&gt;&lt;Year&gt;2021&lt;/Year&gt;&lt;Details&gt;&lt;_accessed&gt;64647186&lt;/_accessed&gt;&lt;_author_aff&gt;可再生能源发电与并网技术教育部工程研究中心(新疆大学);&lt;/_author_aff&gt;&lt;_cited_count&gt;1&lt;/_cited_count&gt;&lt;_created&gt;64646879&lt;/_created&gt;&lt;_date&gt;2021-07-28&lt;/_date&gt;&lt;_db_updated&gt;CNKI - Reference&lt;/_db_updated&gt;&lt;_issue&gt;04&lt;/_issue&gt;&lt;_journal&gt;电力工程技术&lt;/_journal&gt;&lt;_keywords&gt;换相失败;电流偏差控制;直流电流指令值;高压直流输电;关断角&lt;/_keywords&gt;&lt;_modified&gt;64646988&lt;/_modified&gt;&lt;_pages&gt;83-88&lt;/_pages&gt;&lt;_tertiary_title&gt;Electric power engineering technology&lt;/_tertiary_title&gt;&lt;_translated_author&gt;MA, Xing; Li, Fengting; Yin, Chunya; XIE, Chao&lt;/_translated_author&gt;&lt;_translated_title&gt;Mechanism analysis of inverter commutation failure caused by voltage recovery of commutation bus at rectifier side&lt;/_translated_title&gt;&lt;_url&gt;https://kns.cnki.net/kcms/detail/detail.aspx?FileName=JSDJ202104015&amp;amp;DbName=CJFQ2021 _x000d__x000a_https://bar.cnki.net/bar/download/order?id=jBGETXBNdPImvx70aLAuJPYxPoFw%2bp%2bi0fIiSrcN6lUSx76m4VDvrWvOeoYbIn8iwURBIovEZWsxpaJNu72RskGxVkq8YHJNz4jV3WhknTrl8E%2bCUVp5GtDTYhVF2dNUoJeGx62Ssygg68TNXJ%2b5JrigejDAar8Xqw%2f6WR22OFXUdUGh4At8VBYSvh%2fCUD5aVHvqjmFieqfKvR3k%2bUEvn4kWl%2f5%2bM02t3C4Rt6mdaoj5LXYX1qwFXwOc1HUZT%2bTB _x000d__x000a_&lt;/_url&gt;&lt;_volume&gt;40&lt;/_volume&gt;&lt;/Details&gt;&lt;Extra&gt;&lt;DBUID&gt;{6891F4B0-DCBA-459A-9A22-3059983243D4}&lt;/DBUID&gt;&lt;/Extra&gt;&lt;/Item&gt;&lt;/References&gt;&lt;/Group&gt;&lt;Group&gt;&lt;References&gt;&lt;Item&gt;&lt;ID&gt;883&lt;/ID&gt;&lt;UID&gt;{C176C388-5555-4DBA-A9F3-4DB4EEB22E89}&lt;/UID&gt;&lt;Title&gt;整流侧换流母线电压恢复对逆变器换相的影响&lt;/Title&gt;&lt;Template&gt;Journal Article&lt;/Template&gt;&lt;Star&gt;0&lt;/Star&gt;&lt;Tag&gt;0&lt;/Tag&gt;&lt;Author&gt;马星; 李凤婷; 尹纯亚&lt;/Author&gt;&lt;Year&gt;2020&lt;/Year&gt;&lt;Details&gt;&lt;_accessed&gt;64647187&lt;/_accessed&gt;&lt;_author_aff&gt;可再生能源发电与并网技术教育部工程研究中心(新疆大学);&lt;/_author_aff&gt;&lt;_cited_count&gt;11&lt;/_cited_count&gt;&lt;_collection_scope&gt;CSCD;PKU;EI&lt;/_collection_scope&gt;&lt;_created&gt;64646975&lt;/_created&gt;&lt;_date&gt;2019-12-07&lt;/_date&gt;&lt;_db_updated&gt;CNKI - Reference&lt;/_db_updated&gt;&lt;_issue&gt;08&lt;/_issue&gt;&lt;_journal&gt;电网技术&lt;/_journal&gt;&lt;_keywords&gt;整流侧;换流母线电压;换相失败;交直流系统&lt;/_keywords&gt;&lt;_modified&gt;64647187&lt;/_modified&gt;&lt;_pages&gt;2950-2960&lt;/_pages&gt;&lt;_tertiary_title&gt;Power System Technology&lt;/_tertiary_title&gt;&lt;_translated_author&gt;MA, Xing; LI, Fengting; YIN, Chunya&lt;/_translated_author&gt;&lt;_translated_title&gt;Impact of Voltage Restoration of Commutation Bus on Rectifier Side on Commutation of Inverters&lt;/_translated_title&gt;&lt;_url&gt;https://kns.cnki.net/kcms/detail/detail.aspx?FileName=DWJS202008018&amp;amp;DbName=DKFX2020 _x000d__x000a_https://bar.cnki.net/bar/download/order?id=jBGETXBNdPImvx70aLAuJPYxPoFw%2bp%2bi0fIiSrcN6lWXnEoYtphX0Jtvtjf3EoE87xjkRlvGO8J6KALxJ1GxhTnQrP31sd3qbIpJim%2fvA8Tl8E%2bCUVp5GtDTYhVF2dNUoJeGx62Ssygg68TNXJ%2b5JrigejDAar8Xqw%2f6WR22OFXUdUGh4At8VBYSvh%2fCUD5aTDHomm%2bSFaP0ny2lFSKwV5Kzk2nEpXpjv48eWYbtnKv5LXYX1qwFXwOc1HUZT%2bTB _x000d__x000a_https://bar.cnki.net/bar/download/order?id=jBGETXBNdPImvx70aLAuJPYxPoFw%2bp%2bi0fIiSrcN6lWXnEoYtphX0Jtvtjf3EoE87xjkRlvGO8J6KALxJ1GxhTnQrP31sd3qbIpJim%2fvA8Tl8E%2bCUVp5GtDTYhVF2dNUoJeGx62Ssygg68TNXJ%2b5JrigejDAar8Xqw%2f6WR22OFXUdUGh4At8VBYSvh%2fCUD5apLJdRX4BwC58MAWtXmYCAu%2bF67nMpzthHJOFur%2bUCZv5LXYX1qwFXwOc1HUZT%2bTB _x000d__x000a_https://bar.cnki.net/bar/download/order?id=jBGETXBNdPImvx70aLAuJPYxPoFw%2bp%2bi0fIiSrcN6lWXnEoYtphX0Jtvtjf3EoE87xjkRlvGO8J6KALxJ1GxhTnQrP31sd3qbIpJim%2fvA8Tl8E%2bCUVp5GtDTYhVF2dNUoJeGx62Ssygg68TNXJ%2b5JrigejDAar8Xqw%2f6WR22OFXUdUGh4At8VBYSvh%2fCUD5a1paC4yf1pBa9fVWwD7c54GK2VE5g5xhSx3OoeqP39%2bD5LXYX1qwFXwOc1HUZT%2bTB _x000d__x000a_https://bar.cnki.net/bar/download/order?id=jBGETXBNdPImvx70aLAuJPYxPoFw%2bp%2bi0fIiSrcN6lWXnEoYtphX0Jtvtjf3EoE87xjkRlvGO8J6KALxJ1GxhTnQrP31sd3qbIpJim%2fvA8Tl8E%2bCUVp5GtDTYhVF2dNUoJeGx62Ssygg68TNXJ%2b5JrigejDAar8Xqw%2f6WR22OFXUdUGh4At8VBYSvh%2fCUD5aZ8UJu4y6aHx18s2mIAXr5KbPqkOHz6XHGO1cnd%2fPGTr5LXYX1qwFXwOc1HUZT%2bTB _x000d__x000a_&lt;/_url&gt;&lt;_volume&gt;44&lt;/_volume&gt;&lt;/Details&gt;&lt;Extra&gt;&lt;DBUID&gt;{6891F4B0-DCBA-459A-9A22-3059983243D4}&lt;/DBUID&gt;&lt;/Extra&gt;&lt;/Item&gt;&lt;/References&gt;&lt;/Group&gt;&lt;/Citation&gt;_x000a_"/>
    <w:docVar w:name="NE.Ref{95DD0F18-FB70-418A-8060-FAEDB1AD23C7}" w:val=" ADDIN NE.Ref.{95DD0F18-FB70-418A-8060-FAEDB1AD23C7}&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9750998D-084F-4D61-AE2C-0C52A5AF7440}" w:val=" ADDIN NE.Ref.{9750998D-084F-4D61-AE2C-0C52A5AF7440}&lt;Citation&gt;&lt;Group&gt;&lt;References&gt;&lt;Item&gt;&lt;ID&gt;360&lt;/ID&gt;&lt;UID&gt;{21A00E8A-0281-4038-9BBD-93D5F4612E88}&lt;/UID&gt;&lt;Title&gt;Prevention and mitigation of high-voltage direct current commutation failures: a review and future directions&lt;/Title&gt;&lt;Template&gt;Journal Article&lt;/Template&gt;&lt;Star&gt;0&lt;/Star&gt;&lt;Tag&gt;0&lt;/Tag&gt;&lt;Author&gt;Zhu, Yanan; Zhang, Shuqing; Liu, Dong; Zhu, Lin; Zou, Sheng; Yu, Siqi; Sun, Yubo&lt;/Author&gt;&lt;Year&gt;2019&lt;/Year&gt;&lt;Details&gt;&lt;_accessed&gt;63445972&lt;/_accessed&gt;&lt;_accession_num&gt;WOS:000504975000002_x000d__x000a_ER&lt;/_accession_num&gt;&lt;_cited_count&gt;0&lt;/_cited_count&gt;&lt;_collection_scope&gt;SCI;SCIE;EI&lt;/_collection_scope&gt;&lt;_created&gt;63444588&lt;/_created&gt;&lt;_date_display&gt;2019, DEC 17 2019&lt;/_date_display&gt;&lt;_db_provider&gt;ISI&lt;/_db_provider&gt;&lt;_doi&gt;10.1049/iet-gtd.2019.0874&lt;/_doi&gt;&lt;_impact_factor&gt;   2.862&lt;/_impact_factor&gt;&lt;_isbn&gt;1751-8687&lt;/_isbn&gt;&lt;_issue&gt;24&lt;/_issue&gt;&lt;_journal&gt;IET GENERATION TRANSMISSION &amp;amp; DISTRIBUTION&lt;/_journal&gt;&lt;_modified&gt;63446048&lt;/_modified&gt;&lt;_pages&gt;5449-5456&lt;/_pages&gt;&lt;_url&gt;http://gateway.isiknowledge.com/gateway/Gateway.cgi?GWVersion=2&amp;amp;SrcAuth=AegeanSoftware&amp;amp;SrcApp=NoteExpress&amp;amp;DestLinkType=FullRecord&amp;amp;DestApp=WOS&amp;amp;KeyUT=000504975000002 _x000d__x000a_https://ieeexplore.ieee.org/stampPDF/getPDF.jsp?tp=&amp;amp;arnumber=8945512&amp;amp;ref=aHR0cHM6Ly9pZWVleHBsb3JlLmllZWUub3JnL3Jlc3Qvc2VhcmNo _x000d__x000a_&lt;/_url&gt;&lt;_volume&gt;13&lt;/_volume&gt;&lt;/Details&gt;&lt;Extra&gt;&lt;DBUID&gt;{6891F4B0-DCBA-459A-9A22-3059983243D4}&lt;/DBUID&gt;&lt;/Extra&gt;&lt;/Item&gt;&lt;/References&gt;&lt;/Group&gt;&lt;/Citation&gt;_x000a_"/>
    <w:docVar w:name="NE.Ref{98493591-66AE-4416-AEE6-3F83CD36C90F}" w:val=" ADDIN NE.Ref.{98493591-66AE-4416-AEE6-3F83CD36C90F}&lt;Citation&gt;&lt;Group&gt;&lt;References&gt;&lt;Item&gt;&lt;ID&gt;671&lt;/ID&gt;&lt;UID&gt;{B9B5CD33-CF6E-4817-B83F-6813BA498D4A}&lt;/UID&gt;&lt;Title&gt;Current-limit control method to prevent subsequent commutation failure of LCC-HVDC based on adaptive trigger voltage&lt;/Title&gt;&lt;Template&gt;Journal Article&lt;/Template&gt;&lt;Star&gt;0&lt;/Star&gt;&lt;Tag&gt;0&lt;/Tag&gt;&lt;Author&gt;Ouyang, J X; Zhang, Z; Pang, M Y; Ye, J J; Xiong, X F&lt;/Author&gt;&lt;Year&gt;2020&lt;/Year&gt;&lt;Details&gt;&lt;_accessed&gt;64494416&lt;/_accessed&gt;&lt;_alternate_title&gt;INTERNATIONAL JOURNAL OF ELECTRICAL POWER &amp;amp; ENERGY SYSTEMS&lt;/_alternate_title&gt;&lt;_author_adr&gt;Chongqing Univ, Sch Elect Engn, State Key Lab Power Transmiss Equipment &amp;amp; Syst Se, Chongqing 400044, Peoples R China&lt;/_author_adr&gt;&lt;_cited_count&gt;12&lt;/_cited_count&gt;&lt;_collection_scope&gt;SCIE;EI&lt;/_collection_scope&gt;&lt;_created&gt;64493985&lt;/_created&gt;&lt;_date&gt;2020-01-01&lt;/_date&gt;&lt;_date_display&gt;2020&lt;/_date_display&gt;&lt;_db_updated&gt;Web of Science-Core&lt;/_db_updated&gt;&lt;_doi&gt;10.1016/j.ijepes.2020.106190&lt;/_doi&gt;&lt;_impact_factor&gt;   5.659&lt;/_impact_factor&gt;&lt;_journal&gt;INTERNATIONAL JOURNAL OF ELECTRICAL POWER &amp;amp; ENERGY SYSTEMS&lt;/_journal&gt;&lt;_keywords&gt;HVDC transmission; Subsequent commutation failure; AC grid fault; Critical slope&lt;/_keywords&gt;&lt;_modified&gt;64494392&lt;/_modified&gt;&lt;_volume&gt;122&lt;/_volume&gt;&lt;/Details&gt;&lt;Extra&gt;&lt;DBUID&gt;{F96A950B-833F-4880-A151-76DA2D6A2879}&lt;/DBUID&gt;&lt;/Extra&gt;&lt;/Item&gt;&lt;/References&gt;&lt;/Group&gt;&lt;/Citation&gt;_x000a_"/>
    <w:docVar w:name="NE.Ref{988325FA-EA73-4C48-A128-A2E7680437B9}" w:val=" ADDIN NE.Ref.{988325FA-EA73-4C48-A128-A2E7680437B9}&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3162&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5.967&lt;/_impact_factor&gt;&lt;_isbn&gt;0885-8993&lt;/_isbn&gt;&lt;_issue&gt;1&lt;/_issue&gt;&lt;_journal&gt;IEEE TRANSACTIONS ON POWER ELECTRONICS&lt;/_journal&gt;&lt;_modified&gt;63455011&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Citation&gt;_x000a_"/>
    <w:docVar w:name="NE.Ref{9996A1FF-022D-4D16-8D23-A1C743996000}" w:val=" ADDIN NE.Ref.{9996A1FF-022D-4D16-8D23-A1C743996000}&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Group&gt;&lt;References&gt;&lt;Item&gt;&lt;ID&gt;852&lt;/ID&gt;&lt;UID&gt;{79579713-1133-4FC7-9725-E64DCC3E0939}&lt;/UID&gt;&lt;Title&gt;高比例新能源电网新能源功率优化分配方法&lt;/Title&gt;&lt;Template&gt;Journal Article&lt;/Template&gt;&lt;Star&gt;0&lt;/Star&gt;&lt;Tag&gt;0&lt;/Tag&gt;&lt;Author&gt;任冲; 柯贤波; 王吉利; 王国春; 赵荣臻&lt;/Author&gt;&lt;Year&gt;2022&lt;/Year&gt;&lt;Details&gt;&lt;_author_aff&gt;国家电网有限公司西北分部;南京南瑞继保电气有限公司;&lt;/_author_aff&gt;&lt;_collection_scope&gt;PKU&lt;/_collection_scope&gt;&lt;_created&gt;64401906&lt;/_created&gt;&lt;_date&gt;2022-05-25&lt;/_date&gt;&lt;_db_updated&gt;CNKI - Reference&lt;/_db_updated&gt;&lt;_issue&gt;03&lt;/_issue&gt;&lt;_journal&gt;电力工程技术&lt;/_journal&gt;&lt;_keywords&gt;系统强度;新能源短路比;综合灵敏度指标;暂态过电压;等综合灵敏度;新能源优化分配&lt;/_keywords&gt;&lt;_modified&gt;64657240&lt;/_modified&gt;&lt;_pages&gt;110-117&lt;/_pages&gt;&lt;_url&gt;https://kns.cnki.net/kcms/detail/detail.aspx?FileName=JSDJ202203014&amp;amp;DbName=CJFQTEMP _x000d__x000a_https://bar.cnki.net/bar/download/order?id=jBGETXBNdPImvx70aLAuJPYxPoFw%2bp%2bi0fIiSrcN6lUmfvBcw7lWC2kyjiaAORmrl61dxzuriBMEhUg4v39I6Mm82jDOg3yr%2bqRqj9L2CzQtqddCdidyosdSaMNWur3ZJBjdlDrNnftoR5pdZPiFRNlKM4sfpT3nRHSqBOA4sms8GQBtE8Z8mK%2fNwS15YoSEbIyKKAfFSUYhWCm34oQFB6opkQ6JnjQzfIvFcCnka0M%3d _x000d__x000a_https://bar.cnki.net/bar/download/order?id=jBGETXBNdPImvx70aLAuJPYxPoFw%2bp%2bi0fIiSrcN6lUmfvBcw7lWC2kyjiaAORmrl61dxzuriBMEhUg4v39I6Mm82jDOg3yr%2bqRqj9L2CzQtqddCdidyosdSaMNWur3ZJBjdlDrNnftoR5pdZPiFRNlKM4sfpT3nRHSqBOA4sms8GQBtE8Z8mK%2fNwS15YoSEkIiXMyYKmQk06tdB9qQ%2bV6opkQ6JnjQzfIvFcCnka0M%3d _x000d__x000a_&lt;/_url&gt;&lt;_volume&gt;41&lt;/_volume&gt;&lt;_translated_author&gt;Ren, Chong;Ke, Xian bo;Wang, Ji li;Wang, Guo chun;Zhao, Rong zhen&lt;/_translated_author&gt;&lt;/Details&gt;&lt;Extra&gt;&lt;DBUID&gt;{684DF7C5-873E-4B6A-A11E-0CD148BF4011}&lt;/DBUID&gt;&lt;/Extra&gt;&lt;/Item&gt;&lt;/References&gt;&lt;/Group&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Group&gt;&lt;References&gt;&lt;Item&gt;&lt;ID&gt;887&lt;/ID&gt;&lt;UID&gt;{DB5992A3-6E7B-4117-AFC9-4EF91BEFC025}&lt;/UID&gt;&lt;Title&gt;新能源基地经特高压交流送出系统输电能力与提升措施&lt;/Title&gt;&lt;Template&gt;Journal Article&lt;/Template&gt;&lt;Star&gt;0&lt;/Star&gt;&lt;Tag&gt;0&lt;/Tag&gt;&lt;Author&gt;习工伟; 赵兵; 郑帅飞; 沈琳; 贾琦; 袁超&lt;/Author&gt;&lt;Year&gt;2022&lt;/Year&gt;&lt;Details&gt;&lt;_author_aff&gt;电网安全与节能国家重点实验室(中国电力科学研究院有限公司);&lt;/_author_aff&gt;&lt;_collection_scope&gt;PKU&lt;/_collection_scope&gt;&lt;_created&gt;64429123&lt;/_created&gt;&lt;_date&gt;2022-07-01&lt;/_date&gt;&lt;_db_updated&gt;CNKI - Reference&lt;/_db_updated&gt;&lt;_issue&gt;07&lt;/_issue&gt;&lt;_journal&gt;电力建设&lt;/_journal&gt;&lt;_keywords&gt;千万千瓦级;特高压交流;暂态过电压;分布式调相机&lt;/_keywords&gt;&lt;_modified&gt;64438140&lt;/_modified&gt;&lt;_pages&gt;131-138&lt;/_pages&gt;&lt;_url&gt;https://kns.cnki.net/kcms/detail/detail.aspx?FileName=DLJS202207015&amp;amp;DbName=CJFQTEMP _x000d__x000a_https://bar.cnki.net/bar/download/order?id=jBGETXBNdPImvx70aLAuJPYxPoFw%2bp%2bi0fIiSrcN6lV7BLE6Mkw8NbnKhcIKDAhDwURBIovEZWsxpaJNu72Rssm82jDOg3yr%2bqRqj9L2CzQtqddCdidyosdSaMNWur3ZJBjdlDrNnftoR5pdZPiFRNlKM4sfpT3nRHSqBOA4sms8GQBtE8Z8mK%2fNwS15YoSEI5VlzNz3mRXiSGtL5znqNqopkQ6JnjQzfIvFcCnka0M%3d _x000d__x000a_https://bar.cnki.net/bar/download/order?id=jBGETXBNdPImvx70aLAuJPYxPoFw%2bp%2bi0fIiSrcN6lV7BLE6Mkw8NbnKhcIKDAhDwURBIovEZWsxpaJNu72Rssm82jDOg3yr%2bqRqj9L2CzQtqddCdidyosdSaMNWur3ZJBjdlDrNnftoR5pdZPiFRNlKM4sfpT3nRHSqBOA4sms8GQBtE8Z8mK%2fNwS15YoSEWqM7OxTyN9s29YfrRyRqXqopkQ6JnjQzfIvFcCnka0M%3d _x000d__x000a_&lt;/_url&gt;&lt;_volume&gt;43&lt;/_volume&gt;&lt;_translated_author&gt;Xi, Gong wei;Zhao, Bing;Zheng, Shuai fei;Shen, Lin;Jia, Qi;Yuan, Chao&lt;/_translated_author&gt;&lt;/Details&gt;&lt;Extra&gt;&lt;DBUID&gt;{684DF7C5-873E-4B6A-A11E-0CD148BF4011}&lt;/DBUID&gt;&lt;/Extra&gt;&lt;/Item&gt;&lt;/References&gt;&lt;/Group&gt;&lt;Group&gt;&lt;References&gt;&lt;Item&gt;&lt;ID&gt;685&lt;/ID&gt;&lt;UID&gt;{3451A225-45F3-4F29-9D10-00E829BC7829}&lt;/UID&gt;&lt;Title&gt;基于短路比指标的风电汇集系统稳定性分析&lt;/Title&gt;&lt;Template&gt;Journal Article&lt;/Template&gt;&lt;Star&gt;0&lt;/Star&gt;&lt;Tag&gt;0&lt;/Tag&gt;&lt;Author&gt;吴林林; 李蕴红; 于思奇; 孙雅旻; 王潇; 杨艳晨; 邓晓洋; 苏田宇; 孙大卫&lt;/Author&gt;&lt;Year&gt;2022&lt;/Year&gt;&lt;Details&gt;&lt;_accessed&gt;64344297&lt;/_accessed&gt;&lt;_author_adr&gt;国网冀北电力科学研究院国家电网公司风光储联合发电运行技术实验室;&lt;/_author_adr&gt;&lt;_author_aff&gt;国网冀北电力科学研究院国家电网公司风光储联合发电运行技术实验室;&lt;/_author_aff&gt;&lt;_collection_scope&gt;CSCD;PKU;EI&lt;/_collection_scope&gt;&lt;_created&gt;64344283&lt;/_created&gt;&lt;_date&gt;64313280&lt;/_date&gt;&lt;_db_provider&gt;CNKI&lt;/_db_provider&gt;&lt;_db_updated&gt;CNKI - Reference&lt;/_db_updated&gt;&lt;_doi&gt;10.16081/j.epae.202205030&lt;/_doi&gt;&lt;_isbn&gt;1006-6047&lt;/_isbn&gt;&lt;_journal&gt;电力自动化设备&lt;/_journal&gt;&lt;_keywords&gt;风电;短路比;静态电压稳定;暂态过电压;宽频振荡;故障穿越&lt;/_keywords&gt;&lt;_modified&gt;64438142&lt;/_modified&gt;&lt;_pages&gt;1-9&lt;/_pages&gt;&lt;_url&gt;https://kns.cnki.net/kcms/detail/detail.aspx?FileName=DLZS2022041100A&amp;amp;DbName=CAPJ2022 _x000d__x000a_https://bar.cnki.net/bar/download/order?id=jBGETXBNdPImvx70aLAuJPjDI3A2vZL8vlJ5Yxju1VKi1GyjVjbjWTvsPpNSfTVE%2by%2bypTYQWus9XccTPv7DloXNr%2bq%2fxAZGaJQaVfGy3LZXUusYHsGzJp9yrhvnk3r3JRJIuitYASY3ZPhq07jV3E2KrDbH2i1UsOVLzAXdpwmbKKoXvHPzsB%2bN7b8wc595Z8%2buEvU4HZgOjW03UO4O9t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sEQd%2b8nKZvUgiDcDB3rzSNr%2b93LrdvkD9CwUbXbsT4sYgW1T3oFZ4xO0eVG7BcLs _x000d__x000a_https://bar.cnki.net/bar/download/order?id=jBGETXBNdPImvx70aLAuJPjDI3A2vZL8vlJ5Yxju1VKi1GyjVjbjWTvsPpNSfTVE%2by%2bypTYQWus9XccTPv7DloXNr%2bq%2fxAZGaJQaVfGy3LZXUusYHsGzJp9yrhvnk3r3JRJIuitYASY3ZPhq07jV3E2KrDbH2i1UsOVLzAXdpwmbKKoXvHPzsB%2bN7b8wc595558yXqm2Je8T%2fqIOxrQgy9r%2b93LrdvkD9CwUbXbsT4sYgW1T3oFZ4xO0eVG7BcLs _x000d__x000a_&lt;/_url&gt;&lt;_translated_author&gt;Wu, Lin lin;Li, Yun hong;Yu, Si qi;Sun, Ya min;Wang, Xiao;Yang, Yan chen;Deng, Xiao yang;Su, Tian yu;Sun, Da wei&lt;/_translated_author&gt;&lt;/Details&gt;&lt;Extra&gt;&lt;DBUID&gt;{684DF7C5-873E-4B6A-A11E-0CD148BF4011}&lt;/DBUID&gt;&lt;/Extra&gt;&lt;/Item&gt;&lt;/References&gt;&lt;/Group&gt;&lt;Group&gt;&lt;References&gt;&lt;Item&gt;&lt;ID&gt;504&lt;/ID&gt;&lt;UID&gt;{1C8FEB8B-32D8-4A14-A90A-C6461975AA46}&lt;/UID&gt;&lt;Title&gt;抑制HVDC换相失败送端过电压的参数优化&lt;/Title&gt;&lt;Template&gt;Journal Article&lt;/Template&gt;&lt;Star&gt;0&lt;/Star&gt;&lt;Tag&gt;0&lt;/Tag&gt;&lt;Author&gt;王婷; 苏玉香; 沈晓群; 王翔; 罗健锋&lt;/Author&gt;&lt;Year&gt;2022&lt;/Year&gt;&lt;Details&gt;&lt;_accessed&gt;64344298&lt;/_accessed&gt;&lt;_author_aff&gt;浙江海洋大学海洋工程装备学院;西南交通大学电气工程学院;&lt;/_author_aff&gt;&lt;_created&gt;64344248&lt;/_created&gt;&lt;_date&gt;2022-02-15&lt;/_date&gt;&lt;_db_updated&gt;CNKI - Reference&lt;/_db_updated&gt;&lt;_issue&gt;02&lt;/_issue&gt;&lt;_journal&gt;电气应用&lt;/_journal&gt;&lt;_keywords&gt;高压直流输电;蜻蜓算法;暂态过电压;控制参数&lt;/_keywords&gt;&lt;_modified&gt;64438144&lt;/_modified&gt;&lt;_pages&gt;70-74&lt;/_pages&gt;&lt;_url&gt;https://kns.cnki.net/kcms/detail/detail.aspx?FileName=DGJZ202202013&amp;amp;DbName=DKFX2022 _x000d__x000a_https://bar.cnki.net/bar/download/order?id=jBGETXBNdPImvx70aLAuJPYxPoFw%2bp%2bi0fIiSrcN6lU%2fRxqhwaZ%2b0a0wrF%2bwF1qN%2bDdkDFepkUoGamH8rMrnz50PLIIoFLYwy5BgUEfsTyzl8E%2bCUVp5GtDTYhVF2dNUoJeGx62Ssygg68TNXJ%2b5JrigejDAar8Xqw%2f6WR22OFXUdUGh4At8VBYSvh%2fCUD5aVF4R3A5zLeuRV9Ciwq3jczywdCCNUBoe64u3nSlfnvv5LXYX1qwFXwOc1HUZT%2bTB _x000d__x000a_https://bar.cnki.net/bar/download/order?id=jBGETXBNdPImvx70aLAuJPYxPoFw%2bp%2bi0fIiSrcN6lU%2fRxqhwaZ%2b0a0wrF%2bwF1qN%2bDdkDFepkUoGamH8rMrnz50PLIIoFLYwy5BgUEfsTyzl8E%2bCUVp5GtDTYhVF2dNUoJeGx62Ssygg68TNXJ%2b5JrigejDAar8Xqw%2f6WR22OFXUdUGh4At8VBYSvh%2fCUD5aVc%2bEBI4pqvZWKFVdbCsNn2CKTS9pcl6GTCDjNFE4OQL5LXYX1qwFXwOc1HUZT%2bTB _x000d__x000a_https://bar.cnki.net/bar/download/order?id=jBGETXBNdPImvx70aLAuJPYxPoFw%2bp%2bi0fIiSrcN6lU%2fRxqhwaZ%2b0a0wrF%2bwF1qN%2bDdkDFepkUoGamH8rMrnz50PLIIoFLYwy5BgUEfsTyzl8E%2bCUVp5GtDTYhVF2dNUoJeGx62Ssygg68TNXJ%2b5JrigejDAar8Xqw%2f6WR22OFXUdUGh4At8VBYSvh%2fCUD5a5NyhfVJLNE%2fINVqFjMKjqHD1KEjSejZLN7ZFl6L6ESv5LXYX1qwFXwOc1HUZT%2bTB _x000d__x000a_&lt;/_url&gt;&lt;_volume&gt;41&lt;/_volume&gt;&lt;_translated_author&gt;Wang, Ting;Su, Yu xiang;Shen, Xiao qun;Wang, Xiang;Luo, Jian feng&lt;/_translated_author&gt;&lt;/Details&gt;&lt;Extra&gt;&lt;DBUID&gt;{684DF7C5-873E-4B6A-A11E-0CD148BF4011}&lt;/DBUID&gt;&lt;/Extra&gt;&lt;/Item&gt;&lt;/References&gt;&lt;/Group&gt;&lt;Group&gt;&lt;References&gt;&lt;Item&gt;&lt;ID&gt;499&lt;/ID&gt;&lt;UID&gt;{BC6D8445-E5D1-400B-9C83-AF163E16FD22}&lt;/UID&gt;&lt;Title&gt;考虑功角稳定和暂态过电压的新能源电压穿越控制参数优化&lt;/Title&gt;&lt;Template&gt;Journal Article&lt;/Template&gt;&lt;Star&gt;0&lt;/Star&gt;&lt;Tag&gt;0&lt;/Tag&gt;&lt;Author&gt;林伟芳; 任晓钰; 张桂红; 雷雨; 赵源上; 张祥成&lt;/Author&gt;&lt;Year&gt;2022&lt;/Year&gt;&lt;Details&gt;&lt;_author_aff&gt;中国电力科学研究院有限公司;国网青海省电力公司经济技术研究院;&lt;/_author_aff&gt;&lt;_collection_scope&gt;CSCD;PKU;EI&lt;/_collection_scope&gt;&lt;_created&gt;64344243&lt;/_created&gt;&lt;_date&gt;2022-04-29&lt;/_date&gt;&lt;_db_updated&gt;CNKI - Reference&lt;/_db_updated&gt;&lt;_journal&gt;电网技术&lt;/_journal&gt;&lt;_keywords&gt;直流输电;功角稳定;暂态过电压&lt;/_keywords&gt;&lt;_modified&gt;64438143&lt;/_modified&gt;&lt;_pages&gt;1-9&lt;/_pages&gt;&lt;_url&gt;https://kns.cnki.net/kcms/detail/detail.aspx?FileName=DWJS20220428002&amp;amp;DbName=DKFX2022 _x000d__x000a_https://bar.cnki.net/bar/download/order?id=jBGETXBNdPImvx70aLAuJPjDI3A2vZL8vlJ5Yxju1VLqlKEJyZNwKgXlkXhWKuN6jrCLV0KG%2bvb5caCE9OvbSIXNr%2bq%2fxAZGaJQaVfGy3LZXUusYHsGzJp9yrhvnk3r3JRJIuitYASY3ZPhq07jV3E2KrDbH2i1UsOVLzAXdpwmbKKoXvHPzsB%2bN7b8wc595fmkjeKXQ%2bKhV7tSZ09R86N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tjKu3e3XYaRKREv3RSIDSdr%2b93LrdvkD9CwUbXbsT4sYgW1T3oFZ4xO0eVG7BcLs _x000d__x000a_https://bar.cnki.net/bar/download/order?id=jBGETXBNdPImvx70aLAuJPjDI3A2vZL8vlJ5Yxju1VLqlKEJyZNwKgXlkXhWKuN6jrCLV0KG%2bvb5caCE9OvbSIXNr%2bq%2fxAZGaJQaVfGy3LZXUusYHsGzJp9yrhvnk3r3JRJIuitYASY3ZPhq07jV3E2KrDbH2i1UsOVLzAXdpwmbKKoXvHPzsB%2bN7b8wc595iCqQz9a93omLjCB5S%2bniENr%2b93LrdvkD9CwUbXbsT4sYgW1T3oFZ4xO0eVG7BcLs _x000d__x000a_&lt;/_url&gt;&lt;_translated_author&gt;Lin, Wei fang;Ren, Xiao yu;Zhang, Gui hong;Lei, Yu;Zhao, Yuan shang;Zhang, Xiang cheng&lt;/_translated_author&gt;&lt;/Details&gt;&lt;Extra&gt;&lt;DBUID&gt;{684DF7C5-873E-4B6A-A11E-0CD148BF4011}&lt;/DBUID&gt;&lt;/Extra&gt;&lt;/Item&gt;&lt;/References&gt;&lt;/Group&gt;&lt;Group&gt;&lt;References&gt;&lt;Item&gt;&lt;ID&gt;857&lt;/ID&gt;&lt;UID&gt;{DA1D4779-354B-4D44-8F6A-6B6A02DB30A1}&lt;/UID&gt;&lt;Title&gt;基于虚拟电抗的主动支撑型新能源机组低电压穿越控制方法&lt;/Title&gt;&lt;Template&gt;Journal Article&lt;/Template&gt;&lt;Star&gt;0&lt;/Star&gt;&lt;Tag&gt;0&lt;/Tag&gt;&lt;Author&gt;王雪梅; 王艺博; 刘雨桐; 刘闯; 王顺江; 胡博&lt;/Author&gt;&lt;Year&gt;2022&lt;/Year&gt;&lt;Details&gt;&lt;_author_aff&gt;东北电力大学电气工程学院;国网内蒙古东部电力有限公司赤峰供电公司;国网辽宁省电力有限公司;&lt;/_author_aff&gt;&lt;_collection_scope&gt;CSCD;PKU;EI&lt;/_collection_scope&gt;&lt;_created&gt;64402414&lt;/_created&gt;&lt;_date&gt;2022-02-16&lt;/_date&gt;&lt;_db_updated&gt;CNKI - Reference&lt;/_db_updated&gt;&lt;_journal&gt;电网技术&lt;/_journal&gt;&lt;_keywords&gt;虚拟电抗;主动支撑控制;低电压穿越;限制短路电流;无功支撑;VSC&lt;/_keywords&gt;&lt;_modified&gt;64438142&lt;/_modified&gt;&lt;_pages&gt;1-11&lt;/_pages&gt;&lt;_url&gt;https://kns.cnki.net/kcms/detail/detail.aspx?FileName=DWJS20220215006&amp;amp;DbName=DKFX2022 _x000d__x000a_https://bar.cnki.net/bar/download/order?id=jBGETXBNdPImvx70aLAuJPjDI3A2vZL8vlJ5Yxju1VKryE9yAS3DgMl%2fvlZ2OZ%2fH925kygpRBmlZPsH2eKcS9YXNr%2bq%2fxAZGaJQaVfGy3LZXUusYHsGzJp9yrhvnk3r3JRJIuitYASY3ZPhq07jV3E2KrDbH2i1UsOVLzAXdpwmbKKoXvHPzsB%2bN7b8wc595oBUd%2fDhuWZ%2bxyOlpeXnPAdr%2b93LrdvkD9CwUbXbsT4sYgW1T3oFZ4xO0eVG7BcLs _x000d__x000a_https://bar.cnki.net/bar/download/order?id=jBGETXBNdPImvx70aLAuJPjDI3A2vZL8vlJ5Yxju1VKryE9yAS3DgMl%2fvlZ2OZ%2fH925kygpRBmlZPsH2eKcS9YXNr%2bq%2fxAZGaJQaVfGy3LZXUusYHsGzJp9yrhvnk3r3JRJIuitYASY3ZPhq07jV3E2KrDbH2i1UsOVLzAXdpwmbKKoXvHPzsB%2bN7b8wc5952gC02VSCCar0T0HRocOMktr%2b93LrdvkD9CwUbXbsT4sYgW1T3oFZ4xO0eVG7BcLs _x000d__x000a_&lt;/_url&gt;&lt;_translated_author&gt;Wang, Xue mei;Wang, Yi bo;Liu, Yu tong;Liu, Chuang;Wang, Shun jiang;Hu, Bo&lt;/_translated_author&gt;&lt;/Details&gt;&lt;Extra&gt;&lt;DBUID&gt;{684DF7C5-873E-4B6A-A11E-0CD148BF4011}&lt;/DBUID&gt;&lt;/Extra&gt;&lt;/Item&gt;&lt;/References&gt;&lt;/Group&gt;&lt;Group&gt;&lt;References&gt;&lt;Item&gt;&lt;ID&gt;856&lt;/ID&gt;&lt;UID&gt;{9C4B4B81-9245-45D8-9C38-48F401B3CDDF}&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ollection_scope&gt;CSCD;PKU;EI&lt;/_collection_scope&gt;&lt;_created&gt;64402414&lt;/_created&gt;&lt;_date&gt;2021-07-29&lt;/_date&gt;&lt;_db_updated&gt;CNKI - Reference&lt;/_db_updated&gt;&lt;_issue&gt;05&lt;/_issue&gt;&lt;_journal&gt;电网技术&lt;/_journal&gt;&lt;_keywords&gt;特高压直流;过电压;低电压穿越;安全稳定控制&lt;/_keywords&gt;&lt;_modified&gt;64441017&lt;/_modified&gt;&lt;_pages&gt;1907-1916&lt;/_pages&gt;&lt;_url&gt;https://kns.cnki.net/kcms/detail/detail.aspx?FileName=DWJS202205024&amp;amp;DbName=DKFXTEMP _x000d__x000a_https://bar.cnki.net/bar/download/order?id=jBGETXBNdPImvx70aLAuJPYxPoFw%2bp%2bi0fIiSrcN6lUjlhfp73Urejyts9sFyPxFFV%2b%2fuL8qdq3fK6G18C2CLcm82jDOg3yr%2bqRqj9L2CzQtqddCdidyosdSaMNWur3ZJBjdlDrNnftoR5pdZPiFRNlKM4sfpT3nRHSqBOA4sms8GQBtE8Z8mK%2fNwS15YoSEG0qczTib8bX8SU0%2bNiJb2KopkQ6JnjQzfIvFcCnka0M%3d _x000d__x000a_https://bar.cnki.net/bar/download/order?id=jBGETXBNdPImvx70aLAuJPYxPoFw%2bp%2bi0fIiSrcN6lUjlhfp73Urejyts9sFyPxFFV%2b%2fuL8qdq3fK6G18C2CLcm82jDOg3yr%2bqRqj9L2CzQtqddCdidyosdSaMNWur3ZJBjdlDrNnftoR5pdZPiFRNlKM4sfpT3nRHSqBOA4sms8GQBtE8Z8mK%2fNwS15YoSEg%2f8VJ3jWXz311uzzShk84KopkQ6JnjQzfIvFcCnka0M%3d _x000d__x000a_&lt;/_url&gt;&lt;_volume&gt;46&lt;/_volume&gt;&lt;_translated_author&gt;Zhou, Ying kun;Xie, Heng;Sun, Hua dong;Xu, Shi yun;Zhao, Bing;Zhang, Yi;Chang, Xi qiang;Zhang, Jian&lt;/_translated_author&gt;&lt;/Details&gt;&lt;Extra&gt;&lt;DBUID&gt;{684DF7C5-873E-4B6A-A11E-0CD148BF4011}&lt;/DBUID&gt;&lt;/Extra&gt;&lt;/Item&gt;&lt;/References&gt;&lt;/Group&gt;&lt;Group&gt;&lt;References&gt;&lt;Item&gt;&lt;ID&gt;907&lt;/ID&gt;&lt;UID&gt;{047EB8B0-AE27-4858-9DF2-3E89602A7754}&lt;/UID&gt;&lt;Title&gt;应对特高压直流大扰动的稳定措施综述&lt;/Title&gt;&lt;Template&gt;Journal Article&lt;/Template&gt;&lt;Star&gt;0&lt;/Star&gt;&lt;Tag&gt;5&lt;/Tag&gt;&lt;Author&gt;邱威; 贺静波; 樊小伟; 许涛; 于钊; 张剑云; 何飞; 蓝海波; 叶俭; 张怡; 刘明松; 王超; 金一丁; 徐凯; 朱介北; 刘娜&lt;/Author&gt;&lt;Year&gt;2022&lt;/Year&gt;&lt;Details&gt;&lt;_author_aff&gt;国网冀北电力有限公司;国家电力调度控制中心;北京电力交易中心有限公司;天津大学电气自动化与信息工程学院;国网北京市电力公司;&lt;/_author_aff&gt;&lt;_collection_scope&gt;CSCD;PKU;EI&lt;/_collection_scope&gt;&lt;_created&gt;64474166&lt;/_created&gt;&lt;_date&gt;2022-04-22&lt;/_date&gt;&lt;_db_updated&gt;CNKI - Reference&lt;/_db_updated&gt;&lt;_journal&gt;电网技术&lt;/_journal&gt;&lt;_keywords&gt;特高压直流;大扰动;功角稳定;频率稳定;电压稳定;过电压&lt;/_keywords&gt;&lt;_modified&gt;64474201&lt;/_modified&gt;&lt;_pages&gt;1-18&lt;/_pages&gt;&lt;_url&gt;https://kns.cnki.net/kcms/detail/detail.aspx?FileName=DWJS20220421000&amp;amp;DbName=DKFX2022 _x000d__x000a_https://bar.cnki.net/bar/download/order?id=jBGETXBNdPImvx70aLAuJPjDI3A2vZL8vlJ5Yxju1VLqlKEJyZNwKgXlkXhWKuN6giKITpHCcDZRv5EcYwb%2fSYXNr%2bq%2fxAZGaJQaVfGy3LZXUusYHsGzJp9yrhvnk3r3JRJIuitYASY3ZPhq07jV3E2KrDbH2i1UsOVLzAXdpwmbKKoXvHPzsB%2bN7b8wc595y7gD3AG9tBl4dX77sRryudr%2b93LrdvkD9CwUbXbsT4sYgW1T3oFZ4xO0eVG7BcLs _x000d__x000a_&lt;/_url&gt;&lt;_translated_author&gt;Qiu, Wei;He, Jing bo;Fan, Xiao wei;Xu, Tao;Yu, Zhao;Zhang, Jian yun;He, Fei;Lan, Hai bo;Ye, Jian;Zhang, Yi;Liu, Ming song;Wang, Chao;Jin, Yi ding;Xu, Kai;Zhu, Jie bei;Liu, Na&lt;/_translated_author&gt;&lt;/Details&gt;&lt;Extra&gt;&lt;DBUID&gt;{684DF7C5-873E-4B6A-A11E-0CD148BF4011}&lt;/DBUID&gt;&lt;/Extra&gt;&lt;/Item&gt;&lt;/References&gt;&lt;/Group&gt;&lt;Group&gt;&lt;References&gt;&lt;Item&gt;&lt;ID&gt;503&lt;/ID&gt;&lt;UID&gt;{BD7BB4D3-B289-45E7-8485-7973EAD97712}&lt;/UID&gt;&lt;Title&gt;考虑直流闭锁暂态过电压约束的送端电网换流站高效无功规划&lt;/Title&gt;&lt;Template&gt;Journal Article&lt;/Template&gt;&lt;Star&gt;0&lt;/Star&gt;&lt;Tag&gt;0&lt;/Tag&gt;&lt;Author&gt;赵溶溶; 柯德平; 孙元章; 徐箭; 常海军; 刘福锁&lt;/Author&gt;&lt;Year&gt;2022&lt;/Year&gt;&lt;Details&gt;&lt;_author_aff&gt;武汉大学电气与自动化学院;南瑞集团公司;&lt;/_author_aff&gt;&lt;_collection_scope&gt;PKU&lt;/_collection_scope&gt;&lt;_created&gt;64344247&lt;/_created&gt;&lt;_date&gt;2022-02-16&lt;/_date&gt;&lt;_db_updated&gt;CNKI - Reference&lt;/_db_updated&gt;&lt;_journal&gt;南方电网技术&lt;/_journal&gt;&lt;_keywords&gt;直流闭锁;暂态过电压;同步调相机;无功规划&lt;/_keywords&gt;&lt;_modified&gt;64438143&lt;/_modified&gt;&lt;_pages&gt;1-12&lt;/_pages&gt;&lt;_url&gt;https://kns.cnki.net/kcms/detail/detail.aspx?FileName=NFDW20220215001&amp;amp;DbName=CAPJ2022 _x000d__x000a_https://bar.cnki.net/bar/download/order?id=jBGETXBNdPImvx70aLAuJPjDI3A2vZL8vlJ5Yxju1VJbSuYf3qAZbzpXaTCqFIWBz%2fKbM0AiJed8OtdhpTkIEoXNr%2bq%2fxAZGaJQaVfGy3LZXUusYHsGzJp9yrhvnk3r3JRJIuitYASY3ZPhq07jV3E2KrDbH2i1UsOVLzAXdpwmbKKoXvHPzsB%2bN7b8wc595vMo4kMMQy63h0a0BqeCd3d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fmFc5BYKZpHX45s1OeLDz9r%2b93LrdvkD9CwUbXbsT4sYgW1T3oFZ4xO0eVG7BcLs _x000d__x000a_https://bar.cnki.net/bar/download/order?id=jBGETXBNdPImvx70aLAuJPjDI3A2vZL8vlJ5Yxju1VJbSuYf3qAZbzpXaTCqFIWBz%2fKbM0AiJed8OtdhpTkIEoXNr%2bq%2fxAZGaJQaVfGy3LZXUusYHsGzJp9yrhvnk3r3JRJIuitYASY3ZPhq07jV3E2KrDbH2i1UsOVLzAXdpwmbKKoXvHPzsB%2bN7b8wc595nKCUVgDbiw%2b8kbPyHMJ6q9r%2b93LrdvkD9CwUbXbsT4sYgW1T3oFZ4xO0eVG7BcLs _x000d__x000a_&lt;/_url&gt;&lt;_translated_author&gt;Zhao, Rong rong;Ke, De ping;Sun, Yuan zhang;Xu, Jian;Chang, Hai jun;Liu, Fu suo&lt;/_translated_author&gt;&lt;/Details&gt;&lt;Extra&gt;&lt;DBUID&gt;{684DF7C5-873E-4B6A-A11E-0CD148BF4011}&lt;/DBUID&gt;&lt;/Extra&gt;&lt;/Item&gt;&lt;/References&gt;&lt;/Group&gt;&lt;Group&gt;&lt;References&gt;&lt;Item&gt;&lt;ID&gt;908&lt;/ID&gt;&lt;UID&gt;{F854AE7A-14F3-4E0A-B831-826386CF87C2}&lt;/UID&gt;&lt;Title&gt;基于能量同步转换技术的高比例新能源外送地区暂态过电压抑制研究&lt;/Title&gt;&lt;Template&gt;Journal Article&lt;/Template&gt;&lt;Star&gt;0&lt;/Star&gt;&lt;Tag&gt;0&lt;/Tag&gt;&lt;Author&gt;田旭; 刘飞; 张君; 白左霞&lt;/Author&gt;&lt;Year&gt;2022&lt;/Year&gt;&lt;Details&gt;&lt;_author_aff&gt;国网青海省电力公司经济技术研究院;国网青海省电力公司;&lt;/_author_aff&gt;&lt;_collection_scope&gt;PKU&lt;/_collection_scope&gt;&lt;_created&gt;64476646&lt;/_created&gt;&lt;_date&gt;2022-08-01&lt;/_date&gt;&lt;_db_updated&gt;CNKI - Reference&lt;/_db_updated&gt;&lt;_journal&gt;南方电网技术&lt;/_journal&gt;&lt;_keywords&gt;能量同步转换;新能源;高压直流;过电压抑制&lt;/_keywords&gt;&lt;_modified&gt;64476647&lt;/_modified&gt;&lt;_pages&gt;1-10&lt;/_pages&gt;&lt;_url&gt;https://kns.cnki.net/kcms/detail/detail.aspx?FileName=NFDW20220729001&amp;amp;DbName=CAPJ2022 _x000d__x000a_https://bar.cnki.net/bar/download/order?id=jBGETXBNdPImvx70aLAuJPjDI3A2vZL8vlJ5Yxju1VLMUcNe13gaKeNKm4t4HzU6ReCKymKxHE3jVZlzKnzVb4XNr%2bq%2fxAZGaJQaVfGy3LZXUusYHsGzJp9yrhvnk3r3JRJIuitYASY3ZPhq07jV3E2KrDbH2i1UsOVLzAXdpwmbKKoXvHPzsB%2bN7b8wc5959s7N%2fMEn27Yme%2f5sDxz389r%2b93LrdvkD9CwUbXbsT4sYgW1T3oFZ4xO0eVG7BcLs _x000d__x000a_&lt;/_url&gt;&lt;_translated_author&gt;Tian, Xu;Liu, Fei;Zhang, Jun;Bai, Zuo xia&lt;/_translated_author&gt;&lt;/Details&gt;&lt;Extra&gt;&lt;DBUID&gt;{684DF7C5-873E-4B6A-A11E-0CD148BF4011}&lt;/DBUID&gt;&lt;/Extra&gt;&lt;/Item&gt;&lt;/References&gt;&lt;/Group&gt;&lt;Group&gt;&lt;References&gt;&lt;Item&gt;&lt;ID&gt;853&lt;/ID&gt;&lt;UID&gt;{78DA87CC-B178-48D0-8CA0-98D156D5A838}&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collection_scope&gt;CSCD;PKU;EI&lt;/_collection_scope&gt;&lt;_created&gt;64401906&lt;/_created&gt;&lt;_date&gt;2022-05-23&lt;/_date&gt;&lt;_db_updated&gt;CNKI - Reference&lt;/_db_updated&gt;&lt;_journal&gt;中国电机工程学报&lt;/_journal&gt;&lt;_keywords&gt;暂态过电压;新能源并网系统;电压支撑强度;短路容量;并网规模&lt;/_keywords&gt;&lt;_modified&gt;64438143&lt;/_modified&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BUJl8rpqKpWH7jpMwI6Bs9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HsB40upzmFjk4LUMuPAnetr%2b93LrdvkD9CwUbXbsT4sYgW1T3oFZ4xO0eVG7BcLs _x000d__x000a_https://bar.cnki.net/bar/download/order?id=jBGETXBNdPImvx70aLAuJPjDI3A2vZL8vlJ5Yxju1VI%2fnRynOSjNVBHYb8Zzf6TLNly9XkofL7c2hjkwBXUUNYXNr%2bq%2fxAZGaJQaVfGy3LZXUusYHsGzJp9yrhvnk3r3JRJIuitYASY3ZPhq07jV3E2KrDbH2i1UsOVLzAXdpwmbKKoXvHPzsB%2bN7b8wc595x4SYVWxDPBGUEi3ssE5yJNr%2b93LrdvkD9CwUbXbsT4sYgW1T3oFZ4xO0eVG7BcLs _x000d__x000a_&lt;/_url&gt;&lt;_translated_author&gt;Sun, Hua dong;Yu, Lin;Zhao, Bing&lt;/_translated_author&gt;&lt;/Details&gt;&lt;Extra&gt;&lt;DBUID&gt;{684DF7C5-873E-4B6A-A11E-0CD148BF4011}&lt;/DBUID&gt;&lt;/Extra&gt;&lt;/Item&gt;&lt;/References&gt;&lt;/Group&gt;&lt;Group&gt;&lt;References&gt;&lt;Item&gt;&lt;ID&gt;861&lt;/ID&gt;&lt;UID&gt;{8AD7DBFF-7D02-4180-BB59-043B3D7A9B8A}&lt;/UID&gt;&lt;Title&gt;电力电子设备接入电压支撑强度量化评估指标综述&lt;/Title&gt;&lt;Template&gt;Journal Article&lt;/Template&gt;&lt;Star&gt;0&lt;/Star&gt;&lt;Tag&gt;0&lt;/Tag&gt;&lt;Author&gt;于琳; 孙华东; 徐式蕴; 赵兵; 张健; 李宗翰&lt;/Author&gt;&lt;Year&gt;2022&lt;/Year&gt;&lt;Details&gt;&lt;_author_aff&gt;电网安全与节能国家重点实验室(中国电力科学研究院有限公司);&lt;/_author_aff&gt;&lt;_cited_count&gt;1&lt;/_cited_count&gt;&lt;_collection_scope&gt;CSCD;PKU;EI&lt;/_collection_scope&gt;&lt;_created&gt;64402433&lt;/_created&gt;&lt;_date&gt;2021-11-03&lt;/_date&gt;&lt;_db_updated&gt;CNKI - Reference&lt;/_db_updated&gt;&lt;_issue&gt;02&lt;/_issue&gt;&lt;_journal&gt;中国电机工程学报&lt;/_journal&gt;&lt;_keywords&gt;电压支撑强度;短路比;临界短路比;阻抗比;电力电子设备&lt;/_keywords&gt;&lt;_modified&gt;64438140&lt;/_modified&gt;&lt;_pages&gt;499-515&lt;/_pages&gt;&lt;_url&gt;https://kns.cnki.net/kcms/detail/detail.aspx?FileName=ZGDC202202005&amp;amp;DbName=DKFX2022 _x000d__x000a_https://bar.cnki.net/bar/download/order?id=jBGETXBNdPImvx70aLAuJPYxPoFw%2bp%2bi0fIiSrcN6lU4U5Ntw4Lu%2bLS0I0bCFd93ds%2fr85YSD8tWj6u6R%2b%2fkcZ0PLIIoFLYwy5BgUEfsTyzl8E%2bCUVp5GtDTYhVF2dNUoJeGx62Ssygg68TNXJ%2b5JrigejDAar8Xqw%2f6WR22OFXUdUGh4At8VBYSvh%2fCUD5aDciZ2upqhWYUX2P1zV9Wju%2bF67nMpzthHJOFur%2bUCZv5LXYX1qwFXwOc1HUZT%2bTB _x000d__x000a_https://bar.cnki.net/bar/download/order?id=jBGETXBNdPImvx70aLAuJPYxPoFw%2bp%2bi0fIiSrcN6lU4U5Ntw4Lu%2bLS0I0bCFd93ds%2fr85YSD8tWj6u6R%2b%2fkcZ0PLIIoFLYwy5BgUEfsTyzl8E%2bCUVp5GtDTYhVF2dNUoJeGx62Ssygg68TNXJ%2b5JrigejDAar8Xqw%2f6WR22OFXUdUGh4At8VBYSvh%2fCUD5aMT4dxrjNWBmwQdO5ce39dbShwJTXXHTGAokesLWWXvz5LXYX1qwFXwOc1HUZT%2bTB _x000d__x000a_&lt;/_url&gt;&lt;_volume&gt;42&lt;/_volume&gt;&lt;_translated_author&gt;Yu, Lin;Sun, Hua dong;Xu, Shi yun;Zhao, Bing;Zhang, Jian;Li, Zong han&lt;/_translated_author&gt;&lt;/Details&gt;&lt;Extra&gt;&lt;DBUID&gt;{684DF7C5-873E-4B6A-A11E-0CD148BF4011}&lt;/DBUID&gt;&lt;/Extra&gt;&lt;/Item&gt;&lt;/References&gt;&lt;/Group&gt;&lt;Group&gt;&lt;References&gt;&lt;Item&gt;&lt;ID&gt;905&lt;/ID&gt;&lt;UID&gt;{755F6F1E-3B3F-4CF7-8C5D-C5E26A053B4C}&lt;/UID&gt;&lt;Title&gt;交流网严重故障引发LCC-UHVDC功率振荡机理及控制优化方法&lt;/Title&gt;&lt;Template&gt;Journal Article&lt;/Template&gt;&lt;Star&gt;0&lt;/Star&gt;&lt;Tag&gt;0&lt;/Tag&gt;&lt;Author&gt;丁平; 刘明松; 张慕婕; 万凯遥; 尹健; 张庆武; 刘敏&lt;/Author&gt;&lt;Year&gt;2022&lt;/Year&gt;&lt;Details&gt;&lt;_author_aff&gt;中国电力科学研究院有限公司;国家电力调度控制中心;国家电网公司华中分部;国网经济技术研究院有限公司;南京南瑞继保电气有限公司;&lt;/_author_aff&gt;&lt;_collection_scope&gt;CSCD;PKU;EI&lt;/_collection_scope&gt;&lt;_created&gt;64472690&lt;/_created&gt;&lt;_date&gt;2022-07-05&lt;/_date&gt;&lt;_db_updated&gt;CNKI - Reference&lt;/_db_updated&gt;&lt;_journal&gt;中国电机工程学报&lt;/_journal&gt;&lt;_keywords&gt;LCC-UHVDC;功率振荡;机电-电磁混合仿真;控制策略&lt;/_keywords&gt;&lt;_modified&gt;64472690&lt;/_modified&gt;&lt;_pages&gt;1-10&lt;/_pages&gt;&lt;_url&gt;https://kns.cnki.net/kcms/detail/detail.aspx?FileName=ZGDC20220630001&amp;amp;DbName=DKFX2022 _x000d__x000a_https://bar.cnki.net/bar/download/order?id=jBGETXBNdPImvx70aLAuJPjDI3A2vZL8vlJ5Yxju1VKCWJTOKXWyf4A4GRiUKtBQjrKMeCp6SoK8HpGeOwHhT4XNr%2bq%2fxAZGaJQaVfGy3LZXUusYHsGzJp9yrhvnk3r3JRJIuitYASY3ZPhq07jV3E2KrDbH2i1UsOVLzAXdpwmbKKoXvHPzsB%2bN7b8wc595sScAwo2M3TBPwHpJT5rTuNr%2b93LrdvkD9CwUbXbsT4sYgW1T3oFZ4xO0eVG7BcLs _x000d__x000a_&lt;/_url&gt;&lt;_translated_author&gt;Ding, Ping;Liu, Ming song;Zhang, Mu jie;Wan, Kai yao;Yin, Jian;Zhang, Qing wu;Liu, Min&lt;/_translated_author&gt;&lt;/Details&gt;&lt;Extra&gt;&lt;DBUID&gt;{684DF7C5-873E-4B6A-A11E-0CD148BF4011}&lt;/DBUID&gt;&lt;/Extra&gt;&lt;/Item&gt;&lt;/References&gt;&lt;/Group&gt;&lt;Group&gt;&lt;References&gt;&lt;Item&gt;&lt;ID&gt;502&lt;/ID&gt;&lt;UID&gt;{D521A7F9-0737-46FB-9053-F406506EE3FF}&lt;/UID&gt;&lt;Title&gt;新能源低电压穿越无功电流对暂态电压安全约束的影响&lt;/Title&gt;&lt;Template&gt;Journal Article&lt;/Template&gt;&lt;Star&gt;0&lt;/Star&gt;&lt;Tag&gt;0&lt;/Tag&gt;&lt;Author&gt;刘辉; 王阔&lt;/Author&gt;&lt;Year&gt;2022&lt;/Year&gt;&lt;Details&gt;&lt;_author_aff&gt;国网冀北电力有限公司电力科学研究院;北京大学;&lt;/_author_aff&gt;&lt;_collection_scope&gt;CSCD;PKU&lt;/_collection_scope&gt;&lt;_created&gt;64344247&lt;/_created&gt;&lt;_date&gt;2022-02-25&lt;/_date&gt;&lt;_db_updated&gt;CNKI - Reference&lt;/_db_updated&gt;&lt;_issue&gt;02&lt;/_issue&gt;&lt;_journal&gt;中国电力&lt;/_journal&gt;&lt;_keywords&gt;新能源汇集系统;低电压穿越;暂态过电压;短路比&lt;/_keywords&gt;&lt;_modified&gt;64438143&lt;/_modified&gt;&lt;_pages&gt;152-158&lt;/_pages&gt;&lt;_url&gt;https://kns.cnki.net/kcms/detail/detail.aspx?FileName=ZGDL202202019&amp;amp;DbName=CJFQ2022 _x000d__x000a_https://bar.cnki.net/bar/download/order?id=jBGETXBNdPImvx70aLAuJPYxPoFw%2bp%2bi0fIiSrcN6lXKGcn7A6sPNsiBdWCd6%2fl3qfi8%2bi%2f76dNraIZO5iW6Bp0PLIIoFLYwy5BgUEfsTyzl8E%2bCUVp5GtDTYhVF2dNUoJeGx62Ssygg68TNXJ%2b5JrigejDAar8Xqw%2f6WR22OFXUdUGh4At8VBYSvh%2fCUD5aeRJJcTf%2fpQdqpA0O0PxVzCWZL0ai5A42K%2bdv2kg5hcj5LXYX1qwFXwOc1HUZT%2bTB _x000d__x000a_https://bar.cnki.net/bar/download/order?id=jBGETXBNdPImvx70aLAuJPYxPoFw%2bp%2bi0fIiSrcN6lXKGcn7A6sPNsiBdWCd6%2fl3qfi8%2bi%2f76dNraIZO5iW6Bp0PLIIoFLYwy5BgUEfsTyzl8E%2bCUVp5GtDTYhVF2dNUoJeGx62Ssygg68TNXJ%2b5JrigejDAar8Xqw%2f6WR22OFXUdUGh4At8VBYSvh%2fCUD5aIMrvckIAdGodIhimNxmCK4kWl%2f5%2bM02t3C4Rt6mdaoj5LXYX1qwFXwOc1HUZT%2bTB _x000d__x000a_https://bar.cnki.net/bar/download/order?id=jBGETXBNdPImvx70aLAuJPYxPoFw%2bp%2bi0fIiSrcN6lXKGcn7A6sPNsiBdWCd6%2fl3qfi8%2bi%2f76dNraIZO5iW6Bp0PLIIoFLYwy5BgUEfsTyzl8E%2bCUVp5GtDTYhVF2dNUoJeGx62Ssygg68TNXJ%2b5JrigejDAar8Xqw%2f6WR22OFXUdUGh4At8VBYSvh%2fCUD5aebexPAXLnMrtC%2b%2bmgqBCU13AzXvBD%2fXxQB9W306NGNr5LXYX1qwFXwOc1HUZT%2bTB _x000d__x000a_&lt;/_url&gt;&lt;_volume&gt;55&lt;/_volume&gt;&lt;_translated_author&gt;Liu, Hui;Wang, Kuo&lt;/_translated_author&gt;&lt;/Details&gt;&lt;Extra&gt;&lt;DBUID&gt;{684DF7C5-873E-4B6A-A11E-0CD148BF4011}&lt;/DBUID&gt;&lt;/Extra&gt;&lt;/Item&gt;&lt;/References&gt;&lt;/Group&gt;&lt;Group&gt;&lt;References&gt;&lt;Item&gt;&lt;ID&gt;510&lt;/ID&gt;&lt;UID&gt;{988099A4-E0E8-4600-81A2-3BEE0713ABCB}&lt;/UID&gt;&lt;Title&gt;海上风电经交流电缆汇集送出系统暂态无功电压建模及特性分析&lt;/Title&gt;&lt;Template&gt;Journal Article&lt;/Template&gt;&lt;Star&gt;0&lt;/Star&gt;&lt;Tag&gt;0&lt;/Tag&gt;&lt;Author&gt;孙艳霞; 方是文; 李震&lt;/Author&gt;&lt;Year&gt;2022&lt;/Year&gt;&lt;Details&gt;&lt;_author_aff&gt;新能源与储能运行控制国家重点实验室(中国电力科学研究院有限公司);北京理工大学自动化学院;&lt;/_author_aff&gt;&lt;_collection_scope&gt;CSCD;PKU&lt;/_collection_scope&gt;&lt;_created&gt;64344253&lt;/_created&gt;&lt;_date&gt;2021-06-30&lt;/_date&gt;&lt;_db_updated&gt;CNKI - Reference&lt;/_db_updated&gt;&lt;_issue&gt;04&lt;/_issue&gt;&lt;_journal&gt;中国电力&lt;/_journal&gt;&lt;_keywords&gt;海上风电;交流电缆;暂态过电压;数学模型;实时仿真&lt;/_keywords&gt;&lt;_modified&gt;64438141&lt;/_modified&gt;&lt;_pages&gt;166-174&lt;/_pages&gt;&lt;_url&gt;https://kns.cnki.net/kcms/detail/detail.aspx?FileName=ZGDL202204020&amp;amp;DbName=CJFQTEMP _x000d__x000a_https://bar.cnki.net/bar/download/order?id=jBGETXBNdPImvx70aLAuJPYxPoFw%2bp%2bi0fIiSrcN6lVNEaMmgSODrwVZUYb6rwEk3JUuTL1dvsZiVw3pzpeSMp0PLIIoFLYwy5BgUEfsTyzl8E%2bCUVp5GtDTYhVF2dNUoJeGx62Ssygg68TNXJ%2b5JrigejDAar8Xqw%2f6WR22OFXUdUGh4At8VBYSvh%2fCUD5afWGoo6mmJbwLMDh6gnXoy9XIyhR%2f6DgyMcrWgQpe2O%2f5LXYX1qwFXwOc1HUZT%2bTB _x000d__x000a_https://bar.cnki.net/bar/download/order?id=jBGETXBNdPImvx70aLAuJPYxPoFw%2bp%2bi0fIiSrcN6lVNEaMmgSODrwVZUYb6rwEk3JUuTL1dvsZiVw3pzpeSMp0PLIIoFLYwy5BgUEfsTyzl8E%2bCUVp5GtDTYhVF2dNUoJeGx62Ssygg68TNXJ%2b5JrigejDAar8Xqw%2f6WR22OFXUdUGh4At8VBYSvh%2fCUD5air%2bN36cjzkLkx%2b2JrF6NyIiOXNcILL40gGLlQuHI5NH5LXYX1qwFXwOc1HUZT%2bTB _x000d__x000a_https://bar.cnki.net/bar/download/order?id=jBGETXBNdPImvx70aLAuJPYxPoFw%2bp%2bi0fIiSrcN6lVNEaMmgSODrwVZUYb6rwEk3JUuTL1dvsZiVw3pzpeSMp0PLIIoFLYwy5BgUEfsTyzl8E%2bCUVp5GtDTYhVF2dNUoJeGx62Ssygg68TNXJ%2b5JrigejDAar8Xqw%2f6WR22OFXUdUGh4At8VBYSvh%2fCUD5aVA4B0WRngNIZaioHhNX0YEIPwyDWkVhM%2f9K5VmuW5Tn5LXYX1qwFXwOc1HUZT%2bTB _x000d__x000a_&lt;/_url&gt;&lt;_volume&gt;55&lt;/_volume&gt;&lt;_translated_author&gt;Sun, Yan xia;Fang, Shi wen;Li, Zhen&lt;/_translated_author&gt;&lt;/Details&gt;&lt;Extra&gt;&lt;DBUID&gt;{684DF7C5-873E-4B6A-A11E-0CD148BF4011}&lt;/DBUID&gt;&lt;/Extra&gt;&lt;/Item&gt;&lt;/References&gt;&lt;/Group&gt;&lt;Group&gt;&lt;References&gt;&lt;Item&gt;&lt;ID&gt;906&lt;/ID&gt;&lt;UID&gt;{8761F7DE-D726-4044-B39A-24E71D8D32B4}&lt;/UID&gt;&lt;Title&gt;基于能量同步转换技术的高比例新能源外送地区暂态过电压抑制研究&lt;/Title&gt;&lt;Template&gt;Journal Article&lt;/Template&gt;&lt;Star&gt;0&lt;/Star&gt;&lt;Tag&gt;0&lt;/Tag&gt;&lt;Author&gt;田旭; 刘飞; 张君; 白左霞&lt;/Author&gt;&lt;Year&gt;2022&lt;/Year&gt;&lt;Details&gt;&lt;_accessed&gt;64583740&lt;/_accessed&gt;&lt;_author_aff&gt;国网青海省电力公司经济技术研究院;国网青海省电力公司;&lt;/_author_aff&gt;&lt;_collection_scope&gt;PKU&lt;/_collection_scope&gt;&lt;_created&gt;64473959&lt;/_created&gt;&lt;_date&gt;2022-08-01&lt;/_date&gt;&lt;_db_updated&gt;CNKI - Reference&lt;/_db_updated&gt;&lt;_journal&gt;南方电网技术&lt;/_journal&gt;&lt;_keywords&gt;能量同步转换;新能源;高压直流;过电压抑制&lt;/_keywords&gt;&lt;_modified&gt;64583740&lt;/_modified&gt;&lt;_pages&gt;1-10&lt;/_pages&gt;&lt;_url&gt;https://kns.cnki.net/kcms/detail/detail.aspx?FileName=NFDW20220729001&amp;amp;DbName=CAPJ2022&lt;/_url&gt;&lt;_translated_author&gt;Tian, Xu;Liu, Fei;Zhang, Jun;Bai, Zuo xia&lt;/_translated_author&gt;&lt;/Details&gt;&lt;Extra&gt;&lt;DBUID&gt;{684DF7C5-873E-4B6A-A11E-0CD148BF4011}&lt;/DBUID&gt;&lt;/Extra&gt;&lt;/Item&gt;&lt;/References&gt;&lt;/Group&gt;&lt;Group&gt;&lt;References&gt;&lt;Item&gt;&lt;ID&gt;522&lt;/ID&gt;&lt;UID&gt;{B5AF9607-1931-4BDB-AE15-EB3ACFA34642}&lt;/UID&gt;&lt;Title&gt;基于轨迹灵敏度的暂态过电压两阶段优化控制&lt;/Title&gt;&lt;Template&gt;Journal Article&lt;/Template&gt;&lt;Star&gt;0&lt;/Star&gt;&lt;Tag&gt;0&lt;/Tag&gt;&lt;Author&gt;王长江; 姜涛; 刘福锁; 陈厚合; 鲁华威&lt;/Author&gt;&lt;Year&gt;2021&lt;/Year&gt;&lt;Details&gt;&lt;_author_aff&gt;现代电力系统仿真控制与绿色电能新技术教育部重点实验室(东北电力大学);智能电网保护和运行控制国家重点实验室南瑞集团(国网电力科学研究院)有限公司;&lt;/_author_aff&gt;&lt;_collection_scope&gt;CSCD;PKU;EI&lt;/_collection_scope&gt;&lt;_created&gt;64344260&lt;/_created&gt;&lt;_date&gt;2020-06-01&lt;/_date&gt;&lt;_db_updated&gt;CNKI - Reference&lt;/_db_updated&gt;&lt;_issue&gt;09&lt;/_issue&gt;&lt;_journal&gt;电工技术学报&lt;/_journal&gt;&lt;_keywords&gt;暂态过电压;轨迹灵敏度;预防控制;恢复电压&lt;/_keywords&gt;&lt;_modified&gt;64441017&lt;/_modified&gt;&lt;_pages&gt;1888-1900+1913&lt;/_pages&gt;&lt;_url&gt;https://kns.cnki.net/kcms/detail/detail.aspx?FileName=DGJS202109012&amp;amp;DbName=CJFQ2021 _x000d__x000a_https://bar.cnki.net/bar/download/order?id=jBGETXBNdPImvx70aLAuJPYxPoFw%2bp%2bi0fIiSrcN6lWJIgD4zB9UiwJWAOs0KEW%2fIPqgR38m15LFMAZn%2bx0j%2f0GxVkq8YHJNz4jV3WhknTrl8E%2bCUVp5GtDTYhVF2dNUoJeGx62Ssygg68TNXJ%2b5JrigejDAar8Xqw%2f6WR22OFXUdUGh4At8VBYSvh%2fCUD5aHqluf4U2lbhXkckImRw0dnD1KEjSejZLN7ZFl6L6ESv5LXYX1qwFXwOc1HUZT%2bTB _x000d__x000a_https://bar.cnki.net/bar/download/order?id=jBGETXBNdPImvx70aLAuJPYxPoFw%2bp%2bi0fIiSrcN6lWJIgD4zB9UiwJWAOs0KEW%2fIPqgR38m15LFMAZn%2bx0j%2f0GxVkq8YHJNz4jV3WhknTrl8E%2bCUVp5GtDTYhVF2dNUoJeGx62Ssygg68TNXJ%2b5JrigejDAar8Xqw%2f6WR22OFXUdUGh4At8VBYSvh%2fCUD5aRMnV8kKg%2fCb6e5TkoVBbk1ZaN1aEYyeSvVhjOWXLW4z5LXYX1qwFXwOc1HUZT%2bTB _x000d__x000a_https://bar.cnki.net/bar/download/order?id=jBGETXBNdPImvx70aLAuJPYxPoFw%2bp%2bi0fIiSrcN6lWJIgD4zB9UiwJWAOs0KEW%2fIPqgR38m15LFMAZn%2bx0j%2f0GxVkq8YHJNz4jV3WhknTrl8E%2bCUVp5GtDTYhVF2dNUoJeGx62Ssygg68TNXJ%2b5JrigejDAar8Xqw%2f6WR22OFXUdUGh4At8VBYSvh%2fCUD5anPqyuMA9vrBRSzrv2gSq3mjrjiUA1i7Br0HLYwF%2fecz5LXYX1qwFXwOc1HUZT%2bTB _x000d__x000a_&lt;/_url&gt;&lt;_volume&gt;36&lt;/_volume&gt;&lt;_translated_author&gt;Wang, Zhang jiang;Jiang, Tao;Liu, Fu suo;Chen, Hou he;Lu, Hua wei&lt;/_translated_author&gt;&lt;/Details&gt;&lt;Extra&gt;&lt;DBUID&gt;{684DF7C5-873E-4B6A-A11E-0CD148BF4011}&lt;/DBUID&gt;&lt;/Extra&gt;&lt;/Item&gt;&lt;/References&gt;&lt;/Group&gt;&lt;Group&gt;&lt;References&gt;&lt;Item&gt;&lt;ID&gt;507&lt;/ID&gt;&lt;UID&gt;{0F41E67F-4FF2-482F-9345-67363B7F0623}&lt;/UID&gt;&lt;Title&gt;风电经特高压直流送出系统的暂态过电压计算方法&lt;/Title&gt;&lt;Template&gt;Journal Article&lt;/Template&gt;&lt;Star&gt;0&lt;/Star&gt;&lt;Tag&gt;0&lt;/Tag&gt;&lt;Author&gt;李帛洋; 晁璞璞; 李卫星; 徐式蕴; 刘新元; 李志民&lt;/Author&gt;&lt;Year&gt;2021&lt;/Year&gt;&lt;Details&gt;&lt;_author_aff&gt;哈尔滨工业大学电气工程及自动化学院;中国电力科学研究院有限公司;国网山西省电力公司电力科学研究院;&lt;/_author_aff&gt;&lt;_collection_scope&gt;CSCD;PKU;EI&lt;/_collection_scope&gt;&lt;_created&gt;64344249&lt;/_created&gt;&lt;_date&gt;2021-12-15&lt;/_date&gt;&lt;_db_updated&gt;CNKI - Reference&lt;/_db_updated&gt;&lt;_issue&gt;12&lt;/_issue&gt;&lt;_journal&gt;电机与控制学报&lt;/_journal&gt;&lt;_keywords&gt;特高压直流;直流闭锁;换相失败;暂态过电压;风电机组;故障穿越&lt;/_keywords&gt;&lt;_modified&gt;64441017&lt;/_modified&gt;&lt;_pages&gt;11-18&lt;/_pages&gt;&lt;_url&gt;https://kns.cnki.net/kcms/detail/detail.aspx?FileName=DJKZ202112002&amp;amp;DbName=CJFQ2021 _x000d__x000a_https://bar.cnki.net/bar/download/order?id=jBGETXBNdPImvx70aLAuJPYxPoFw%2bp%2bi0fIiSrcN6lUFprK49s5b%2fYIzogSE6DWw9OEo97ZCiBA9x8JL1XYq2Z0PLIIoFLYwy5BgUEfsTyzl8E%2bCUVp5GtDTYhVF2dNUoJeGx62Ssygg68TNXJ%2b5JrigejDAar8Xqw%2f6WR22OFXUdUGh4At8VBYSvh%2fCUD5anaU4zXUfp0ZKbNPuDKjSNpOuUyHkorBs%2f26UjMjDhzP5LXYX1qwFXwOc1HUZT%2bTB _x000d__x000a_https://bar.cnki.net/bar/download/order?id=jBGETXBNdPImvx70aLAuJPYxPoFw%2bp%2bi0fIiSrcN6lUFprK49s5b%2fYIzogSE6DWw9OEo97ZCiBA9x8JL1XYq2Z0PLIIoFLYwy5BgUEfsTyzl8E%2bCUVp5GtDTYhVF2dNUoJeGx62Ssygg68TNXJ%2b5JrigejDAar8Xqw%2f6WR22OFXUdUGh4At8VBYSvh%2fCUD5aBEaAFCzWK1tYR9MGZoU5ufTYGftZzTarqejxrpk3b2n5LXYX1qwFXwOc1HUZT%2bTB _x000d__x000a_https://bar.cnki.net/bar/download/order?id=jBGETXBNdPImvx70aLAuJPYxPoFw%2bp%2bi0fIiSrcN6lUFprK49s5b%2fYIzogSE6DWw9OEo97ZCiBA9x8JL1XYq2Z0PLIIoFLYwy5BgUEfsTyzl8E%2bCUVp5GtDTYhVF2dNUoJeGx62Ssygg68TNXJ%2b5JrigejDAar8Xqw%2f6WR22OFXUdUGh4At8VBYSvh%2fCUD5a0VRQxQCgtzy9xKFI3fCPpB05HpuPZzlK20fRUMAauHD5LXYX1qwFXwOc1HUZT%2bTB _x000d__x000a_https://bar.cnki.net/bar/download/order?id=jBGETXBNdPImvx70aLAuJPYxPoFw%2bp%2bi0fIiSrcN6lUFprK49s5b%2fYIzogSE6DWw9OEo97ZCiBA9x8JL1XYq2Z0PLIIoFLYwy5BgUEfsTyzl8E%2bCUVp5GtDTYhVF2dNUoJeGx62Ssygg68TNXJ%2b5JrigejDAar8Xqw%2f6WR22OFXUdUGh4At8VBYSvh%2fCUD5aik22H04KpOZzSS24%2brRmLXer9pR9nXZBl%2baaQcBkiWr5LXYX1qwFXwOc1HUZT%2bTB _x000d__x000a_&lt;/_url&gt;&lt;_volume&gt;25&lt;/_volume&gt;&lt;_translated_author&gt;Li, Bo yang;Chao, Pu pu;Li, Wei xing;Xu, Shi yun;Liu, Xin yuan;Li, Zhi min&lt;/_translated_author&gt;&lt;/Details&gt;&lt;Extra&gt;&lt;DBUID&gt;{684DF7C5-873E-4B6A-A11E-0CD148BF4011}&lt;/DBUID&gt;&lt;/Extra&gt;&lt;/Item&gt;&lt;/References&gt;&lt;/Group&gt;&lt;Group&gt;&lt;References&gt;&lt;Item&gt;&lt;ID&gt;183&lt;/ID&gt;&lt;UID&gt;{18C3581E-07AF-469D-979B-5623BC131F86}&lt;/UID&gt;&lt;Title&gt;直流双极闭锁故障下送端系统暂态过电压计算方法&lt;/Title&gt;&lt;Template&gt;Journal Article&lt;/Template&gt;&lt;Star&gt;0&lt;/Star&gt;&lt;Tag&gt;0&lt;/Tag&gt;&lt;Author&gt;李欣悦; 李凤婷; 尹纯亚; 白海滨&lt;/Author&gt;&lt;Year&gt;2021&lt;/Year&gt;&lt;Details&gt;&lt;_accessed&gt;64625224&lt;/_accessed&gt;&lt;_author_adr&gt;新疆大学电气工程学院;国网新疆电力有限公司昌吉供电公司;&lt;/_author_adr&gt;&lt;_collection_scope&gt;CSCD;PKU&lt;/_collection_scope&gt;&lt;_created&gt;63731467&lt;/_created&gt;&lt;_db_provider&gt;CNKI&lt;/_db_provider&gt;&lt;_isbn&gt;1674-3415&lt;/_isbn&gt;&lt;_issue&gt;01&lt;/_issue&gt;&lt;_journal&gt;电力系统保护与控制&lt;/_journal&gt;&lt;_keywords&gt;特高压直流;直流闭锁;送端交流系统;暂态过电压&lt;/_keywords&gt;&lt;_modified&gt;64440781&lt;/_modified&gt;&lt;_pages&gt;1-8&lt;/_pages&gt;&lt;_url&gt;https://kns.cnki.net/kcms/download.aspx?filename=sp2Vvlkd4cmRphTcKlWQ0oHR1hWQ2RHUrklexkzMyUmRpxGUB9SS0F2KCNUNZdTZR1GaTZERzJlQ5NmcyR0LntUWRJFSCd3ZTlGcqVlWrElV0AnZ4cGU2N1U4VHTJpldL9UdtRnTygTTvUjSqRXMuNnb0REV0tyc&amp;amp;tablename=CJFDLAST2021&amp;amp;dflag=pdfdown _x000d__x000a_https://bar.cnki.net/bar/download/order?id=jBGETXBNdPImvx70aLAuJPYxPoFw%2bp%2bi0fIiSrcN6lXs6FVLNFGJeIOE5eRUlm2bdIHL2Cy%2blkEQPNV7YmeogUGxVkq8YHJNz4jV3WhknTrl8E%2bCUVp5GtDTYhVF2dNUoJeGx62Ssygg68TNXJ%2b5JrigejDAar8Xqw%2f6WR22OFXUdUGh4At8VBYSvh%2fCUD5a9S0oF4cdzeoFirKtQLD6jHer9pR9nXZBl%2baaQcBkiWr5LXYX1qwFXwOc1HUZT%2bTB _x000d__x000a_https://bar.cnki.net/bar/download/order?id=jBGETXBNdPImvx70aLAuJPYxPoFw%2bp%2bi0fIiSrcN6lXs6FVLNFGJeIOE5eRUlm2bdIHL2Cy%2blkEQPNV7YmeogUGxVkq8YHJNz4jV3WhknTrl8E%2bCUVp5GtDTYhVF2dNUoJeGx62Ssygg68TNXJ%2b5JrigejDAar8Xqw%2f6WR22OFXUdUGh4At8VBYSvh%2fCUD5aNp9c4SjxIPKSVcDuMmpGIv%2bnbQ%2bOywBjrM8yUVvcE8b5LXYX1qwFXwOc1HUZT%2bTB _x000d__x000a_&lt;/_url&gt;&lt;_volume&gt;49&lt;/_volume&gt;&lt;_translated_author&gt;Li, Xin yue;Li, Feng ting;Yin, Chun ya;Bai, Hai bin&lt;/_translated_author&gt;&lt;/Details&gt;&lt;Extra&gt;&lt;DBUID&gt;{684DF7C5-873E-4B6A-A11E-0CD148BF4011}&lt;/DBUID&gt;&lt;/Extra&gt;&lt;/Item&gt;&lt;/References&gt;&lt;/Group&gt;&lt;Group&gt;&lt;References&gt;&lt;Item&gt;&lt;ID&gt;170&lt;/ID&gt;&lt;UID&gt;{4DEFE397-3E28-46E2-9D7B-A625C9221CFC}&lt;/UID&gt;&lt;Title&gt;考虑直流电流变化的HVDC系统不对称故障换相失败分析&lt;/Title&gt;&lt;Template&gt;Journal Article&lt;/Template&gt;&lt;Star&gt;0&lt;/Star&gt;&lt;Tag&gt;0&lt;/Tag&gt;&lt;Author&gt;王璐; 李凤婷; 尹纯亚; 辛超山&lt;/Author&gt;&lt;Year&gt;2021&lt;/Year&gt;&lt;Details&gt;&lt;_accessed&gt;63968332&lt;/_accessed&gt;&lt;_author_adr&gt;新疆大学电气工程学院;国网新疆电力有限公司经济技术研究院;&lt;/_author_adr&gt;&lt;_collection_scope&gt;CSCD;PKU&lt;/_collection_scope&gt;&lt;_created&gt;63731466&lt;/_created&gt;&lt;_db_provider&gt;CNKI&lt;/_db_provider&gt;&lt;_isbn&gt;1674-3415&lt;/_isbn&gt;&lt;_issue&gt;01&lt;/_issue&gt;&lt;_journal&gt;电力系统保护与控制&lt;/_journal&gt;&lt;_keywords&gt;高压直流输电;不对称故障;换相失败;直流电流变化;电压变化率&lt;/_keywords&gt;&lt;_modified&gt;64438150&lt;/_modified&gt;&lt;_pages&gt;17-23&lt;/_pages&gt;&lt;_url&gt;https://kns.cnki.net/kcms/download.aspx?filename=DpUdw1WepRVaEJGM5UmTRJVbxE2SyREeul2S5llVmJzRyp1MyIVar4UR1g3Uyw2SyI3aw5UUVRmaNVncalHV0lHd3NncYVFTGVDczcFcxUWe4UleP9EZyZTbVVjdzMkSxokawZTa5siUvgjYO10QSx0bzkFSwpUW&amp;amp;tablename=CJFDLAST2021&amp;amp;dflag=pdfdown _x000d__x000a_https://kns.cnki.net/kcms/download.aspx?filename=0YEavgWeHFDc4sWeYBVaa1kdUNVOtlXclZ0Zol3K2B3czpVVyhkRyUkVj9SN5pkd3ondMdXUOdkQUVVZ0sUZO50MQplMFxmQmx2RKtkW1AnewAlTwQ0QKZWTUtGZ3M0ZjZlVRVlWr40bTVGM00kQZRnY2QWdIZ2Z&amp;amp;tablename=CJFDLAST2021&amp;amp;dflag=pdfdown _x000d__x000a_https://bar.cnki.net/bar/download/order?id=jBGETXBNdPImvx70aLAuJPYxPoFw%2bp%2bi0fIiSrcN6lXs6FVLNFGJeIOE5eRUlm2bu0Y9cJyaeMzChUwbF%2bvmtEGxVkq8YHJNz4jV3WhknTrl8E%2bCUVp5GtDTYhVF2dNUoJeGx62Ssygg68TNXJ%2b5JrigejDAar8Xqw%2f6WR22OFXUdUGh4At8VBYSvh%2fCUD5acTomY2h7zQdwwxxC7zZ0yuPyk0KAUx%2bvRb2nBqtXw1r5LXYX1qwFXwOc1HUZT%2bTB _x000d__x000a_https://bar.cnki.net/bar/download/order?id=jBGETXBNdPImvx70aLAuJPYxPoFw%2bp%2bi0fIiSrcN6lXs6FVLNFGJeIOE5eRUlm2bu0Y9cJyaeMzChUwbF%2bvmtEGxVkq8YHJNz4jV3WhknTrl8E%2bCUVp5GtDTYhVF2dNUoJeGx62Ssygg68TNXJ%2b5JrigejDAar8Xqw%2f6WR22OFXUdUGh4At8VBYSvh%2fCUD5asBHZ7a%2bECCqsIqtsJhX6yYiOXNcILL40gGLlQuHI5NH5LXYX1qwFXwOc1HUZT%2bTB _x000d__x000a_https://bar.cnki.net/bar/download/order?id=jBGETXBNdPImvx70aLAuJPYxPoFw%2bp%2bi0fIiSrcN6lXs6FVLNFGJeIOE5eRUlm2bu0Y9cJyaeMzChUwbF%2bvmtEGxVkq8YHJNz4jV3WhknTrl8E%2bCUVp5GtDTYhVF2dNUoJeGx62Ssygg68TNXJ%2b5JrigejDAar8Xqw%2f6WR22OFXUdUGh4At8VBYSvh%2fCUD5aKRB5NCmGOnYBlogtd6LQHwSRykQOzwRtn%2fv925%2fEyTv5LXYX1qwFXwOc1HUZT%2bTB _x000d__x000a_&lt;/_url&gt;&lt;_volume&gt;49&lt;/_volume&gt;&lt;_translated_author&gt;Wang, Lu;Li, Feng ting;Yin, Chun ya;Xin, Chao shan&lt;/_translated_author&gt;&lt;/Details&gt;&lt;Extra&gt;&lt;DBUID&gt;{684DF7C5-873E-4B6A-A11E-0CD148BF4011}&lt;/DBUID&gt;&lt;/Extra&gt;&lt;/Item&gt;&lt;/References&gt;&lt;/Group&gt;&lt;Group&gt;&lt;References&gt;&lt;Item&gt;&lt;ID&gt;884&lt;/ID&gt;&lt;UID&gt;{04371A64-6FB5-4ACA-825E-EC771A4852EA}&lt;/UID&gt;&lt;Title&gt;基于虚拟电阻的高压直流换相失败期间送端电网暂态过电压抑制方法&lt;/Title&gt;&lt;Template&gt;Journal Article&lt;/Template&gt;&lt;Star&gt;0&lt;/Star&gt;&lt;Tag&gt;0&lt;/Tag&gt;&lt;Author&gt;肖超; 韩伟; 李琼林; 熊小伏; 冯志远&lt;/Author&gt;&lt;Year&gt;2021&lt;/Year&gt;&lt;Details&gt;&lt;_accessed&gt;64426775&lt;/_accessed&gt;&lt;_author_aff&gt;国网河南省电力公司电力科学研究院;重庆大学输配电装备及系统安全与新技术国家重点实验室;郑州大学电气工程学院;&lt;/_author_aff&gt;&lt;_collection_scope&gt;CSCD;PKU&lt;/_collection_scope&gt;&lt;_created&gt;64426765&lt;/_created&gt;&lt;_date&gt;2021-12-01&lt;/_date&gt;&lt;_db_updated&gt;CNKI - Reference&lt;/_db_updated&gt;&lt;_issue&gt;23&lt;/_issue&gt;&lt;_journal&gt;电力系统保护与控制&lt;/_journal&gt;&lt;_keywords&gt;高压直流;换相失败;送端电网;暂态过电压;虚拟电阻&lt;/_keywords&gt;&lt;_modified&gt;64441017&lt;/_modified&gt;&lt;_pages&gt;122-129&lt;/_pages&gt;&lt;_url&gt;https://kns.cnki.net/kcms/detail/detail.aspx?FileName=JDQW202123015&amp;amp;DbName=CJFQ2021 _x000d__x000a_https://bar.cnki.net/bar/download/order?id=jBGETXBNdPImvx70aLAuJPYxPoFw%2bp%2bi0fIiSrcN6lVYfheTlE%2fD5wCYjBMf0tCywURBIovEZWsxpaJNu72Rsp0PLIIoFLYwy5BgUEfsTyzl8E%2bCUVp5GtDTYhVF2dNUoJeGx62Ssygg68TNXJ%2b5JrigejDAar8Xqw%2f6WR22OFXUdUGh4At8VBYSvh%2fCUD5aN3v3ieLuLQZd7pVQT9qsxQSRykQOzwRtn%2fv925%2fEyTv5LXYX1qwFXwOc1HUZT%2bTB _x000d__x000a_https://bar.cnki.net/bar/download/order?id=jBGETXBNdPImvx70aLAuJPYxPoFw%2bp%2bi0fIiSrcN6lVYfheTlE%2fD5wCYjBMf0tCywURBIovEZWsxpaJNu72Rsp0PLIIoFLYwy5BgUEfsTyzl8E%2bCUVp5GtDTYhVF2dNUoJeGx62Ssygg68TNXJ%2b5JrigejDAar8Xqw%2f6WR22OFXUdUGh4At8VBYSvh%2fCUD5aXyabO%2bee14dsLfs%2fRbFt8D2ylb%2baDiGNLaSE7yoLX7%2f5LXYX1qwFXwOc1HUZT%2bTB _x000d__x000a_https://bar.cnki.net/bar/download/order?id=jBGETXBNdPImvx70aLAuJPYxPoFw%2bp%2bi0fIiSrcN6lVYfheTlE%2fD5wCYjBMf0tCywURBIovEZWsxpaJNu72Rsp0PLIIoFLYwy5BgUEfsTyzl8E%2bCUVp5GtDTYhVF2dNUoJeGx62Ssygg68TNXJ%2b5JrigejDAar8Xqw%2f6WR22OFXUdUGh4At8VBYSvh%2fCUD5an0x8Z9jaWqMnCn5BUumUugl7yL%2fXgP2XIvFCNMl9HiP5LXYX1qwFXwOc1HUZT%2bTB _x000d__x000a_&lt;/_url&gt;&lt;_volume&gt;49&lt;/_volume&gt;&lt;_translated_author&gt;Xiao, Chao;Han, Wei;Li, Qiong lin;Xiong, Xiao fu;Feng, Zhi yuan&lt;/_translated_author&gt;&lt;/Details&gt;&lt;Extra&gt;&lt;DBUID&gt;{684DF7C5-873E-4B6A-A11E-0CD148BF4011}&lt;/DBUID&gt;&lt;/Extra&gt;&lt;/Item&gt;&lt;/References&gt;&lt;/Group&gt;&lt;Group&gt;&lt;References&gt;&lt;Item&gt;&lt;ID&gt;393&lt;/ID&gt;&lt;UID&gt;{0CC30749-B811-440D-8E42-8BC6765A8175}&lt;/UID&gt;&lt;Title&gt;直流换相失败下双馈风电机组特性描述及暂态过电压抑制&lt;/Title&gt;&lt;Template&gt;Journal Article&lt;/Template&gt;&lt;Star&gt;0&lt;/Star&gt;&lt;Tag&gt;0&lt;/Tag&gt;&lt;Author&gt;刘其辉; 董楚然; 吴勇; 张亚灵; 逄思敏; 申杰&lt;/Author&gt;&lt;Year&gt;2021&lt;/Year&gt;&lt;Details&gt;&lt;_author_aff&gt;新能源电力系统国家重点实验室(华北电力大学);国网上海市电力公司检修公司;国网上海市电力公司松江供电公司;&lt;/_author_aff&gt;&lt;_collection_scope&gt;CSCD;PKU;EI&lt;/_collection_scope&gt;&lt;_created&gt;64079661&lt;/_created&gt;&lt;_date&gt;2021-10-28&lt;/_date&gt;&lt;_db_updated&gt;CNKI - Reference&lt;/_db_updated&gt;&lt;_journal&gt;电力系统自动化&lt;/_journal&gt;&lt;_keywords&gt;换相失败;双馈感应发电机(DFIG);暂态电压;故障穿越;过电压主动抑制&lt;/_keywords&gt;&lt;_modified&gt;64441017&lt;/_modified&gt;&lt;_pages&gt;1-14&lt;/_pages&gt;&lt;_url&gt;https://kns.cnki.net/kcms/detail/detail.aspx?FileName=DLXT20211027000&amp;amp;DbName=CAPJ2021 _x000d__x000a_https://bar.cnki.net/bar/download/order?id=jBGETXBNdPImvx70aLAuJPYxPoFw%2bp%2bi0fIiSrcN6lXVlq1eBSUeJvjZrOAJvDJukSJjWy3W0i%2b8K1%2b7%2bDUhfJ0PLIIoFLYwy5BgUEfsTyzl8E%2bCUVp5GtDTYhVF2dNUoJeGx62Ssygg68TNXJ%2b5JrigejDAar8Xqw%2f6WR22OFXUdUGh4At8VBYSvh%2fCUD5a7U1nvP9dQs5IhRdmJ3cGYEIPwyDWkVhM%2f9K5VmuW5Tn5LXYX1qwFXwOc1HUZT%2bTB _x000d__x000a_https://bar.cnki.net/bar/download/order?id=jBGETXBNdPImvx70aLAuJPYxPoFw%2bp%2bi0fIiSrcN6lXVlq1eBSUeJvjZrOAJvDJukSJjWy3W0i%2b8K1%2b7%2bDUhfJ0PLIIoFLYwy5BgUEfsTyzl8E%2bCUVp5GtDTYhVF2dNUoJeGx62Ssygg68TNXJ%2b5JrigejDAar8Xqw%2f6WR22OFXUdUGh4At8VBYSvh%2fCUD5aM9LEocCxmrxdbHAhMW759dUr2kvoJV7Lyc0%2fNbix2nb5LXYX1qwFXwOc1HUZT%2bTB _x000d__x000a_&lt;/_url&gt;&lt;_translated_author&gt;Liu, Qi hui;Dong, Chu ran;Wu, Yong;Zhang, Ya ling;Pang, Si min;Shen, Jie&lt;/_translated_author&gt;&lt;/Details&gt;&lt;Extra&gt;&lt;DBUID&gt;{684DF7C5-873E-4B6A-A11E-0CD148BF4011}&lt;/DBUID&gt;&lt;/Extra&gt;&lt;/Item&gt;&lt;/References&gt;&lt;/Group&gt;&lt;Group&gt;&lt;References&gt;&lt;Item&gt;&lt;ID&gt;451&lt;/ID&gt;&lt;UID&gt;{35CD7A67-EB60-4D52-86EA-12367FDB8F1A}&lt;/UID&gt;&lt;Title&gt;风电经特高压直流送出系统的暂态过电压问题研究综述&lt;/Title&gt;&lt;Template&gt;Journal Article&lt;/Template&gt;&lt;Star&gt;0&lt;/Star&gt;&lt;Tag&gt;5&lt;/Tag&gt;&lt;Author&gt;李帛洋; 晁璞璞; 徐式蕴; 李卫星; 刘新元; 李志民&lt;/Author&gt;&lt;Year&gt;2021&lt;/Year&gt;&lt;Details&gt;&lt;_accessed&gt;64441002&lt;/_accessed&gt;&lt;_author_aff&gt;哈尔滨工业大学电气工程及自动化学院;中国电力科学研究院有限公司;国网山西省电力公司电力科学研究院;&lt;/_author_aff&gt;&lt;_collection_scope&gt;CSCD;PKU;EI&lt;/_collection_scope&gt;&lt;_created&gt;64132958&lt;/_created&gt;&lt;_date&gt;2021-11-17&lt;/_date&gt;&lt;_db_updated&gt;CNKI - Reference&lt;/_db_updated&gt;&lt;_journal&gt;电力自动化设备&lt;/_journal&gt;&lt;_keywords&gt;大规模风电;特高压直流;暂态过电压;控制策略&lt;/_keywords&gt;&lt;_modified&gt;64441002&lt;/_modified&gt;&lt;_pages&gt;1-10&lt;/_pages&gt;&lt;_url&gt;https://kns.cnki.net/kcms/detail/detail.aspx?FileName=DLZS20211116000&amp;amp;DbName=CAPJ2021 _x000d__x000a_https://bar.cnki.net/bar/download/order?id=jBGETXBNdPImvx70aLAuJPYxPoFw%2bp%2bi0fIiSrcN6lUtiMQ%2f2Lgm7Z87zDdHzB4WkSJjWy3W0i%2b8K1%2b7%2bDUhfMm82jDOg3yr%2bqRqj9L2CzQtqddCdidyosdSaMNWur3ZJBjdlDrNnftoR5pdZPiFRNlKM4sfpT3nRHSqBOA4sms8GQBtE8Z8mK%2fNwS15YoSEA%2fQVk3hd8OTkVkmwfqxfV8k3vIf8uGHrQx4KQ5g8yTA%3d _x000d__x000a_https://bar.cnki.net/bar/download/order?id=jBGETXBNdPImvx70aLAuJPYxPoFw%2bp%2bi0fIiSrcN6lUtiMQ%2f2Lgm7Z87zDdHzB4WkSJjWy3W0i%2b8K1%2b7%2bDUhfJ0PLIIoFLYwy5BgUEfsTyzl8E%2bCUVp5GtDTYhVF2dNUoJeGx62Ssygg68TNXJ%2b5JrigejDAar8Xqw%2f6WR22OFXUdUGh4At8VBYSvh%2fCUD5aEVKJ6r30%2bQO5Eb1zI%2fVdc3nJm%2bfq9XMLVye%2faawB1wn5LXYX1qwFXwOc1HUZT%2bTB _x000d__x000a_https://bar.cnki.net/bar/download/order?id=jBGETXBNdPImvx70aLAuJPYxPoFw%2bp%2bi0fIiSrcN6lUtiMQ%2f2Lgm7Z87zDdHzB4WkSJjWy3W0i%2b8K1%2b7%2bDUhfJ0PLIIoFLYwy5BgUEfsTyzl8E%2bCUVp5GtDTYhVF2dNUoJeGx62Ssygg68TNXJ%2b5JrigejDAar8Xqw%2f6WR22OFXUdUGh4At8VBYSvh%2fCUD5a2UqkJr5H1Z0XvjrtaLCwynJ%2fk3qb3YlLDmkYcfC%2bquX5LXYX1qwFXwOc1HUZT%2bTB _x000d__x000a_https://bar.cnki.net/bar/download/order?id=jBGETXBNdPImvx70aLAuJPYxPoFw%2bp%2bi0fIiSrcN6lUtiMQ%2f2Lgm7Z87zDdHzB4WkSJjWy3W0i%2b8K1%2b7%2bDUhfJ0PLIIoFLYwy5BgUEfsTyzl8E%2bCUVp5GtDTYhVF2dNUoJeGx62Ssygg68TNXJ%2b5JrigejDAar8Xqw%2f6WR22OFXUdUGh4At8VBYSvh%2fCUD5aNXMPY70RRr8nwIXCqqbMMCyWI5uyZaOI7%2bN0Y06oLwj5LXYX1qwFXwOc1HUZT%2bTB _x000d__x000a_&lt;/_url&gt;&lt;_translated_author&gt;Li, Bo yang;Chao, Pu pu;Xu, Shi yun;Li, Wei xing;Liu, Xin yuan;Li, Zhi min&lt;/_translated_author&gt;&lt;/Details&gt;&lt;Extra&gt;&lt;DBUID&gt;{684DF7C5-873E-4B6A-A11E-0CD148BF4011}&lt;/DBUID&gt;&lt;/Extra&gt;&lt;/Item&gt;&lt;/References&gt;&lt;/Group&gt;&lt;Group&gt;&lt;References&gt;&lt;Item&gt;&lt;ID&gt;509&lt;/ID&gt;&lt;UID&gt;{E20E502B-B4E9-46C1-B45F-8BC8D6721A77}&lt;/UID&gt;&lt;Title&gt;基于短路容量量化评估的大规模新能源直流送端电网运行方式优化方法&lt;/Title&gt;&lt;Template&gt;Journal Article&lt;/Template&gt;&lt;Star&gt;0&lt;/Star&gt;&lt;Tag&gt;0&lt;/Tag&gt;&lt;Author&gt;牛拴保; 柯贤波; 任冲; 霍超; 王智伟; 张钢; 卫琳&lt;/Author&gt;&lt;Year&gt;2021&lt;/Year&gt;&lt;Details&gt;&lt;_author_aff&gt;西安交通大学电气工程学院;国家电网公司西北分部;&lt;/_author_aff&gt;&lt;_collection_scope&gt;CSCD;PKU;EI&lt;/_collection_scope&gt;&lt;_created&gt;64344252&lt;/_created&gt;&lt;_date&gt;2021-09-07&lt;/_date&gt;&lt;_db_updated&gt;CNKI - Reference&lt;/_db_updated&gt;&lt;_issue&gt;12&lt;/_issue&gt;&lt;_journal&gt;电力自动化设备&lt;/_journal&gt;&lt;_keywords&gt;特高压直流;暂态过电压;短路容量;机组组合;优化&lt;/_keywords&gt;&lt;_modified&gt;64438148&lt;/_modified&gt;&lt;_pages&gt;123-129&lt;/_pages&gt;&lt;_url&gt;https://kns.cnki.net/kcms/detail/detail.aspx?FileName=DLZS202112016&amp;amp;DbName=CJFQ2021 _x000d__x000a_https://bar.cnki.net/bar/download/order?id=jBGETXBNdPImvx70aLAuJPYxPoFw%2bp%2bi0fIiSrcN6lUsmghocH64yV638luJi40%2bOk4eyki12Xg7hP2OioSOFp0PLIIoFLYwy5BgUEfsTyzl8E%2bCUVp5GtDTYhVF2dNUoJeGx62Ssygg68TNXJ%2b5JrigejDAar8Xqw%2f6WR22OFXUdUGh4At8VBYSvh%2fCUD5aiyq%2b2Cl9N%2fnsXaZrQ72R%2fg7B4PXYl7DQ8cUM8T1meBv5LXYX1qwFXwOc1HUZT%2bTB _x000d__x000a_https://bar.cnki.net/bar/download/order?id=jBGETXBNdPImvx70aLAuJPYxPoFw%2bp%2bi0fIiSrcN6lUsmghocH64yV638luJi40%2bOk4eyki12Xg7hP2OioSOFp0PLIIoFLYwy5BgUEfsTyzl8E%2bCUVp5GtDTYhVF2dNUoJeGx62Ssygg68TNXJ%2b5JrigejDAar8Xqw%2f6WR22OFXUdUGh4At8VBYSvh%2fCUD5aVe2F4a%2f%2fsxJ%2fUZMdvljqcHy0DUMyLbwyMBR3th7LWsj5LXYX1qwFXwOc1HUZT%2bTB _x000d__x000a_https://bar.cnki.net/bar/download/order?id=jBGETXBNdPImvx70aLAuJPYxPoFw%2bp%2bi0fIiSrcN6lUsmghocH64yV638luJi40%2bOk4eyki12Xg7hP2OioSOFp0PLIIoFLYwy5BgUEfsTyzl8E%2bCUVp5GtDTYhVF2dNUoJeGx62Ssygg68TNXJ%2b5JrigejDAar8Xqw%2f6WR22OFXUdUGh4At8VBYSvh%2fCUD5aJcSut%2fyIMnQKYVifY6vxGPTYGftZzTarqejxrpk3b2n5LXYX1qwFXwOc1HUZT%2bTB _x000d__x000a_&lt;/_url&gt;&lt;_volume&gt;41&lt;/_volume&gt;&lt;_translated_author&gt;Niu, Shuan bao;Ke, Xian bo;Ren, Chong;Huo, Chao;Wang, Zhi wei;Zhang, Gang;Wei, Lin&lt;/_translated_author&gt;&lt;/Details&gt;&lt;Extra&gt;&lt;DBUID&gt;{684DF7C5-873E-4B6A-A11E-0CD148BF4011}&lt;/DBUID&gt;&lt;/Extra&gt;&lt;/Item&gt;&lt;/References&gt;&lt;/Group&gt;&lt;Group&gt;&lt;References&gt;&lt;Item&gt;&lt;ID&gt;895&lt;/ID&gt;&lt;UID&gt;{A6AAA06B-D732-4023-B668-906A250F710F}&lt;/UID&gt;&lt;Title&gt;基于调相机与SVC协调的抑制高压直流送端风机脱网的控制策略&lt;/Title&gt;&lt;Template&gt;Journal Article&lt;/Template&gt;&lt;Star&gt;0&lt;/Star&gt;&lt;Tag&gt;0&lt;/Tag&gt;&lt;Author&gt;朱丽萍; 刘文颖; 邵冲; 徐宏雷; 牛栓保; 陈仕彬&lt;/Author&gt;&lt;Year&gt;2021&lt;/Year&gt;&lt;Details&gt;&lt;_author_aff&gt;华北电力大学新能源电力系统国家重点实验室;国网甘肃省电力公司;国家电网公司西北分部;&lt;/_author_aff&gt;&lt;_cited_count&gt;6&lt;/_cited_count&gt;&lt;_collection_scope&gt;CSCD;PKU;EI&lt;/_collection_scope&gt;&lt;_created&gt;64441041&lt;/_created&gt;&lt;_date&gt;2021-02-03&lt;/_date&gt;&lt;_db_updated&gt;CNKI - Reference&lt;/_db_updated&gt;&lt;_issue&gt;06&lt;/_issue&gt;&lt;_journal&gt;电力自动化设备&lt;/_journal&gt;&lt;_keywords&gt;换相失败;直流闭锁;送端电网;风机连锁脱网;调相机;SVC&lt;/_keywords&gt;&lt;_modified&gt;64441051&lt;/_modified&gt;&lt;_pages&gt;107-115&lt;/_pages&gt;&lt;_url&gt;https://kns.cnki.net/kcms/detail/detail.aspx?FileName=DLZS202106015&amp;amp;DbName=CJFQ2021 _x000d__x000a_https://bar.cnki.net/bar/download/order?id=jBGETXBNdPImvx70aLAuJPYxPoFw%2bp%2bi0fIiSrcN6lX96MsuQtIYTiNMuOqm8qGEwURBIovEZWsxpaJNu72RskGxVkq8YHJNz4jV3WhknTrl8E%2bCUVp5GtDTYhVF2dNUoJeGx62Ssygg68TNXJ%2b5JrigejDAar8Xqw%2f6WR22OFXUdUGh4At8VBYSvh%2fCUD5a9QXezBGOpv9%2b7tN0lwWXzyWZL0ai5A42K%2bdv2kg5hcj5LXYX1qwFXwOc1HUZT%2bTB _x000d__x000a_&lt;/_url&gt;&lt;_volume&gt;41&lt;/_volume&gt;&lt;_translated_author&gt;Zhu, Li ping;Liu, Wen ying;Shao, Chong;Xu, Hong lei;Niu, Shuan bao;Chen, Shi bin&lt;/_translated_author&gt;&lt;/Details&gt;&lt;Extra&gt;&lt;DBUID&gt;{684DF7C5-873E-4B6A-A11E-0CD148BF4011}&lt;/DBUID&gt;&lt;/Extra&gt;&lt;/Item&gt;&lt;/References&gt;&lt;/Group&gt;&lt;Group&gt;&lt;References&gt;&lt;Item&gt;&lt;ID&gt;180&lt;/ID&gt;&lt;UID&gt;{41136A91-9C69-4E8F-BFBA-86794F51E8A5}&lt;/UID&gt;&lt;Title&gt;风机低电压穿越控制对系统暂态过电压的影响及优化&lt;/Title&gt;&lt;Template&gt;Journal Article&lt;/Template&gt;&lt;Star&gt;0&lt;/Star&gt;&lt;Tag&gt;0&lt;/Tag&gt;&lt;Author&gt;贾俊川; 金一丁; 赵兵; 仲悟之; 程势高; 刘涛; 徐希望; 郑帅飞&lt;/Author&gt;&lt;Year&gt;2021&lt;/Year&gt;&lt;Details&gt;&lt;_accessed&gt;64601174&lt;/_accessed&gt;&lt;_author_aff&gt;电网安全与节能国家重点实验室(中国电力科学研究院有限公司);国家电力调度控制中心;&lt;/_author_aff&gt;&lt;_collection_scope&gt;CSCD;PKU;EI&lt;/_collection_scope&gt;&lt;_created&gt;63843448&lt;/_created&gt;&lt;_date&gt;2020-11-25&lt;/_date&gt;&lt;_db_updated&gt;CNKI - Reference&lt;/_db_updated&gt;&lt;_issue&gt;02&lt;/_issue&gt;&lt;_journal&gt;电网技术&lt;/_journal&gt;&lt;_keywords&gt;低电压穿越;暂态过电压;风电机组;有功/无功特性;性能优化&lt;/_keywords&gt;&lt;_modified&gt;64441017&lt;/_modified&gt;&lt;_pages&gt;526-533&lt;/_pages&gt;&lt;_url&gt;https://kns.cnki.net/kcms/detail/detail.aspx?FileName=DWJS202102011&amp;amp;DbName=DKFX2021 _x000d__x000a_https://kns.cnki.net/kcms/download.aspx?filename=GRHOT12Z65Gewc2Z1dHRyR0REp0QYdGT4hmWElWWwRFSn1GTBdzRuNXRJFFVnJXZ6NEZSFXSkpmZZJUYJJnRVJHb4QXYEFEcVFEVUFmdGRjR0tkSzMEZxQzSwp3bMRmbZJzZCdHc2c0UxEHOvM0YsdlZBhVUYlUQ&amp;amp;tablename=CAPJLAST&amp;amp;dflag=pdfdown _x000d__x000a_https://bar.cnki.net/bar/download/order?id=jBGETXBNdPImvx70aLAuJPYxPoFw%2bp%2bi0fIiSrcN6lUWc80rOQ0UkmIocUyrNnsiH%2baLmkDLv%2bEsl5%2f0QJVlG0GxVkq8YHJNz4jV3WhknTrl8E%2bCUVp5GtDTYhVF2dNUoJeGx62Ssygg68TNXJ%2b5JrigejDAar8Xqw%2f6WR22OFXUdUGh4At8VBYSvh%2fCUD5ayxmnnu%2foj6DJJEoCumGzSaJHGuj7fnJt9ikoxP3IEIT5LXYX1qwFXwOc1HUZT%2bTB _x000d__x000a_https://bar.cnki.net/bar/download/order?id=jBGETXBNdPImvx70aLAuJPYxPoFw%2bp%2bi0fIiSrcN6lUWc80rOQ0UkmIocUyrNnsiH%2baLmkDLv%2bEsl5%2f0QJVlG0GxVkq8YHJNz4jV3WhknTrl8E%2bCUVp5GtDTYhVF2dNUoJeGx62Ssygg68TNXJ%2b5JrigejDAar8Xqw%2f6WR22OFXUdUGh4At8VBYSvh%2fCUD5azyvg5zgs01lbWtXjQlSmBk%2bLjlyYIu7nH8eknR%2fJ7rL5LXYX1qwFXwOc1HUZT%2bTB _x000d__x000a_https://bar.cnki.net/bar/download/order?id=jBGETXBNdPImvx70aLAuJPYxPoFw%2bp%2bi0fIiSrcN6lUWc80rOQ0UkmIocUyrNnsiH%2baLmkDLv%2bEsl5%2f0QJVlG0GxVkq8YHJNz4jV3WhknTrl8E%2bCUVp5GtDTYhVF2dNUoJeGx62Ssygg68TNXJ%2b5JrigejDAar8Xqw%2f6WR22OFXUdUGh4At8VBYSvh%2fCUD5auRAe4Vf%2fom5EW79iCatjhucOxCceuMg6Nad5lxtXDbj5LXYX1qwFXwOc1HUZT%2bTB _x000d__x000a_&lt;/_url&gt;&lt;_volume&gt;45&lt;/_volume&gt;&lt;_translated_author&gt;Jia, Jun chuan;Jin, Yi ding;Zhao, Bing;Zhong, Wu zhi;Cheng, Shi gao;Liu, Tao;Xu, Xi wang;Zheng, Shuai fei&lt;/_translated_author&gt;&lt;/Details&gt;&lt;Extra&gt;&lt;DBUID&gt;{684DF7C5-873E-4B6A-A11E-0CD148BF4011}&lt;/DBUID&gt;&lt;/Extra&gt;&lt;/Item&gt;&lt;/References&gt;&lt;/Group&gt;&lt;Group&gt;&lt;References&gt;&lt;Item&gt;&lt;ID&gt;713&lt;/ID&gt;&lt;UID&gt;{14B487B5-4F66-4CF3-8EE2-2C35BFE424E9}&lt;/UID&gt;&lt;Title&gt;功角失稳与暂态过电压并存型锡盟交直流弱送端系统特性分析&lt;/Title&gt;&lt;Template&gt;Journal Article&lt;/Template&gt;&lt;Star&gt;0&lt;/Star&gt;&lt;Tag&gt;0&lt;/Tag&gt;&lt;Author&gt;屠竞哲; 潘艳; 訾鹏; 刘明松; 王超; 张健&lt;/Author&gt;&lt;Year&gt;2021&lt;/Year&gt;&lt;Details&gt;&lt;_author_adr&gt;电网安全与节能国家重点实验室(中国电力科学研究院有限公司);国家电网有限公司华北分部;国家电力调度控制中心;&lt;/_author_adr&gt;&lt;_collection_scope&gt;CSCD;PKU;EI&lt;/_collection_scope&gt;&lt;_created&gt;64344283&lt;/_created&gt;&lt;_db_provider&gt;CNKI&lt;/_db_provider&gt;&lt;_doi&gt;10.13335/j.1000-3673.pst.2020.0189&lt;/_doi&gt;&lt;_isbn&gt;1000-3673&lt;/_isbn&gt;&lt;_issue&gt;04&lt;/_issue&gt;&lt;_journal&gt;电网技术&lt;/_journal&gt;&lt;_keywords&gt;交直流弱送端系统;功角稳定(失稳);暂态过电压;低穿特性;外送能力&lt;/_keywords&gt;&lt;_modified&gt;64441017&lt;/_modified&gt;&lt;_pages&gt;1496-1506&lt;/_pages&gt;&lt;_url&gt;https://kns.cnki.net/kcms/detail/11.2410.TM.20200718.1703.006.html _x000d__x000a_https://bar.cnki.net/bar/download/order?id=jBGETXBNdPImvx70aLAuJPYxPoFw%2bp%2bi0fIiSrcN6lUgned412MdJw3fu4g4M6nTjV8kH35x5ffYcOAgglpoTUGxVkq8YHJNz4jV3WhknTrl8E%2bCUVp5GtDTYhVF2dNUoJeGx62Ssygg68TNXJ%2b5JrigejDAar8Xqw%2f6WR22OFXUdUGh4At8VBYSvh%2fCUD5abSq332uEYQfC5Mf1oXYwB6bPqkOHz6XHGO1cnd%2fPGTr5LXYX1qwFXwOc1HUZT%2bTB _x000d__x000a_https://bar.cnki.net/bar/download/order?id=jBGETXBNdPImvx70aLAuJPYxPoFw%2bp%2bi0fIiSrcN6lUgned412MdJw3fu4g4M6nTjV8kH35x5ffYcOAgglpoTUGxVkq8YHJNz4jV3WhknTrl8E%2bCUVp5GtDTYhVF2dNUoJeGx62Ssygg68TNXJ%2b5JrigejDAar8Xqw%2f6WR22OFXUdUGh4At8VBYSvh%2fCUD5ae%2bNHZ9bXfC%2bzsT1nyXpOpGdWU96ofXqmsGtQKKUp9eP5LXYX1qwFXwOc1HUZT%2bTB _x000d__x000a_https://bar.cnki.net/bar/download/order?id=jBGETXBNdPImvx70aLAuJPYxPoFw%2bp%2bi0fIiSrcN6lUgned412MdJw3fu4g4M6nTjV8kH35x5ffYcOAgglpoTUGxVkq8YHJNz4jV3WhknTrl8E%2bCUVp5GtDTYhVF2dNUoJeGx62Ssygg68TNXJ%2b5JrigejDAar8Xqw%2f6WR22OFXUdUGh4At8VBYSvh%2fCUD5a3hgtSYr8geG2JP%2b0nM9hpOPyk0KAUx%2bvRb2nBqtXw1r5LXYX1qwFXwOc1HUZT%2bTB _x000d__x000a_&lt;/_url&gt;&lt;_volume&gt;45&lt;/_volume&gt;&lt;_translated_author&gt;Tu, Jing zhe;Pan, Yan;Zi, Peng;Liu, Ming song;Wang, Chao;Zhang, Jian&lt;/_translated_author&gt;&lt;/Details&gt;&lt;Extra&gt;&lt;DBUID&gt;{684DF7C5-873E-4B6A-A11E-0CD148BF4011}&lt;/DBUID&gt;&lt;/Extra&gt;&lt;/Item&gt;&lt;/References&gt;&lt;/Group&gt;&lt;Group&gt;&lt;References&gt;&lt;Item&gt;&lt;ID&gt;395&lt;/ID&gt;&lt;UID&gt;{6274F2A3-CB06-40B5-B7AE-01D96F56D81B}&lt;/UID&gt;&lt;Title&gt;风机故障穿越特性对大规模风电直流外送系统暂态过电压的影响及参数优化&lt;/Title&gt;&lt;Template&gt;Journal Article&lt;/Template&gt;&lt;Star&gt;0&lt;/Star&gt;&lt;Tag&gt;0&lt;/Tag&gt;&lt;Author&gt;王熙纯; 刘纯; 林伟芳; 解鸿斌&lt;/Author&gt;&lt;Year&gt;2021&lt;/Year&gt;&lt;Details&gt;&lt;_accessed&gt;64354193&lt;/_accessed&gt;&lt;_author_aff&gt;新能源与储能运行控制国家重点实验室(中国电力科学研究院有限公司);&lt;/_author_aff&gt;&lt;_collection_scope&gt;CSCD;PKU;EI&lt;/_collection_scope&gt;&lt;_created&gt;64079663&lt;/_created&gt;&lt;_date&gt;2021-05-14&lt;/_date&gt;&lt;_db_updated&gt;CNKI - Reference&lt;/_db_updated&gt;&lt;_journal&gt;电网技术&lt;/_journal&gt;&lt;_keywords&gt;暂态过电压;低电压穿越;风电机组;参数优化&lt;/_keywords&gt;&lt;_modified&gt;64441017&lt;/_modified&gt;&lt;_pages&gt;1-10&lt;/_pages&gt;&lt;_url&gt;https://kns.cnki.net/kcms/detail/detail.aspx?FileName=DWJS20210513001&amp;amp;DbName=DKFX2021 _x000d__x000a_https://bar.cnki.net/bar/download/order?id=jBGETXBNdPImvx70aLAuJPYxPoFw%2bp%2bi0fIiSrcN6lUE%2fm6X24IIb6M5isHz7ENq9OEo97ZCiBA9x8JL1XYq2UGxVkq8YHJNz4jV3WhknTrl8E%2bCUVp5GtDTYhVF2dNUoJeGx62Ssygg68TNXJ%2b5JrigejDAar8Xqw%2f6WR22OFXUdUGh4At8VBYSvh%2fCUD5aN6dPTqXllv%2bW8TkHitowude%2bo2b9e0Cppr%2bycIByksf5LXYX1qwFXwOc1HUZT%2bTB _x000d__x000a_https://bar.cnki.net/bar/download/order?id=jBGETXBNdPImvx70aLAuJPYxPoFw%2bp%2bi0fIiSrcN6lUE%2fm6X24IIb6M5isHz7ENq9OEo97ZCiBA9x8JL1XYq2UGxVkq8YHJNz4jV3WhknTrl8E%2bCUVp5GtDTYhVF2dNUoJeGx62Ssygg68TNXJ%2b5JrigejDAar8Xqw%2f6WR22OFXUdUGh4At8VBYSvh%2fCUD5aQO3AExPACQi3BQ%2b0Z05BopOuUyHkorBs%2f26UjMjDhzP5LXYX1qwFXwOc1HUZT%2bTB _x000d__x000a_https://bar.cnki.net/bar/download/order?id=jBGETXBNdPImvx70aLAuJPYxPoFw%2bp%2bi0fIiSrcN6lUE%2fm6X24IIb6M5isHz7ENq9OEo97ZCiBA9x8JL1XYq2UGxVkq8YHJNz4jV3WhknTrl8E%2bCUVp5GtDTYhVF2dNUoJeGx62Ssygg68TNXJ%2b5JrigejDAar8Xqw%2f6WR22OFXUdUGh4At8VBYSvh%2fCUD5aMmpJkA%2fPr6Kpk3UlClxHxw7B4PXYl7DQ8cUM8T1meBv5LXYX1qwFXwOc1HUZT%2bTB _x000d__x000a_https://bar.cnki.net/bar/download/order?id=jBGETXBNdPImvx70aLAuJPYxPoFw%2bp%2bi0fIiSrcN6lUE%2fm6X24IIb6M5isHz7ENq9OEo97ZCiBA9x8JL1XYq2UGxVkq8YHJNz4jV3WhknTrl8E%2bCUVp5GtDTYhVF2dNUoJeGx62Ssygg68TNXJ%2b5JrigejDAar8Xqw%2f6WR22OFXUdUGh4At8VBYSvh%2fCUD5a0LVJvCtbUnkmlC49WS%2bz3gWfuv%2bz7HRA49u8d8lNU7L5LXYX1qwFXwOc1HUZT%2bTB _x000d__x000a_&lt;/_url&gt;&lt;_translated_author&gt;Wang, Xi chun;Liu, Chun;Lin, Wei fang;Jie, Hong bin&lt;/_translated_author&gt;&lt;/Details&gt;&lt;Extra&gt;&lt;DBUID&gt;{684DF7C5-873E-4B6A-A11E-0CD148BF4011}&lt;/DBUID&gt;&lt;/Extra&gt;&lt;/Item&gt;&lt;/References&gt;&lt;/Group&gt;&lt;Group&gt;&lt;References&gt;&lt;Item&gt;&lt;ID&gt;501&lt;/ID&gt;&lt;UID&gt;{BA7F2A66-C895-426B-9C89-39A2DD7A33A6}&lt;/UID&gt;&lt;Title&gt;抑制直流单极闭锁引起大规模风电机组脱网的直流控制策略&lt;/Title&gt;&lt;Template&gt;Journal Article&lt;/Template&gt;&lt;Star&gt;0&lt;/Star&gt;&lt;Tag&gt;0&lt;/Tag&gt;&lt;Author&gt;张起瑞; 李凤婷; 尹纯亚; 刘江山; 陈睿康&lt;/Author&gt;&lt;Year&gt;2021&lt;/Year&gt;&lt;Details&gt;&lt;_author_aff&gt;新疆大学电气工程学院;&lt;/_author_aff&gt;&lt;_collection_scope&gt;CSCD;PKU;EI&lt;/_collection_scope&gt;&lt;_created&gt;64344246&lt;/_created&gt;&lt;_date&gt;2021-07-23&lt;/_date&gt;&lt;_db_updated&gt;CNKI - Reference&lt;/_db_updated&gt;&lt;_issue&gt;10&lt;/_issue&gt;&lt;_journal&gt;高电压技术&lt;/_journal&gt;&lt;_keywords&gt;交直流混联系统;单极闭锁;暂态过电压;风机高压脱网;直流控制策略&lt;/_keywords&gt;&lt;_modified&gt;64438150&lt;/_modified&gt;&lt;_pages&gt;3528-3537&lt;/_pages&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AJ588WIgmmizXoUTj2BPhe2Nz0AHLmjkWcnJY9U7lZz5LXYX1qwFXwOc1HUZT%2bTB _x000d__x000a_https://bar.cnki.net/bar/download/order?id=jBGETXBNdPImvx70aLAuJPYxPoFw%2bp%2bi0fIiSrcN6lWkV1tJa%2bxWNY0JklBMe8Tf%2bDdkDFepkUoGamH8rMrnz0GxVkq8YHJNz4jV3WhknTrl8E%2bCUVp5GtDTYhVF2dNUoJeGx62Ssygg68TNXJ%2b5JrigejDAar8Xqw%2f6WR22OFXUdUGh4At8VBYSvh%2fCUD5aj9tgWGRPuzBdu8PnnRxZtASRykQOzwRtn%2fv925%2fEyTv5LXYX1qwFXwOc1HUZT%2bTB _x000d__x000a_https://bar.cnki.net/bar/download/order?id=jBGETXBNdPImvx70aLAuJPYxPoFw%2bp%2bi0fIiSrcN6lWkV1tJa%2bxWNY0JklBMe8Tf%2bDdkDFepkUoGamH8rMrnz0GxVkq8YHJNz4jV3WhknTrl8E%2bCUVp5GtDTYhVF2dNUoJeGx62Ssygg68TNXJ%2b5JrigejDAar8Xqw%2f6WR22OFXUdUGh4At8VBYSvh%2fCUD5aDvmoM6VQbfi3qcBMvtv09fqSXm0CuW1w%2fFfWv6Rai0X5LXYX1qwFXwOc1HUZT%2bTB _x000d__x000a_&lt;/_url&gt;&lt;_volume&gt;47&lt;/_volume&gt;&lt;_translated_author&gt;Zhang, Qi rui;Li, Feng ting;Yin, Chun ya;Liu, Jiang shan;Chen, Rui kang&lt;/_translated_author&gt;&lt;/Details&gt;&lt;Extra&gt;&lt;DBUID&gt;{684DF7C5-873E-4B6A-A11E-0CD148BF4011}&lt;/DBUID&gt;&lt;/Extra&gt;&lt;/Item&gt;&lt;/References&gt;&lt;/Group&gt;&lt;/Citation&gt;_x000a_"/>
    <w:docVar w:name="NE.Ref{99F6C193-C822-4572-8377-E13F43D51B22}" w:val=" ADDIN NE.Ref.{99F6C193-C822-4572-8377-E13F43D51B22}&lt;Citation&gt;&lt;Group&gt;&lt;References&gt;&lt;Item&gt;&lt;ID&gt;527&lt;/ID&gt;&lt;UID&gt;{291B8031-6D51-45D5-91E7-A340E5A9D44D}&lt;/UID&gt;&lt;Title&gt; Study on Cascading Tripping Risk of Wind Turbines Caused by Transient Overvoltage and Its Countermeasures&lt;/Title&gt;&lt;Template&gt;Journal Article&lt;/Template&gt;&lt;Star&gt;0&lt;/Star&gt;&lt;Tag&gt;0&lt;/Tag&gt;&lt;Author&gt;He, Jingbo; Zhuang, Wei; Xu, Tao; Huo, Chao; Jiang, Weiyong&lt;/Author&gt;&lt;Year&gt;2016&lt;/Year&gt;&lt;Details&gt;&lt;_accessed&gt;63480656&lt;/_accessed&gt;&lt;_accession_num&gt;CSCD:5736009_x000d__x000a_ER&lt;/_accession_num&gt;&lt;_cited_count&gt;9&lt;/_cited_count&gt;&lt;_created&gt;63444588&lt;/_created&gt;&lt;_date_display&gt;2016, 2016&lt;/_date_display&gt;&lt;_db_provider&gt;ISI&lt;/_db_provider&gt;&lt;_isbn&gt;1000-3673&lt;/_isbn&gt;&lt;_issue&gt;6&lt;/_issue&gt;&lt;_journal&gt;Power System Technology&lt;/_journal&gt;&lt;_modified&gt;63480656&lt;/_modified&gt;&lt;_pages&gt;1839-1844&lt;/_pages&gt;&lt;_tertiary_title&gt;电网技术 &lt;/_tertiary_title&gt;&lt;_translated_author&gt;贺静波; 庄伟; 许涛; 霍超; 蒋维勇&lt;/_translated_author&gt;&lt;_translated_title&gt;暂态过电压引起风电机组连锁脱网风险分析及对策&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Citation&gt;_x000a_"/>
    <w:docVar w:name="NE.Ref{9B57EFF0-3848-4EAA-A455-6F8EFA1C3C93}" w:val=" ADDIN NE.Ref.{9B57EFF0-3848-4EAA-A455-6F8EFA1C3C93}&lt;Citation&gt;&lt;Group&gt;&lt;References&gt;&lt;Item&gt;&lt;ID&gt;512&lt;/ID&gt;&lt;UID&gt;{7BDF3FEC-DC2C-4E1F-861C-9DFC21D3D112}&lt;/UID&gt;&lt;Title&gt;通过特高压直流实现大型能源基地风、光、火电力大规模高效率安全外送研究&lt;/Title&gt;&lt;Template&gt;Journal Article&lt;/Template&gt;&lt;Star&gt;0&lt;/Star&gt;&lt;Tag&gt;0&lt;/Tag&gt;&lt;Author&gt;刘振亚; 张启平; 董存; 张琳; 王智冬&lt;/Author&gt;&lt;Year&gt;2014&lt;/Year&gt;&lt;Details&gt;&lt;_author_adr&gt;国家电网公司;国网北京经济技术研究院;&lt;/_author_adr&gt;&lt;_collection_scope&gt;CSCD;PKU;EI&lt;/_collection_scope&gt;&lt;_created&gt;63655099&lt;/_created&gt;&lt;_db_provider&gt;CNKI&lt;/_db_provider&gt;&lt;_isbn&gt;0258-8013&lt;/_isbn&gt;&lt;_issue&gt;16&lt;/_issue&gt;&lt;_journal&gt;中国电机工程学报&lt;/_journal&gt;&lt;_keywords&gt;风力发电;光伏发电;特高压直流;打捆输电&lt;/_keywords&gt;&lt;_modified&gt;63655099&lt;/_modified&gt;&lt;_pages&gt;2513-2522&lt;/_pages&gt;&lt;_volume&gt;34&lt;/_volume&gt;&lt;_translated_author&gt;Liu, Zhenya;Zhang, Qiping;Dong, Cun;Zhang, Lin;Wang, Zhidong&lt;/_translated_author&gt;&lt;/Details&gt;&lt;Extra&gt;&lt;DBUID&gt;{F96A950B-833F-4880-A151-76DA2D6A2879}&lt;/DBUID&gt;&lt;/Extra&gt;&lt;/Item&gt;&lt;/References&gt;&lt;/Group&gt;&lt;/Citation&gt;_x000a_"/>
    <w:docVar w:name="NE.Ref{9B7EA603-F558-41B5-8012-4A26C11BAB24}" w:val=" ADDIN NE.Ref.{9B7EA603-F558-41B5-8012-4A26C11BAB24}&lt;Citation&gt;&lt;Group&gt;&lt;References&gt;&lt;Item&gt;&lt;ID&gt;657&lt;/ID&gt;&lt;UID&gt;{C284FB30-4F1B-4B95-AD26-49799123A9ED}&lt;/UID&gt;&lt;Title&gt;Analysis and Prevention of Subsequent Commutation Failures Caused by Improper Inverter Control Interactions in HVDC Systems&lt;/Title&gt;&lt;Template&gt;Journal Article&lt;/Template&gt;&lt;Star&gt;0&lt;/Star&gt;&lt;Tag&gt;0&lt;/Tag&gt;&lt;Author&gt;Liu, L; Lin, S; Liu, J; Sun, P Y; Liao, K; Li, X P; He, Z Y&lt;/Author&gt;&lt;Year&gt;2020&lt;/Year&gt;&lt;Details&gt;&lt;_alternate_title&gt;IEEE TRANSACTIONS ON POWER DELIVERY&lt;/_alternate_title&gt;&lt;_author_adr&gt;Southwest Jiaotong Univ, Sch Elect Engn, Chengdu 610031, Peoples R China; Guangdong Power Grid Corp, Guangzhou Power Supply Bur, Guangzhou 510600, Peoples R China; State Grid Sichuan Elect Power Res Inst, Chengdu 610072, Peoples R China&lt;/_author_adr&gt;&lt;_cited_count&gt;7&lt;/_cited_count&gt;&lt;_collection_scope&gt;SCI;SCIE;EI&lt;/_collection_scope&gt;&lt;_created&gt;64493985&lt;/_created&gt;&lt;_date&gt;2020-01-01&lt;/_date&gt;&lt;_date_display&gt;2020&lt;/_date_display&gt;&lt;_db_updated&gt;Web of Science-Core&lt;/_db_updated&gt;&lt;_doi&gt;10.1109/TPWRD.2020.2984225&lt;/_doi&gt;&lt;_impact_factor&gt;   4.825&lt;/_impact_factor&gt;&lt;_issue&gt;6&lt;/_issue&gt;&lt;_journal&gt;IEEE TRANSACTIONS ON POWER DELIVERY&lt;/_journal&gt;&lt;_keywords&gt;Inverters; HVDC transmission; Switches; Process control; Voltage control; Power system dynamics; Commutation failure; subsequent commutation failure; inverter control; interaction process; HVDC system&lt;/_keywords&gt;&lt;_modified&gt;64498604&lt;/_modified&gt;&lt;_pages&gt;2841-2852&lt;/_pages&gt;&lt;_url&gt;https://ieeexplore.ieee.org/stampPDF/getPDF.jsp?tp=&amp;amp;arnumber=9055071&amp;amp;ref=aHR0cHM6Ly9pZWVleHBsb3JlLmllZWUub3JnL3Jlc3Qvc2VhcmNo _x000d__x000a_&lt;/_url&gt;&lt;_volume&gt;35&lt;/_volume&gt;&lt;_accessed&gt;64498604&lt;/_accessed&gt;&lt;/Details&gt;&lt;Extra&gt;&lt;DBUID&gt;{F96A950B-833F-4880-A151-76DA2D6A2879}&lt;/DBUID&gt;&lt;/Extra&gt;&lt;/Item&gt;&lt;/References&gt;&lt;/Group&gt;&lt;/Citation&gt;_x000a_"/>
    <w:docVar w:name="NE.Ref{9B85739A-AA1B-4C2F-BD00-CD501627E779}" w:val=" ADDIN NE.Ref.{9B85739A-AA1B-4C2F-BD00-CD501627E779}&lt;Citation&gt;&lt;Group&gt;&lt;References&gt;&lt;Item&gt;&lt;ID&gt;558&lt;/ID&gt;&lt;UID&gt;{31BB8AC2-17C5-4AA3-92C9-7B48ED72A3D8}&lt;/UID&gt;&lt;Title&gt;计及风电不确定性和弃风率约束的风电场储能容量配置方法&lt;/Title&gt;&lt;Template&gt;Journal Article&lt;/Template&gt;&lt;Star&gt;0&lt;/Star&gt;&lt;Tag&gt;0&lt;/Tag&gt;&lt;Author&gt;杨立滨; 曹阳; 魏韡; 陈来军; 梅生伟&lt;/Author&gt;&lt;Year&gt;2020&lt;/Year&gt;&lt;Details&gt;&lt;_author_adr&gt;国网青海省电力公司电力科学研究院;清华大学电机工程与应用电子技术系;电力系统及发电设备控制和仿真国家重点实验室清华大学;&lt;/_author_adr&gt;&lt;_collection_scope&gt;CSCD;PKU;EI&lt;/_collection_scope&gt;&lt;_created&gt;63685118&lt;/_created&gt;&lt;_db_provider&gt;CNKI&lt;/_db_provider&gt;&lt;_isbn&gt;1000-1026&lt;/_isbn&gt;&lt;_issue&gt;16&lt;/_issue&gt;&lt;_journal&gt;电力系统自动化&lt;/_journal&gt;&lt;_keywords&gt;储能配置;风电场;分布鲁棒优化;不确定性;弃风率&lt;/_keywords&gt;&lt;_modified&gt;63685118&lt;/_modified&gt;&lt;_pages&gt;45-52&lt;/_pages&gt;&lt;_volume&gt;44&lt;/_volume&gt;&lt;_translated_author&gt;Yang, Libin;Cao, Yang;Wei, Wei;Chen, Laijun;Mei, Shengwei&lt;/_translated_author&gt;&lt;/Details&gt;&lt;Extra&gt;&lt;DBUID&gt;{F96A950B-833F-4880-A151-76DA2D6A2879}&lt;/DBUID&gt;&lt;/Extra&gt;&lt;/Item&gt;&lt;/References&gt;&lt;/Group&gt;&lt;/Citation&gt;_x000a_"/>
    <w:docVar w:name="NE.Ref{9BA17023-B4A0-4E6B-A390-51D1CA2CD6AD}" w:val=" ADDIN NE.Ref.{9BA17023-B4A0-4E6B-A390-51D1CA2CD6AD}&lt;Citation&gt;&lt;Group&gt;&lt;References&gt;&lt;Item&gt;&lt;ID&gt;506&lt;/ID&gt;&lt;UID&gt;{0CA79713-1F51-43FC-BC61-0680E95A24EA}&lt;/UID&gt;&lt;Title&gt; 抑制HVDC送端交流暂态过电压的控制系统优化&lt;/Title&gt;&lt;Template&gt;Journal Article&lt;/Template&gt;&lt;Star&gt;0&lt;/Star&gt;&lt;Tag&gt;0&lt;/Tag&gt;&lt;Author&gt;冀肖彤&lt;/Author&gt;&lt;Year&gt;2017&lt;/Year&gt;&lt;Details&gt;&lt;_accessed&gt;64647193&lt;/_accessed&gt;&lt;_accession_num&gt;CSCD:5946358_x000d__x000a_ER&lt;/_accession_num&gt;&lt;_cited_count&gt;0&lt;/_cited_count&gt;&lt;_collection_scope&gt;CSCD;PKU;EI&lt;/_collection_scope&gt;&lt;_created&gt;63444588&lt;/_created&gt;&lt;_date_display&gt;2017, 2017&lt;/_date_display&gt;&lt;_db_provider&gt;ISI&lt;/_db_provider&gt;&lt;_isbn&gt;1000-3673&lt;/_isbn&gt;&lt;_issue&gt;3&lt;/_issue&gt;&lt;_journal&gt;电网技术&lt;/_journal&gt;&lt;_modified&gt;64646999&lt;/_modified&gt;&lt;_pages&gt;721-728&lt;/_pages&gt;&lt;_tertiary_title&gt;Power System Technology&lt;/_tertiary_title&gt;&lt;_translated_author&gt;Ji, Xiaotong&lt;/_translated_author&gt;&lt;_translated_title&gt;Optimization of HVDC Control System for Mitigating AC Transient Overvoltage on Rectifier Station&lt;/_translated_title&gt;&lt;_url&gt;CSCD:5946358 _x000d__x000a_https://bar.cnki.net/bar/download/order?id=jBGETXBNdPImvx70aLAuJPYxPoFw%2bp%2bi0fIiSrcN6lX%2bscTGRrDxnZvQ4G%2flXB5Sk3PgOdB%2f8KZdF0hYj%2bY0tFaDlGRGqfvrZs8WIjNZTiDl8E%2bCUVp5GtDTYhVF2dNUoJeGx62Ssygg68TNXJ%2b5JrigejDAar8Xqw%2f6WR22OFXUdUGh4At8VBYSvh%2fCUD5a9htC2rlTL2k74%2bYQH4i5m3y0DUMyLbwyMBR3th7LWsj5LXYX1qwFXwOc1HUZT%2bTB _x000d__x000a_&lt;/_url&gt;&lt;_volume&gt;41&lt;/_volume&gt;&lt;/Details&gt;&lt;Extra&gt;&lt;DBUID&gt;{6891F4B0-DCBA-459A-9A22-3059983243D4}&lt;/DBUID&gt;&lt;/Extra&gt;&lt;/Item&gt;&lt;/References&gt;&lt;/Group&gt;&lt;/Citation&gt;_x000a_"/>
    <w:docVar w:name="NE.Ref{9BACC261-711A-4D30-9541-9BFE70C9404F}" w:val=" ADDIN NE.Ref.{9BACC261-711A-4D30-9541-9BFE70C9404F}&lt;Citation&gt;&lt;Group&gt;&lt;References&gt;&lt;Item&gt;&lt;ID&gt;634&lt;/ID&gt;&lt;UID&gt;{FC57A673-E76E-4A7E-9266-9036576CC8E6}&lt;/UID&gt;&lt;Title&gt;Fast Evaluation of Commutation Failure Risk in Multi-Infeed HVDC Systems&lt;/Title&gt;&lt;Template&gt;Journal Article&lt;/Template&gt;&lt;Star&gt;0&lt;/Star&gt;&lt;Tag&gt;0&lt;/Tag&gt;&lt;Author&gt;Shao, Y; Tang, Y&lt;/Author&gt;&lt;Year&gt;2018&lt;/Year&gt;&lt;Details&gt;&lt;_alternate_title&gt;IEEE TRANSACTIONS ON POWER SYSTEMS&lt;/_alternate_title&gt;&lt;_author_adr&gt;China Elect Power Res Inst, State Key Lab Power Grid Safety &amp;amp; Energy Conserva, Beijing 100192, Peoples R China&lt;/_author_adr&gt;&lt;_cited_count&gt;71&lt;/_cited_count&gt;&lt;_collection_scope&gt;SCI;SCIE;EI&lt;/_collection_scope&gt;&lt;_created&gt;64493993&lt;/_created&gt;&lt;_date&gt;2018-01-01&lt;/_date&gt;&lt;_date_display&gt;2018&lt;/_date_display&gt;&lt;_db_updated&gt;Web of Science-Core&lt;/_db_updated&gt;&lt;_doi&gt;10.1109/TPWRS.2017.2700045&lt;/_doi&gt;&lt;_impact_factor&gt;   7.326&lt;/_impact_factor&gt;&lt;_issue&gt;1&lt;/_issue&gt;&lt;_journal&gt;IEEE TRANSACTIONS ON POWER SYSTEMS&lt;/_journal&gt;&lt;_keywords&gt;AC-DC system voltage interaction factor; commutation failure; critical AC-DC system voltage interaction factor; multi-infeed HVDC; multi-infeed interaction factor&lt;/_keywords&gt;&lt;_modified&gt;64494334&lt;/_modified&gt;&lt;_pages&gt;646-653&lt;/_pages&gt;&lt;_url&gt;https://ieeexplore.ieee.org/stampPDF/getPDF.jsp?tp=&amp;amp;arnumber=7918634&amp;amp;ref=aHR0cHM6Ly9pZWVleHBsb3JlLmllZWUub3JnL3Jlc3Qvc2VhcmNo _x000d__x000a_&lt;/_url&gt;&lt;_volume&gt;33&lt;/_volume&gt;&lt;/Details&gt;&lt;Extra&gt;&lt;DBUID&gt;{F96A950B-833F-4880-A151-76DA2D6A2879}&lt;/DBUID&gt;&lt;/Extra&gt;&lt;/Item&gt;&lt;/References&gt;&lt;/Group&gt;&lt;/Citation&gt;_x000a_"/>
    <w:docVar w:name="NE.Ref{9BDD5321-A713-45F4-925B-DA836B69EA72}" w:val=" ADDIN NE.Ref.{9BDD5321-A713-45F4-925B-DA836B69EA72}&lt;Citation&gt;&lt;Group&gt;&lt;References&gt;&lt;Item&gt;&lt;ID&gt;17&lt;/ID&gt;&lt;UID&gt;{8ADF022D-239B-4795-B115-B591FCD06092}&lt;/UID&gt;&lt;Title&gt;基于场景分析的含风电系统机组组合的两阶段随机优化&lt;/Title&gt;&lt;Template&gt;Journal Article&lt;/Template&gt;&lt;Star&gt;0&lt;/Star&gt;&lt;Tag&gt;0&lt;/Tag&gt;&lt;Author&gt;雷宇; 杨明; 韩学山&lt;/Author&gt;&lt;Year&gt;2012&lt;/Year&gt;&lt;Details&gt;&lt;_accessed&gt;64357567&lt;/_accessed&gt;&lt;_author_aff&gt;山东大学电气工程学院;&lt;/_author_aff&gt;&lt;_cited_count&gt;178&lt;/_cited_count&gt;&lt;_collection_scope&gt;CSCD;PKU&lt;/_collection_scope&gt;&lt;_created&gt;64357565&lt;/_created&gt;&lt;_date&gt;59388480&lt;/_date&gt;&lt;_db_updated&gt;CNKI - Reference&lt;/_db_updated&gt;&lt;_issue&gt;23&lt;/_issue&gt;&lt;_journal&gt;电力系统保护与控制&lt;/_journal&gt;&lt;_keywords&gt;电力系统;风力发电;机组组合;两阶段随机规划;场景束约束&lt;/_keywords&gt;&lt;_language&gt;Chinese&lt;/_language&gt;&lt;_modified&gt;64357567&lt;/_modified&gt;&lt;_pages&gt;58-67&lt;/_pages&gt;&lt;_url&gt;https://kns.cnki.net/kcms/detail/detail.aspx?FileName=JDQW201223014&amp;amp;DbName=CJFQ2012&lt;/_url&gt;&lt;_volume&gt;40&lt;/_volume&gt;&lt;_translated_author&gt;Lei, Yu;Yang, Ming;Han, Xueshan&lt;/_translated_author&gt;&lt;/Details&gt;&lt;Extra/&gt;&lt;/Item&gt;&lt;/References&gt;&lt;/Group&gt;&lt;/Citation&gt;_x000a_"/>
    <w:docVar w:name="NE.Ref{9C1A0A6D-E689-4AAF-876D-A4E94D4A6A1D}" w:val=" ADDIN NE.Ref.{9C1A0A6D-E689-4AAF-876D-A4E94D4A6A1D}&lt;Citation&gt;&lt;Group&gt;&lt;References&gt;&lt;Item&gt;&lt;ID&gt;575&lt;/ID&gt;&lt;UID&gt;{CD9AD7E9-0B57-46F0-BA58-F476D192894F}&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7.326&lt;/_impact_factor&gt;&lt;_isbn&gt;0885-8950&lt;/_isbn&gt;&lt;_issue&gt;5&lt;/_issue&gt;&lt;_journal&gt;IEEE TRANSACTIONS ON POWER SYSTEMS&lt;/_journal&gt;&lt;_modified&gt;64498627&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Citation&gt;_x000a_"/>
    <w:docVar w:name="NE.Ref{9C75C824-8292-4082-94FB-ECE2EC3C0E6E}" w:val=" ADDIN NE.Ref.{9C75C824-8292-4082-94FB-ECE2EC3C0E6E}&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9CDB466D-7EB5-4988-9100-CD7391ADEE02}" w:val=" ADDIN NE.Ref.{9CDB466D-7EB5-4988-9100-CD7391ADEE02}&lt;Citation&gt;&lt;Group&gt;&lt;References&gt;&lt;Item&gt;&lt;ID&gt;997&lt;/ID&gt;&lt;UID&gt;{F52F4992-1FA3-4C26-8EE5-73BF9658FE03}&lt;/UID&gt;&lt;Title&gt;直流换相失败冲击下的两区域交流联络线功率波动峰值计算&lt;/Title&gt;&lt;Template&gt;Journal Article&lt;/Template&gt;&lt;Star&gt;0&lt;/Star&gt;&lt;Tag&gt;0&lt;/Tag&gt;&lt;Author&gt;何剑; 张健; 郭强; 汤涌; 易俊; 卜广全&lt;/Author&gt;&lt;Year&gt;2015&lt;/Year&gt;&lt;Details&gt;&lt;_author_aff&gt;中国电力科学研究院;&lt;/_author_aff&gt;&lt;_cited_count&gt;50&lt;/_cited_count&gt;&lt;_date&gt;2015-02-20&lt;/_date&gt;&lt;_issue&gt;04&lt;/_issue&gt;&lt;_journal&gt;中国电机工程学报&lt;/_journal&gt;&lt;_keywords&gt;高压直流换相失败;冲击响应;联络线;功率波动&lt;/_keywords&gt;&lt;_pages&gt;804-810&lt;/_pages&gt;&lt;_url&gt;https://kns.cnki.net/kcms/detail/detail.aspx?FileName=ZGDC201504006&amp;amp;DbName=CJFQ2015&lt;/_url&gt;&lt;_volume&gt;35&lt;/_volume&gt;&lt;_created&gt;64779497&lt;/_created&gt;&lt;_modified&gt;64779498&lt;/_modified&gt;&lt;_db_updated&gt;CNKI - Reference&lt;/_db_updated&gt;&lt;_collection_scope&gt;CSCD;PKU;EI&lt;/_collection_scope&gt;&lt;_translated_author&gt;He, Jian;Zhang, Jian;Guo, Qiang;Tang, Yong;Yi, Jun;Bu, Guangquan&lt;/_translated_author&gt;&lt;/Details&gt;&lt;Extra&gt;&lt;DBUID&gt;{6891F4B0-DCBA-459A-9A22-3059983243D4}&lt;/DBUID&gt;&lt;/Extra&gt;&lt;/Item&gt;&lt;/References&gt;&lt;/Group&gt;&lt;Group&gt;&lt;References&gt;&lt;Item&gt;&lt;ID&gt;995&lt;/ID&gt;&lt;UID&gt;{ADFBCE0C-7B5A-4F49-9042-03742F0AC274}&lt;/UID&gt;&lt;Title&gt;直流闭锁引发交流联络线功率波动的机理以及峰值计算&lt;/Title&gt;&lt;Template&gt;Journal Article&lt;/Template&gt;&lt;Star&gt;0&lt;/Star&gt;&lt;Tag&gt;0&lt;/Tag&gt;&lt;Author&gt;屠竞哲; 杨莉; 黄涌; 赵红生&lt;/Author&gt;&lt;Year&gt;2013&lt;/Year&gt;&lt;Details&gt;&lt;_author_aff&gt;浙江大学电气工程学院;华中电力科学研究院;&lt;/_author_aff&gt;&lt;_cited_count&gt;44&lt;/_cited_count&gt;&lt;_date&gt;2013-01-10&lt;/_date&gt;&lt;_issue&gt;01&lt;/_issue&gt;&lt;_journal&gt;电力自动化设备&lt;/_journal&gt;&lt;_keywords&gt;直流闭锁;交流联络线;功率波动;阶跃响应;转动惯量;阻尼比&lt;/_keywords&gt;&lt;_pages&gt;12-17&lt;/_pages&gt;&lt;_url&gt;https://kns.cnki.net/kcms/detail/detail.aspx?FileName=DLZS201301004&amp;amp;DbName=CJFQ2013&lt;/_url&gt;&lt;_volume&gt;33&lt;/_volume&gt;&lt;_created&gt;64779494&lt;/_created&gt;&lt;_modified&gt;64779495&lt;/_modified&gt;&lt;_db_updated&gt;CNKI - Reference&lt;/_db_updated&gt;&lt;_collection_scope&gt;CSCD;PKU;EI&lt;/_collection_scope&gt;&lt;_translated_author&gt;Tu, Jingzhe;Yang, Li;Huang, Yong;Zhao, Hongsheng&lt;/_translated_author&gt;&lt;/Details&gt;&lt;Extra&gt;&lt;DBUID&gt;{6891F4B0-DCBA-459A-9A22-3059983243D4}&lt;/DBUID&gt;&lt;/Extra&gt;&lt;/Item&gt;&lt;/References&gt;&lt;/Group&gt;&lt;/Citation&gt;_x000a_"/>
    <w:docVar w:name="NE.Ref{9DE5DE90-C411-4F00-8306-C169DFC85643}" w:val=" ADDIN NE.Ref.{9DE5DE90-C411-4F00-8306-C169DFC85643}&lt;Citation&gt;&lt;Group&gt;&lt;References&gt;&lt;Item&gt;&lt;ID&gt;531&lt;/ID&gt;&lt;UID&gt;{62D4B9B3-F6ED-47A5-956F-801E525CAD3F}&lt;/UID&gt;&lt;Title&gt;可再生能源配额制的机制设计与影响分析&lt;/Title&gt;&lt;Template&gt;Journal Article&lt;/Template&gt;&lt;Star&gt;0&lt;/Star&gt;&lt;Tag&gt;0&lt;/Tag&gt;&lt;Author&gt;蒋轶澄; 曹红霞; 杨莉; 费凡; 李晶; 林哲敏&lt;/Author&gt;&lt;Year&gt;2020&lt;/Year&gt;&lt;Details&gt;&lt;_author_adr&gt;浙江大学电气工程学院;安徽电力交易中心有限公司;&lt;/_author_adr&gt;&lt;_collection_scope&gt;CSCD;PKU;EI&lt;/_collection_scope&gt;&lt;_created&gt;63659497&lt;/_created&gt;&lt;_db_provider&gt;CNKI&lt;/_db_provider&gt;&lt;_isbn&gt;1000-1026&lt;/_isbn&gt;&lt;_issue&gt;07&lt;/_issue&gt;&lt;_journal&gt;电力系统自动化&lt;/_journal&gt;&lt;_keywords&gt;可再生能源;固定电价制度;配额制;绿色证书交易机制;机制设计&lt;/_keywords&gt;&lt;_modified&gt;63659497&lt;/_modified&gt;&lt;_pages&gt;187-199&lt;/_pages&gt;&lt;_volume&gt;44&lt;/_volume&gt;&lt;_translated_author&gt;Jiang, Yicheng;Cao, Hongxia;Yang, Li;Fei, Fan;Li, Jing;Lin, Zhemin&lt;/_translated_author&gt;&lt;/Details&gt;&lt;Extra&gt;&lt;DBUID&gt;{F96A950B-833F-4880-A151-76DA2D6A2879}&lt;/DBUID&gt;&lt;/Extra&gt;&lt;/Item&gt;&lt;/References&gt;&lt;/Group&gt;&lt;/Citation&gt;_x000a_"/>
    <w:docVar w:name="NE.Ref{9DFADF1B-DFEC-4581-AD81-C1776FC12641}" w:val=" ADDIN NE.Ref.{9DFADF1B-DFEC-4581-AD81-C1776FC12641}&lt;Citation&gt;&lt;Group&gt;&lt;References&gt;&lt;Item&gt;&lt;ID&gt;506&lt;/ID&gt;&lt;UID&gt;{0CA79713-1F51-43FC-BC61-0680E95A24EA}&lt;/UID&gt;&lt;Title&gt; 抑制HVDC送端交流暂态过电压的控制系统优化&lt;/Title&gt;&lt;Template&gt;Journal Article&lt;/Template&gt;&lt;Star&gt;0&lt;/Star&gt;&lt;Tag&gt;0&lt;/Tag&gt;&lt;Author&gt;冀肖彤&lt;/Author&gt;&lt;Year&gt;2017&lt;/Year&gt;&lt;Details&gt;&lt;_accessed&gt;63445943&lt;/_accessed&gt;&lt;_accession_num&gt;CSCD:5946358_x000d__x000a_ER&lt;/_accession_num&gt;&lt;_cited_count&gt;0&lt;/_cited_count&gt;&lt;_collection_scope&gt;CSCD;PKU;EI&lt;/_collection_scope&gt;&lt;_created&gt;63444588&lt;/_created&gt;&lt;_date_display&gt;2017, 2017&lt;/_date_display&gt;&lt;_db_provider&gt;ISI&lt;/_db_provider&gt;&lt;_isbn&gt;1000-3673&lt;/_isbn&gt;&lt;_issue&gt;1000-3673(2017)41:3&amp;lt;721:YZHSDJ&amp;gt;2.0.TX;2-93&lt;/_issue&gt;&lt;_journal&gt;电网技术&lt;/_journal&gt;&lt;_modified&gt;63481989&lt;/_modified&gt;&lt;_pages&gt;721-728&lt;/_pages&gt;&lt;_tertiary_title&gt;Power System Technology&lt;/_tertiary_title&gt;&lt;_translated_author&gt;Ji, Xiaotong&lt;/_translated_author&gt;&lt;_translated_title&gt;Optimization of HVDC Control System for Mitigating AC Transient Overvoltage on Rectifier Station&lt;/_translated_title&gt;&lt;_url&gt;CSCD:5946358 _x000d__x000a_https://kns.cnki.net/kcms/download.aspx?filename=qlDZah1Zzk2MlRUWmNUciJjWvJnNmN1MoNDe2QmQywGZPFkVBRXb6VUeIJkaRdWTwdjcsRGZtNlaGJkY4UUWO92TDNDM5ZTcopmRUhEem9kdTJ0K6dUVxdjYOZ1M5p0YPRjTrEUZadVQ2UHbxg1VzMlVTpGMwNka&amp;amp;tablename=CJFDLAST2017&amp;amp;dflag=pdfdown _x000d__x000a_&lt;/_url&gt;&lt;_volume&gt;41&lt;/_volume&gt;&lt;/Details&gt;&lt;Extra&gt;&lt;DBUID&gt;{6891F4B0-DCBA-459A-9A22-3059983243D4}&lt;/DBUID&gt;&lt;/Extra&gt;&lt;/Item&gt;&lt;/References&gt;&lt;/Group&gt;&lt;Group&gt;&lt;References&gt;&lt;Item&gt;&lt;ID&gt;377&lt;/ID&gt;&lt;UID&gt;{FF6551E7-E336-4DBF-815D-682300D2805B}&lt;/UID&gt;&lt;Title&gt;换相失败对含风电场的交直流混联系统送端过电压的影响&lt;/Title&gt;&lt;Template&gt;Journal Article&lt;/Template&gt;&lt;Star&gt;0&lt;/Star&gt;&lt;Tag&gt;0&lt;/Tag&gt;&lt;Author&gt;赵学明; 李永丽; 孙广宇; 张云柯; 曾亮&lt;/Author&gt;&lt;Year&gt;2019&lt;/Year&gt;&lt;Details&gt;&lt;_accessed&gt;63445973&lt;/_accessed&gt;&lt;_accession_num&gt;CSCD:6612778_x000d__x000a_ER&lt;/_accession_num&gt;&lt;_cited_count&gt;0&lt;/_cited_count&gt;&lt;_collection_scope&gt;CSCD;PKU;EI&lt;/_collection_scope&gt;&lt;_created&gt;63444588&lt;/_created&gt;&lt;_date_display&gt;2019, 2019&lt;/_date_display&gt;&lt;_db_provider&gt;ISI&lt;/_db_provider&gt;&lt;_isbn&gt;1003-6520&lt;/_isbn&gt;&lt;_issue&gt;1003-6520(2019)45:11&amp;lt;3666:HXSBDH&amp;gt;2.0.TX;2-411&lt;/_issue&gt;&lt;_journal&gt;高电压技术&lt;/_journal&gt;&lt;_modified&gt;63611200&lt;/_modified&gt;&lt;_pages&gt;3666-3673&lt;/_pages&gt;&lt;_tertiary_title&gt;High Voltage Engineering&lt;/_tertiary_title&gt;&lt;_translated_author&gt;Zhao, Xueming; Li, Yongli; Sun, Guangyu; Zhang, Yunke; Zeng, Liang&lt;/_translated_author&gt;&lt;_translated_title&gt;Effect of Commutation Failure on the Overvoltage on Rectifier Station in AC/DC Hybrid Power System With Wind Farms&lt;/_translated_title&gt;&lt;_url&gt;CSCD:6612778 _x000d__x000a_https://kns.cnki.net/kcms/download.aspx?filename=6FlSTlTRYBFephEZaRWbxQmb4QVbTdlQR50a1ZXdY10ZHx2Tx4URtF2KtJlaBlHbkpXRxgFVxBnViJHdFVEcycld1lzROVHakdGSup2cr8UVzQWWs9EewIEdOZ2KwFVSStSQNdkQoJFd3ombqFlZ1ZXSMhXcSVTW&amp;amp;tablename=CJFDLAST2019&amp;amp;dflag=pdfdown _x000d__x000a_&lt;/_url&gt;&lt;_volume&gt;45&lt;/_volume&gt;&lt;/Details&gt;&lt;Extra&gt;&lt;DBUID&gt;{6891F4B0-DCBA-459A-9A22-3059983243D4}&lt;/DBUID&gt;&lt;/Extra&gt;&lt;/Item&gt;&lt;/References&gt;&lt;/Group&gt;&lt;/Citation&gt;_x000a_"/>
    <w:docVar w:name="NE.Ref{9ECABD57-8133-4F66-9D0A-495D76A0234B}" w:val=" ADDIN NE.Ref.{9ECABD57-8133-4F66-9D0A-495D76A0234B}&lt;Citation&gt;&lt;Group&gt;&lt;References&gt;&lt;Item&gt;&lt;ID&gt;484&lt;/ID&gt;&lt;UID&gt;{872722D0-EBDE-42CA-A4BD-4C87E269774E}&lt;/UID&gt;&lt;Title&gt;A Decision Variable Clustering-Based Evolutionary Algorithm for Large-Scale Many-Objective Optimization&lt;/Title&gt;&lt;Template&gt;Journal Article&lt;/Template&gt;&lt;Star&gt;0&lt;/Star&gt;&lt;Tag&gt;0&lt;/Tag&gt;&lt;Author&gt;Zhang, Xingyi; Tian, Ye; Cheng, Ran; Jin, Yaochu&lt;/Author&gt;&lt;Year&gt;2018&lt;/Year&gt;&lt;Details&gt;&lt;_collection_scope&gt;SCI;SCIE;EI&lt;/_collection_scope&gt;&lt;_created&gt;63650775&lt;/_created&gt;&lt;_impact_factor&gt;  11.169&lt;/_impact_factor&gt;&lt;_issue&gt;99&lt;/_issue&gt;&lt;_journal&gt;IEEE Transactions on Evolutionary Computation&lt;/_journal&gt;&lt;_modified&gt;63650775&lt;/_modified&gt;&lt;_pages&gt;97-112&lt;/_pages&gt;&lt;_volume&gt;22&lt;/_volume&gt;&lt;/Details&gt;&lt;Extra&gt;&lt;DBUID&gt;{F96A950B-833F-4880-A151-76DA2D6A2879}&lt;/DBUID&gt;&lt;/Extra&gt;&lt;/Item&gt;&lt;/References&gt;&lt;/Group&gt;&lt;/Citation&gt;_x000a_"/>
    <w:docVar w:name="NE.Ref{9F3B4F6A-E375-4620-B9F3-21394F80FA88}" w:val=" ADDIN NE.Ref.{9F3B4F6A-E375-4620-B9F3-21394F80FA88}&lt;Citation&gt;&lt;Group&gt;&lt;References&gt;&lt;Item&gt;&lt;ID&gt;578&lt;/ID&gt;&lt;UID&gt;{1E50F95C-CC28-4D64-AA10-E29ADCE2E4E6}&lt;/UID&gt;&lt;Title&gt;A Distributionally Robust Optimization Model for Unit Commitment Based on Kullback-Leibler Divergence&lt;/Title&gt;&lt;Template&gt;Journal Article&lt;/Template&gt;&lt;Star&gt;0&lt;/Star&gt;&lt;Tag&gt;0&lt;/Tag&gt;&lt;Author&gt;Chen, Yuwei; Guo, Qinglai; Sun, Hongbin; Li, Zhengshuo; Wu, Wenchuan; Li, Zihao&lt;/Author&gt;&lt;Year&gt;2018&lt;/Year&gt;&lt;Details&gt;&lt;_accession_num&gt;WOS:000443079800044_x000d__x000a_ER&lt;/_accession_num&gt;&lt;_cited_count&gt;26&lt;/_cited_count&gt;&lt;_collection_scope&gt;SCI;SCIE;EI&lt;/_collection_scope&gt;&lt;_created&gt;63685321&lt;/_created&gt;&lt;_date_display&gt;2018, SEP 2018&lt;/_date_display&gt;&lt;_db_provider&gt;ISI&lt;/_db_provider&gt;&lt;_doi&gt;10.1109/TPWRS.2018.2797069&lt;/_doi&gt;&lt;_impact_factor&gt;   6.074&lt;/_impact_factor&gt;&lt;_isbn&gt;0885-8950&lt;/_isbn&gt;&lt;_issue&gt;5&lt;/_issue&gt;&lt;_journal&gt;IEEE TRANSACTIONS ON POWER SYSTEMS&lt;/_journal&gt;&lt;_modified&gt;63685321&lt;/_modified&gt;&lt;_pages&gt;5147-5160&lt;/_pages&gt;&lt;_url&gt;http://gateway.isiknowledge.com/gateway/Gateway.cgi?GWVersion=2&amp;amp;SrcAuth=AegeanSoftware&amp;amp;SrcApp=NoteExpress&amp;amp;DestLinkType=FullRecord&amp;amp;DestApp=WOS&amp;amp;KeyUT=000443079800044&lt;/_url&gt;&lt;_volume&gt;33&lt;/_volume&gt;&lt;/Details&gt;&lt;Extra&gt;&lt;DBUID&gt;{F96A950B-833F-4880-A151-76DA2D6A2879}&lt;/DBUID&gt;&lt;/Extra&gt;&lt;/Item&gt;&lt;/References&gt;&lt;/Group&gt;&lt;Group&gt;&lt;References&gt;&lt;Item&gt;&lt;ID&gt;579&lt;/ID&gt;&lt;UID&gt;{C0ABA73A-3A08-4D01-8059-60B12B83B3EB}&lt;/UID&gt;&lt;Title&gt;Wasserstein Metric Based Distributionally Robust Approximate Framework for Unit Commitment&lt;/Title&gt;&lt;Template&gt;Journal Article&lt;/Template&gt;&lt;Star&gt;0&lt;/Star&gt;&lt;Tag&gt;0&lt;/Tag&gt;&lt;Author&gt;Zhu, R; Wei, H; Bai, X&lt;/Author&gt;&lt;Year&gt;2019&lt;/Year&gt;&lt;Details&gt;&lt;_collection_scope&gt;SCI;SCIE;EI&lt;/_collection_scope&gt;&lt;_created&gt;63685327&lt;/_created&gt;&lt;_doi&gt;10.1109/TPWRS.2019.2893296}&lt;/_doi&gt;&lt;_impact_factor&gt;   6.074&lt;/_impact_factor&gt;&lt;_issue&gt;4&lt;/_issue&gt;&lt;_journal&gt;IEEE Transactions on Power Systems&lt;/_journal&gt;&lt;_modified&gt;63685327&lt;/_modified&gt;&lt;_pages&gt;2991-3001&lt;/_pages&gt;&lt;_volume&gt;34&lt;/_volume&gt;&lt;/Details&gt;&lt;Extra&gt;&lt;DBUID&gt;{F96A950B-833F-4880-A151-76DA2D6A2879}&lt;/DBUID&gt;&lt;/Extra&gt;&lt;/Item&gt;&lt;/References&gt;&lt;/Group&gt;&lt;/Citation&gt;_x000a_"/>
    <w:docVar w:name="NE.Ref{9F815A83-0499-413A-92CD-3DB3A3B910BC}" w:val=" ADDIN NE.Ref.{9F815A83-0499-413A-92CD-3DB3A3B910BC}&lt;Citation&gt;&lt;Group&gt;&lt;References&gt;&lt;Item&gt;&lt;ID&gt;116&lt;/ID&gt;&lt;UID&gt;{F6B603F6-FA64-4CFD-AAC0-B00EE07C15C5}&lt;/UID&gt;&lt;Title&gt;考虑风电消纳的热电联供型微网日前鲁棒经济调度&lt;/Title&gt;&lt;Template&gt;Journal Article&lt;/Template&gt;&lt;Star&gt;0&lt;/Star&gt;&lt;Tag&gt;0&lt;/Tag&gt;&lt;Author&gt;朱嘉远; 刘洋; 许立雄; 蒋卓臻; 马晨霄&lt;/Author&gt;&lt;Year&gt;2019&lt;/Year&gt;&lt;Details&gt;&lt;_accessed&gt;64308164&lt;/_accessed&gt;&lt;_author_aff&gt;四川大学电气信息学院;&lt;/_author_aff&gt;&lt;_cited_count&gt;68&lt;/_cited_count&gt;&lt;_collection_scope&gt;CSCD;PKU;EI&lt;/_collection_scope&gt;&lt;_created&gt;64306770&lt;/_created&gt;&lt;_date&gt;62667360&lt;/_date&gt;&lt;_db_updated&gt;CNKI - Reference&lt;/_db_updated&gt;&lt;_issue&gt;04&lt;/_issue&gt;&lt;_journal&gt;电力系统自动化&lt;/_journal&gt;&lt;_keywords&gt;微网(微电网);双层鲁棒优化;预测偏差控制;列约束生成算法;强对偶理论;Big-M法&lt;/_keywords&gt;&lt;_language&gt;Chinese&lt;/_language&gt;&lt;_modified&gt;64308164&lt;/_modified&gt;&lt;_pages&gt;40-48&lt;/_pages&gt;&lt;_url&gt;https://kns.cnki.net/kcms/detail/detail.aspx?FileName=DLXT201904006&amp;amp;DbName=CJFQ2019&lt;/_url&gt;&lt;_volume&gt;43&lt;/_volume&gt;&lt;_translated_author&gt;Zhu, Jiayuan;Liu, Yang;Xu, Lixiong;Jiang, Zhuozhen;Ma, Chenxiao&lt;/_translated_author&gt;&lt;/Details&gt;&lt;Extra&gt;&lt;DBUID&gt;{560D5FFD-5A46-4EB8-859B-FD657304A42E}&lt;/DBUID&gt;&lt;/Extra&gt;&lt;/Item&gt;&lt;/References&gt;&lt;/Group&gt;&lt;/Citation&gt;_x000a_"/>
    <w:docVar w:name="NE.Ref{9FF93642-DB91-4A4D-A2C0-E6210860006D}" w:val=" ADDIN NE.Ref.{9FF93642-DB91-4A4D-A2C0-E6210860006D}&lt;Citation&gt;&lt;Group&gt;&lt;References&gt;&lt;Item&gt;&lt;ID&gt;611&lt;/ID&gt;&lt;UID&gt;{AAB73565-2E79-4D94-879F-593C694CCDC0}&lt;/UID&gt;&lt;Title&gt;Real-Time Rolling Horizon Energy Management for the Energy-Hub-Coordinated Prosumer Community From a Cooperative Perspective&lt;/Title&gt;&lt;Template&gt;Journal Article&lt;/Template&gt;&lt;Star&gt;0&lt;/Star&gt;&lt;Tag&gt;0&lt;/Tag&gt;&lt;Author&gt;Ma, Li; Liu, Nian; Zhang, Jianhua; Wang, Lingfeng&lt;/Author&gt;&lt;Year&gt;2019&lt;/Year&gt;&lt;Details&gt;&lt;_accession_num&gt;WOS:000459509400036_x000d__x000a_ER&lt;/_accession_num&gt;&lt;_cited_count&gt;31&lt;/_cited_count&gt;&lt;_collection_scope&gt;SCI;SCIE;EI&lt;/_collection_scope&gt;&lt;_created&gt;63705313&lt;/_created&gt;&lt;_date_display&gt;2019, MAR 2019&lt;/_date_display&gt;&lt;_db_provider&gt;ISI&lt;/_db_provider&gt;&lt;_doi&gt;10.1109/TPWRS.2018.2877236&lt;/_doi&gt;&lt;_impact_factor&gt;   6.074&lt;/_impact_factor&gt;&lt;_isbn&gt;0885-8950&lt;/_isbn&gt;&lt;_issue&gt;2&lt;/_issue&gt;&lt;_journal&gt;IEEE TRANSACTIONS ON POWER SYSTEMS&lt;/_journal&gt;&lt;_modified&gt;63705313&lt;/_modified&gt;&lt;_pages&gt;1227-1242&lt;/_pages&gt;&lt;_url&gt;http://gateway.isiknowledge.com/gateway/Gateway.cgi?GWVersion=2&amp;amp;SrcAuth=AegeanSoftware&amp;amp;SrcApp=NoteExpress&amp;amp;DestLinkType=FullRecord&amp;amp;DestApp=WOS&amp;amp;KeyUT=000459509400036&lt;/_url&gt;&lt;_volume&gt;34&lt;/_volume&gt;&lt;/Details&gt;&lt;Extra&gt;&lt;DBUID&gt;{F96A950B-833F-4880-A151-76DA2D6A2879}&lt;/DBUID&gt;&lt;/Extra&gt;&lt;/Item&gt;&lt;/References&gt;&lt;/Group&gt;&lt;/Citation&gt;_x000a_"/>
    <w:docVar w:name="NE.Ref{A039771F-16C2-4F70-BFF1-719782FA7BC6}" w:val=" ADDIN NE.Ref.{A039771F-16C2-4F70-BFF1-719782FA7BC6}&lt;Citation&gt;&lt;Group&gt;&lt;References&gt;&lt;Item&gt;&lt;ID&gt;654&lt;/ID&gt;&lt;UID&gt;{DC210990-CB66-44DE-A1FB-91654854FD7D}&lt;/UID&gt;&lt;Title&gt;Convex Optimization Based Distributed Optimal Gas-Power Flow Calculation&lt;/Title&gt;&lt;Template&gt;Journal Article&lt;/Template&gt;&lt;Star&gt;0&lt;/Star&gt;&lt;Tag&gt;0&lt;/Tag&gt;&lt;Author&gt;Wang, Cheng; Wei, Wei; Wang, Jianhui; Bai, Linquan; Liang, Yile; Bi, Tianshu&lt;/Author&gt;&lt;Year&gt;2018&lt;/Year&gt;&lt;Details&gt;&lt;_accession_num&gt;WOS:000436000000016_x000d__x000a_ER&lt;/_accession_num&gt;&lt;_cited_count&gt;37&lt;/_cited_count&gt;&lt;_date_display&gt;2018, JUL 2018&lt;/_date_display&gt;&lt;_doi&gt;10.1109/TSTE.2017.2771954&lt;/_doi&gt;&lt;_isbn&gt;1949-3029&lt;/_isbn&gt;&lt;_issue&gt;3&lt;/_issue&gt;&lt;_journal&gt;IEEE TRANSACTIONS ON SUSTAINABLE ENERGY&lt;/_journal&gt;&lt;_pages&gt;1145-1156&lt;/_pages&gt;&lt;_url&gt;http://gateway.isiknowledge.com/gateway/Gateway.cgi?GWVersion=2&amp;amp;SrcAuth=AegeanSoftware&amp;amp;SrcApp=NoteExpress&amp;amp;DestLinkType=FullRecord&amp;amp;DestApp=WOS&amp;amp;KeyUT=000436000000016&lt;/_url&gt;&lt;_volume&gt;9&lt;/_volume&gt;&lt;_created&gt;63705634&lt;/_created&gt;&lt;_modified&gt;63705634&lt;/_modified&gt;&lt;_db_provider&gt;ISI&lt;/_db_provider&gt;&lt;_impact_factor&gt;   7.440&lt;/_impact_factor&gt;&lt;_collection_scope&gt;SCIE;EI&lt;/_collection_scope&gt;&lt;/Details&gt;&lt;Extra&gt;&lt;DBUID&gt;{F96A950B-833F-4880-A151-76DA2D6A2879}&lt;/DBUID&gt;&lt;/Extra&gt;&lt;/Item&gt;&lt;/References&gt;&lt;/Group&gt;&lt;/Citation&gt;_x000a_"/>
    <w:docVar w:name="NE.Ref{A050670B-4FB7-4474-9F09-A4E5D7AC82B3}" w:val=" ADDIN NE.Ref.{A050670B-4FB7-4474-9F09-A4E5D7AC82B3}&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A064E475-CA51-42C0-B90D-D5CB5FDCEA7C}" w:val=" ADDIN NE.Ref.{A064E475-CA51-42C0-B90D-D5CB5FDCEA7C}&lt;Citation&gt;&lt;Group&gt;&lt;References&gt;&lt;Item&gt;&lt;ID&gt;494&lt;/ID&gt;&lt;UID&gt;{C0856EC9-206D-4113-BA2B-E969F2B28F5A}&lt;/UID&gt;&lt;Title&gt;冷热电联供微网优化调度通用建模方法&lt;/Title&gt;&lt;Template&gt;Journal Article&lt;/Template&gt;&lt;Star&gt;0&lt;/Star&gt;&lt;Tag&gt;0&lt;/Tag&gt;&lt;Author&gt;王成山; 洪博文; 郭力; 张德举; 刘文建&lt;/Author&gt;&lt;Year&gt;2013&lt;/Year&gt;&lt;Details&gt;&lt;_author_adr&gt;智能电网教育部重点实验室(天津大学);&lt;/_author_adr&gt;&lt;_collection_scope&gt;CSCD;PKU;EI&lt;/_collection_scope&gt;&lt;_created&gt;63651835&lt;/_created&gt;&lt;_db_provider&gt;CNKI&lt;/_db_provider&gt;&lt;_isbn&gt;0258-8013&lt;/_isbn&gt;&lt;_issue&gt;31&lt;/_issue&gt;&lt;_journal&gt;中国电机工程学报&lt;/_journal&gt;&lt;_keywords&gt;冷热电联供系统;微网;动态经济调度;0-1混合整数线性规划;母线式结构&lt;/_keywords&gt;&lt;_modified&gt;63651835&lt;/_modified&gt;&lt;_pages&gt;26-33+3&lt;/_pages&gt;&lt;_volume&gt;33&lt;/_volume&gt;&lt;_translated_author&gt;Wang, Chengshan;Hong, Bowen;Guo, Li;Zhang, Deju;Liu, Wenjian&lt;/_translated_author&gt;&lt;/Details&gt;&lt;Extra&gt;&lt;DBUID&gt;{F96A950B-833F-4880-A151-76DA2D6A2879}&lt;/DBUID&gt;&lt;/Extra&gt;&lt;/Item&gt;&lt;/References&gt;&lt;/Group&gt;&lt;/Citation&gt;_x000a_"/>
    <w:docVar w:name="NE.Ref{A0B2B107-A254-41B7-AD31-3205B01A5F68}" w:val=" ADDIN NE.Ref.{A0B2B107-A254-41B7-AD31-3205B01A5F68}&lt;Citation&gt;&lt;Group&gt;&lt;References&gt;&lt;Item&gt;&lt;ID&gt;500&lt;/ID&gt;&lt;UID&gt;{169F7A31-2C91-4F26-A5B1-B40EDBBDDFFA}&lt;/UID&gt;&lt;Title&gt;Non-cooperative game-based multilateral contract transactions in power-heating integrated systems&lt;/Title&gt;&lt;Template&gt;Journal Article&lt;/Template&gt;&lt;Star&gt;0&lt;/Star&gt;&lt;Tag&gt;0&lt;/Tag&gt;&lt;Author&gt;Wang, Lu; Gu, Wei; Wu, Zhi; Qiu, Haifeng; Pan, Guangsheng&lt;/Author&gt;&lt;Year&gt;2020&lt;/Year&gt;&lt;Details&gt;&lt;_collection_scope&gt;SCI;SCIE;EI&lt;/_collection_scope&gt;&lt;_created&gt;63652036&lt;/_created&gt;&lt;_impact_factor&gt;   8.848&lt;/_impact_factor&gt;&lt;_journal&gt;Applied Energy&lt;/_journal&gt;&lt;_modified&gt;63652036&lt;/_modified&gt;&lt;_pages&gt;114930&lt;/_pages&gt;&lt;_volume&gt;268&lt;/_volume&gt;&lt;/Details&gt;&lt;Extra&gt;&lt;DBUID&gt;{F96A950B-833F-4880-A151-76DA2D6A2879}&lt;/DBUID&gt;&lt;/Extra&gt;&lt;/Item&gt;&lt;/References&gt;&lt;/Group&gt;&lt;/Citation&gt;_x000a_"/>
    <w:docVar w:name="NE.Ref{A0CA3672-0DD7-45AD-ACF2-DD422FB1451E}" w:val=" ADDIN NE.Ref.{A0CA3672-0DD7-45AD-ACF2-DD422FB1451E}&lt;Citation&gt;&lt;Group&gt;&lt;References&gt;&lt;Item&gt;&lt;ID&gt;511&lt;/ID&gt;&lt;UID&gt;{154CE1CF-1A23-46D3-9129-02C99CF446AA}&lt;/UID&gt;&lt;Title&gt;特高压网架方案功能和可靠性分析&lt;/Title&gt;&lt;Template&gt;Journal Article&lt;/Template&gt;&lt;Star&gt;0&lt;/Star&gt;&lt;Tag&gt;0&lt;/Tag&gt;&lt;Author&gt;杨海涛; 吉平; 刘晋雄; 孙健; 于光耀; 张琳娜&lt;/Author&gt;&lt;Year&gt;2017&lt;/Year&gt;&lt;Details&gt;&lt;_author_adr&gt;中国电力科学研究院;国网山西省电力公司;国网北京市电力公司;国网天津市电力公司电力科学研究院;&lt;/_author_adr&gt;&lt;_collection_scope&gt;CSCD;PKU;EI&lt;/_collection_scope&gt;&lt;_created&gt;63655099&lt;/_created&gt;&lt;_db_provider&gt;CNKI&lt;/_db_provider&gt;&lt;_isbn&gt;1003-6520&lt;/_isbn&gt;&lt;_issue&gt;03&lt;/_issue&gt;&lt;_journal&gt;高电压技术&lt;/_journal&gt;&lt;_keywords&gt;特高压电网;网架;电网规划;可靠性;安全性;复杂系统&lt;/_keywords&gt;&lt;_modified&gt;63655099&lt;/_modified&gt;&lt;_pages&gt;1014-1022&lt;/_pages&gt;&lt;_volume&gt;43&lt;/_volume&gt;&lt;_translated_author&gt;Yang, Haitao;Ji, Ping;Liu, Jinxiong;Sun, Jian;Yu, Guangyao;Zhang, Linna&lt;/_translated_author&gt;&lt;/Details&gt;&lt;Extra&gt;&lt;DBUID&gt;{F96A950B-833F-4880-A151-76DA2D6A2879}&lt;/DBUID&gt;&lt;/Extra&gt;&lt;/Item&gt;&lt;/References&gt;&lt;/Group&gt;&lt;/Citation&gt;_x000a_"/>
    <w:docVar w:name="NE.Ref{A0CBDAEA-BA50-4490-971B-97C1D5531F5F}" w:val=" ADDIN NE.Ref.{A0CBDAEA-BA50-4490-971B-97C1D5531F5F}&lt;Citation&gt;&lt;Group&gt;&lt;References&gt;&lt;Item&gt;&lt;ID&gt;375&lt;/ID&gt;&lt;UID&gt;{EC3388C6-FD05-480F-BB4A-FAF571E64FE5}&lt;/UID&gt;&lt;Title&gt;锁相环对HVDC系统后续换相失败的影响研究&lt;/Title&gt;&lt;Template&gt;Journal Article&lt;/Template&gt;&lt;Star&gt;0&lt;/Star&gt;&lt;Tag&gt;0&lt;/Tag&gt;&lt;Author&gt;王子民; 傅闯; 汪娟娟; 李子林; 王学梅&lt;/Author&gt;&lt;Year&gt;2019&lt;/Year&gt;&lt;Details&gt;&lt;_accessed&gt;63445973&lt;/_accessed&gt;&lt;_accession_num&gt;CSCD:6635823_x000d__x000a_ER&lt;/_accession_num&gt;&lt;_cited_count&gt;0&lt;/_cited_count&gt;&lt;_collection_scope&gt;CSCD;PKU;EI&lt;/_collection_scope&gt;&lt;_created&gt;63444588&lt;/_created&gt;&lt;_date_display&gt;2019, 2019&lt;/_date_display&gt;&lt;_db_provider&gt;ISI&lt;/_db_provider&gt;&lt;_isbn&gt;0258-8013&lt;/_isbn&gt;&lt;_issue&gt;0258-8013(2019)39:23&amp;lt;6836:SXHDHX&amp;gt;2.0.TX;2-L23&lt;/_issue&gt;&lt;_journal&gt;中国电机工程学报&lt;/_journal&gt;&lt;_modified&gt;63445973&lt;/_modified&gt;&lt;_pages&gt;6836-6843&lt;/_pages&gt;&lt;_tertiary_title&gt;Proceedings of the Chinese Society of Electrical Engineering&lt;/_tertiary_title&gt;&lt;_translated_author&gt;Wang, Zimin; Fu, Chuang; Wang, Juanjuan; Li, Zilin; Wang, Xuemei&lt;/_translated_author&gt;&lt;_translated_title&gt;Study on the Influence of Phase-locked Loop on Follow-up Commutation Failure of HVDC System&lt;/_translated_title&gt;&lt;_url&gt;CSCD:6635823&lt;/_url&gt;&lt;_volume&gt;39&lt;/_volume&gt;&lt;/Details&gt;&lt;Extra&gt;&lt;DBUID&gt;{6891F4B0-DCBA-459A-9A22-3059983243D4}&lt;/DBUID&gt;&lt;/Extra&gt;&lt;/Item&gt;&lt;/References&gt;&lt;/Group&gt;&lt;Group&gt;&lt;References&gt;&lt;Item&gt;&lt;ID&gt;396&lt;/ID&gt;&lt;UID&gt;{9C8D10C5-6D8C-4122-B706-D90289C3AE74}&lt;/UID&gt;&lt;Title&gt;控制器交互不当引发后续换相失败的机理分析&lt;/Title&gt;&lt;Template&gt;Journal Article&lt;/Template&gt;&lt;Star&gt;0&lt;/Star&gt;&lt;Tag&gt;0&lt;/Tag&gt;&lt;Author&gt;刘磊; 林圣; 刘健; 孙沛瑶; 李小鹏; 何正友&lt;/Author&gt;&lt;Year&gt;2019&lt;/Year&gt;&lt;Details&gt;&lt;_accessed&gt;63445980&lt;/_accessed&gt;&lt;_accession_num&gt;CSCD:6586699_x000d__x000a_ER&lt;/_accession_num&gt;&lt;_cited_count&gt;0&lt;/_cited_count&gt;&lt;_collection_scope&gt;CSCD;PKU;EI&lt;/_collection_scope&gt;&lt;_created&gt;63444588&lt;/_created&gt;&lt;_date_display&gt;2019, 2019&lt;/_date_display&gt;&lt;_db_provider&gt;ISI&lt;/_db_provider&gt;&lt;_isbn&gt;1000-3673&lt;/_isbn&gt;&lt;_issue&gt;1000-3673(2019)43:10&amp;lt;3562:KZQJHB&amp;gt;2.0.TX;2-X10&lt;/_issue&gt;&lt;_journal&gt;电网技术&lt;/_journal&gt;&lt;_modified&gt;63445980&lt;/_modified&gt;&lt;_pages&gt;3562-3568&lt;/_pages&gt;&lt;_tertiary_title&gt;Power System Technology&lt;/_tertiary_title&gt;&lt;_translated_author&gt;Liu, Lei; Lin, Sheng; Liu, Jian; Sun, Peiyao; Li, Xiaopeng; He, Zhengyou&lt;/_translated_author&gt;&lt;_translated_title&gt;Mechanism Analysis of Subsequent Commutation Failures Caused by Improper Interaction of Controllers&lt;/_translated_title&gt;&lt;_url&gt;CSCD:6586699&lt;/_url&gt;&lt;_volume&gt;43&lt;/_volume&gt;&lt;/Details&gt;&lt;Extra&gt;&lt;DBUID&gt;{6891F4B0-DCBA-459A-9A22-3059983243D4}&lt;/DBUID&gt;&lt;/Extra&gt;&lt;/Item&gt;&lt;/References&gt;&lt;/Group&gt;&lt;Group&gt;&lt;References&gt;&lt;Item&gt;&lt;ID&gt;412&lt;/ID&gt;&lt;UID&gt;{8245F371-DA50-4BA0-BCD0-EEFB335CF754}&lt;/UID&gt;&lt;Title&gt;逆变侧交流系统不对称故障引发HVDC系统连续换相失败的机理及抑制策略研究&lt;/Title&gt;&lt;Template&gt;Journal Article&lt;/Template&gt;&lt;Star&gt;0&lt;/Star&gt;&lt;Tag&gt;0&lt;/Tag&gt;&lt;Author&gt;曾亮; 李永丽; 张云柯; 孙广宇; 宋金钊; 杨子荷; 赵学明&lt;/Author&gt;&lt;Year&gt;2019&lt;/Year&gt;&lt;Details&gt;&lt;_accessed&gt;63446005&lt;/_accessed&gt;&lt;_accession_num&gt;CSCD:6508056_x000d__x000a_ER&lt;/_accession_num&gt;&lt;_cited_count&gt;0&lt;/_cited_count&gt;&lt;_collection_scope&gt;CSCD;PKU;EI&lt;/_collection_scope&gt;&lt;_created&gt;63444588&lt;/_created&gt;&lt;_date_display&gt;2019, 2019&lt;/_date_display&gt;&lt;_db_provider&gt;ISI&lt;/_db_provider&gt;&lt;_isbn&gt;0258-8013&lt;/_isbn&gt;&lt;_issue&gt;0258-8013(2019)39:11&amp;lt;3159:NBCJLX&amp;gt;2.0.TX;2-F11&lt;/_issue&gt;&lt;_journal&gt;中国电机工程学报&lt;/_journal&gt;&lt;_modified&gt;63446005&lt;/_modified&gt;&lt;_pages&gt;3159-3167&lt;/_pages&gt;&lt;_tertiary_title&gt;Proceedings of the Chinese Society of Electrical Engineering&lt;/_tertiary_title&gt;&lt;_translated_author&gt;Zeng, Liang; Li, Yongli; Zhang, Yunke; Sun, Guangyu; Song, Jinzhao; Yang, Zihe; Zhao, Xueming&lt;/_translated_author&gt;&lt;_translated_title&gt;Research on Mechanism and Control Strategy of Continuous Commutation Failures in HVDC System Caused by Asymmetrical Fault in Inverter-Side AC System&lt;/_translated_title&gt;&lt;_url&gt;CSCD:6508056&lt;/_url&gt;&lt;_volume&gt;39&lt;/_volume&gt;&lt;/Details&gt;&lt;Extra&gt;&lt;DBUID&gt;{6891F4B0-DCBA-459A-9A22-3059983243D4}&lt;/DBUID&gt;&lt;/Extra&gt;&lt;/Item&gt;&lt;/References&gt;&lt;/Group&gt;&lt;Group&gt;&lt;References&gt;&lt;Item&gt;&lt;ID&gt;356&lt;/ID&gt;&lt;UID&gt;{A5DF09A4-B010-4596-8CFB-8E855ED9723D}&lt;/UID&gt;&lt;Title&gt;谐波引起的高压直流输电连续换相失败抑制方法研究&lt;/Title&gt;&lt;Template&gt;Journal Article&lt;/Template&gt;&lt;Star&gt;0&lt;/Star&gt;&lt;Tag&gt;0&lt;/Tag&gt;&lt;Author&gt;张国辉; 景柳铭; 王宾; 刘萌; 董新洲&lt;/Author&gt;&lt;Year&gt;2020&lt;/Year&gt;&lt;Details&gt;&lt;_accessed&gt;63446021&lt;/_accessed&gt;&lt;_accession_num&gt;CSCD:6681383_x000d__x000a_ER&lt;/_accession_num&gt;&lt;_cited_count&gt;0&lt;/_cited_count&gt;&lt;_collection_scope&gt;CSCD;PKU&lt;/_collection_scope&gt;&lt;_created&gt;63444588&lt;/_created&gt;&lt;_date_display&gt;2020, 2020&lt;/_date_display&gt;&lt;_db_provider&gt;ISI&lt;/_db_provider&gt;&lt;_isbn&gt;1674-3415&lt;/_isbn&gt;&lt;_issue&gt;5&lt;/_issue&gt;&lt;_journal&gt;电力系统保护与控制&lt;/_journal&gt;&lt;_modified&gt;63446019&lt;/_modified&gt;&lt;_pages&gt;33-41&lt;/_pages&gt;&lt;_tertiary_title&gt;Power System Protection and Control&lt;/_tertiary_title&gt;&lt;_translated_author&gt;Zhang, Guohui; Jing, Liuming; Wang, Bin; Liu, Meng; Dong, Xinzhou&lt;/_translated_author&gt;&lt;_translated_title&gt;Study on HVDC consecutive commutation failures mitigation method caused by harmonics&lt;/_translated_title&gt;&lt;_url&gt;CSCD:6681383 _x000d__x000a_https://kns.cnki.net/kns/download.aspx?filename=FdTRaRmMHVlTqhFN65mWxdWcwdlRXRXRENjehJDOYNHaHxmQ2ljWhZlWmJUQn92URhXS4ZEbsV2TDtkS3ZkaCNmNMpVMuBzVvE0LZxEOQdDdpBXWIx0N4MnVy8iUjpFbmtSW1AVZ4FjcvsSbt5Ud0VzYyMmRjxEe&amp;amp;tablename=CJFDLAST2020&amp;amp;dflag=pdfdown _x000d__x000a_&lt;/_url&gt;&lt;_volume&gt;48&lt;/_volume&gt;&lt;/Details&gt;&lt;Extra&gt;&lt;DBUID&gt;{6891F4B0-DCBA-459A-9A22-3059983243D4}&lt;/DBUID&gt;&lt;/Extra&gt;&lt;/Item&gt;&lt;/References&gt;&lt;/Group&gt;&lt;/Citation&gt;_x000a_"/>
    <w:docVar w:name="NE.Ref{A1971F6D-71A6-431E-9B50-989607F8BE08}" w:val=" ADDIN NE.Ref.{A1971F6D-71A6-431E-9B50-989607F8BE08}&lt;Citation&gt;&lt;Group&gt;&lt;References&gt;&lt;Item&gt;&lt;ID&gt;521&lt;/ID&gt;&lt;UID&gt;{528C33C0-7C2D-4CFF-816A-23736CC45C04}&lt;/UID&gt;&lt;Title&gt;基于SOCP的综合能源系统日前调度概率最优能量流&lt;/Title&gt;&lt;Template&gt;Journal Article&lt;/Template&gt;&lt;Star&gt;0&lt;/Star&gt;&lt;Tag&gt;0&lt;/Tag&gt;&lt;Author&gt;张博文; 孙永辉; 张世达&lt;/Author&gt;&lt;Year&gt;2019&lt;/Year&gt;&lt;Details&gt;&lt;_author_adr&gt;河海大学能源与电气学院;国网河南省电力公司检修公司;&lt;/_author_adr&gt;&lt;_collection_scope&gt;CSCD;PKU;EI&lt;/_collection_scope&gt;&lt;_created&gt;63657443&lt;/_created&gt;&lt;_db_provider&gt;CNKI&lt;/_db_provider&gt;&lt;_isbn&gt;1000-1026&lt;/_isbn&gt;&lt;_issue&gt;06&lt;/_issue&gt;&lt;_journal&gt;电力系统自动化&lt;/_journal&gt;&lt;_keywords&gt;日前调度;综合能源系统;概率最优能量流;点估计;二阶锥规划&lt;/_keywords&gt;&lt;_modified&gt;63657443&lt;/_modified&gt;&lt;_pages&gt;25-36&lt;/_pages&gt;&lt;_volume&gt;43&lt;/_volume&gt;&lt;_translated_author&gt;Zhang, Bowen;Sun, Yonghui;Zhang, Shida&lt;/_translated_author&gt;&lt;/Details&gt;&lt;Extra&gt;&lt;DBUID&gt;{F96A950B-833F-4880-A151-76DA2D6A2879}&lt;/DBUID&gt;&lt;/Extra&gt;&lt;/Item&gt;&lt;/References&gt;&lt;/Group&gt;&lt;/Citation&gt;_x000a_"/>
    <w:docVar w:name="NE.Ref{A23591DE-CB6C-4B55-ACB4-6E3938B407F3}" w:val=" ADDIN NE.Ref.{A23591DE-CB6C-4B55-ACB4-6E3938B407F3}&lt;Citation&gt;&lt;Group&gt;&lt;References&gt;&lt;Item&gt;&lt;ID&gt;40&lt;/ID&gt;&lt;UID&gt;{52C5417B-D3FE-46F6-A39D-82161F734805}&lt;/UID&gt;&lt;Title&gt;消纳大规模风电的鲁棒区间经济调度  (二)不确定集合构建与保守度调节&lt;/Title&gt;&lt;Template&gt;Journal Article&lt;/Template&gt;&lt;Star&gt;0&lt;/Star&gt;&lt;Tag&gt;0&lt;/Tag&gt;&lt;Author&gt;李志刚; 吴文传; 张伯明&lt;/Author&gt;&lt;Year&gt;2014&lt;/Year&gt;&lt;Details&gt;&lt;_created&gt;64357565&lt;/_created&gt;&lt;_language&gt;Chinese&lt;/_language&gt;&lt;_modified&gt;64358678&lt;/_modified&gt;&lt;_url&gt;https://kns.cnki.net/kcms/detail/detail.aspx?FileName=DLXT201421006&amp;amp;DbName=CJFQ2014&lt;/_url&gt;&lt;_journal&gt;电力系统自动化&lt;/_journal&gt;&lt;_volume&gt;38&lt;/_volume&gt;&lt;_issue&gt;21&lt;/_issue&gt;&lt;_pages&gt;32-38&lt;/_pages&gt;&lt;_cited_count&gt;80&lt;/_cited_count&gt;&lt;_date&gt;60409440&lt;/_date&gt;&lt;_keywords&gt;不确定集合;鲁棒优化;经济调度;预测区间;风力发电&lt;/_keywords&gt;&lt;_author_aff&gt;清华大学电机工程与应用电子技术系;电力系统及发电设备控制和仿真国家重点实验室,清华大学;&lt;/_author_aff&gt;&lt;_accessed&gt;64358678&lt;/_accessed&gt;&lt;_db_updated&gt;CNKI - Reference&lt;/_db_updated&gt;&lt;_collection_scope&gt;CSCD;PKU;EI&lt;/_collection_scope&gt;&lt;_translated_author&gt;Li, Zhigang;Wu, Wenchuan;Zhang, Boming&lt;/_translated_author&gt;&lt;/Details&gt;&lt;Extra&gt;&lt;DBUID&gt;{95582DB3-FE6D-4E9C-BE70-00D00A926A3A}&lt;/DBUID&gt;&lt;/Extra&gt;&lt;/Item&gt;&lt;/References&gt;&lt;/Group&gt;&lt;/Citation&gt;_x000a_"/>
    <w:docVar w:name="NE.Ref{A2A62829-38BB-4001-BDA5-7A1B20E6C4FF}" w:val=" ADDIN NE.Ref.{A2A62829-38BB-4001-BDA5-7A1B20E6C4FF}&lt;Citation&gt;&lt;Group&gt;&lt;References&gt;&lt;Item&gt;&lt;ID&gt;509&lt;/ID&gt;&lt;UID&gt;{D7535D6E-E3A9-424D-8662-DFC07B16BC09}&lt;/UID&gt;&lt;Title&gt;基于功率交互及动态分配的多储能单元控制策略&lt;/Title&gt;&lt;Template&gt;Journal Article&lt;/Template&gt;&lt;Star&gt;0&lt;/Star&gt;&lt;Tag&gt;0&lt;/Tag&gt;&lt;Author&gt;周建萍; 张纬舟; 王涛; 李欣煜; 李泓青; 茅大钧&lt;/Author&gt;&lt;Year&gt;2018&lt;/Year&gt;&lt;Details&gt;&lt;_author_adr&gt;上海电力学院自动化工程学院;上海发电过程智能管控工程技术研究中心;&lt;/_author_adr&gt;&lt;_collection_scope&gt;CSCD;PKU;EI&lt;/_collection_scope&gt;&lt;_created&gt;63655099&lt;/_created&gt;&lt;_db_provider&gt;CNKI&lt;/_db_provider&gt;&lt;_isbn&gt;1003-6520&lt;/_isbn&gt;&lt;_issue&gt;04&lt;/_issue&gt;&lt;_journal&gt;高电压技术&lt;/_journal&gt;&lt;_keywords&gt;直流微网;储能单元;荷电状态;功率平衡;功率分配&lt;/_keywords&gt;&lt;_modified&gt;63655099&lt;/_modified&gt;&lt;_pages&gt;1149-1156&lt;/_pages&gt;&lt;_volume&gt;44&lt;/_volume&gt;&lt;_translated_author&gt;Zhou, Jianping;Zhang, Weizhou;Wang, Tao;Li, Xinyu;Li, Hongqing;Mao, Dajun&lt;/_translated_author&gt;&lt;/Details&gt;&lt;Extra&gt;&lt;DBUID&gt;{F96A950B-833F-4880-A151-76DA2D6A2879}&lt;/DBUID&gt;&lt;/Extra&gt;&lt;/Item&gt;&lt;/References&gt;&lt;/Group&gt;&lt;/Citation&gt;_x000a_"/>
    <w:docVar w:name="NE.Ref{A34B3397-3E51-46DE-AC5C-BF19B6F7300B}" w:val=" ADDIN NE.Ref.{A34B3397-3E51-46DE-AC5C-BF19B6F7300B}&lt;Citation&gt;&lt;Group&gt;&lt;References&gt;&lt;Item&gt;&lt;ID&gt;605&lt;/ID&gt;&lt;UID&gt;{12165AFC-D787-4229-924B-725A3B2E78E1}&lt;/UID&gt;&lt;Title&gt;A fast steady-state ε-dominance multi-objective evolutionary algorithm&lt;/Title&gt;&lt;Template&gt;Journal Article&lt;/Template&gt;&lt;Star&gt;0&lt;/Star&gt;&lt;Tag&gt;0&lt;/Tag&gt;&lt;Author&gt;Minqiang; Li; Liu; LiuDan; Lin&lt;/Author&gt;&lt;Year&gt;2011&lt;/Year&gt;&lt;Details&gt;&lt;_created&gt;63705194&lt;/_created&gt;&lt;_journal&gt;Computational Optimization &amp;amp; Applications&lt;/_journal&gt;&lt;_modified&gt;63705194&lt;/_modified&gt;&lt;/Details&gt;&lt;Extra&gt;&lt;DBUID&gt;{F96A950B-833F-4880-A151-76DA2D6A2879}&lt;/DBUID&gt;&lt;/Extra&gt;&lt;/Item&gt;&lt;/References&gt;&lt;/Group&gt;&lt;/Citation&gt;_x000a_"/>
    <w:docVar w:name="NE.Ref{A3B0CF9B-D5DB-4A7B-B67F-CACC1318C6D5}" w:val=" ADDIN NE.Ref.{A3B0CF9B-D5DB-4A7B-B67F-CACC1318C6D5}&lt;Citation&gt;&lt;Group&gt;&lt;References&gt;&lt;Item&gt;&lt;ID&gt;814&lt;/ID&gt;&lt;UID&gt;{4145A2D7-B9D5-4A0B-878E-F0E4003AE67F}&lt;/UID&gt;&lt;Title&gt;Convex programming with set-inclusive constraints, and application to inexact LP&lt;/Title&gt;&lt;Template&gt;Journal Article&lt;/Template&gt;&lt;Star&gt;0&lt;/Star&gt;&lt;Tag&gt;0&lt;/Tag&gt;&lt;Author&gt;Soyster, A L&lt;/Author&gt;&lt;Year&gt;1973&lt;/Year&gt;&lt;Details&gt;&lt;_journal&gt;Operations Research&lt;/_journal&gt;&lt;_pages&gt;155-157&lt;/_pages&gt;&lt;_volume&gt;21&lt;/_volume&gt;&lt;_created&gt;63990278&lt;/_created&gt;&lt;_modified&gt;63990278&lt;/_modified&gt;&lt;_impact_factor&gt;   3.310&lt;/_impact_factor&gt;&lt;_collection_scope&gt;SCI;SCIE;SSCI;EI&lt;/_collection_scope&gt;&lt;/Details&gt;&lt;Extra&gt;&lt;DBUID&gt;{F96A950B-833F-4880-A151-76DA2D6A2879}&lt;/DBUID&gt;&lt;/Extra&gt;&lt;/Item&gt;&lt;/References&gt;&lt;/Group&gt;&lt;/Citation&gt;_x000a_"/>
    <w:docVar w:name="NE.Ref{A4958A0E-9088-4AEE-BDC9-CF7EA969EF0B}" w:val=" ADDIN NE.Ref.{A4958A0E-9088-4AEE-BDC9-CF7EA969EF0B}&lt;Citation&gt;&lt;Group&gt;&lt;References&gt;&lt;Item&gt;&lt;ID&gt;648&lt;/ID&gt;&lt;UID&gt;{9864421F-716F-4C3A-95DB-D294DF41BC5F}&lt;/UID&gt;&lt;Title&gt;Reactive Power Control Strategy for Inhibiting Transient Overvoltage Caused by Commutation Failure&lt;/Title&gt;&lt;Template&gt;Journal Article&lt;/Template&gt;&lt;Star&gt;0&lt;/Star&gt;&lt;Tag&gt;0&lt;/Tag&gt;&lt;Author&gt;Yin, C Y; Li, F T&lt;/Author&gt;&lt;Year&gt;2021&lt;/Year&gt;&lt;Details&gt;&lt;_accessed&gt;64494517&lt;/_accessed&gt;&lt;_alternate_title&gt;IEEE TRANSACTIONS ON POWER SYSTEMS&lt;/_alternate_title&gt;&lt;_author_adr&gt;Xinjiang Univ, Sch Elect Engn, Urumqi 830047, Peoples R China&lt;/_author_adr&gt;&lt;_cited_count&gt;4&lt;/_cited_count&gt;&lt;_collection_scope&gt;SCI;SCIE;EI&lt;/_collection_scope&gt;&lt;_created&gt;64493973&lt;/_created&gt;&lt;_date&gt;2021-01-01&lt;/_date&gt;&lt;_date_display&gt;2021&lt;/_date_display&gt;&lt;_db_updated&gt;Web of Science-Core&lt;/_db_updated&gt;&lt;_doi&gt;10.1109/TPWRS.2021.3063276&lt;/_doi&gt;&lt;_impact_factor&gt;   7.326&lt;/_impact_factor&gt;&lt;_issue&gt;5&lt;/_issue&gt;&lt;_journal&gt;IEEE TRANSACTIONS ON POWER SYSTEMS&lt;/_journal&gt;&lt;_keywords&gt;Voltage control; Transient analysis; Rectifiers; Reactive power; HVDC transmission; Inverters; Circuit faults; Commutation failure; transient overvoltage; wind-thermal-bundled HVDC transmission system; reactive power control strategy&lt;/_keywords&gt;&lt;_modified&gt;64494517&lt;/_modified&gt;&lt;_pages&gt;4764-4777&lt;/_pages&gt;&lt;_url&gt;https://ieeexplore.ieee.org/stampPDF/getPDF.jsp?tp=&amp;amp;arnumber=9369111&amp;amp;ref=aHR0cHM6Ly9pZWVleHBsb3JlLmllZWUub3JnL3Jlc3Qvc2VhcmNo _x000d__x000a_&lt;/_url&gt;&lt;_volume&gt;36&lt;/_volume&gt;&lt;/Details&gt;&lt;Extra&gt;&lt;DBUID&gt;{F96A950B-833F-4880-A151-76DA2D6A2879}&lt;/DBUID&gt;&lt;/Extra&gt;&lt;/Item&gt;&lt;/References&gt;&lt;/Group&gt;&lt;Group&gt;&lt;References&gt;&lt;Item&gt;&lt;ID&gt;629&lt;/ID&gt;&lt;UID&gt;{CCB72473-8296-4D2D-81B9-CF1153905A5D}&lt;/UID&gt;&lt;Title&gt;Analytical Expression on Transient Overvoltage Peak Value of Converter Bus Caused by DC Faults&lt;/Title&gt;&lt;Template&gt;Journal Article&lt;/Template&gt;&lt;Star&gt;0&lt;/Star&gt;&lt;Tag&gt;0&lt;/Tag&gt;&lt;Author&gt;Yin, C Y; Li, F T&lt;/Author&gt;&lt;Year&gt;2021&lt;/Year&gt;&lt;Details&gt;&lt;_alternate_title&gt;IEEE TRANSACTIONS ON POWER SYSTEMS&lt;/_alternate_title&gt;&lt;_author_adr&gt;Xinjiang Univ, Sch Elect Engn, Urumqi 830047, Peoples R China&lt;/_author_adr&gt;&lt;_cited_count&gt;3&lt;/_cited_count&gt;&lt;_collection_scope&gt;SCI;SCIE;EI&lt;/_collection_scope&gt;&lt;_created&gt;64493973&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494422&lt;/_modified&gt;&lt;_pages&gt;2741-2744&lt;/_pages&gt;&lt;_url&gt;https://ieeexplore.ieee.org/stampPDF/getPDF.jsp?tp=&amp;amp;arnumber=9366344&amp;amp;ref=aHR0cHM6Ly9pZWVleHBsb3JlLmllZWUub3JnL3Jlc3Qvc2VhcmNo _x000d__x000a_&lt;/_url&gt;&lt;_volume&gt;36&lt;/_volume&gt;&lt;/Details&gt;&lt;Extra&gt;&lt;DBUID&gt;{F96A950B-833F-4880-A151-76DA2D6A2879}&lt;/DBUID&gt;&lt;/Extra&gt;&lt;/Item&gt;&lt;/References&gt;&lt;/Group&gt;&lt;/Citation&gt;_x000a_"/>
    <w:docVar w:name="NE.Ref{A54130DE-D639-483F-BB57-5868F1EC9F55}" w:val=" ADDIN NE.Ref.{A54130DE-D639-483F-BB57-5868F1EC9F55}&lt;Citation&gt;&lt;Group&gt;&lt;References&gt;&lt;Item&gt;&lt;ID&gt;642&lt;/ID&gt;&lt;UID&gt;{CE58B3FB-8130-46D2-9B30-FB39F4842739}&lt;/UID&gt;&lt;Title&gt;Effect of the DC control on recovery from commutation failures in an HVDC inverter feeding a weak AC network&lt;/Title&gt;&lt;Template&gt;Journal Article&lt;/Template&gt;&lt;Star&gt;0&lt;/Star&gt;&lt;Tag&gt;0&lt;/Tag&gt;&lt;Author&gt;Khatir, Mohamed; Zidi, Sid-Ahmed; Hadjeri, Samir; Fellah, Mohammed-Karim; Dahou, Omar&lt;/Author&gt;&lt;Year&gt;2007&lt;/Year&gt;&lt;Details&gt;&lt;_accessed&gt;63446206&lt;/_accessed&gt;&lt;_accession_num&gt;WOS:000255737900003_x000d__x000a_ER&lt;/_accession_num&gt;&lt;_cited_count&gt;6&lt;/_cited_count&gt;&lt;_collection_scope&gt;SCIE&lt;/_collection_scope&gt;&lt;_created&gt;63444588&lt;/_created&gt;&lt;_date_display&gt;2007, JUL-AUG 2007&lt;/_date_display&gt;&lt;_db_provider&gt;ISI&lt;/_db_provider&gt;&lt;_impact_factor&gt;   0.686&lt;/_impact_factor&gt;&lt;_isbn&gt;1335-3632&lt;/_isbn&gt;&lt;_issue&gt;4&lt;/_issue&gt;&lt;_journal&gt;JOURNAL OF ELECTRICAL ENGINEERING-ELEKTROTECHNICKY CASOPIS&lt;/_journal&gt;&lt;_modified&gt;63446028&lt;/_modified&gt;&lt;_pages&gt;200-206&lt;/_pages&gt;&lt;_url&gt;http://gateway.isiknowledge.com/gateway/Gateway.cgi?GWVersion=2&amp;amp;SrcAuth=AegeanSoftware&amp;amp;SrcApp=NoteExpress&amp;amp;DestLinkType=FullRecord&amp;amp;DestApp=WOS&amp;amp;KeyUT=000255737900003&lt;/_url&gt;&lt;_volume&gt;58&lt;/_volume&gt;&lt;/Details&gt;&lt;Extra&gt;&lt;DBUID&gt;{6891F4B0-DCBA-459A-9A22-3059983243D4}&lt;/DBUID&gt;&lt;/Extra&gt;&lt;/Item&gt;&lt;/References&gt;&lt;/Group&gt;&lt;/Citation&gt;_x000a_"/>
    <w:docVar w:name="NE.Ref{A57724CF-2BA5-4F10-B914-B0967881FD8D}" w:val=" ADDIN NE.Ref.{A57724CF-2BA5-4F10-B914-B0967881FD8D}&lt;Citation&gt;&lt;Group&gt;&lt;References&gt;&lt;Item&gt;&lt;ID&gt;590&lt;/ID&gt;&lt;UID&gt;{BD1FFA8A-3617-47B0-A0AC-5A3F00281363}&lt;/UID&gt;&lt;Title&gt;Effect of a SFCL on Commutation Failure in a HVDC System&lt;/Title&gt;&lt;Template&gt;Journal Article&lt;/Template&gt;&lt;Star&gt;0&lt;/Star&gt;&lt;Tag&gt;0&lt;/Tag&gt;&lt;Author&gt;Lee, Hee-Jin; Son, Gum Tae; Yoo, Jae-Ik; Park, Jung-Wook&lt;/Author&gt;&lt;Year&gt;2013&lt;/Year&gt;&lt;Details&gt;&lt;_accession_num&gt;WOS:000314275800096_x000d__x000a_ER&lt;/_accession_num&gt;&lt;_cited_count&gt;16&lt;/_cited_count&gt;&lt;_collection_scope&gt;SCI;SCIE;EI&lt;/_collection_scope&gt;&lt;_created&gt;63444588&lt;/_created&gt;&lt;_date_display&gt;2013, JUN 2013&lt;/_date_display&gt;&lt;_db_provider&gt;ISI&lt;/_db_provider&gt;&lt;_doi&gt;10.1109/TASC.2012.2230291&lt;/_doi&gt;&lt;_impact_factor&gt;   1.692&lt;/_impact_factor&gt;&lt;_isbn&gt;1051-8223&lt;/_isbn&gt;&lt;_issue&gt;560010432&lt;/_issue&gt;&lt;_journal&gt;IEEE TRANSACTIONS ON APPLIED SUPERCONDUCTIVITY&lt;/_journal&gt;&lt;_modified&gt;63445749&lt;/_modified&gt;&lt;_url&gt;http://gateway.isiknowledge.com/gateway/Gateway.cgi?GWVersion=2&amp;amp;SrcAuth=AegeanSoftware&amp;amp;SrcApp=NoteExpress&amp;amp;DestLinkType=FullRecord&amp;amp;DestApp=WOS&amp;amp;KeyUT=000314275800096 _x000d__x000a_https://ieeexplore.ieee.org/stampPDF/getPDF.jsp?tp=&amp;amp;arnumber=6363555&amp;amp;ref=aHR0cHM6Ly9pZWVleHBsb3JlLmllZWUub3JnL3Jlc3Qvc2VhcmNo _x000d__x000a_&lt;/_url&gt;&lt;_volume&gt;23&lt;/_volume&gt;&lt;/Details&gt;&lt;Extra&gt;&lt;DBUID&gt;{6891F4B0-DCBA-459A-9A22-3059983243D4}&lt;/DBUID&gt;&lt;/Extra&gt;&lt;/Item&gt;&lt;/References&gt;&lt;/Group&gt;&lt;/Citation&gt;_x000a_"/>
    <w:docVar w:name="NE.Ref{A5CE5C52-65B8-4BA0-B0D2-F891D1F114F2}" w:val=" ADDIN NE.Ref.{A5CE5C52-65B8-4BA0-B0D2-F891D1F114F2}&lt;Citation&gt;&lt;Group&gt;&lt;References&gt;&lt;Item&gt;&lt;ID&gt;579&lt;/ID&gt;&lt;UID&gt;{C0ABA73A-3A08-4D01-8059-60B12B83B3EB}&lt;/UID&gt;&lt;Title&gt;Wasserstein Metric Based Distributionally Robust Approximate Framework for Unit Commitment&lt;/Title&gt;&lt;Template&gt;Journal Article&lt;/Template&gt;&lt;Star&gt;0&lt;/Star&gt;&lt;Tag&gt;0&lt;/Tag&gt;&lt;Author&gt;Zhu, R; Wei, H; Bai, X&lt;/Author&gt;&lt;Year&gt;2019&lt;/Year&gt;&lt;Details&gt;&lt;_collection_scope&gt;SCI;SCIE;EI&lt;/_collection_scope&gt;&lt;_created&gt;63685327&lt;/_created&gt;&lt;_doi&gt;10.1109/TPWRS.2019.2893296}&lt;/_doi&gt;&lt;_impact_factor&gt;   6.074&lt;/_impact_factor&gt;&lt;_issue&gt;4&lt;/_issue&gt;&lt;_journal&gt;IEEE Transactions on Power Systems&lt;/_journal&gt;&lt;_modified&gt;63685327&lt;/_modified&gt;&lt;_pages&gt;2991-3001&lt;/_pages&gt;&lt;_volume&gt;34&lt;/_volume&gt;&lt;/Details&gt;&lt;Extra&gt;&lt;DBUID&gt;{F96A950B-833F-4880-A151-76DA2D6A2879}&lt;/DBUID&gt;&lt;/Extra&gt;&lt;/Item&gt;&lt;/References&gt;&lt;/Group&gt;&lt;Group&gt;&lt;References&gt;&lt;Item&gt;&lt;ID&gt;562&lt;/ID&gt;&lt;UID&gt;{C88A26EB-9637-4962-86B1-960A3E87C15F}&lt;/UID&gt;&lt;Title&gt;多源动态最优潮流的分布鲁棒优化方法&lt;/Title&gt;&lt;Template&gt;Journal Article&lt;/Template&gt;&lt;Star&gt;0&lt;/Star&gt;&lt;Tag&gt;0&lt;/Tag&gt;&lt;Author&gt;竺如洁; 韦化; 白晓清&lt;/Author&gt;&lt;Year&gt;2020&lt;/Year&gt;&lt;Details&gt;&lt;_author_adr&gt;广西电力系统最优化与节能技术重点实验室(广西大学);&lt;/_author_adr&gt;&lt;_collection_scope&gt;CSCD;PKU;EI&lt;/_collection_scope&gt;&lt;_created&gt;63685118&lt;/_created&gt;&lt;_db_provider&gt;CNKI&lt;/_db_provider&gt;&lt;_isbn&gt;0258-8013&lt;/_isbn&gt;&lt;_issue&gt;11&lt;/_issue&gt;&lt;_journal&gt;中国电机工程学报&lt;/_journal&gt;&lt;_keywords&gt;鲁棒优化;最优潮流;数据驱动;多源电力系统;不确定性&lt;/_keywords&gt;&lt;_modified&gt;63685118&lt;/_modified&gt;&lt;_pages&gt;3489-3498&lt;/_pages&gt;&lt;_volume&gt;40&lt;/_volume&gt;&lt;_translated_author&gt;Zhu, Rujie;Wei, Hua;Bai, Xiaoqing&lt;/_translated_author&gt;&lt;/Details&gt;&lt;Extra&gt;&lt;DBUID&gt;{F96A950B-833F-4880-A151-76DA2D6A2879}&lt;/DBUID&gt;&lt;/Extra&gt;&lt;/Item&gt;&lt;/References&gt;&lt;/Group&gt;&lt;Group&gt;&lt;References&gt;&lt;Item&gt;&lt;ID&gt;561&lt;/ID&gt;&lt;UID&gt;{09A96AB6-55A9-4CEE-A384-E86841885AE4}&lt;/UID&gt;&lt;Title&gt;基于分布鲁棒优化的灵活爬坡备用调度方法&lt;/Title&gt;&lt;Template&gt;Journal Article&lt;/Template&gt;&lt;Star&gt;0&lt;/Star&gt;&lt;Tag&gt;0&lt;/Tag&gt;&lt;Author&gt;马洪艳; 贠靖洋; 严正&lt;/Author&gt;&lt;Year&gt;2020&lt;/Year&gt;&lt;Details&gt;&lt;_author_adr&gt;电力传输与功率变换教育部重点实验室(上海交通大学);&lt;/_author_adr&gt;&lt;_collection_scope&gt;CSCD;PKU;EI&lt;/_collection_scope&gt;&lt;_created&gt;63685118&lt;/_created&gt;&lt;_db_provider&gt;CNKI&lt;/_db_provider&gt;&lt;_isbn&gt;0258-8013&lt;/_isbn&gt;&lt;_issue&gt;19&lt;/_issue&gt;&lt;_journal&gt;中国电机工程学报&lt;/_journal&gt;&lt;_keywords&gt;灵活爬坡备用;不确定性;分布鲁棒优化;混合整数线性规划;可再生能源发电&lt;/_keywords&gt;&lt;_modified&gt;63685118&lt;/_modified&gt;&lt;_pages&gt;6121-6132&lt;/_pages&gt;&lt;_volume&gt;40&lt;/_volume&gt;&lt;_translated_author&gt;Ma, Hongyan;Yuan, Jingyang;Yan, Zheng&lt;/_translated_author&gt;&lt;/Details&gt;&lt;Extra&gt;&lt;DBUID&gt;{F96A950B-833F-4880-A151-76DA2D6A2879}&lt;/DBUID&gt;&lt;/Extra&gt;&lt;/Item&gt;&lt;/References&gt;&lt;/Group&gt;&lt;/Citation&gt;_x000a_"/>
    <w:docVar w:name="NE.Ref{A6EFF19A-5699-452B-88FC-AEF5C59507DE}" w:val=" ADDIN NE.Ref.{A6EFF19A-5699-452B-88FC-AEF5C59507DE}&lt;Citation&gt;&lt;Group&gt;&lt;References&gt;&lt;Item&gt;&lt;ID&gt;517&lt;/ID&gt;&lt;UID&gt;{CCC29CF3-242A-40D0-8006-72B4DBEC4068}&lt;/UID&gt;&lt;Title&gt;计及新能源出力不确定性的电气综合能源系统协同优化&lt;/Title&gt;&lt;Template&gt;Journal Article&lt;/Template&gt;&lt;Star&gt;0&lt;/Star&gt;&lt;Tag&gt;0&lt;/Tag&gt;&lt;Author&gt;王静; 徐箭; 廖思阳; 司马莉萍; 孙元章; 魏聪颖&lt;/Author&gt;&lt;Year&gt;2019&lt;/Year&gt;&lt;Details&gt;&lt;_author_adr&gt;武汉大学电气与自动化学院;&lt;/_author_adr&gt;&lt;_collection_scope&gt;CSCD;PKU;EI&lt;/_collection_scope&gt;&lt;_created&gt;63657435&lt;/_created&gt;&lt;_db_provider&gt;CNKI&lt;/_db_provider&gt;&lt;_isbn&gt;1000-1026&lt;/_isbn&gt;&lt;_issue&gt;15&lt;/_issue&gt;&lt;_journal&gt;电力系统自动化&lt;/_journal&gt;&lt;_keywords&gt;新能源;冷热电联产系统;温控负荷;综合能源系统;协同优化&lt;/_keywords&gt;&lt;_modified&gt;63657435&lt;/_modified&gt;&lt;_pages&gt;2-15&lt;/_pages&gt;&lt;_volume&gt;43&lt;/_volume&gt;&lt;_translated_author&gt;Wang, Jing;Xu, Jian;Liao, Siyang;Si, Maliping;Sun, Yuanzhang;Wei, Congying&lt;/_translated_author&gt;&lt;/Details&gt;&lt;Extra&gt;&lt;DBUID&gt;{F96A950B-833F-4880-A151-76DA2D6A2879}&lt;/DBUID&gt;&lt;/Extra&gt;&lt;/Item&gt;&lt;/References&gt;&lt;/Group&gt;&lt;Group&gt;&lt;References&gt;&lt;Item&gt;&lt;ID&gt;518&lt;/ID&gt;&lt;UID&gt;{1367B71A-EADB-42A5-8FDE-1BF6E9B92DA7}&lt;/UID&gt;&lt;Title&gt;基于可再生能源不确定性的多能源微网调度优化模型研究&lt;/Title&gt;&lt;Template&gt;Journal Article&lt;/Template&gt;&lt;Star&gt;0&lt;/Star&gt;&lt;Tag&gt;0&lt;/Tag&gt;&lt;Author&gt;李美成; 梅文明; 张凌康; 白保华; 赵充; 蔡丽莉&lt;/Author&gt;&lt;Year&gt;2019&lt;/Year&gt;&lt;Details&gt;&lt;_author_adr&gt;新能源电力系统国家重点实验室(华北电力大学);国家电网有限公司;国网甘肃省电力公司酒泉供电公司;国网节能服务有限公司;&lt;/_author_adr&gt;&lt;_collection_scope&gt;CSCD;PKU;EI&lt;/_collection_scope&gt;&lt;_created&gt;63657437&lt;/_created&gt;&lt;_db_provider&gt;CNKI&lt;/_db_provider&gt;&lt;_isbn&gt;1000-3673&lt;/_isbn&gt;&lt;_issue&gt;04&lt;/_issue&gt;&lt;_journal&gt;电网技术&lt;/_journal&gt;&lt;_keywords&gt;多能源微网;两阶段随机优化;需求响应;系统约束&lt;/_keywords&gt;&lt;_modified&gt;63657437&lt;/_modified&gt;&lt;_pages&gt;1260-1270&lt;/_pages&gt;&lt;_volume&gt;43&lt;/_volume&gt;&lt;_translated_author&gt;Li, Meicheng;Mei, Wenming;Zhang, Lingkang;Bai, Baohua;Zhao, Chong;Cai, Lili&lt;/_translated_author&gt;&lt;/Details&gt;&lt;Extra&gt;&lt;DBUID&gt;{F96A950B-833F-4880-A151-76DA2D6A2879}&lt;/DBUID&gt;&lt;/Extra&gt;&lt;/Item&gt;&lt;/References&gt;&lt;/Group&gt;&lt;Group&gt;&lt;References&gt;&lt;Item&gt;&lt;ID&gt;519&lt;/ID&gt;&lt;UID&gt;{B69D6FF4-075F-46B6-8199-E4147DE3D6BA}&lt;/UID&gt;&lt;Title&gt;风光储系统储能容量优化配置策略&lt;/Title&gt;&lt;Template&gt;Journal Article&lt;/Template&gt;&lt;Star&gt;0&lt;/Star&gt;&lt;Tag&gt;0&lt;/Tag&gt;&lt;Author&gt;李建林; 郭斌琪; 牛萌; 修晓青; 田立亭&lt;/Author&gt;&lt;Year&gt;2018&lt;/Year&gt;&lt;Details&gt;&lt;_author_adr&gt;新能源与储能运行控制国家重点实验室(中国电力科学研究院);&lt;/_author_adr&gt;&lt;_collection_scope&gt;CSCD;PKU;EI&lt;/_collection_scope&gt;&lt;_created&gt;63657439&lt;/_created&gt;&lt;_db_provider&gt;CNKI&lt;/_db_provider&gt;&lt;_isbn&gt;1000-6753&lt;/_isbn&gt;&lt;_issue&gt;06&lt;/_issue&gt;&lt;_journal&gt;电工技术学报&lt;/_journal&gt;&lt;_keywords&gt;风光储;储能配置;动态规划;双层决策&lt;/_keywords&gt;&lt;_modified&gt;63657439&lt;/_modified&gt;&lt;_pages&gt;1189-1196&lt;/_pages&gt;&lt;_volume&gt;33&lt;/_volume&gt;&lt;_translated_author&gt;Li, Jianlin;Guo, Binqi;Niu, Meng;Xiu, Xiaoqing;Tian, Liting&lt;/_translated_author&gt;&lt;/Details&gt;&lt;Extra&gt;&lt;DBUID&gt;{F96A950B-833F-4880-A151-76DA2D6A2879}&lt;/DBUID&gt;&lt;/Extra&gt;&lt;/Item&gt;&lt;/References&gt;&lt;/Group&gt;&lt;/Citation&gt;_x000a_"/>
    <w:docVar w:name="NE.Ref{A7433C17-B5DA-4CD9-B818-EAC68FF471CA}" w:val=" ADDIN NE.Ref.{A7433C17-B5DA-4CD9-B818-EAC68FF471CA}&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A7BB8245-F5EB-4E97-8DB4-74F6FAAA445F}" w:val=" ADDIN NE.Ref.{A7BB8245-F5EB-4E97-8DB4-74F6FAAA445F}&lt;Citation&gt;&lt;Group&gt;&lt;References&gt;&lt;Item&gt;&lt;ID&gt;1019&lt;/ID&gt;&lt;UID&gt;{3486809E-7CE0-419B-9A85-3CBF1501AA0B}&lt;/UID&gt;&lt;Title&gt;Response Mechanism of DFIG to Transient Voltage Disturbance Under Commutation Failure of LCC-HVDC System&lt;/Title&gt;&lt;Template&gt;Journal Article&lt;/Template&gt;&lt;Star&gt;0&lt;/Star&gt;&lt;Tag&gt;0&lt;/Tag&gt;&lt;Author&gt;Zheng, Z X; Ren, J; Xiao, X Y; Huang, C J; Wang, Y; Xie, Q&lt;/Author&gt;&lt;Year&gt;2020&lt;/Year&gt;&lt;Details&gt;&lt;_alternate_title&gt;IEEE TRANSACTIONS ON POWER DELIVERY&lt;/_alternate_title&gt;&lt;_author_adr&gt;Sichuan Univ, Coll Elect Engn, Chengdu 610065, Peoples R China&lt;/_author_adr&gt;&lt;_cited_count&gt;11&lt;/_cited_count&gt;&lt;_date_display&gt;2020&lt;/_date_display&gt;&lt;_date&gt;2020-01-01&lt;/_date&gt;&lt;_doi&gt;10.1109/TPWRD.2020.3005720&lt;/_doi&gt;&lt;_issue&gt;6&lt;/_issue&gt;&lt;_journal&gt;IEEE TRANSACTIONS ON POWER DELIVERY&lt;/_journal&gt;&lt;_keywords&gt;Reactive power; Transient analysis; Doubly fed induction generators; HVDC transmission; Rotors; Wind farms; Stators; DFIG; FRT; LCC-HVDC; commutation failure&lt;/_keywords&gt;&lt;_pages&gt;2972-2979&lt;/_pages&gt;&lt;_volume&gt;35&lt;/_volume&gt;&lt;_created&gt;64780380&lt;/_created&gt;&lt;_modified&gt;64780381&lt;/_modified&gt;&lt;_db_updated&gt;Web of Science-Core&lt;/_db_updated&gt;&lt;_impact_factor&gt;   4.825&lt;/_impact_factor&gt;&lt;_collection_scope&gt;SCI;SCIE;EI&lt;/_collection_scope&gt;&lt;/Details&gt;&lt;Extra&gt;&lt;DBUID&gt;{6891F4B0-DCBA-459A-9A22-3059983243D4}&lt;/DBUID&gt;&lt;/Extra&gt;&lt;/Item&gt;&lt;/References&gt;&lt;/Group&gt;&lt;Group&gt;&lt;References&gt;&lt;Item&gt;&lt;ID&gt;550&lt;/ID&gt;&lt;UID&gt;{16EE791D-43A5-4823-9547-7D670714BF5F}&lt;/UID&gt;&lt;Title&gt;风火打捆直流外送系统直流故障引发风机脱网的问题研究&lt;/Title&gt;&lt;Template&gt;Journal Article&lt;/Template&gt;&lt;Star&gt;0&lt;/Star&gt;&lt;Tag&gt;0&lt;/Tag&gt;&lt;Author&gt;屠竞哲; 张健; 刘明松; 易俊; 贺庆; 罗煦之; 马士聪; 卜广全&lt;/Author&gt;&lt;Year&gt;2015&lt;/Year&gt;&lt;Details&gt;&lt;_accessed&gt;64654467&lt;/_accessed&gt;&lt;_accession_num&gt;CSCD:5596675_x000d__x000a_ER&lt;/_accession_num&gt;&lt;_cited_count&gt;7&lt;/_cited_count&gt;&lt;_collection_scope&gt;CSCD;PKU;EI&lt;/_collection_scope&gt;&lt;_created&gt;63444588&lt;/_created&gt;&lt;_date_display&gt;2015, 2015&lt;/_date_display&gt;&lt;_db_provider&gt;ISI&lt;/_db_provider&gt;&lt;_isbn&gt;1000-3673&lt;/_isbn&gt;&lt;_issue&gt;12&lt;/_issue&gt;&lt;_journal&gt;电网技术&lt;/_journal&gt;&lt;_modified&gt;64654467&lt;/_modified&gt;&lt;_pages&gt;3333-3338&lt;/_pages&gt;&lt;_tertiary_title&gt;Power System Technology&lt;/_tertiary_title&gt;&lt;_translated_author&gt;Tu, Jingzhe; Zhang, Jian; Liu, Mingsong; Yi, Jun; He, Qing; Luo, Xuzhi; Ma, Shicong; Bu, Guangquan&lt;/_translated_author&gt;&lt;_translated_title&gt;Study on Wind Turbine Generators Tripping Caused by HVDC Contingencies of Wind-Thermal-Bundled HVDC Transmission Systems&lt;/_translated_title&gt;&lt;_url&gt;CSCD:5596675 _x000d__x000a_https://bar.cnki.net/bar/download/order?id=jBGETXBNdPImvx70aLAuJPYxPoFw%2bp%2bi0fIiSrcN6lUBHinDtT5%2fFRKEpY6CQFMZu0Y9cJyaeMzChUwbF%2bvmtKZkLkctbazBAH%2br8YgpNUDl8E%2bCUVp5GtDTYhVF2dNUoJeGx62Ssygg68TNXJ%2b5JrigejDAar8Xqw%2f6WR22OFXUdUGh4At8VBYSvh%2fCUD5aJfs2EQEJdGTeUir9TxT530%2bLjlyYIu7nH8eknR%2fJ7rL5LXYX1qwFXwOc1HUZT%2bTB _x000d__x000a_&lt;/_url&gt;&lt;_volume&gt;39&lt;/_volume&gt;&lt;/Details&gt;&lt;Extra&gt;&lt;DBUID&gt;{6891F4B0-DCBA-459A-9A22-3059983243D4}&lt;/DBUID&gt;&lt;/Extra&gt;&lt;/Item&gt;&lt;/References&gt;&lt;/Group&gt;&lt;Group&gt;&lt;References&gt;&lt;Item&gt;&lt;ID&gt;1021&lt;/ID&gt;&lt;UID&gt;{C6A02FA1-1147-4003-86B6-8A4C7B44EF4D}&lt;/UID&gt;&lt;Title&gt;考虑风机动态特性的大扰动暂态过电压机理分析&lt;/Title&gt;&lt;Template&gt;Journal Article&lt;/Template&gt;&lt;Star&gt;0&lt;/Star&gt;&lt;Tag&gt;0&lt;/Tag&gt;&lt;Author&gt;屠竞哲; 张健; 刘明松; 潘艳; 习工伟; 易俊&lt;/Author&gt;&lt;Year&gt;2020&lt;/Year&gt;&lt;Details&gt;&lt;_author_aff&gt;电网安全与节能国家重点实验室(中国电力科学研究院有限公司);国家电力调度控制中心;国家电网有限公司华北分部;&lt;/_author_aff&gt;&lt;_cited_count&gt;26&lt;/_cited_count&gt;&lt;_date&gt;2020-04-17&lt;/_date&gt;&lt;_issue&gt;11&lt;/_issue&gt;&lt;_journal&gt;电力系统自动化&lt;/_journal&gt;&lt;_keywords&gt;暂态过电压;故障形态;风机模型;低电压穿越&lt;/_keywords&gt;&lt;_pages&gt;197-205&lt;/_pages&gt;&lt;_url&gt;https://kns.cnki.net/kcms/detail/detail.aspx?FileName=DLXT202011023&amp;amp;DbName=CJFQ2020&lt;/_url&gt;&lt;_volume&gt;44&lt;/_volume&gt;&lt;_created&gt;64780381&lt;/_created&gt;&lt;_modified&gt;64780382&lt;/_modified&gt;&lt;_db_updated&gt;CNKI - Reference&lt;/_db_updated&gt;&lt;_collection_scope&gt;CSCD;PKU;EI&lt;/_collection_scope&gt;&lt;_translated_author&gt;Tu, Jingzhe;Zhang, Jian;Liu, Mingsong;Pan, Yan;Xi, Gongwei;Yi, Jun&lt;/_translated_author&gt;&lt;/Details&gt;&lt;Extra&gt;&lt;DBUID&gt;{6891F4B0-DCBA-459A-9A22-3059983243D4}&lt;/DBUID&gt;&lt;/Extra&gt;&lt;/Item&gt;&lt;/References&gt;&lt;/Group&gt;&lt;Group&gt;&lt;References&gt;&lt;Item&gt;&lt;ID&gt;1022&lt;/ID&gt;&lt;UID&gt;{CC51D491-277F-49A1-9896-734777E824D9}&lt;/UID&gt;&lt;Title&gt;特高压直流换相失败对送端电网风机暂态无功特性的影响分析&lt;/Title&gt;&lt;Template&gt;Journal Article&lt;/Template&gt;&lt;Star&gt;0&lt;/Star&gt;&lt;Tag&gt;0&lt;/Tag&gt;&lt;Author&gt;年珩; 金萧; 李光辉&lt;/Author&gt;&lt;Year&gt;2020&lt;/Year&gt;&lt;Details&gt;&lt;_author_aff&gt;浙江大学电气工程学院;新能源与储能运行控制国家重点实验室(中国电力科学研究院有限公司);&lt;/_author_aff&gt;&lt;_cited_count&gt;23&lt;/_cited_count&gt;&lt;_date&gt;2020-04-14&lt;/_date&gt;&lt;_issue&gt;13&lt;/_issue&gt;&lt;_journal&gt;中国电机工程学报&lt;/_journal&gt;&lt;_keywords&gt;风力发电系统;特高压直流输电;换相失败;送端电网故障;暂态无功特性&lt;/_keywords&gt;&lt;_pages&gt;4111-4122&lt;/_pages&gt;&lt;_url&gt;https://kns.cnki.net/kcms/detail/detail.aspx?FileName=ZGDC202013006&amp;amp;DbName=DKFX2020&lt;/_url&gt;&lt;_volume&gt;40&lt;/_volume&gt;&lt;_created&gt;64780382&lt;/_created&gt;&lt;_modified&gt;64780383&lt;/_modified&gt;&lt;_db_updated&gt;CNKI - Reference&lt;/_db_updated&gt;&lt;_collection_scope&gt;CSCD;PKU;EI&lt;/_collection_scope&gt;&lt;_translated_author&gt;Nian, Heng;Jin, Xiao;Li, Guanghui&lt;/_translated_author&gt;&lt;/Details&gt;&lt;Extra&gt;&lt;DBUID&gt;{6891F4B0-DCBA-459A-9A22-3059983243D4}&lt;/DBUID&gt;&lt;/Extra&gt;&lt;/Item&gt;&lt;/References&gt;&lt;/Group&gt;&lt;/Citation&gt;_x000a_"/>
    <w:docVar w:name="NE.Ref{A868902F-59CF-4517-9095-C6963AF3EF6E}" w:val=" ADDIN NE.Ref.{A868902F-59CF-4517-9095-C6963AF3EF6E}&lt;Citation&gt;&lt;Group&gt;&lt;References&gt;&lt;Item&gt;&lt;ID&gt;527&lt;/ID&gt;&lt;UID&gt;{291B8031-6D51-45D5-91E7-A340E5A9D44D}&lt;/UID&gt;&lt;Title&gt;暂态过电压引起风电机组连锁脱网风险分析及对策&lt;/Title&gt;&lt;Template&gt;Journal Article&lt;/Template&gt;&lt;Star&gt;0&lt;/Star&gt;&lt;Tag&gt;0&lt;/Tag&gt;&lt;Author&gt;贺静波; 庄伟; 许涛; 霍超; 蒋维勇&lt;/Author&gt;&lt;Year&gt;2016&lt;/Year&gt;&lt;Details&gt;&lt;_accessed&gt;64647193&lt;/_accessed&gt;&lt;_accession_num&gt;CSCD:5736009_x000d__x000a_ER&lt;/_accession_num&gt;&lt;_cited_count&gt;9&lt;/_cited_count&gt;&lt;_created&gt;63444588&lt;/_created&gt;&lt;_date_display&gt;2016, 2016&lt;/_date_display&gt;&lt;_db_provider&gt;ISI&lt;/_db_provider&gt;&lt;_isbn&gt;1000-3673&lt;/_isbn&gt;&lt;_issue&gt;6&lt;/_issue&gt;&lt;_journal&gt;电网技术 &lt;/_journal&gt;&lt;_modified&gt;64646999&lt;/_modified&gt;&lt;_pages&gt;1839-1844&lt;/_pages&gt;&lt;_tertiary_title&gt;Power System Technology&lt;/_tertiary_title&gt;&lt;_translated_author&gt;He, Jingbo; Zhuang, Wei; Xu, Tao; Huo, Chao; Jiang, Weiyong&lt;/_translated_author&gt;&lt;_translated_title&gt; Study on Cascading Tripping Risk of Wind Turbines Caused by Transient Overvoltage and Its Countermeasures&lt;/_translated_title&gt;&lt;_url&gt;CSCD:5736009 _x000d__x000a_https://bar.cnki.net/bar/download/order?id=jBGETXBNdPImvx70aLAuJPYxPoFw%2bp%2bi0fIiSrcN6lXLoRz4Z5iquf9T8M9ugbDCsxSj2%2bg5K93ojkRss4hrVDW1naasVB8LAM3hX8NAtijl8E%2bCUVp5GtDTYhVF2dNUoJeGx62Ssygg68TNXJ%2b5JrigejDAar8Xqw%2f6WR22OFXUdUGh4At8VBYSvh%2fCUD5avdCCX9%2fNlOQEXTDOzMevLRcYlBaUIWXbuFE25fb2m%2fb5LXYX1qwFXwOc1HUZT%2bTB _x000d__x000a_&lt;/_url&gt;&lt;_volume&gt;40&lt;/_volume&gt;&lt;/Details&gt;&lt;Extra&gt;&lt;DBUID&gt;{6891F4B0-DCBA-459A-9A22-3059983243D4}&lt;/DBUID&gt;&lt;/Extra&gt;&lt;/Item&gt;&lt;/References&gt;&lt;/Group&gt;&lt;Group&gt;&lt;References&gt;&lt;Item&gt;&lt;ID&gt;550&lt;/ID&gt;&lt;UID&gt;{16EE791D-43A5-4823-9547-7D670714BF5F}&lt;/UID&gt;&lt;Title&gt;风火打捆直流外送系统直流故障引发风机脱网的问题研究&lt;/Title&gt;&lt;Template&gt;Journal Article&lt;/Template&gt;&lt;Star&gt;0&lt;/Star&gt;&lt;Tag&gt;0&lt;/Tag&gt;&lt;Author&gt;屠竞哲; 张健; 刘明松; 易俊; 贺庆; 罗煦之; 马士聪; 卜广全&lt;/Author&gt;&lt;Year&gt;2015&lt;/Year&gt;&lt;Details&gt;&lt;_accessed&gt;64647194&lt;/_accessed&gt;&lt;_accession_num&gt;CSCD:5596675_x000d__x000a_ER&lt;/_accession_num&gt;&lt;_cited_count&gt;7&lt;/_cited_count&gt;&lt;_collection_scope&gt;CSCD;PKU;EI&lt;/_collection_scope&gt;&lt;_created&gt;63444588&lt;/_created&gt;&lt;_date_display&gt;2015, 2015&lt;/_date_display&gt;&lt;_db_provider&gt;ISI&lt;/_db_provider&gt;&lt;_isbn&gt;1000-3673&lt;/_isbn&gt;&lt;_issue&gt;1000-3673(2015)39:12&amp;lt;3333:FHDHZL&amp;gt;2.0.TX;2-212&lt;/_issue&gt;&lt;_journal&gt;电网技术&lt;/_journal&gt;&lt;_modified&gt;64646881&lt;/_modified&gt;&lt;_pages&gt;3333-3338&lt;/_pages&gt;&lt;_tertiary_title&gt;Power System Technology&lt;/_tertiary_title&gt;&lt;_translated_author&gt;Tu, Jingzhe; Zhang, Jian; Liu, Mingsong; Yi, Jun; He, Qing; Luo, Xuzhi; Ma, Shicong; Bu, Guangquan&lt;/_translated_author&gt;&lt;_translated_title&gt;Study on Wind Turbine Generators Tripping Caused by HVDC Contingencies of Wind-Thermal-Bundled HVDC Transmission Systems&lt;/_translated_title&gt;&lt;_url&gt;CSCD:5596675 _x000d__x000a_https://bar.cnki.net/bar/download/order?id=jBGETXBNdPImvx70aLAuJPYxPoFw%2bp%2bi0fIiSrcN6lUBHinDtT5%2fFRKEpY6CQFMZu0Y9cJyaeMzChUwbF%2bvmtKZkLkctbazBAH%2br8YgpNUDl8E%2bCUVp5GtDTYhVF2dNUoJeGx62Ssygg68TNXJ%2b5JrigejDAar8Xqw%2f6WR22OFXUdUGh4At8VBYSvh%2fCUD5aJfs2EQEJdGTeUir9TxT530%2bLjlyYIu7nH8eknR%2fJ7rL5LXYX1qwFXwOc1HUZT%2bTB _x000d__x000a_&lt;/_url&gt;&lt;_volume&gt;39&lt;/_volume&gt;&lt;/Details&gt;&lt;Extra&gt;&lt;DBUID&gt;{6891F4B0-DCBA-459A-9A22-3059983243D4}&lt;/DBUID&gt;&lt;/Extra&gt;&lt;/Item&gt;&lt;/References&gt;&lt;/Group&gt;&lt;/Citation&gt;_x000a_"/>
    <w:docVar w:name="NE.Ref{AAA12C88-8862-44A0-A49A-8030E1A55FB1}" w:val=" ADDIN NE.Ref.{AAA12C88-8862-44A0-A49A-8030E1A55FB1}&lt;Citation&gt;&lt;Group&gt;&lt;References&gt;&lt;Item&gt;&lt;ID&gt;609&lt;/ID&gt;&lt;UID&gt;{A33C9489-8703-4254-8F26-864E17390E43}&lt;/UID&gt;&lt;Title&gt;Peer-to-peer Modeling and Optimal Operation for Prosumer Energy Management in Intelligent Community&lt;/Title&gt;&lt;Template&gt;Journal Article&lt;/Template&gt;&lt;Star&gt;0&lt;/Star&gt;&lt;Tag&gt;0&lt;/Tag&gt;&lt;Author&gt;Wu, Jiechen; Ai, Xin; Hu, Junjie; Wu, Zhouyang&lt;/Author&gt;&lt;Year&gt;2020&lt;/Year&gt;&lt;Details&gt;&lt;_accession_num&gt;CSCD:6665330_x000d__x000a_ER&lt;/_accession_num&gt;&lt;_cited_count&gt;0&lt;/_cited_count&gt;&lt;_created&gt;63705311&lt;/_created&gt;&lt;_date_display&gt;2020, 2020&lt;/_date_display&gt;&lt;_db_provider&gt;ISI&lt;/_db_provider&gt;&lt;_isbn&gt;1000-3673&lt;/_isbn&gt;&lt;_issue&gt;1000-3673(2020)44:1&amp;lt;52:MXZNYQ&amp;gt;2.0.TX;2-N1&lt;/_issue&gt;&lt;_journal&gt;Power System Technology&lt;/_journal&gt;&lt;_modified&gt;63705311&lt;/_modified&gt;&lt;_pages&gt;52-61&lt;/_pages&gt;&lt;_tertiary_title&gt;电网技术&lt;/_tertiary_title&gt;&lt;_translated_author&gt;吴界辰_x000d__x000a_   艾欣_x000d__x000a_   胡俊杰_x000d__x000a_   吴洲洋&lt;/_translated_author&gt;&lt;_translated_title&gt;面向智能园区多产消者能量管理的对等模型(P2P)建模与优化运行&lt;/_translated_title&gt;&lt;_url&gt;CSCD:6665330&lt;/_url&gt;&lt;_volume&gt;44&lt;/_volume&gt;&lt;/Details&gt;&lt;Extra&gt;&lt;DBUID&gt;{F96A950B-833F-4880-A151-76DA2D6A2879}&lt;/DBUID&gt;&lt;/Extra&gt;&lt;/Item&gt;&lt;/References&gt;&lt;/Group&gt;&lt;/Citation&gt;_x000a_"/>
    <w:docVar w:name="NE.Ref{AB5DE23F-8B09-4393-BB89-798A26C6D62F}" w:val=" ADDIN NE.Ref.{AB5DE23F-8B09-4393-BB89-798A26C6D62F}&lt;Citation&gt;&lt;Group&gt;&lt;References&gt;&lt;Item&gt;&lt;ID&gt;1013&lt;/ID&gt;&lt;UID&gt;{281B0FFA-7DF5-493A-B0BA-FBAC8F33D51E}&lt;/UID&gt;&lt;Title&gt;Quantitative index to evaluate the impact of reactive power compensators on AC system&amp;apos;s strength of UHVDC transmission under hierarchical infeed mode&lt;/Title&gt;&lt;Template&gt;Journal Article&lt;/Template&gt;&lt;Star&gt;0&lt;/Star&gt;&lt;Tag&gt;0&lt;/Tag&gt;&lt;Author&gt;Rehman, A U; Guo, C Y; Zhao, C Y&lt;/Author&gt;&lt;Year&gt;2020&lt;/Year&gt;&lt;Details&gt;&lt;_alternate_title&gt;IET GENERATION TRANSMISSION &amp;amp; DISTRIBUTION&lt;/_alternate_title&gt;&lt;_author_adr&gt;North China Elect Power Univ, State Key Lab Alternate Elect Power Syst Renewabl, Beijing 102206, Peoples R China&lt;/_author_adr&gt;&lt;_cited_count&gt;7&lt;/_cited_count&gt;&lt;_date_display&gt;2020&lt;/_date_display&gt;&lt;_date&gt;2020-01-01&lt;/_date&gt;&lt;_doi&gt;10.1049/iet-gtd.2019.1013&lt;/_doi&gt;&lt;_issue&gt;3&lt;/_issue&gt;&lt;_journal&gt;IET GENERATION TRANSMISSION &amp;amp; DISTRIBUTION&lt;/_journal&gt;&lt;_keywords&gt;reactive power; busbars; static VAr compensators; invertors; HVDC power transmission; ultra high voltage direct current transmission system; hierarchical infeed mode; AC networks; special dynamic characteristics challenges; low-end converter; reactive power compensators; static synchronous compensator; AC grid system; AC busbar voltages; improved dynamic characteristics; UHVDC-HIM system; AC system; equivalent hierarchical mode short circuit ratio index; UHVDC transmission; voltage 1000; 0 kV; voltage 500; 0 kV&lt;/_keywords&gt;&lt;_pages&gt;441-448&lt;/_pages&gt;&lt;_volume&gt;14&lt;/_volume&gt;&lt;_created&gt;64779627&lt;/_created&gt;&lt;_modified&gt;64779627&lt;/_modified&gt;&lt;_db_updated&gt;Web of Science-Core&lt;/_db_updated&gt;&lt;_impact_factor&gt;   2.503&lt;/_impact_factor&gt;&lt;_collection_scope&gt;SCI;SCIE;EI&lt;/_collection_scope&gt;&lt;/Details&gt;&lt;Extra&gt;&lt;DBUID&gt;{6891F4B0-DCBA-459A-9A22-3059983243D4}&lt;/DBUID&gt;&lt;/Extra&gt;&lt;/Item&gt;&lt;/References&gt;&lt;/Group&gt;&lt;/Citation&gt;_x000a_"/>
    <w:docVar w:name="NE.Ref{AB7BFA5C-6118-4467-8F11-333BADCE0CA6}" w:val=" ADDIN NE.Ref.{AB7BFA5C-6118-4467-8F11-333BADCE0CA6}&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Citation&gt;_x000a_"/>
    <w:docVar w:name="NE.Ref{ABAB7BA2-5E1D-4588-ABED-78C2FDEC1198}" w:val=" ADDIN NE.Ref.{ABAB7BA2-5E1D-4588-ABED-78C2FDEC1198}&lt;Citation&gt;&lt;Group&gt;&lt;References&gt;&lt;Item&gt;&lt;ID&gt;485&lt;/ID&gt;&lt;UID&gt;{662855DD-491E-4851-A81B-789F8E722613}&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0779&lt;/_created&gt;&lt;_impact_factor&gt;  11.169&lt;/_impact_factor&gt;&lt;_issue&gt;99&lt;/_issue&gt;&lt;_journal&gt;IEEE Transactions on Evolutionary Computation&lt;/_journal&gt;&lt;_modified&gt;63650779&lt;/_modified&gt;&lt;_volume&gt;PP&lt;/_volume&gt;&lt;/Details&gt;&lt;Extra&gt;&lt;DBUID&gt;{F96A950B-833F-4880-A151-76DA2D6A2879}&lt;/DBUID&gt;&lt;/Extra&gt;&lt;/Item&gt;&lt;/References&gt;&lt;/Group&gt;&lt;/Citation&gt;_x000a_"/>
    <w:docVar w:name="NE.Ref{ABCF7F2A-7566-46BE-B3A8-89D4171824CA}" w:val=" ADDIN NE.Ref.{ABCF7F2A-7566-46BE-B3A8-89D4171824CA}&lt;Citation&gt;&lt;Group&gt;&lt;References&gt;&lt;Item&gt;&lt;ID&gt;391&lt;/ID&gt;&lt;UID&gt;{027BBCE2-BB37-4260-9ABE-5F3F899BE5D6}&lt;/UID&gt;&lt;Title&gt;可再生能源配额制对优化我国电源结构的影响分析&lt;/Title&gt;&lt;Template&gt;Journal Article&lt;/Template&gt;&lt;Star&gt;0&lt;/Star&gt;&lt;Tag&gt;0&lt;/Tag&gt;&lt;Author&gt;赵新刚; 刘晓蒙; 兰贝&lt;/Author&gt;&lt;Year&gt;2013&lt;/Year&gt;&lt;Details&gt;&lt;_author_adr&gt;华北电力大学经济与管理学院;&lt;/_author_adr&gt;&lt;_collection_scope&gt;PKU&lt;/_collection_scope&gt;&lt;_created&gt;63640279&lt;/_created&gt;&lt;_db_provider&gt;CNKI&lt;/_db_provider&gt;&lt;_isbn&gt;1671-5292&lt;/_isbn&gt;&lt;_issue&gt;04&lt;/_issue&gt;&lt;_journal&gt;可再生能源&lt;/_journal&gt;&lt;_keywords&gt;绿电;可再生能源配额制;绿色证书&lt;/_keywords&gt;&lt;_modified&gt;63640279&lt;/_modified&gt;&lt;_pages&gt;1-5&lt;/_pages&gt;&lt;_volume&gt;31&lt;/_volume&gt;&lt;_translated_author&gt;Zhao, Xingang;Liu, Xiaomeng;Lan, Bei&lt;/_translated_author&gt;&lt;/Details&gt;&lt;Extra&gt;&lt;DBUID&gt;{F96A950B-833F-4880-A151-76DA2D6A2879}&lt;/DBUID&gt;&lt;/Extra&gt;&lt;/Item&gt;&lt;/References&gt;&lt;/Group&gt;&lt;/Citation&gt;_x000a_"/>
    <w:docVar w:name="NE.Ref{ABE4B4D1-A70B-48C4-BBA5-96205CB0D29C}" w:val=" ADDIN NE.Ref.{ABE4B4D1-A70B-48C4-BBA5-96205CB0D29C}&lt;Citation&gt;&lt;Group&gt;&lt;References&gt;&lt;Item&gt;&lt;ID&gt;1000&lt;/ID&gt;&lt;UID&gt;{82510AEC-502C-4635-8C93-EDB3C14E203D}&lt;/UID&gt;&lt;Title&gt;大容量直流换相失败后功率恢复速率对送端系统暂态稳定的影响分析&lt;/Title&gt;&lt;Template&gt;Journal Article&lt;/Template&gt;&lt;Star&gt;0&lt;/Star&gt;&lt;Tag&gt;0&lt;/Tag&gt;&lt;Author&gt;王增平; 胡加伟; 王彤; 时伯年&lt;/Author&gt;&lt;Year&gt;2020&lt;/Year&gt;&lt;Details&gt;&lt;_author_aff&gt;新能源电力系统国家重点实验室(华北电力大学);北京四方继保自动化股份有限公司;&lt;/_author_aff&gt;&lt;_cited_count&gt;16&lt;/_cited_count&gt;&lt;_date&gt;2020-05-05&lt;/_date&gt;&lt;_issue&gt;05&lt;/_issue&gt;&lt;_journal&gt;电网技术&lt;/_journal&gt;&lt;_keywords&gt;交直流异步互联;换相失败;直流功率恢复速率;送端暂态稳定性&lt;/_keywords&gt;&lt;_pages&gt;1815-1825&lt;/_pages&gt;&lt;_url&gt;https://kns.cnki.net/kcms/detail/detail.aspx?FileName=DWJS202005026&amp;amp;DbName=DKFX2020&lt;/_url&gt;&lt;_volume&gt;44&lt;/_volume&gt;&lt;_created&gt;64779563&lt;/_created&gt;&lt;_modified&gt;64779563&lt;/_modified&gt;&lt;_db_updated&gt;CNKI - Reference&lt;/_db_updated&gt;&lt;_collection_scope&gt;CSCD;PKU;EI&lt;/_collection_scope&gt;&lt;_translated_author&gt;Wang, Zengping;Hu, Jiawei;Wang, Tong;Shi, Bonian&lt;/_translated_author&gt;&lt;/Details&gt;&lt;Extra&gt;&lt;DBUID&gt;{6891F4B0-DCBA-459A-9A22-3059983243D4}&lt;/DBUID&gt;&lt;/Extra&gt;&lt;/Item&gt;&lt;/References&gt;&lt;/Group&gt;&lt;/Citation&gt;_x000a_"/>
    <w:docVar w:name="NE.Ref{AD190F74-A5C3-4BD0-AA2A-54C22BB870DC}" w:val=" ADDIN NE.Ref.{AD190F74-A5C3-4BD0-AA2A-54C22BB870DC}&lt;Citation&gt;&lt;Group&gt;&lt;References&gt;&lt;Item&gt;&lt;ID&gt;878&lt;/ID&gt;&lt;UID&gt;{DC1E7F78-CD75-4EBB-87B5-4D033C7C062B}&lt;/UID&gt;&lt;Title&gt;Analytical Expression on Transient Overvoltage Peak Value of Converter Bus Caused by DC Faults&lt;/Title&gt;&lt;Template&gt;Journal Article&lt;/Template&gt;&lt;Star&gt;0&lt;/Star&gt;&lt;Tag&gt;0&lt;/Tag&gt;&lt;Author&gt;Yin, Chunya; Li, Fengting&lt;/Author&gt;&lt;Year&gt;2021&lt;/Year&gt;&lt;Details&gt;&lt;_accessed&gt;64646993&lt;/_accessed&gt;&lt;_alternate_title&gt;IEEE TRANSACTIONS ON POWER SYSTEMS&lt;/_alternate_title&gt;&lt;_author_adr&gt;Xinjiang Univ, Sch Elect Engn, Urumqi 830047, Peoples R China&lt;/_author_adr&gt;&lt;_cited_count&gt;7&lt;/_cited_count&gt;&lt;_collection_scope&gt;SCI;SCIE;EI&lt;/_collection_scope&gt;&lt;_created&gt;64646880&lt;/_created&gt;&lt;_date&gt;2021-01-01&lt;/_date&gt;&lt;_date_display&gt;2021&lt;/_date_display&gt;&lt;_db_updated&gt;Web of Science-Core&lt;/_db_updated&gt;&lt;_doi&gt;10.1109/TPWRS.2021.3062218&lt;/_doi&gt;&lt;_impact_factor&gt;   7.326&lt;/_impact_factor&gt;&lt;_issue&gt;3&lt;/_issue&gt;&lt;_journal&gt;IEEE TRANSACTIONS ON POWER SYSTEMS&lt;/_journal&gt;&lt;_keywords&gt;Voltage control; Transient analysis; Reactive power; Rectifiers; Inverters; Active filters; Power harmonic filters; DC blocking; commutation failure; transient overvoltage; HVDC&lt;/_keywords&gt;&lt;_modified&gt;64646993&lt;/_modified&gt;&lt;_pages&gt;2741-2744&lt;/_pages&gt;&lt;_url&gt;https://ieeexplore.ieee.org/stampPDF/getPDF.jsp?tp=&amp;amp;arnumber=9366344&amp;amp;ref=aHR0cHM6Ly9pZWVleHBsb3JlLmllZWUub3JnL3Jlc3Qvc2VhcmNo _x000d__x000a_&lt;/_url&gt;&lt;_volume&gt;36&lt;/_volume&gt;&lt;/Details&gt;&lt;Extra&gt;&lt;DBUID&gt;{6891F4B0-DCBA-459A-9A22-3059983243D4}&lt;/DBUID&gt;&lt;/Extra&gt;&lt;/Item&gt;&lt;/References&gt;&lt;/Group&gt;&lt;/Citation&gt;_x000a_"/>
    <w:docVar w:name="NE.Ref{AD6694C5-BA5A-477D-95DE-848040321062}" w:val=" ADDIN NE.Ref.{AD6694C5-BA5A-477D-95DE-848040321062}&lt;Citation&gt;&lt;Group&gt;&lt;References&gt;&lt;Item&gt;&lt;ID&gt;402&lt;/ID&gt;&lt;UID&gt;{4F3F88E2-C2E7-40D6-90B1-307645B54429}&lt;/UID&gt;&lt;Title&gt;Moth-flame optimization algorithm: A novel nature-inspired heuristic paradigm&lt;/Title&gt;&lt;Template&gt;Journal Article&lt;/Template&gt;&lt;Star&gt;0&lt;/Star&gt;&lt;Tag&gt;0&lt;/Tag&gt;&lt;Author&gt;Mirjalili, Seyedali&lt;/Author&gt;&lt;Year&gt;2015&lt;/Year&gt;&lt;Details&gt;&lt;_accession_num&gt;WOS:000364249800017_x000d__x000a_ER&lt;/_accession_num&gt;&lt;_cited_count&gt;836&lt;/_cited_count&gt;&lt;_collection_scope&gt;SCI;SCIE;EI&lt;/_collection_scope&gt;&lt;_created&gt;63641535&lt;/_created&gt;&lt;_date_display&gt;2015, NOV 2015&lt;/_date_display&gt;&lt;_db_provider&gt;ISI&lt;/_db_provider&gt;&lt;_doi&gt;10.1016/j.knosys.2015.07.006&lt;/_doi&gt;&lt;_impact_factor&gt;   5.921&lt;/_impact_factor&gt;&lt;_isbn&gt;0950-7051&lt;/_isbn&gt;&lt;_journal&gt;KNOWLEDGE-BASED SYSTEMS&lt;/_journal&gt;&lt;_modified&gt;63641535&lt;/_modified&gt;&lt;_pages&gt;228-249&lt;/_pages&gt;&lt;_url&gt;http://gateway.isiknowledge.com/gateway/Gateway.cgi?GWVersion=2&amp;amp;SrcAuth=AegeanSoftware&amp;amp;SrcApp=NoteExpress&amp;amp;DestLinkType=FullRecord&amp;amp;DestApp=WOS&amp;amp;KeyUT=000364249800017&lt;/_url&gt;&lt;_volume&gt;89&lt;/_volume&gt;&lt;/Details&gt;&lt;Extra&gt;&lt;DBUID&gt;{F96A950B-833F-4880-A151-76DA2D6A2879}&lt;/DBUID&gt;&lt;/Extra&gt;&lt;/Item&gt;&lt;/References&gt;&lt;/Group&gt;&lt;/Citation&gt;_x000a_"/>
    <w:docVar w:name="NE.Ref{AD8D64DF-615E-4DA6-962E-7A9D8B07DE7F}" w:val=" ADDIN NE.Ref.{AD8D64DF-615E-4DA6-962E-7A9D8B07DE7F}&lt;Citation&gt;&lt;Group&gt;&lt;References&gt;&lt;Item&gt;&lt;ID&gt;118&lt;/ID&gt;&lt;UID&gt;{57612B55-40DB-45B7-AB04-F1A907DBEF4F}&lt;/UID&gt;&lt;Title&gt;发输电系统鲁棒优化规划研究综述与展望&lt;/Title&gt;&lt;Template&gt;Journal Article&lt;/Template&gt;&lt;Star&gt;0&lt;/Star&gt;&lt;Tag&gt;0&lt;/Tag&gt;&lt;Author&gt;袁杨; 张衡; 程浩忠; 柳璐; 张啸虎; 励刚; 张建平&lt;/Author&gt;&lt;Year&gt;2022&lt;/Year&gt;&lt;Details&gt;&lt;_accessed&gt;64321065&lt;/_accessed&gt;&lt;_author_adr&gt;上海交通大学 电力传输与功率变换控制教育部重点实验室,上海 200240; 上海交通大学 电力传输与功率变换控制教育部重点实验室,上海 200240; 上海交通大学 电力传输与功率变换控制教育部重点实验室,上海 200240; 上海交通大学 电力传输与功率变换控制教育部重点实验室,上海 200240; 国家电网有限公司华东分部,上海 200120; 国家电网有限公司华东分部,上海 200120; 国家电网有限公司华东分部,上海 200120&lt;/_author_adr&gt;&lt;_author_aff&gt;上海交通大学 电力传输与功率变换控制教育部重点实验室,上海 200240; 上海交通大学 电力传输与功率变换控制教育部重点实验室,上海 200240; 上海交通大学 电力传输与功率变换控制教育部重点实验室,上海 200240; 上海交通大学 电力传输与功率变换控制教育部重点实验室,上海 200240; 国家电网有限公司华东分部,上海 200120; 国家电网有限公司华东分部,上海 200120; 国家电网有限公司华东分部,上海 200120&lt;/_author_aff&gt;&lt;_collection_scope&gt;CSCD;PKU;EI&lt;/_collection_scope&gt;&lt;_created&gt;64311133&lt;/_created&gt;&lt;_db_provider&gt;北京万方数据股份有限公司&lt;/_db_provider&gt;&lt;_db_updated&gt;Wanfangdata&lt;/_db_updated&gt;&lt;_doi&gt;10.16081/j.epae.202108014&lt;/_doi&gt;&lt;_isbn&gt;1006-6047&lt;/_isbn&gt;&lt;_issue&gt;1&lt;/_issue&gt;&lt;_journal&gt;电力自动化设备&lt;/_journal&gt;&lt;_keywords&gt;发输电系统;优化规划;不确定性;鲁棒优化;分布鲁棒优化&lt;/_keywords&gt;&lt;_language&gt;chi&lt;/_language&gt;&lt;_modified&gt;64320420&lt;/_modified&gt;&lt;_pages&gt;10-19,85&lt;/_pages&gt;&lt;_tertiary_title&gt;Electric Power Automation Equipment&lt;/_tertiary_title&gt;&lt;_translated_author&gt;Yang, YUAN; Heng, ZHANG; Haozhong, CHENG; Lu, LIU; Xiaohu, ZHANG; Gang, L I; Jianping, ZHANG&lt;/_translated_author&gt;&lt;_translated_title&gt;Review and prospect of robust optimization and planning research on generation and transmission system&lt;/_translated_title&gt;&lt;_url&gt;http://www.wanfangdata.com.cn/details/detail.do?_type=perio&amp;amp;id=dlzdhsb202201002&lt;/_url&gt;&lt;_volume&gt;42&lt;/_volume&gt;&lt;/Details&gt;&lt;Extra&gt;&lt;DBUID&gt;{560D5FFD-5A46-4EB8-859B-FD657304A42E}&lt;/DBUID&gt;&lt;/Extra&gt;&lt;/Item&gt;&lt;/References&gt;&lt;/Group&gt;&lt;/Citation&gt;_x000a_"/>
    <w:docVar w:name="NE.Ref{AE442F93-FD8D-4083-8B40-694F9A5D08B6}" w:val=" ADDIN NE.Ref.{AE442F93-FD8D-4083-8B40-694F9A5D08B6}&lt;Citation&gt;&lt;Group&gt;&lt;References&gt;&lt;Item&gt;&lt;ID&gt;102&lt;/ID&gt;&lt;UID&gt;{3C669069-0BD8-49D1-B447-0BC946E03C44}&lt;/UID&gt;&lt;Title&gt;计及风电消纳与发电集团利益的日前协调优化调度&lt;/Title&gt;&lt;Template&gt;Journal Article&lt;/Template&gt;&lt;Star&gt;0&lt;/Star&gt;&lt;Tag&gt;0&lt;/Tag&gt;&lt;Author&gt;麻秀范; 王戈; 朱思嘉; 余思雨&lt;/Author&gt;&lt;Year&gt;2021&lt;/Year&gt;&lt;Details&gt;&lt;_accessed&gt;64303960&lt;/_accessed&gt;&lt;_author_aff&gt;华北电力大学电气与电子工程学院;&lt;/_author_aff&gt;&lt;_cited_count&gt;8&lt;/_cited_count&gt;&lt;_collection_scope&gt;CSCD;PKU;EI&lt;/_collection_scope&gt;&lt;_created&gt;64303872&lt;/_created&gt;&lt;_date&gt;63332640&lt;/_date&gt;&lt;_db_updated&gt;CNKI - Reference&lt;/_db_updated&gt;&lt;_issue&gt;03&lt;/_issue&gt;&lt;_journal&gt;电工技术学报&lt;/_journal&gt;&lt;_keywords&gt;日前协调优化调度;风电消纳;深度调峰;负荷侧互动&lt;/_keywords&gt;&lt;_language&gt;Chinese&lt;/_language&gt;&lt;_modified&gt;64303959&lt;/_modified&gt;&lt;_pages&gt;579-587&lt;/_pages&gt;&lt;_url&gt;https://kns.cnki.net/kcms/detail/detail.aspx?FileName=DGJS202103014&amp;amp;DbName=CJFQ2021&lt;/_url&gt;&lt;_volume&gt;36&lt;/_volume&gt;&lt;_translated_author&gt;Ma, Xiufan;Wang, Ge;Zhu, Sijia;Yu, Siyu&lt;/_translated_author&gt;&lt;/Details&gt;&lt;Extra&gt;&lt;DBUID&gt;{560D5FFD-5A46-4EB8-859B-FD657304A42E}&lt;/DBUID&gt;&lt;/Extra&gt;&lt;/Item&gt;&lt;/References&gt;&lt;/Group&gt;&lt;/Citation&gt;_x000a_"/>
    <w:docVar w:name="NE.Ref{AE553681-CBB4-4328-8F5A-F6A98760EDA7}" w:val=" ADDIN NE.Ref.{AE553681-CBB4-4328-8F5A-F6A98760EDA7}&lt;Citation&gt;&lt;Group&gt;&lt;References&gt;&lt;Item&gt;&lt;ID&gt;418&lt;/ID&gt;&lt;UID&gt;{87F92879-D6EE-4ADF-9D0B-7FBAE6ECFFD9}&lt;/UID&gt;&lt;Title&gt;含风电场的多目标动态环境经济调度&lt;/Title&gt;&lt;Template&gt;Journal Article&lt;/Template&gt;&lt;Star&gt;0&lt;/Star&gt;&lt;Tag&gt;0&lt;/Tag&gt;&lt;Author&gt;朱永胜; 王杰; 瞿博阳; Suganthan, P N&lt;/Author&gt;&lt;Year&gt;2015&lt;/Year&gt;&lt;Details&gt;&lt;_author_adr&gt;郑州大学电气工程学院;中原工学院电子信息学院;南洋理工大学电机与电子工程学院;&lt;/_author_adr&gt;&lt;_collection_scope&gt;CSCD;PKU;EI&lt;/_collection_scope&gt;&lt;_created&gt;63642786&lt;/_created&gt;&lt;_db_provider&gt;CNKI&lt;/_db_provider&gt;&lt;_isbn&gt;1000-3673&lt;/_isbn&gt;&lt;_issue&gt;05&lt;/_issue&gt;&lt;_journal&gt;电网技术&lt;/_journal&gt;&lt;_keywords&gt;风电;动态环境经济调度;多目标进化算法;多目标优化&lt;/_keywords&gt;&lt;_modified&gt;63642786&lt;/_modified&gt;&lt;_pages&gt;1315-1322&lt;/_pages&gt;&lt;_volume&gt;39&lt;/_volume&gt;&lt;_translated_author&gt;Zhu, Yongsheng;Wang, Jie;Ju, Boyang;Suganthan, P. N.&lt;/_translated_author&gt;&lt;/Details&gt;&lt;Extra&gt;&lt;DBUID&gt;{F96A950B-833F-4880-A151-76DA2D6A2879}&lt;/DBUID&gt;&lt;/Extra&gt;&lt;/Item&gt;&lt;/References&gt;&lt;/Group&gt;&lt;/Citation&gt;_x000a_"/>
    <w:docVar w:name="NE.Ref{AE776421-CD94-4B5F-A5E1-791AB74ABDED}" w:val=" ADDIN NE.Ref.{AE776421-CD94-4B5F-A5E1-791AB74ABDED}&lt;Citation&gt;&lt;Group&gt;&lt;References&gt;&lt;Item&gt;&lt;ID&gt;507&lt;/ID&gt;&lt;UID&gt;{86E18AA4-DB19-43CA-9C18-72AE2673247D}&lt;/UID&gt;&lt;Title&gt;澳大利亚可再生能源配额制及对我国的启示&lt;/Title&gt;&lt;Template&gt;Journal Article&lt;/Template&gt;&lt;Star&gt;0&lt;/Star&gt;&lt;Tag&gt;0&lt;/Tag&gt;&lt;Author&gt;周少鹏; 谢旭轩; 任东明; 薛惠锋&lt;/Author&gt;&lt;Year&gt;2012&lt;/Year&gt;&lt;Details&gt;&lt;_author_adr&gt;中国航天710所社会系统工程实验室;西北工业大学资环所;国家发改委能源研究所;&lt;/_author_adr&gt;&lt;_created&gt;63654950&lt;/_created&gt;&lt;_db_provider&gt;CNKI&lt;/_db_provider&gt;&lt;_isbn&gt;1003-2355&lt;/_isbn&gt;&lt;_issue&gt;02&lt;/_issue&gt;&lt;_journal&gt;中国能源&lt;/_journal&gt;&lt;_keywords&gt;可再生能源;配额制;证书交易机制;澳大利亚&lt;/_keywords&gt;&lt;_modified&gt;63654950&lt;/_modified&gt;&lt;_pages&gt;29-33&lt;/_pages&gt;&lt;_volume&gt;34&lt;/_volume&gt;&lt;_translated_author&gt;Zhou, Shaopeng;Xie, Xuxuan;Ren, Dongming;Xue, Huifeng&lt;/_translated_author&gt;&lt;/Details&gt;&lt;Extra&gt;&lt;DBUID&gt;{F96A950B-833F-4880-A151-76DA2D6A2879}&lt;/DBUID&gt;&lt;/Extra&gt;&lt;/Item&gt;&lt;/References&gt;&lt;/Group&gt;&lt;/Citation&gt;_x000a_"/>
    <w:docVar w:name="NE.Ref{AE9B1122-4CC9-4B97-8204-30AB6D444F01}" w:val=" ADDIN NE.Ref.{AE9B1122-4CC9-4B97-8204-30AB6D444F01}&lt;Citation&gt;&lt;Group&gt;&lt;References&gt;&lt;Item&gt;&lt;ID&gt;637&lt;/ID&gt;&lt;UID&gt;{5C6715DB-A004-4FA6-9C86-2D8386336C55}&lt;/UID&gt;&lt;Title&gt;考虑分时电价的风光储联合“削峰”优化调度模型&lt;/Title&gt;&lt;Template&gt;Journal Article&lt;/Template&gt;&lt;Star&gt;0&lt;/Star&gt;&lt;Tag&gt;0&lt;/Tag&gt;&lt;Author&gt;杨晓萍; 刘浩杰; 黄强&lt;/Author&gt;&lt;Year&gt;2018&lt;/Year&gt;&lt;Details&gt;&lt;_author_adr&gt;西安理工大学水利水电学院;&lt;/_author_adr&gt;&lt;_db_provider&gt;CNKI&lt;/_db_provider&gt;&lt;_isbn&gt;0254-0096&lt;/_isbn&gt;&lt;_issue&gt;06&lt;/_issue&gt;&lt;_journal&gt;太阳能学报&lt;/_journal&gt;&lt;_keywords&gt;优化调度模型;多目标粒子群算法;风力、光伏发电;峰谷分时电价;钠硫电池储能系统&lt;/_keywords&gt;&lt;_pages&gt;1752-1760&lt;/_pages&gt;&lt;_volume&gt;39&lt;/_volume&gt;&lt;_created&gt;63705565&lt;/_created&gt;&lt;_modified&gt;63705565&lt;/_modified&gt;&lt;_collection_scope&gt;CSCD;PKU;EI&lt;/_collection_scope&gt;&lt;_translated_author&gt;Yang, Xiaoping;Liu, Haojie;Huang, Qiang&lt;/_translated_author&gt;&lt;/Details&gt;&lt;Extra&gt;&lt;DBUID&gt;{F96A950B-833F-4880-A151-76DA2D6A2879}&lt;/DBUID&gt;&lt;/Extra&gt;&lt;/Item&gt;&lt;/References&gt;&lt;/Group&gt;&lt;/Citation&gt;_x000a_"/>
    <w:docVar w:name="NE.Ref{AEA3CE18-2CF0-4B90-B378-AFC955C0D902}" w:val=" ADDIN NE.Ref.{AEA3CE18-2CF0-4B90-B378-AFC955C0D902}&lt;Citation&gt;&lt;Group&gt;&lt;References&gt;&lt;Item&gt;&lt;ID&gt;657&lt;/ID&gt;&lt;UID&gt;{7C781F13-0558-4108-9D13-130B40CAEC23}&lt;/UID&gt;&lt;Title&gt;基于正余弦分量检测的高压直流换相失败预防方法&lt;/Title&gt;&lt;Template&gt;Journal Article&lt;/Template&gt;&lt;Star&gt;0&lt;/Star&gt;&lt;Tag&gt;0&lt;/Tag&gt;&lt;Author&gt;陈树勇; 李新年; 余军; 李涛; 吕鹏飞; 印永华&lt;/Author&gt;&lt;Year&gt;2005&lt;/Year&gt;&lt;Details&gt;&lt;_accessed&gt;63444722&lt;/_accessed&gt;&lt;_accession_num&gt;CSCD:2109837_x000d__x000a_ER&lt;/_accession_num&gt;&lt;_cited_count&gt;4&lt;/_cited_count&gt;&lt;_collection_scope&gt;CSCD;PKU;EI&lt;/_collection_scope&gt;&lt;_created&gt;63444588&lt;/_created&gt;&lt;_date_display&gt;2005, 2005&lt;/_date_display&gt;&lt;_db_provider&gt;ISI&lt;/_db_provider&gt;&lt;_isbn&gt;0258-8013&lt;/_isbn&gt;&lt;_issue&gt;0258-8013(2005)25:14&amp;lt;1:JYZTXF&amp;gt;2.0.TX;2-D14&lt;/_issue&gt;&lt;_journal&gt;中国电机工程学报&lt;/_journal&gt;&lt;_modified&gt;63444723&lt;/_modified&gt;&lt;_pages&gt;1-6&lt;/_pages&gt;&lt;_tertiary_title&gt;Proceedings of the Chinese Society of Electrical Engineering&lt;/_tertiary_title&gt;&lt;_translated_author&gt;Chen, Shuyong; Li, Xinnian; Yu, Jun; Li, Tao; Lv, Pengfei; Yin, Yonghua&lt;/_translated_author&gt;&lt;_translated_title&gt;A METHOD BASED ON THE SIN-COS COMPONENTS DETECTION MITIGATES COMMUTATION FAILURE IN HVDC &lt;/_translated_title&gt;&lt;_url&gt;CSCD:2109837 _x000d__x000a_https://kns.cnki.net/kns/download.aspx?filename=MFjMqtWb0EzdjBVaCBVRCBTOth1cURUWrVlYiRDN08Cdn9CRz00MLdTQNNFZspUdQpUU5UHbxJ0bSdUZyBlehNHeXJ1cGVEaWFXO2g2UYdEMoFldIp0bpJzZjJzb1JHMSJ1N0Fkd19mZ4ETT5YEUwklWNJXNGl3R&amp;amp;tablename=CJFD2005&amp;amp;dflag=pdfdown _x000d__x000a_&lt;/_url&gt;&lt;_volume&gt;25&lt;/_volume&gt;&lt;/Details&gt;&lt;Extra&gt;&lt;DBUID&gt;{6891F4B0-DCBA-459A-9A22-3059983243D4}&lt;/DBUID&gt;&lt;/Extra&gt;&lt;/Item&gt;&lt;/References&gt;&lt;/Group&gt;&lt;/Citation&gt;_x000a_"/>
    <w:docVar w:name="NE.Ref{AF3FACCC-25BB-4D76-8B13-F654134B15DB}" w:val=" ADDIN NE.Ref.{AF3FACCC-25BB-4D76-8B13-F654134B15DB}&lt;Citation&gt;&lt;Group&gt;&lt;References&gt;&lt;Item&gt;&lt;ID&gt;506&lt;/ID&gt;&lt;UID&gt;{F314D980-0DE1-4791-8F52-07056AFA3322}&lt;/UID&gt;&lt;Title&gt;可再生能源配额制下的短期发电计划研究&lt;/Title&gt;&lt;Template&gt;Thesis&lt;/Template&gt;&lt;Star&gt;0&lt;/Star&gt;&lt;Tag&gt;0&lt;/Tag&gt;&lt;Author&gt;张娜娜&lt;/Author&gt;&lt;Year&gt;2014&lt;/Year&gt;&lt;Details&gt;&lt;_created&gt;63654918&lt;/_created&gt;&lt;_db_provider&gt;CNKI&lt;/_db_provider&gt;&lt;_keywords&gt;可再生能源配额制;风电有序发电计划;短期发电计划;风电调度因子;配额交易机制&lt;/_keywords&gt;&lt;_modified&gt;63654918&lt;/_modified&gt;&lt;_publisher&gt;上海交通大学&lt;/_publisher&gt;&lt;_tertiary_author&gt;严正&lt;/_tertiary_author&gt;&lt;_type_work&gt;硕士&lt;/_type_work&gt;&lt;_translated_author&gt;Zhang, Nana&lt;/_translated_author&gt;&lt;_translated_tertiary_author&gt;Yan, Zheng&lt;/_translated_tertiary_author&gt;&lt;/Details&gt;&lt;Extra&gt;&lt;DBUID&gt;{F96A950B-833F-4880-A151-76DA2D6A2879}&lt;/DBUID&gt;&lt;/Extra&gt;&lt;/Item&gt;&lt;/References&gt;&lt;/Group&gt;&lt;/Citation&gt;_x000a_"/>
    <w:docVar w:name="NE.Ref{B06E1CCC-E877-4718-9A89-C9F248E15CBC}" w:val=" ADDIN NE.Ref.{B06E1CCC-E877-4718-9A89-C9F248E15CBC}&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collection_scope&gt;CSCD;PKU;EI&lt;/_collection_scope&gt;&lt;_created&gt;63648575&lt;/_created&gt;&lt;_db_provider&gt;CNKI&lt;/_db_provider&gt;&lt;_isbn&gt;1000-3673&lt;/_isbn&gt;&lt;_issue&gt;03&lt;/_issue&gt;&lt;_journal&gt;电网技术&lt;/_journal&gt;&lt;_keywords&gt;售电公司;虚拟电厂;双层规划;NSGA-Ⅱ算法;混合整数二阶锥规划&lt;/_keywords&gt;&lt;_modified&gt;63648575&lt;/_modified&gt;&lt;_pages&gt;952-961&lt;/_pages&gt;&lt;_volume&gt;43&lt;/_volume&gt;&lt;_translated_author&gt;Zhang, Tao;Wang, Cheng;Wang, Lingyun;Zhang, Dongfang;Zhang, Jiaying&lt;/_translated_author&gt;&lt;/Details&gt;&lt;Extra&gt;&lt;DBUID&gt;{F96A950B-833F-4880-A151-76DA2D6A2879}&lt;/DBUID&gt;&lt;/Extra&gt;&lt;/Item&gt;&lt;/References&gt;&lt;/Group&gt;&lt;Group&gt;&lt;References&gt;&lt;Item&gt;&lt;ID&gt;496&lt;/ID&gt;&lt;UID&gt;{58A602CD-A8CE-4C8B-B8D7-CEB5ABE37754}&lt;/UID&gt;&lt;Title&gt;虚拟电厂参与的交直流混合微网双层多目标鲁棒优化调度&lt;/Title&gt;&lt;Template&gt;Journal Article&lt;/Template&gt;&lt;Star&gt;0&lt;/Star&gt;&lt;Tag&gt;0&lt;/Tag&gt;&lt;Author&gt;李笑竹; 王维庆; 王海云; 武家辉; 徐其丹; 崔翔&lt;/Author&gt;&lt;Year&gt;2020&lt;/Year&gt;&lt;Details&gt;&lt;_author_adr&gt;新疆大学可再生能源发电与并网技术教育部工程研究中心;国网新疆电力有限公司经济技术研究院;&lt;/_author_adr&gt;&lt;_collection_scope&gt;CSCD;PKU;EI&lt;/_collection_scope&gt;&lt;_created&gt;63651893&lt;/_created&gt;&lt;_db_provider&gt;CNKI&lt;/_db_provider&gt;&lt;_isbn&gt;1003-6520&lt;/_isbn&gt;&lt;_issue&gt;07&lt;/_issue&gt;&lt;_journal&gt;高电压技术&lt;/_journal&gt;&lt;_keywords&gt;交直流混合微网;虚拟电厂;鲁棒优化;能量管理;多目标优化&lt;/_keywords&gt;&lt;_modified&gt;63651893&lt;/_modified&gt;&lt;_pages&gt;2350-2361&lt;/_pages&gt;&lt;_volume&gt;46&lt;/_volume&gt;&lt;_translated_author&gt;Li, Xiaozhu;Wang, Weiqing;Wang, Haiyun;Wu, Jiahui;Xu, Qidan;Cui, Xiang&lt;/_translated_author&gt;&lt;/Details&gt;&lt;Extra&gt;&lt;DBUID&gt;{F96A950B-833F-4880-A151-76DA2D6A2879}&lt;/DBUID&gt;&lt;/Extra&gt;&lt;/Item&gt;&lt;/References&gt;&lt;/Group&gt;&lt;/Citation&gt;_x000a_"/>
    <w:docVar w:name="NE.Ref{B0906D76-416F-4C42-B068-F2E22642617D}" w:val=" ADDIN NE.Ref.{B0906D76-416F-4C42-B068-F2E22642617D}&lt;Citation&gt;&lt;Group&gt;&lt;References&gt;&lt;Item&gt;&lt;ID&gt;404&lt;/ID&gt;&lt;UID&gt;{ACDBF7D3-CC64-4499-AAE9-DBE5FBAF156D}&lt;/UID&gt;&lt;Title&gt;Ranging patterns of hamadryas baboons: random walk analyses&lt;/Title&gt;&lt;Template&gt;Journal Article&lt;/Template&gt;&lt;Star&gt;0&lt;/Star&gt;&lt;Tag&gt;0&lt;/Tag&gt;&lt;Author&gt;Schreier, Amy L; Grove, Matt&lt;/Author&gt;&lt;Year&gt;2010&lt;/Year&gt;&lt;Details&gt;&lt;_accession_num&gt;WOS:000279153100011_x000d__x000a_ER&lt;/_accession_num&gt;&lt;_cited_count&gt;28&lt;/_cited_count&gt;&lt;_collection_scope&gt;SCI;SCIE&lt;/_collection_scope&gt;&lt;_created&gt;63641725&lt;/_created&gt;&lt;_date_display&gt;2010, JUL 2010&lt;/_date_display&gt;&lt;_db_provider&gt;ISI&lt;/_db_provider&gt;&lt;_doi&gt;10.1016/j.anbehav.2010.04.002&lt;/_doi&gt;&lt;_impact_factor&gt;   2.689&lt;/_impact_factor&gt;&lt;_isbn&gt;0003-3472&lt;/_isbn&gt;&lt;_issue&gt;1&lt;/_issue&gt;&lt;_journal&gt;ANIMAL BEHAVIOUR&lt;/_journal&gt;&lt;_modified&gt;63641725&lt;/_modified&gt;&lt;_pages&gt;75-87&lt;/_pages&gt;&lt;_url&gt;http://gateway.isiknowledge.com/gateway/Gateway.cgi?GWVersion=2&amp;amp;SrcAuth=AegeanSoftware&amp;amp;SrcApp=NoteExpress&amp;amp;DestLinkType=FullRecord&amp;amp;DestApp=WOS&amp;amp;KeyUT=000279153100011&lt;/_url&gt;&lt;_volume&gt;80&lt;/_volume&gt;&lt;/Details&gt;&lt;Extra&gt;&lt;DBUID&gt;{F96A950B-833F-4880-A151-76DA2D6A2879}&lt;/DBUID&gt;&lt;/Extra&gt;&lt;/Item&gt;&lt;/References&gt;&lt;/Group&gt;&lt;/Citation&gt;_x000a_"/>
    <w:docVar w:name="NE.Ref{B1AFE904-221D-4F7D-8A4B-552C007D51A9}" w:val=" ADDIN NE.Ref.{B1AFE904-221D-4F7D-8A4B-552C007D51A9}&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B1D7F458-E80C-4C3E-A62D-5AF096FBBDC8}" w:val=" ADDIN NE.Ref.{B1D7F458-E80C-4C3E-A62D-5AF096FBBDC8}&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B2180396-1911-4DFD-96EC-BB74A517BF9F}" w:val=" ADDIN NE.Ref.{B2180396-1911-4DFD-96EC-BB74A517BF9F}&lt;Citation&gt;&lt;Group&gt;&lt;References&gt;&lt;Item&gt;&lt;ID&gt;645&lt;/ID&gt;&lt;UID&gt;{22D85A44-55E4-4810-97C9-8147BA5EE5CB}&lt;/UID&gt;&lt;Title&gt;Integrating emerging and existing renewable energy technologies into a community-scale microgrid in an energy-water nexus for resilience improvement&lt;/Title&gt;&lt;Template&gt;Journal Article&lt;/Template&gt;&lt;Star&gt;0&lt;/Star&gt;&lt;Tag&gt;0&lt;/Tag&gt;&lt;Author&gt;A, Wei Zhang; A, Andrea Valencia; B, Lixing Gu; C, Qipeng P Zheng; A, Ni Bin Chang&lt;/Author&gt;&lt;Year&gt;0&lt;/Year&gt;&lt;Details&gt;&lt;_journal&gt;Applied Energy&lt;/_journal&gt;&lt;_volume&gt;279&lt;/_volume&gt;&lt;_created&gt;63705608&lt;/_created&gt;&lt;_modified&gt;63705608&lt;/_modified&gt;&lt;_collection_scope&gt;SCI;SCIE;EI&lt;/_collection_scope&gt;&lt;/Details&gt;&lt;Extra&gt;&lt;DBUID&gt;{F96A950B-833F-4880-A151-76DA2D6A2879}&lt;/DBUID&gt;&lt;/Extra&gt;&lt;/Item&gt;&lt;/References&gt;&lt;/Group&gt;&lt;/Citation&gt;_x000a_"/>
    <w:docVar w:name="NE.Ref{B2A32C4F-5EA8-4BFE-9FDA-CB05234DE665}" w:val=" ADDIN NE.Ref.{B2A32C4F-5EA8-4BFE-9FDA-CB05234DE665}&lt;Citation&gt;&lt;Group&gt;&lt;References&gt;&lt;Item&gt;&lt;ID&gt;550&lt;/ID&gt;&lt;UID&gt;{16EE791D-43A5-4823-9547-7D670714BF5F}&lt;/UID&gt;&lt;Title&gt;风火打捆直流外送系统直流故障引发风机脱网的问题研究&lt;/Title&gt;&lt;Template&gt;Journal Article&lt;/Template&gt;&lt;Star&gt;0&lt;/Star&gt;&lt;Tag&gt;0&lt;/Tag&gt;&lt;Author&gt;屠竞哲; 张健; 刘明松; 易俊; 贺庆; 罗煦之; 马士聪; 卜广全&lt;/Author&gt;&lt;Year&gt;2015&lt;/Year&gt;&lt;Details&gt;&lt;_accessed&gt;64647194&lt;/_accessed&gt;&lt;_accession_num&gt;CSCD:5596675_x000d__x000a_ER&lt;/_accession_num&gt;&lt;_cited_count&gt;7&lt;/_cited_count&gt;&lt;_collection_scope&gt;CSCD;PKU;EI&lt;/_collection_scope&gt;&lt;_created&gt;63444588&lt;/_created&gt;&lt;_date_display&gt;2015, 2015&lt;/_date_display&gt;&lt;_db_provider&gt;ISI&lt;/_db_provider&gt;&lt;_isbn&gt;1000-3673&lt;/_isbn&gt;&lt;_issue&gt;1000-3673(2015)39:12&amp;lt;3333:FHDHZL&amp;gt;2.0.TX;2-212&lt;/_issue&gt;&lt;_journal&gt;电网技术&lt;/_journal&gt;&lt;_modified&gt;64646881&lt;/_modified&gt;&lt;_pages&gt;3333-3338&lt;/_pages&gt;&lt;_tertiary_title&gt;Power System Technology&lt;/_tertiary_title&gt;&lt;_translated_author&gt;Tu, Jingzhe; Zhang, Jian; Liu, Mingsong; Yi, Jun; He, Qing; Luo, Xuzhi; Ma, Shicong; Bu, Guangquan&lt;/_translated_author&gt;&lt;_translated_title&gt;Study on Wind Turbine Generators Tripping Caused by HVDC Contingencies of Wind-Thermal-Bundled HVDC Transmission Systems&lt;/_translated_title&gt;&lt;_url&gt;CSCD:5596675 _x000d__x000a_https://bar.cnki.net/bar/download/order?id=jBGETXBNdPImvx70aLAuJPYxPoFw%2bp%2bi0fIiSrcN6lUBHinDtT5%2fFRKEpY6CQFMZu0Y9cJyaeMzChUwbF%2bvmtKZkLkctbazBAH%2br8YgpNUDl8E%2bCUVp5GtDTYhVF2dNUoJeGx62Ssygg68TNXJ%2b5JrigejDAar8Xqw%2f6WR22OFXUdUGh4At8VBYSvh%2fCUD5aJfs2EQEJdGTeUir9TxT530%2bLjlyYIu7nH8eknR%2fJ7rL5LXYX1qwFXwOc1HUZT%2bTB _x000d__x000a_&lt;/_url&gt;&lt;_volume&gt;39&lt;/_volume&gt;&lt;/Details&gt;&lt;Extra&gt;&lt;DBUID&gt;{6891F4B0-DCBA-459A-9A22-3059983243D4}&lt;/DBUID&gt;&lt;/Extra&gt;&lt;/Item&gt;&lt;/References&gt;&lt;/Group&gt;&lt;/Citation&gt;_x000a_"/>
    <w:docVar w:name="NE.Ref{B3CB7484-BA09-4FEE-96B1-D7671A0ADFF8}" w:val=" ADDIN NE.Ref.{B3CB7484-BA09-4FEE-96B1-D7671A0ADFF8}&lt;Citation&gt;&lt;Group&gt;&lt;References&gt;&lt;Item&gt;&lt;ID&gt;420&lt;/ID&gt;&lt;UID&gt;{0DFFF2BE-0969-4DD8-9FF6-FB7130A80F19}&lt;/UID&gt;&lt;Title&gt;Multiobjective economic-environmental power dispatch with stochastic wind-solar-small hydro power&lt;/Title&gt;&lt;Template&gt;Journal Article&lt;/Template&gt;&lt;Star&gt;0&lt;/Star&gt;&lt;Tag&gt;0&lt;/Tag&gt;&lt;Author&gt;Biswas, Partha P; Suganthan, P N; Qu, B Y; Amaratunga, Gehan A J&lt;/Author&gt;&lt;Year&gt;2018&lt;/Year&gt;&lt;Details&gt;&lt;_accession_num&gt;WOS:000431748400083_x000d__x000a_ER&lt;/_accession_num&gt;&lt;_cited_count&gt;42&lt;/_cited_count&gt;&lt;_collection_scope&gt;SCI;SCIE;EI&lt;/_collection_scope&gt;&lt;_created&gt;63643532&lt;/_created&gt;&lt;_date_display&gt;2018, MAY 1 2018&lt;/_date_display&gt;&lt;_db_provider&gt;ISI&lt;/_db_provider&gt;&lt;_doi&gt;10.1016/j.energy.2018.03.002&lt;/_doi&gt;&lt;_impact_factor&gt;   6.082&lt;/_impact_factor&gt;&lt;_isbn&gt;0360-5442&lt;/_isbn&gt;&lt;_journal&gt;ENERGY&lt;/_journal&gt;&lt;_modified&gt;63643532&lt;/_modified&gt;&lt;_pages&gt;1039-1057&lt;/_pages&gt;&lt;_url&gt;http://gateway.isiknowledge.com/gateway/Gateway.cgi?GWVersion=2&amp;amp;SrcAuth=AegeanSoftware&amp;amp;SrcApp=NoteExpress&amp;amp;DestLinkType=FullRecord&amp;amp;DestApp=WOS&amp;amp;KeyUT=000431748400083&lt;/_url&gt;&lt;_volume&gt;150&lt;/_volume&gt;&lt;/Details&gt;&lt;Extra&gt;&lt;DBUID&gt;{F96A950B-833F-4880-A151-76DA2D6A2879}&lt;/DBUID&gt;&lt;/Extra&gt;&lt;/Item&gt;&lt;/References&gt;&lt;/Group&gt;&lt;/Citation&gt;_x000a_"/>
    <w:docVar w:name="NE.Ref{B3F00F1A-743C-439C-B428-EB27E15DF2ED}" w:val=" ADDIN NE.Ref.{B3F00F1A-743C-439C-B428-EB27E15DF2ED}&lt;Citation&gt;&lt;Group&gt;&lt;References&gt;&lt;Item&gt;&lt;ID&gt;421&lt;/ID&gt;&lt;UID&gt;{08ECBA8D-1FBE-4D81-A4D5-180B87BDA22A}&lt;/UID&gt;&lt;Title&gt;Integration of renewable energy sources in dynamic economic load dispatch problem using an improved fireworks algorithm&lt;/Title&gt;&lt;Template&gt;Journal Article&lt;/Template&gt;&lt;Star&gt;0&lt;/Star&gt;&lt;Tag&gt;0&lt;/Tag&gt;&lt;Author&gt;Kumar, Jadoun Vinay; Chandra, Pandey Vipin; Nikhil, Gupta; Rehman, Niazi Khaleequr; Anil, Swarnkar&lt;/Author&gt;&lt;Year&gt;2018&lt;/Year&gt;&lt;Details&gt;&lt;_collection_scope&gt;SCIE;EI&lt;/_collection_scope&gt;&lt;_created&gt;63643533&lt;/_created&gt;&lt;_impact_factor&gt;   3.894&lt;/_impact_factor&gt;&lt;_issue&gt;9&lt;/_issue&gt;&lt;_journal&gt;Iet Renewable Power Generation&lt;/_journal&gt;&lt;_modified&gt;63643533&lt;/_modified&gt;&lt;_pages&gt;1004-1011&lt;/_pages&gt;&lt;_volume&gt;12&lt;/_volume&gt;&lt;/Details&gt;&lt;Extra&gt;&lt;DBUID&gt;{F96A950B-833F-4880-A151-76DA2D6A2879}&lt;/DBUID&gt;&lt;/Extra&gt;&lt;/Item&gt;&lt;/References&gt;&lt;/Group&gt;&lt;/Citation&gt;_x000a_"/>
    <w:docVar w:name="NE.Ref{B4B3455A-5CE1-46EB-9062-24F6E1F2FF38}" w:val=" ADDIN NE.Ref.{B4B3455A-5CE1-46EB-9062-24F6E1F2FF38}&lt;Citation&gt;&lt;Group&gt;&lt;References&gt;&lt;Item&gt;&lt;ID&gt;670&lt;/ID&gt;&lt;UID&gt;{792F2F3C-BA91-47BE-BFBA-9981BF6B5EF3}&lt;/UID&gt;&lt;Title&gt;Research on methods of measuring extinction angle and measures to suppress repetitive commutation failures through equivalent DC input resistance&lt;/Title&gt;&lt;Template&gt;Journal Article&lt;/Template&gt;&lt;Star&gt;0&lt;/Star&gt;&lt;Tag&gt;0&lt;/Tag&gt;&lt;Author&gt;Liu, B; Chen, Z; Yang, S H; Lu, C; Deng, X H; Wang, R S&lt;/Author&gt;&lt;Year&gt;2021&lt;/Year&gt;&lt;Details&gt;&lt;_accessed&gt;64494512&lt;/_accessed&gt;&lt;_alternate_title&gt;INTERNATIONAL JOURNAL OF ELECTRICAL POWER &amp;amp; ENERGY SYSTEMS&lt;/_alternate_title&gt;&lt;_author_adr&gt;Southeast Univ, Sch Elect Engn, Nanjing 210096, Peoples R China&lt;/_author_adr&gt;&lt;_cited_count&gt;2&lt;/_cited_count&gt;&lt;_collection_scope&gt;SCIE;EI&lt;/_collection_scope&gt;&lt;_created&gt;64493973&lt;/_created&gt;&lt;_date&gt;2021-01-01&lt;/_date&gt;&lt;_date_display&gt;2021&lt;/_date_display&gt;&lt;_db_updated&gt;Web of Science-Core&lt;/_db_updated&gt;&lt;_doi&gt;10.1016/j.ijepes.2021.107326&lt;/_doi&gt;&lt;_impact_factor&gt;   5.659&lt;/_impact_factor&gt;&lt;_journal&gt;INTERNATIONAL JOURNAL OF ELECTRICAL POWER &amp;amp; ENERGY SYSTEMS&lt;/_journal&gt;&lt;_keywords&gt;HVDC; Commutation failure; Equivalent DC input resistance; Constant equivalent DC input resistance method; VDCOL&lt;/_keywords&gt;&lt;_modified&gt;64494512&lt;/_modified&gt;&lt;_volume&gt;133&lt;/_volume&gt;&lt;/Details&gt;&lt;Extra&gt;&lt;DBUID&gt;{F96A950B-833F-4880-A151-76DA2D6A2879}&lt;/DBUID&gt;&lt;/Extra&gt;&lt;/Item&gt;&lt;/References&gt;&lt;/Group&gt;&lt;/Citation&gt;_x000a_"/>
    <w:docVar w:name="NE.Ref{B5211509-2030-4081-9ADA-E35BEF8AF55D}" w:val=" ADDIN NE.Ref.{B5211509-2030-4081-9ADA-E35BEF8AF55D}&lt;Citation&gt;&lt;Group&gt;&lt;References&gt;&lt;Item&gt;&lt;ID&gt;1017&lt;/ID&gt;&lt;UID&gt;{DECEAD80-6B3D-4D97-B176-3611A80F1F6D}&lt;/UID&gt;&lt;Title&gt;基于短路比指标的风电汇集系统稳定性分析&lt;/Title&gt;&lt;Template&gt;Journal Article&lt;/Template&gt;&lt;Star&gt;0&lt;/Star&gt;&lt;Tag&gt;0&lt;/Tag&gt;&lt;Author&gt;吴林林; 李蕴红; 于思奇; 孙雅旻; 王潇; 杨艳晨; 邓晓洋; 苏田宇; 孙大卫&lt;/Author&gt;&lt;Year&gt;2022&lt;/Year&gt;&lt;Details&gt;&lt;_author_aff&gt;国网冀北电力科学研究院国家电网公司风光储联合发电运行技术实验室;&lt;/_author_aff&gt;&lt;_date&gt;2022-04-13&lt;/_date&gt;&lt;_issue&gt;08&lt;/_issue&gt;&lt;_journal&gt;电力自动化设备&lt;/_journal&gt;&lt;_keywords&gt;风电;短路比;静态电压稳定;暂态过电压;宽频振荡;故障穿越&lt;/_keywords&gt;&lt;_pages&gt;72-78&lt;/_pages&gt;&lt;_url&gt;https://kns.cnki.net/kcms/detail/detail.aspx?FileName=DLZS202208009&amp;amp;DbName=CJFQ2022 _x000d__x000a_https://bar.cnki.net/bar/download/order?id=jBGETXBNdPImvx70aLAuJPYxPoFw%2bp%2bi0fIiSrcN6lXSmGzH5H%2bTCiS0uUjLGVjQsshnTQdlzf0o9Rxczx2nOp0PLIIoFLYwy5BgUEfsTyzl8E%2bCUVp5GtDTYhVF2dNUoJeGx62Ssygg68TNXJ%2b5JrigejDAar8Xqw%2f6WR22OFXUdUGh4At8VBYSvh%2fCUD5a8qJ9zgaTk1L5fn9x16E3cVLObiAHKqW%2baPUfaBEjLr35LXYX1qwFXwOc1HUZT%2bTB _x000d__x000a_&lt;/_url&gt;&lt;_volume&gt;42&lt;/_volume&gt;&lt;_created&gt;64779747&lt;/_created&gt;&lt;_modified&gt;64779748&lt;/_modified&gt;&lt;_db_updated&gt;CNKI - Reference&lt;/_db_updated&gt;&lt;_collection_scope&gt;CSCD;PKU;EI&lt;/_collection_scope&gt;&lt;_translated_author&gt;Wu, Linlin;Li, Yunhong;Yu, Siqi;Sun, Yamin;Wang, Xiao;Yang, Yanchen;Deng, Xiaoyang;Su, Tianyu;Sun, Dawei&lt;/_translated_author&gt;&lt;/Details&gt;&lt;Extra&gt;&lt;DBUID&gt;{6891F4B0-DCBA-459A-9A22-3059983243D4}&lt;/DBUID&gt;&lt;/Extra&gt;&lt;/Item&gt;&lt;/References&gt;&lt;/Group&gt;&lt;/Citation&gt;_x000a_"/>
    <w:docVar w:name="NE.Ref{B6754A69-EDE7-4861-ADFB-69293ADE4BDA}" w:val=" ADDIN NE.Ref.{B6754A69-EDE7-4861-ADFB-69293ADE4BDA}&lt;Citation&gt;&lt;Group&gt;&lt;References&gt;&lt;Item&gt;&lt;ID&gt;536&lt;/ID&gt;&lt;UID&gt;{4CC7AF0A-1202-481F-B3E5-223E3C1D6B55}&lt;/UID&gt;&lt;Title&gt;大规模特高压交直流混联电网特性分析与运行控制&lt;/Title&gt;&lt;Template&gt;Journal Article&lt;/Template&gt;&lt;Star&gt;0&lt;/Star&gt;&lt;Tag&gt;5&lt;/Tag&gt;&lt;Author&gt;李明节&lt;/Author&gt;&lt;Year&gt;2016&lt;/Year&gt;&lt;Details&gt;&lt;_accessed&gt;63726861&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电网技术&lt;/_journal&gt;&lt;_modified&gt;63726866&lt;/_modified&gt;&lt;_pages&gt;985-991&lt;/_pages&gt;&lt;_tertiary_title&gt;Power System Technology&lt;/_tertiary_title&gt;&lt;_translated_author&gt;Li, Mingjie&lt;/_translated_author&gt;&lt;_translated_title&gt;Characteristic Analysis and Operational Control of Large-Scale Hybrid UHV AC/DC Power Grids &lt;/_translated_title&gt;&lt;_url&gt;CSCD:5679313 _x000d__x000a_https://kns.cnki.net/kcms/download.aspx?filename=zEUOKFGNGtSMGZzK6FlaNVXOyI2bsdFSt5kYoFFMtJzU2t0Y0wUTGdHVnFTd4YDZ2MUaxhVdONFdnhVaaNXWUF2VFxUN510SilnajJXd0lWWZdERppXR4djTzNXbFtUMQl1bwlFea9SS1FUbF52RthWTm9kUL5US&amp;amp;tablename=CJFDLAST2016&amp;amp;dflag=pdfdown _x000d__x000a_&lt;/_url&gt;&lt;_volume&gt;40&lt;/_volume&gt;&lt;/Details&gt;&lt;Extra&gt;&lt;DBUID&gt;{6891F4B0-DCBA-459A-9A22-3059983243D4}&lt;/DBUID&gt;&lt;/Extra&gt;&lt;/Item&gt;&lt;/References&gt;&lt;/Group&gt;&lt;/Citation&gt;_x000a_"/>
    <w:docVar w:name="NE.Ref{B71054B6-02C5-4155-B0B8-58194CA1D090}" w:val=" ADDIN NE.Ref.{B71054B6-02C5-4155-B0B8-58194CA1D090}&lt;Citation&gt;&lt;Group&gt;&lt;References&gt;&lt;Item&gt;&lt;ID&gt;536&lt;/ID&gt;&lt;UID&gt;{4CC7AF0A-1202-481F-B3E5-223E3C1D6B55}&lt;/UID&gt;&lt;Title&gt;Characteristic Analysis and Operational Control of Large-Scale Hybrid UHV AC/DC Power Grids &lt;/Title&gt;&lt;Template&gt;Journal Article&lt;/Template&gt;&lt;Star&gt;0&lt;/Star&gt;&lt;Tag&gt;0&lt;/Tag&gt;&lt;Author&gt;Li, Mingjie&lt;/Author&gt;&lt;Year&gt;2016&lt;/Year&gt;&lt;Details&gt;&lt;_accessed&gt;63459177&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 Power System Technology&lt;/_journal&gt;&lt;_modified&gt;63459178&lt;/_modified&gt;&lt;_pages&gt;985-991&lt;/_pages&gt;&lt;_tertiary_title&gt;电网技术&lt;/_tertiary_title&gt;&lt;_translated_author&gt;李明节&lt;/_translated_author&gt;&lt;_translated_title&gt;大规模特高压交直流混联电网特性分析与运行控制&lt;/_translated_title&gt;&lt;_url&gt;CSCD:5679313&lt;/_url&gt;&lt;_volume&gt;40&lt;/_volume&gt;&lt;/Details&gt;&lt;Extra&gt;&lt;DBUID&gt;{6891F4B0-DCBA-459A-9A22-3059983243D4}&lt;/DBUID&gt;&lt;/Extra&gt;&lt;/Item&gt;&lt;/References&gt;&lt;/Group&gt;&lt;/Citation&gt;_x000a_"/>
    <w:docVar w:name="NE.Ref{B747C681-1D7E-45E6-8819-94483E143340}" w:val=" ADDIN NE.Ref.{B747C681-1D7E-45E6-8819-94483E143340}&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5700&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6.373&lt;/_impact_factor&gt;&lt;_isbn&gt;0885-8993&lt;/_isbn&gt;&lt;_issue&gt;1&lt;/_issue&gt;&lt;_journal&gt;IEEE TRANSACTIONS ON POWER ELECTRONICS&lt;/_journal&gt;&lt;_modified&gt;63446037&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502075&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B7697B37-5C73-445D-9EF4-355EC4B418D2}" w:val=" ADDIN NE.Ref.{B7697B37-5C73-445D-9EF4-355EC4B418D2}&lt;Citation&gt;&lt;Group&gt;&lt;References&gt;&lt;Item&gt;&lt;ID&gt;724&lt;/ID&gt;&lt;UID&gt;{A15BE5AF-19CC-4FC3-A79F-4C206C49CADD}&lt;/UID&gt;&lt;Title&gt;含高密度风电、交直流送端电网直流闭锁故障稳控方案研究&lt;/Title&gt;&lt;Template&gt;Journal Article&lt;/Template&gt;&lt;Star&gt;0&lt;/Star&gt;&lt;Tag&gt;0&lt;/Tag&gt;&lt;Author&gt;钟显; 樊艳芳; 王一波; 常喜强; 郑少鹏; 王衡&lt;/Author&gt;&lt;Year&gt;2015&lt;/Year&gt;&lt;Details&gt;&lt;_author_aff&gt;新疆大学电气工程学院;中国科学院电工所;国网新疆电力调度控制中心;国网新疆电力科学研究院;&lt;/_author_aff&gt;&lt;_date&gt;2015-07-01&lt;/_date&gt;&lt;_db_provider&gt;CNKI: 期刊&lt;/_db_provider&gt;&lt;_issue&gt;13&lt;/_issue&gt;&lt;_journal&gt;电力系统保护与控制&lt;/_journal&gt;&lt;_keywords&gt;特高压直流;双极闭锁;送端电网;高密度风电;电压影响;稳控方案&lt;/_keywords&gt;&lt;_pages&gt;130-138&lt;/_pages&gt;&lt;_url&gt;http://kns.cnki.net/KCMS/detail/detail.aspx?FileName=JDQW201513020&amp;amp;DbName=CJFQ2015&lt;/_url&gt;&lt;_volume&gt;43&lt;/_volume&gt;&lt;_created&gt;63727900&lt;/_created&gt;&lt;_modified&gt;63727900&lt;/_modified&gt;&lt;_db_updated&gt;CNKI - Reference&lt;/_db_updated&gt;&lt;_collection_scope&gt;CSCD;PKU&lt;/_collection_scope&gt;&lt;_translated_author&gt;Zhong, Xian;Fan, Yanfang;Wang, Yibo;Chang, Xiqiang;Zheng, Shaopeng;Wang, Heng&lt;/_translated_author&gt;&lt;/Details&gt;&lt;Extra&gt;&lt;DBUID&gt;{6891F4B0-DCBA-459A-9A22-3059983243D4}&lt;/DBUID&gt;&lt;/Extra&gt;&lt;/Item&gt;&lt;/References&gt;&lt;/Group&gt;&lt;Group&gt;&lt;References&gt;&lt;Item&gt;&lt;ID&gt;725&lt;/ID&gt;&lt;UID&gt;{E3EEB294-252F-4A86-ABA6-30F3FF28F7EF}&lt;/UID&gt;&lt;Title&gt;Transient Control of DFIG-Based Wind Power Plants in Compliance With the Australian Grid Code&lt;/Title&gt;&lt;Template&gt;Journal Article&lt;/Template&gt;&lt;Star&gt;0&lt;/Star&gt;&lt;Tag&gt;0&lt;/Tag&gt;&lt;Author&gt;M. Mohseni;S. M. Islam&lt;/Author&gt;&lt;Year&gt;2012&lt;/Year&gt;&lt;Details&gt;&lt;_date_display&gt;2012_x000d__x000a_June 2012_x000d__x000a_June 2012&lt;/_date_display&gt;&lt;_date&gt;2012-01-01; 2012-01-01&lt;/_date&gt;&lt;_doi&gt;10.1109/TPEL.2011.2174380&lt;/_doi&gt;&lt;_isbn&gt;1941-0107; 1941-0107&lt;/_isbn&gt;&lt;_issue&gt;6; 6&lt;/_issue&gt;&lt;_journal&gt;IEEE Transactions on Power Electronics_x000d__x000a_IEEE Transactions on Power Electronics_x000d__x000a_IEEE Transactions on Power Electronics_x000d__x000a_IEEE Transactions on Power Electronics_x000d__x000a_IEEE Transactions on Power Electronics&lt;/_journal&gt;&lt;_keywords&gt;asynchronous generators; electric current control; PI control; power generation control; power generation faults; power grids; power system restoration; reactive power control; time-domain analysis; transient response; wind power plants; DFIG; wind power plants; Australian grid code; compliance; wind generators; reactive power control; supply voltage restoration; doubly fed induction generator; WPP; power control loops; P-Q capability curves; fault periods; current control loops; PI current regulators; hysteresis based current regulators; transient response; voltage ride through capability; time-domain simulation; Reactive power; Power system stability; Wind power generation; Voltage control; Australia; Generators; Rotors; Australian Grid Code; doubly fed induction generator (DFIG)-based wind power plants; P–Q capability curves&lt;/_keywords&gt;&lt;_pages&gt;2813-2824&lt;/_pages&gt;&lt;_url&gt;https://dx.doi.org/10.1109/TPEL.2011.2174380&lt;/_url&gt;&lt;_volume&gt;27; 27&lt;/_volume&gt;&lt;_created&gt;63727901&lt;/_created&gt;&lt;_modified&gt;63727902&lt;/_modified&gt;&lt;_db_updated&gt;IEEE&lt;/_db_updated&gt;&lt;/Details&gt;&lt;Extra&gt;&lt;DBUID&gt;{6891F4B0-DCBA-459A-9A22-3059983243D4}&lt;/DBUID&gt;&lt;/Extra&gt;&lt;/Item&gt;&lt;/References&gt;&lt;/Group&gt;&lt;/Citation&gt;_x000a_"/>
    <w:docVar w:name="NE.Ref{B85FCCA5-6B99-44B5-B6D7-541C66FDB1C7}" w:val=" ADDIN NE.Ref.{B85FCCA5-6B99-44B5-B6D7-541C66FDB1C7}&lt;Citation&gt;&lt;Group&gt;&lt;References&gt;&lt;Item&gt;&lt;ID&gt;131&lt;/ID&gt;&lt;UID&gt;{E31D416D-C943-4752-BE79-68DF7C6AF759}&lt;/UID&gt;&lt;Title&gt;考虑风电时空相关性的仿射可调鲁棒机组组合&lt;/Title&gt;&lt;Template&gt;Journal Article&lt;/Template&gt;&lt;Star&gt;0&lt;/Star&gt;&lt;Tag&gt;0&lt;/Tag&gt;&lt;Author&gt;吴巍; 汪可友; 李国杰&lt;/Author&gt;&lt;Year&gt;2017&lt;/Year&gt;&lt;Details&gt;&lt;_accessed&gt;64322986&lt;/_accessed&gt;&lt;_author_aff&gt;上海交通大学电气工程系;&lt;/_author_aff&gt;&lt;_cited_count&gt;31&lt;/_cited_count&gt;&lt;_collection_scope&gt;CSCD;PKU;EI&lt;/_collection_scope&gt;&lt;_created&gt;64322986&lt;/_created&gt;&lt;_date&gt;61603200&lt;/_date&gt;&lt;_db_updated&gt;CNKI - Reference&lt;/_db_updated&gt;&lt;_issue&gt;14&lt;/_issue&gt;&lt;_journal&gt;中国电机工程学报&lt;/_journal&gt;&lt;_keywords&gt;时空相关性;椭球不确定集合;仿射可调鲁棒优化;混合整数二阶锥规划;可行概率&lt;/_keywords&gt;&lt;_language&gt;Chinese&lt;/_language&gt;&lt;_modified&gt;64322986&lt;/_modified&gt;&lt;_pages&gt;4089-4097+4288&lt;/_pages&gt;&lt;_url&gt;https://kns.cnki.net/kcms/detail/detail.aspx?FileName=ZGDC201714017&amp;amp;DbName=CJFQ2017&lt;/_url&gt;&lt;_volume&gt;37&lt;/_volume&gt;&lt;_translated_author&gt;Wu, Wei;Wang, Keyou;Li, Guojie&lt;/_translated_author&gt;&lt;/Details&gt;&lt;Extra&gt;&lt;DBUID&gt;{560D5FFD-5A46-4EB8-859B-FD657304A42E}&lt;/DBUID&gt;&lt;/Extra&gt;&lt;/Item&gt;&lt;/References&gt;&lt;/Group&gt;&lt;/Citation&gt;_x000a_"/>
    <w:docVar w:name="NE.Ref{B8741167-059E-4562-AF9C-FBE7E27A68D1}" w:val=" ADDIN NE.Ref.{B8741167-059E-4562-AF9C-FBE7E27A68D1}&lt;Citation&gt;&lt;Group&gt;&lt;References&gt;&lt;Item&gt;&lt;ID&gt;514&lt;/ID&gt;&lt;UID&gt;{A8014B9C-1BA4-4134-B039-3709AC20E2FC}&lt;/UID&gt;&lt;Title&gt;Mitigation of commutation failures in LCC-HVDC systems based on superconducting fault current limiters&lt;/Title&gt;&lt;Template&gt;Journal Article&lt;/Template&gt;&lt;Star&gt;0&lt;/Star&gt;&lt;Tag&gt;0&lt;/Tag&gt;&lt;Author&gt;Lee, Jong-Geon; Khan, Umer Amir; Lee, Ho-Yun; Lim, Sung-Woo; Lee, Bang-Wook&lt;/Author&gt;&lt;Year&gt;2016&lt;/Year&gt;&lt;Details&gt;&lt;_accessed&gt;63445919&lt;/_accessed&gt;&lt;_accession_num&gt;WOS:000389518400042_x000d__x000a_ER&lt;/_accession_num&gt;&lt;_cited_count&gt;6&lt;/_cited_count&gt;&lt;_collection_scope&gt;SCI;SCIE;EI&lt;/_collection_scope&gt;&lt;_created&gt;63444588&lt;/_created&gt;&lt;_date_display&gt;2016, NOV 15 2016&lt;/_date_display&gt;&lt;_db_provider&gt;ISI&lt;/_db_provider&gt;&lt;_doi&gt;10.1016/j.physc.2016.02.008&lt;/_doi&gt;&lt;_impact_factor&gt;   1.534&lt;/_impact_factor&gt;&lt;_isbn&gt;0921-4534&lt;/_isbn&gt;&lt;_journal&gt;PHYSICA C-SUPERCONDUCTIVITY AND ITS APPLICATIONS&lt;/_journal&gt;&lt;_modified&gt;64498627&lt;/_modified&gt;&lt;_pages&gt;160-163&lt;/_pages&gt;&lt;_url&gt;http://gateway.isiknowledge.com/gateway/Gateway.cgi?GWVersion=2&amp;amp;SrcAuth=AegeanSoftware&amp;amp;SrcApp=NoteExpress&amp;amp;DestLinkType=FullRecord&amp;amp;DestApp=WOS&amp;amp;KeyUT=000389518400042&lt;/_url&gt;&lt;_volume&gt;530&lt;/_volume&gt;&lt;/Details&gt;&lt;Extra&gt;&lt;DBUID&gt;{6891F4B0-DCBA-459A-9A22-3059983243D4}&lt;/DBUID&gt;&lt;/Extra&gt;&lt;/Item&gt;&lt;/References&gt;&lt;/Group&gt;&lt;/Citation&gt;_x000a_"/>
    <w:docVar w:name="NE.Ref{B88D853E-549E-41CC-8D78-2597EC3FD15B}" w:val=" ADDIN NE.Ref.{B88D853E-549E-41CC-8D78-2597EC3FD15B}&lt;Citation&gt;&lt;Group&gt;&lt;References&gt;&lt;Item&gt;&lt;ID&gt;113&lt;/ID&gt;&lt;UID&gt;{709B4134-08DA-4EDD-B100-5435B8163012}&lt;/UID&gt;&lt;Title&gt;Stochastic reserve scheduling of energy storage system in energy and reserve markets&lt;/Title&gt;&lt;Template&gt;Journal Article&lt;/Template&gt;&lt;Star&gt;0&lt;/Star&gt;&lt;Tag&gt;0&lt;/Tag&gt;&lt;Author&gt;Tang, Zao; Liu, Junyong; Liu, Youbo; Xu, Lixiong&lt;/Author&gt;&lt;Year&gt;2020&lt;/Year&gt;&lt;Details&gt;&lt;_accessed&gt;64308205&lt;/_accessed&gt;&lt;_collection_scope&gt;SCIE;EI&lt;/_collection_scope&gt;&lt;_created&gt;64304239&lt;/_created&gt;&lt;_db_updated&gt;CrossRef&lt;/_db_updated&gt;&lt;_doi&gt;10.1016/j.ijepes.2020.106279&lt;/_doi&gt;&lt;_impact_factor&gt;   4.630&lt;/_impact_factor&gt;&lt;_isbn&gt;01420615&lt;/_isbn&gt;&lt;_journal&gt;International Journal of Electrical Power &amp;amp; Energy Systems&lt;/_journal&gt;&lt;_modified&gt;64308205&lt;/_modified&gt;&lt;_pages&gt;106279&lt;/_pages&gt;&lt;_tertiary_title&gt;International Journal of Electrical Power &amp;amp; Energy Systems&lt;/_tertiary_title&gt;&lt;_url&gt;https://linkinghub.elsevier.com/retrieve/pii/S0142061520306372_x000d__x000a_https://api.elsevier.com/content/article/PII:S0142061520306372?httpAccept=text/xml&lt;/_url&gt;&lt;_volume&gt;123&lt;/_volume&gt;&lt;/Details&gt;&lt;Extra&gt;&lt;DBUID&gt;{560D5FFD-5A46-4EB8-859B-FD657304A42E}&lt;/DBUID&gt;&lt;/Extra&gt;&lt;/Item&gt;&lt;/References&gt;&lt;/Group&gt;&lt;/Citation&gt;_x000a_"/>
    <w:docVar w:name="NE.Ref{B96B3608-A72B-48D6-A798-5740939B3855}" w:val=" ADDIN NE.Ref.{B96B3608-A72B-48D6-A798-5740939B3855}&lt;Citation&gt;&lt;Group&gt;&lt;References&gt;&lt;Item&gt;&lt;ID&gt;502&lt;/ID&gt;&lt;UID&gt;{60E908EE-EB9F-4161-8E99-BB6DAD9C46B6}&lt;/UID&gt;&lt;Title&gt;Adjustable robust solutions of uncertain linear programs&lt;/Title&gt;&lt;Template&gt;Journal Article&lt;/Template&gt;&lt;Star&gt;0&lt;/Star&gt;&lt;Tag&gt;0&lt;/Tag&gt;&lt;Author&gt;Ben-Tal, Aharon; Goryashko, A P; Guslitzer, E; Nemirovski, Arkadi&lt;/Author&gt;&lt;Year&gt;2004&lt;/Year&gt;&lt;Details&gt;&lt;_created&gt;63654530&lt;/_created&gt;&lt;_journal&gt;Mathematical Programming: Series A and B&lt;/_journal&gt;&lt;_modified&gt;63654530&lt;/_modified&gt;&lt;/Details&gt;&lt;Extra&gt;&lt;DBUID&gt;{F96A950B-833F-4880-A151-76DA2D6A2879}&lt;/DBUID&gt;&lt;/Extra&gt;&lt;/Item&gt;&lt;/References&gt;&lt;/Group&gt;&lt;/Citation&gt;_x000a_"/>
    <w:docVar w:name="NE.Ref{B9B499AB-9A34-40D4-BF04-6A45BEF0EE59}" w:val=" ADDIN NE.Ref.{B9B499AB-9A34-40D4-BF04-6A45BEF0EE59}&lt;Citation&gt;&lt;Group&gt;&lt;References&gt;&lt;Item&gt;&lt;ID&gt;503&lt;/ID&gt;&lt;UID&gt;{D6C4CBEC-6466-41FF-AD22-61D8A9CC6B6D}&lt;/UID&gt;&lt;Title&gt;分布鲁棒优化方法在电力系统中的理论分析与应用综述&lt;/Title&gt;&lt;Template&gt;Journal Article&lt;/Template&gt;&lt;Star&gt;0&lt;/Star&gt;&lt;Tag&gt;0&lt;/Tag&gt;&lt;Author&gt;贺帅佳; 阮贺彬; 高红均; 刘俊勇&lt;/Author&gt;&lt;Year&gt;2020&lt;/Year&gt;&lt;Details&gt;&lt;_author_adr&gt;四川大学电气工程学院;&lt;/_author_adr&gt;&lt;_collection_scope&gt;CSCD;PKU;EI&lt;/_collection_scope&gt;&lt;_created&gt;63654819&lt;/_created&gt;&lt;_db_provider&gt;CNKI&lt;/_db_provider&gt;&lt;_isbn&gt;1000-1026&lt;/_isbn&gt;&lt;_issue&gt;14&lt;/_issue&gt;&lt;_journal&gt;电力系统自动化&lt;/_journal&gt;&lt;_keywords&gt;不确定性;电力系统;分布鲁棒优化;机会约束方法&lt;/_keywords&gt;&lt;_modified&gt;63654819&lt;/_modified&gt;&lt;_pages&gt;179-191&lt;/_pages&gt;&lt;_volume&gt;44&lt;/_volume&gt;&lt;_translated_author&gt;He, Shuaijia;Ruan, Hebin;Gao, Hongjun;Liu, Junyong&lt;/_translated_author&gt;&lt;/Details&gt;&lt;Extra&gt;&lt;DBUID&gt;{F96A950B-833F-4880-A151-76DA2D6A2879}&lt;/DBUID&gt;&lt;/Extra&gt;&lt;/Item&gt;&lt;/References&gt;&lt;/Group&gt;&lt;/Citation&gt;_x000a_"/>
    <w:docVar w:name="NE.Ref{BB5FFA7C-A7FD-45D6-9C30-D918F23D8152}" w:val=" ADDIN NE.Ref.{BB5FFA7C-A7FD-45D6-9C30-D918F23D8152}&lt;Citation&gt;&lt;Group&gt;&lt;References&gt;&lt;Item&gt;&lt;ID&gt;353&lt;/ID&gt;&lt;UID&gt;{0FE2AF98-7A99-4F4E-8961-A1100E5A6384}&lt;/UID&gt;&lt;Title&gt;单相跳闸对换相过程的影响机理及连续换相失败抑制方法&lt;/Title&gt;&lt;Template&gt;Journal Article&lt;/Template&gt;&lt;Star&gt;0&lt;/Star&gt;&lt;Tag&gt;0&lt;/Tag&gt;&lt;Author&gt;赵盛; 李博通; 李斌; 姚斌&lt;/Author&gt;&lt;Year&gt;2020&lt;/Year&gt;&lt;Details&gt;&lt;_accessed&gt;63446020&lt;/_accessed&gt;&lt;_accession_num&gt;CSCD:6686383_x000d__x000a_ER&lt;/_accession_num&gt;&lt;_cited_count&gt;0&lt;/_cited_count&gt;&lt;_collection_scope&gt;CSCD;PKU;EI&lt;/_collection_scope&gt;&lt;_created&gt;63444588&lt;/_created&gt;&lt;_date_display&gt;2020, 2020&lt;/_date_display&gt;&lt;_db_provider&gt;ISI&lt;/_db_provider&gt;&lt;_isbn&gt;1006-6047&lt;/_isbn&gt;&lt;_issue&gt;4&lt;/_issue&gt;&lt;_journal&gt;电力自动化设备&lt;/_journal&gt;&lt;_modified&gt;63446027&lt;/_modified&gt;&lt;_pages&gt;17-24,55&lt;/_pages&gt;&lt;_tertiary_title&gt;Electric Power Automation Equipment&lt;/_tertiary_title&gt;&lt;_translated_author&gt;Zhao, Sheng; Li, Botong; Li, Bin; Yao, Bin&lt;/_translated_author&gt;&lt;_translated_title&gt;Influence mechanism of single-phase tripping on commutation process and suppression strategy of continuous commutation failure&lt;/_translated_title&gt;&lt;_url&gt;CSCD:6686383 _x000d__x000a_https://kns.cnki.net/kns/download.aspx?filename=rZzcZRkdOBHOHFlThJXZrV0UaVUTJljS4s0ZvkkW5IDNyk0clxWZ2VzKlN1bMtEUU1WRyk0SXNHZJh2bsZXULhUVB12V5dTcv90TyhGRB9yLYNUTWhWUihEWxtWWKJ1bSFnZ4QGbNhXOjJHeOVETTZ3ZoZnU1FHR&amp;amp;tablename=CJFDLAST2020&amp;amp;dflag=pdfdown _x000d__x000a_https://kns.cnki.net/kns/download.aspx?filename=z9SaMVUWHZVcwM1NHZWNzhmQkF2UMpmMRt2cx8yZTFmbNtWeHNmNyJncNlDVolGMHZ1R4QVbDh0UUpkR1RWaL1URUVEWoJ0cu52LjljRCl0U4NVT1hnavgTMThmVxVjdB5UVxNUM4xWVplXQEB3bz10QvYDN29WV&amp;amp;tablename=CJFDLAST2020&amp;amp;dflag=pdfdown _x000d__x000a_&lt;/_url&gt;&lt;_volume&gt;40&lt;/_volume&gt;&lt;/Details&gt;&lt;Extra&gt;&lt;DBUID&gt;{6891F4B0-DCBA-459A-9A22-3059983243D4}&lt;/DBUID&gt;&lt;/Extra&gt;&lt;/Item&gt;&lt;/References&gt;&lt;/Group&gt;&lt;/Citation&gt;_x000a_"/>
    <w:docVar w:name="NE.Ref{BBA28664-08E5-415C-9284-104EFB120124}" w:val=" ADDIN NE.Ref.{BBA28664-08E5-415C-9284-104EFB120124}&lt;Citation&gt;&lt;Group&gt;&lt;References&gt;&lt;Item&gt;&lt;ID&gt;1031&lt;/ID&gt;&lt;UID&gt;{6429F36C-26B1-492A-B9F4-1CCB11CFA88F}&lt;/UID&gt;&lt;Title&gt;适用于大规模新能源接入直流送端电网的暂态压升严重性指标研究&lt;/Title&gt;&lt;Template&gt;Journal Article&lt;/Template&gt;&lt;Star&gt;0&lt;/Star&gt;&lt;Tag&gt;0&lt;/Tag&gt;&lt;Author&gt;赵晋泉; 朱尧靓; 潘尔生; 许德操; 董凌&lt;/Author&gt;&lt;Year&gt;2020&lt;/Year&gt;&lt;Details&gt;&lt;_author_aff&gt;河海大学能源与电气学院;国网经济技术研究院有限公司;国网青海省电力公司;&lt;/_author_aff&gt;&lt;_cited_count&gt;24&lt;/_cited_count&gt;&lt;_date&gt;2020-12-23&lt;/_date&gt;&lt;_issue&gt;12&lt;/_issue&gt;&lt;_journal&gt;南方电网技术&lt;/_journal&gt;&lt;_keywords&gt;新能源;直流送端电网;暂态过电压;暂态压升严重性&lt;/_keywords&gt;&lt;_pages&gt;1-9&lt;/_pages&gt;&lt;_url&gt;https://kns.cnki.net/kcms/detail/detail.aspx?FileName=NFDW202012002&amp;amp;DbName=CJFQ2020&lt;/_url&gt;&lt;_volume&gt;14&lt;/_volume&gt;&lt;_created&gt;64780424&lt;/_created&gt;&lt;_modified&gt;64780424&lt;/_modified&gt;&lt;_db_updated&gt;CNKI - Reference&lt;/_db_updated&gt;&lt;_collection_scope&gt;PKU&lt;/_collection_scope&gt;&lt;_translated_author&gt;Zhao, Jinquan;Zhu, Yaojing;Pan, Ersheng;Xu, Decao;Dong, Ling&lt;/_translated_author&gt;&lt;/Details&gt;&lt;Extra&gt;&lt;DBUID&gt;{6891F4B0-DCBA-459A-9A22-3059983243D4}&lt;/DBUID&gt;&lt;/Extra&gt;&lt;/Item&gt;&lt;/References&gt;&lt;/Group&gt;&lt;/Citation&gt;_x000a_"/>
    <w:docVar w:name="NE.Ref{BBED2D83-10E6-44AD-8499-A4F489FE0E05}" w:val=" ADDIN NE.Ref.{BBED2D83-10E6-44AD-8499-A4F489FE0E05}&lt;Citation&gt;&lt;Group&gt;&lt;References&gt;&lt;Item&gt;&lt;ID&gt;393&lt;/ID&gt;&lt;UID&gt;{F56A9865-8DCF-429D-BB8A-9534C98DE2B4}&lt;/UID&gt;&lt;Title&gt;适应可再生能源配额制的电力市场交易体系研究&lt;/Title&gt;&lt;Template&gt;Journal Article&lt;/Template&gt;&lt;Star&gt;0&lt;/Star&gt;&lt;Tag&gt;0&lt;/Tag&gt;&lt;Author&gt;张翔; 陈政; 马子明; 夏清; 戴晓娟; 卢冬雪; 赵燃&lt;/Author&gt;&lt;Year&gt;2019&lt;/Year&gt;&lt;Details&gt;&lt;_author_adr&gt;南方电网能源发展研究院有限责任公司;清华大学电机工程与应用电子技术系;清华四川能源互联网研究院;&lt;/_author_adr&gt;&lt;_collection_scope&gt;CSCD;PKU;EI&lt;/_collection_scope&gt;&lt;_created&gt;63640280&lt;/_created&gt;&lt;_db_provider&gt;CNKI&lt;/_db_provider&gt;&lt;_isbn&gt;1000-3673&lt;/_isbn&gt;&lt;_issue&gt;08&lt;/_issue&gt;&lt;_journal&gt;电网技术&lt;/_journal&gt;&lt;_keywords&gt;配额制;可再生能源市场;电力市场;市场均衡&lt;/_keywords&gt;&lt;_modified&gt;63640280&lt;/_modified&gt;&lt;_pages&gt;2682-2690&lt;/_pages&gt;&lt;_volume&gt;43&lt;/_volume&gt;&lt;_translated_author&gt;Zhang, Xiang;Chen, Zheng;Ma, Ziming;Xia, Qing;Dai, Xiaojuan;Lu, Dongxue;Zhao, Ran&lt;/_translated_author&gt;&lt;/Details&gt;&lt;Extra&gt;&lt;DBUID&gt;{F96A950B-833F-4880-A151-76DA2D6A2879}&lt;/DBUID&gt;&lt;/Extra&gt;&lt;/Item&gt;&lt;/References&gt;&lt;/Group&gt;&lt;/Citation&gt;_x000a_"/>
    <w:docVar w:name="NE.Ref{BC40E625-59CB-4BC3-BD42-2553D4116D17}" w:val=" ADDIN NE.Ref.{BC40E625-59CB-4BC3-BD42-2553D4116D17}&lt;Citation&gt;&lt;Group&gt;&lt;References&gt;&lt;Item&gt;&lt;ID&gt;866&lt;/ID&gt;&lt;UID&gt;{9A1007F9-2345-4597-A31C-EB204B8DE31F}&lt;/UID&gt;&lt;Title&gt;“双碳”目标下配电网多阶段扩展规划&lt;/Title&gt;&lt;Template&gt;Journal Article&lt;/Template&gt;&lt;Star&gt;0&lt;/Star&gt;&lt;Tag&gt;0&lt;/Tag&gt;&lt;Author&gt;彭静; 王军; 亓富军; 廖誉翔&lt;/Author&gt;&lt;Year&gt;2022&lt;/Year&gt;&lt;Details&gt;&lt;_accessed&gt;64647176&lt;/_accessed&gt;&lt;_author_aff&gt;国网临沂供电公司;&lt;/_author_aff&gt;&lt;_cited_count&gt;4&lt;/_cited_count&gt;&lt;_collection_scope&gt;CSCD;PKU&lt;/_collection_scope&gt;&lt;_created&gt;64646733&lt;/_created&gt;&lt;_date&gt;2022-04-01&lt;/_date&gt;&lt;_db_updated&gt;CNKI - Reference&lt;/_db_updated&gt;&lt;_issue&gt;07&lt;/_issue&gt;&lt;_journal&gt;电力系统保护与控制&lt;/_journal&gt;&lt;_keywords&gt;低碳配电网;“双碳”目标;混合整数线性规划;现代Benders分解;多阶段扩展规划&lt;/_keywords&gt;&lt;_modified&gt;64647177&lt;/_modified&gt;&lt;_pages&gt;153-161&lt;/_pages&gt;&lt;_tertiary_title&gt;Power System Protection and Control&lt;/_tertiary_title&gt;&lt;_translated_author&gt;PENG, Jing; WANG, Jun; QI, Fujun; LIAO, Yuxiang&lt;/_translated_author&gt;&lt;_translated_title&gt;Multi-stage expansion planning of a distribution network with double-carbon policy&lt;/_translated_title&gt;&lt;_url&gt;https://kns.cnki.net/kcms/detail/detail.aspx?FileName=JDQW202207017&amp;amp;DbName=CJFQ2022 _x000d__x000a_https://bar.cnki.net/bar/download/order?id=jBGETXBNdPImvx70aLAuJPYxPoFw%2bp%2bi0fIiSrcN6lUof42zT8E9ZhUCELeSrlAORSIKUaJzJKUPX09ooTadl50PLIIoFLYwy5BgUEfsTyzl8E%2bCUVp5GtDTYhVF2dNUoJeGx62Ssygg68TNXJ%2b5JrigejDAar8Xqw%2f6WR22OFXUdUGh4At8VBYSvh%2fCUD5aZPZeT%2fFQKY4Xrcv84FNo4z2ylb%2baDiGNLaSE7yoLX7%2f5LXYX1qwFXwOc1HUZT%2bTB _x000d__x000a_&lt;/_url&gt;&lt;_volume&gt;50&lt;/_volume&gt;&lt;/Details&gt;&lt;Extra&gt;&lt;DBUID&gt;{6891F4B0-DCBA-459A-9A22-3059983243D4}&lt;/DBUID&gt;&lt;/Extra&gt;&lt;/Item&gt;&lt;/References&gt;&lt;/Group&gt;&lt;Group&gt;&lt;References&gt;&lt;Item&gt;&lt;ID&gt;871&lt;/ID&gt;&lt;UID&gt;{3BF7EC89-B103-4EBD-B81B-AB5C6B93FB0A}&lt;/UID&gt;&lt;Title&gt;新型电力系统下“源网荷储”架构与评估体系综述&lt;/Title&gt;&lt;Template&gt;Journal Article&lt;/Template&gt;&lt;Star&gt;0&lt;/Star&gt;&lt;Tag&gt;0&lt;/Tag&gt;&lt;Author&gt;李建林; 郭兆东; 马速良; 张国强; 王含&lt;/Author&gt;&lt;Year&gt;2022&lt;/Year&gt;&lt;Details&gt;&lt;_accessed&gt;64647178&lt;/_accessed&gt;&lt;_author_aff&gt;储能技术工程研究中心(北方工业大学);北京和瑞储能科技有限公司;&lt;/_author_aff&gt;&lt;_collection_scope&gt;CSCD;PKU;EI&lt;/_collection_scope&gt;&lt;_created&gt;64646746&lt;/_created&gt;&lt;_date&gt;2022-08-05&lt;/_date&gt;&lt;_db_updated&gt;CNKI - Reference&lt;/_db_updated&gt;&lt;_issue&gt;11&lt;/_issue&gt;&lt;_journal&gt;高电压技术&lt;/_journal&gt;&lt;_keywords&gt;新能源;新型电力系统;源网荷储;评估;多能互补&lt;/_keywords&gt;&lt;_modified&gt;64647179&lt;/_modified&gt;&lt;_pages&gt;4330-4342&lt;/_pages&gt;&lt;_tertiary_title&gt;High Voltage Engineering&lt;/_tertiary_title&gt;&lt;_translated_author&gt;LI, Jianlin; GUO, Zhaodong; MA, Suliang; ZHANG, Guoqiang; WANG, Han&lt;/_translated_author&gt;&lt;_translated_title&gt;Overview of the &amp;quot;Source-grid-load-storage&amp;quot; Architecture and Evaluation System Under the New Power System&lt;/_translated_title&gt;&lt;_url&gt;https://kns.cnki.net/kcms/detail/detail.aspx?FileName=GDYJ202211009&amp;amp;DbName=DKFXTEMP _x000d__x000a_https://bar.cnki.net/bar/download/order?id=jBGETXBNdPImvx70aLAuJPYxPoFw%2bp%2bi0fIiSrcN6lXD6PY22pHe5xG0OLJvqt8IsshnTQdlzf0o9Rxczx2nOsm82jDOg3yr%2bqRqj9L2CzQtqddCdidyosdSaMNWur3ZJBjdlDrNnftoR5pdZPiFRNlKM4sfpT3nRHSqBOA4sms8GQBtE8Z8mK%2fNwS15YoSEayfN4fOadDq0KJ%2bzp6FtwKopkQ6JnjQzfIvFcCnka0M%3d _x000d__x000a_&lt;/_url&gt;&lt;_volume&gt;48&lt;/_volume&gt;&lt;/Details&gt;&lt;Extra&gt;&lt;DBUID&gt;{6891F4B0-DCBA-459A-9A22-3059983243D4}&lt;/DBUID&gt;&lt;/Extra&gt;&lt;/Item&gt;&lt;/References&gt;&lt;/Group&gt;&lt;/Citation&gt;_x000a_"/>
    <w:docVar w:name="NE.Ref{BC82A974-EC52-4D07-AED7-426D6530DD76}" w:val=" ADDIN NE.Ref.{BC82A974-EC52-4D07-AED7-426D6530DD76}&lt;Citation&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Citation&gt;_x000a_"/>
    <w:docVar w:name="NE.Ref{BE4EFA97-BC3F-4239-BDFF-0404DE53C237}" w:val=" ADDIN NE.Ref.{BE4EFA97-BC3F-4239-BDFF-0404DE53C237}&lt;Citation&gt;&lt;Group&gt;&lt;References&gt;&lt;Item&gt;&lt;ID&gt;428&lt;/ID&gt;&lt;UID&gt;{7715F6BE-1D7B-4CC8-99B9-4AD07F293C8B}&lt;/UID&gt;&lt;Title&gt;基于内点法和遗传算法相结合的交直流系统无功优化&lt;/Title&gt;&lt;Template&gt;Journal Article&lt;/Template&gt;&lt;Star&gt;0&lt;/Star&gt;&lt;Tag&gt;0&lt;/Tag&gt;&lt;Author&gt;蒋平; 梁乐&lt;/Author&gt;&lt;Year&gt;2015&lt;/Year&gt;&lt;Details&gt;&lt;_author_adr&gt;东南大学电气工程学院;江苏省电力公司检修分公司;&lt;/_author_adr&gt;&lt;_collection_scope&gt;CSCD;PKU;EI&lt;/_collection_scope&gt;&lt;_created&gt;63647155&lt;/_created&gt;&lt;_db_provider&gt;CNKI&lt;/_db_provider&gt;&lt;_isbn&gt;1003-6520&lt;/_isbn&gt;&lt;_issue&gt;03&lt;/_issue&gt;&lt;_journal&gt;高电压技术&lt;/_journal&gt;&lt;_keywords&gt;特高压;交直流系统;高电压直流输电;遗传算法;内点法;无功优化&lt;/_keywords&gt;&lt;_modified&gt;63647155&lt;/_modified&gt;&lt;_pages&gt;724-729&lt;/_pages&gt;&lt;_volume&gt;41&lt;/_volume&gt;&lt;_translated_author&gt;Jiang, Ping;Liang, Le&lt;/_translated_author&gt;&lt;/Details&gt;&lt;Extra&gt;&lt;DBUID&gt;{F96A950B-833F-4880-A151-76DA2D6A2879}&lt;/DBUID&gt;&lt;/Extra&gt;&lt;/Item&gt;&lt;/References&gt;&lt;/Group&gt;&lt;/Citation&gt;_x000a_"/>
    <w:docVar w:name="NE.Ref{BF35D49E-A91C-4B31-8154-A53F720AD8A3}" w:val=" ADDIN NE.Ref.{BF35D49E-A91C-4B31-8154-A53F720AD8A3}&lt;Citation&gt;&lt;Group&gt;&lt;References&gt;&lt;Item&gt;&lt;ID&gt;886&lt;/ID&gt;&lt;UID&gt;{5493524B-56F1-4053-B9BE-BE4D8B75B3C8}&lt;/UID&gt;&lt;Title&gt;A novel evaluation method for the risk of simultaneous commutation failure in multi-infeed HVDC-systems that considers DC current rise&lt;/Title&gt;&lt;Template&gt;Journal Article&lt;/Template&gt;&lt;Star&gt;0&lt;/Star&gt;&lt;Tag&gt;0&lt;/Tag&gt;&lt;Author&gt;Yin, C Y; Li, F T&lt;/Author&gt;&lt;Year&gt;2021&lt;/Year&gt;&lt;Details&gt;&lt;_accessed&gt;64651006&lt;/_accessed&gt;&lt;_alternate_title&gt;INTERNATIONAL JOURNAL OF ELECTRICAL POWER &amp;amp; ENERGY SYSTEMS&lt;/_alternate_title&gt;&lt;_author_adr&gt;Xinjiang Univ, Sch Elect Engn, Urumqi, Peoples R China&lt;/_author_adr&gt;&lt;_cited_count&gt;2&lt;/_cited_count&gt;&lt;_collection_scope&gt;SCIE;EI&lt;/_collection_scope&gt;&lt;_created&gt;64649804&lt;/_created&gt;&lt;_date&gt;2021-01-01&lt;/_date&gt;&lt;_date_display&gt;2021&lt;/_date_display&gt;&lt;_db_updated&gt;Web of Science-Core&lt;/_db_updated&gt;&lt;_doi&gt;10.1016/j.ijepes.2021.107051&lt;/_doi&gt;&lt;_impact_factor&gt;   5.659&lt;/_impact_factor&gt;&lt;_journal&gt;INTERNATIONAL JOURNAL OF ELECTRICAL POWER &amp;amp; ENERGY SYSTEMS&lt;/_journal&gt;&lt;_keywords&gt;Extinction angle; Commutation failure; DC current; HVDC&lt;/_keywords&gt;&lt;_modified&gt;64649806&lt;/_modified&gt;&lt;_volume&gt;131&lt;/_volume&gt;&lt;/Details&gt;&lt;Extra&gt;&lt;DBUID&gt;{6891F4B0-DCBA-459A-9A22-3059983243D4}&lt;/DBUID&gt;&lt;/Extra&gt;&lt;/Item&gt;&lt;/References&gt;&lt;/Group&gt;&lt;/Citation&gt;_x000a_"/>
    <w:docVar w:name="NE.Ref{BF48E6D3-06F0-4607-88F2-F8FF90A6379C}" w:val=" ADDIN NE.Ref.{BF48E6D3-06F0-4607-88F2-F8FF90A6379C}&lt;Citation&gt;&lt;Group&gt;&lt;References&gt;&lt;Item&gt;&lt;ID&gt;613&lt;/ID&gt;&lt;UID&gt;{1F1E6450-C8CE-401C-BD64-437D05860530}&lt;/UID&gt;&lt;Title&gt;Non-cooperative game-based multilateral contract transactions in power-heating integrated systems&lt;/Title&gt;&lt;Template&gt;Journal Article&lt;/Template&gt;&lt;Star&gt;0&lt;/Star&gt;&lt;Tag&gt;0&lt;/Tag&gt;&lt;Author&gt;Wang, Lu; Gu, Wei; Wu, Zhi; Qiu, Haifeng; Pan, Guangsheng&lt;/Author&gt;&lt;Year&gt;2020&lt;/Year&gt;&lt;Details&gt;&lt;_accession_num&gt;WOS:000537357800056_x000d__x000a_ER&lt;/_accession_num&gt;&lt;_cited_count&gt;4&lt;/_cited_count&gt;&lt;_collection_scope&gt;SCI;SCIE;EI&lt;/_collection_scope&gt;&lt;_created&gt;63705315&lt;/_created&gt;&lt;_date_display&gt;2020, JUN 15 2020&lt;/_date_display&gt;&lt;_db_provider&gt;ISI&lt;/_db_provider&gt;&lt;_doi&gt;10.1016/j.apenergy.2020.114930&lt;/_doi&gt;&lt;_impact_factor&gt;   8.848&lt;/_impact_factor&gt;&lt;_isbn&gt;0306-2619&lt;/_isbn&gt;&lt;_issue&gt;114930&lt;/_issue&gt;&lt;_journal&gt;APPLIED ENERGY&lt;/_journal&gt;&lt;_modified&gt;63705315&lt;/_modified&gt;&lt;_url&gt;http://gateway.isiknowledge.com/gateway/Gateway.cgi?GWVersion=2&amp;amp;SrcAuth=AegeanSoftware&amp;amp;SrcApp=NoteExpress&amp;amp;DestLinkType=FullRecord&amp;amp;DestApp=WOS&amp;amp;KeyUT=000537357800056&lt;/_url&gt;&lt;_volume&gt;268&lt;/_volume&gt;&lt;/Details&gt;&lt;Extra&gt;&lt;DBUID&gt;{F96A950B-833F-4880-A151-76DA2D6A2879}&lt;/DBUID&gt;&lt;/Extra&gt;&lt;/Item&gt;&lt;/References&gt;&lt;/Group&gt;&lt;/Citation&gt;_x000a_"/>
    <w:docVar w:name="NE.Ref{C0F614E5-23CB-4865-910A-E4B5981E89D8}" w:val=" ADDIN NE.Ref.{C0F614E5-23CB-4865-910A-E4B5981E89D8}&lt;Citation&gt;&lt;Group&gt;&lt;References&gt;&lt;Item&gt;&lt;ID&gt;346&lt;/ID&gt;&lt;UID&gt;{2A1F1BC6-38C0-4D1C-8BED-AC1FC231D69B}&lt;/UID&gt;&lt;Title&gt;谐波电压造成直流输电换相失败风险评估&lt;/Title&gt;&lt;Template&gt;Journal Article&lt;/Template&gt;&lt;Star&gt;0&lt;/Star&gt;&lt;Tag&gt;0&lt;/Tag&gt;&lt;Author&gt;陈佳浩; 王琦; 朱鑫要; 刘瑾; 季顺祥&lt;/Author&gt;&lt;Year&gt;2020&lt;/Year&gt;&lt;Details&gt;&lt;_accessed&gt;63446009&lt;/_accessed&gt;&lt;_accession_num&gt;CSCD:6717447_x000d__x000a_ER&lt;/_accession_num&gt;&lt;_cited_count&gt;0&lt;/_cited_count&gt;&lt;_collection_scope&gt;CSCD;PKU&lt;/_collection_scope&gt;&lt;_created&gt;63444588&lt;/_created&gt;&lt;_date_display&gt;2020, 2020&lt;/_date_display&gt;&lt;_db_provider&gt;ISI&lt;/_db_provider&gt;&lt;_isbn&gt;1001-1609&lt;/_isbn&gt;&lt;_issue&gt;1001-1609(2020)56:5&amp;lt;196:XBDYZC&amp;gt;2.0.TX;2-15&lt;/_issue&gt;&lt;_journal&gt;高压电器&lt;/_journal&gt;&lt;_modified&gt;63446010&lt;/_modified&gt;&lt;_pages&gt;196-202&lt;/_pages&gt;&lt;_tertiary_title&gt;High Voltage Apparatus&lt;/_tertiary_title&gt;&lt;_translated_author&gt;Chen, Jiahao; Wang, Qi; Zhu, Xinyao; Liu, Jin; Ji, Shunxiang&lt;/_translated_author&gt;&lt;_translated_title&gt;Risk Assessment of Commutation Failure for HVDC Transmission Due to Harmonic Voltage&lt;/_translated_title&gt;&lt;_url&gt;CSCD:6717447&lt;/_url&gt;&lt;_volume&gt;56&lt;/_volume&gt;&lt;/Details&gt;&lt;Extra&gt;&lt;DBUID&gt;{6891F4B0-DCBA-459A-9A22-3059983243D4}&lt;/DBUID&gt;&lt;/Extra&gt;&lt;/Item&gt;&lt;/References&gt;&lt;/Group&gt;&lt;Group&gt;&lt;References&gt;&lt;Item&gt;&lt;ID&gt;386&lt;/ID&gt;&lt;UID&gt;{8AA4CFE6-F88C-4546-B723-AA871DD05AD6}&lt;/UID&gt;&lt;Title&gt;基于交流系统非特征谐波的HVDC换相失败风险评估及抑制策略&lt;/Title&gt;&lt;Template&gt;Journal Article&lt;/Template&gt;&lt;Star&gt;0&lt;/Star&gt;&lt;Tag&gt;0&lt;/Tag&gt;&lt;Author&gt;邵思语; 黄振琳; 刘永强; 李卓敏&lt;/Author&gt;&lt;Year&gt;2019&lt;/Year&gt;&lt;Details&gt;&lt;_accessed&gt;63445976&lt;/_accessed&gt;&lt;_accession_num&gt;CSCD:6586689_x000d__x000a_ER&lt;/_accession_num&gt;&lt;_cited_count&gt;1&lt;/_cited_count&gt;&lt;_collection_scope&gt;CSCD;PKU;EI&lt;/_collection_scope&gt;&lt;_created&gt;63444588&lt;/_created&gt;&lt;_date_display&gt;2019, 2019&lt;/_date_display&gt;&lt;_db_provider&gt;ISI&lt;/_db_provider&gt;&lt;_isbn&gt;1000-3673&lt;/_isbn&gt;&lt;_issue&gt;1000-3673(2019)43:10&amp;lt;3466:JYJLXT&amp;gt;2.0.TX;2-210&lt;/_issue&gt;&lt;_journal&gt;电网技术&lt;/_journal&gt;&lt;_modified&gt;63445976&lt;/_modified&gt;&lt;_pages&gt;3466-3476&lt;/_pages&gt;&lt;_tertiary_title&gt;Power System Technology&lt;/_tertiary_title&gt;&lt;_translated_author&gt;Shao, Siyu; Huang, Zhenlin; Liu, Yongqiang; Li, Zhuomin&lt;/_translated_author&gt;&lt;_translated_title&gt;Risk Assessment and Suppression Strategy of HVDC Commutation Failure Based on Non-characteristic Harmonics in AC System&lt;/_translated_title&gt;&lt;_url&gt;CSCD:6586689&lt;/_url&gt;&lt;_volume&gt;43&lt;/_volume&gt;&lt;/Details&gt;&lt;Extra&gt;&lt;DBUID&gt;{6891F4B0-DCBA-459A-9A22-3059983243D4}&lt;/DBUID&gt;&lt;/Extra&gt;&lt;/Item&gt;&lt;/References&gt;&lt;/Group&gt;&lt;Group&gt;&lt;References&gt;&lt;Item&gt;&lt;ID&gt;553&lt;/ID&gt;&lt;UID&gt;{43EAB8E9-D64F-45DC-AB64-32A4C1AC9AD4}&lt;/UID&gt;&lt;Title&gt;谐波对HVDC系统换相失败的影响机理及定量分析方法&lt;/Title&gt;&lt;Template&gt;Journal Article&lt;/Template&gt;&lt;Star&gt;0&lt;/Star&gt;&lt;Tag&gt;0&lt;/Tag&gt;&lt;Author&gt;王峰; 刘天琪; 周胜军; 李兴源; 乔光尧&lt;/Author&gt;&lt;Year&gt;2015&lt;/Year&gt;&lt;Details&gt;&lt;_accessed&gt;63445912&lt;/_accessed&gt;&lt;_accession_num&gt;CSCD:5533171_x000d__x000a_ER&lt;/_accession_num&gt;&lt;_cited_count&gt;10&lt;/_cited_count&gt;&lt;_collection_scope&gt;CSCD;PKU;EI&lt;/_collection_scope&gt;&lt;_created&gt;63444588&lt;/_created&gt;&lt;_date_display&gt;2015, 2015&lt;/_date_display&gt;&lt;_db_provider&gt;ISI&lt;/_db_provider&gt;&lt;_isbn&gt;0258-8013&lt;/_isbn&gt;&lt;_issue&gt;0258-8013(2015)35:19&amp;lt;4888:XBDHXT&amp;gt;2.0.TX;2-L19&lt;/_issue&gt;&lt;_journal&gt;中国电机工程学报&lt;/_journal&gt;&lt;_modified&gt;63552588&lt;/_modified&gt;&lt;_pages&gt;4888-4894&lt;/_pages&gt;&lt;_tertiary_title&gt;Proceedings of the Chinese Society of Electrical Engineering&lt;/_tertiary_title&gt;&lt;_translated_author&gt;Wang, Feng; Liu, Tianqi; Zhou, Shengjun; Li, Xingyuan; Qiao, Guangyao&lt;/_translated_author&gt;&lt;_translated_title&gt;Mechanism and Quantitative Analysis Method for HVDC Commutation Failure Resulting From Harmonics&lt;/_translated_title&gt;&lt;_url&gt;CSCD:5533171 _x000d__x000a_https://kns.cnki.net/kcms/download.aspx?filename=v5WRrsyLkJWTR9ybRNmN6l0SBRER3YDS3lzbzoXW6tUOhV0VGFzVnlWUoRWMYJFM3lFV3VkdJhFa0d0RP9CVPx2c6NWUolWdW5UQwZ0M1tGR3Y1bPdTYQVnSMp0cvIUTCZ3ZmRmRqRTdBJUWGxmWHp0NZRUTVJjZ&amp;amp;tablename=CJFDLAST2015&amp;amp;dflag=pdfdown _x000d__x000a_&lt;/_url&gt;&lt;_volume&gt;35&lt;/_volume&gt;&lt;/Details&gt;&lt;Extra&gt;&lt;DBUID&gt;{6891F4B0-DCBA-459A-9A22-3059983243D4}&lt;/DBUID&gt;&lt;/Extra&gt;&lt;/Item&gt;&lt;/References&gt;&lt;/Group&gt;&lt;/Citation&gt;_x000a_"/>
    <w:docVar w:name="NE.Ref{C105FA51-74CC-490F-B522-871ABD848C57}" w:val=" ADDIN NE.Ref.{C105FA51-74CC-490F-B522-871ABD848C57}&lt;Citation&gt;&lt;Group&gt;&lt;References&gt;&lt;Item&gt;&lt;ID&gt;522&lt;/ID&gt;&lt;UID&gt;{B5AF9607-1931-4BDB-AE15-EB3ACFA34642}&lt;/UID&gt;&lt;Title&gt;基于轨迹灵敏度的暂态过电压两阶段优化控制&lt;/Title&gt;&lt;Template&gt;Journal Article&lt;/Template&gt;&lt;Star&gt;0&lt;/Star&gt;&lt;Tag&gt;0&lt;/Tag&gt;&lt;Author&gt;王长江; 姜涛; 刘福锁; 陈厚合; 鲁华威&lt;/Author&gt;&lt;Year&gt;2021&lt;/Year&gt;&lt;Details&gt;&lt;_author_aff&gt;现代电力系统仿真控制与绿色电能新技术教育部重点实验室(东北电力大学);智能电网保护和运行控制国家重点实验室南瑞集团(国网电力科学研究院)有限公司;&lt;/_author_aff&gt;&lt;_collection_scope&gt;CSCD;PKU;EI&lt;/_collection_scope&gt;&lt;_created&gt;64344260&lt;/_created&gt;&lt;_date&gt;2020-06-01&lt;/_date&gt;&lt;_db_updated&gt;CNKI - Reference&lt;/_db_updated&gt;&lt;_issue&gt;09&lt;/_issue&gt;&lt;_journal&gt;电工技术学报&lt;/_journal&gt;&lt;_keywords&gt;暂态过电压;轨迹灵敏度;预防控制;恢复电压&lt;/_keywords&gt;&lt;_modified&gt;64441017&lt;/_modified&gt;&lt;_pages&gt;1888-1900+1913&lt;/_pages&gt;&lt;_url&gt;https://kns.cnki.net/kcms/detail/detail.aspx?FileName=DGJS202109012&amp;amp;DbName=CJFQ2021 _x000d__x000a_https://bar.cnki.net/bar/download/order?id=jBGETXBNdPImvx70aLAuJPYxPoFw%2bp%2bi0fIiSrcN6lWJIgD4zB9UiwJWAOs0KEW%2fIPqgR38m15LFMAZn%2bx0j%2f0GxVkq8YHJNz4jV3WhknTrl8E%2bCUVp5GtDTYhVF2dNUoJeGx62Ssygg68TNXJ%2b5JrigejDAar8Xqw%2f6WR22OFXUdUGh4At8VBYSvh%2fCUD5aHqluf4U2lbhXkckImRw0dnD1KEjSejZLN7ZFl6L6ESv5LXYX1qwFXwOc1HUZT%2bTB _x000d__x000a_https://bar.cnki.net/bar/download/order?id=jBGETXBNdPImvx70aLAuJPYxPoFw%2bp%2bi0fIiSrcN6lWJIgD4zB9UiwJWAOs0KEW%2fIPqgR38m15LFMAZn%2bx0j%2f0GxVkq8YHJNz4jV3WhknTrl8E%2bCUVp5GtDTYhVF2dNUoJeGx62Ssygg68TNXJ%2b5JrigejDAar8Xqw%2f6WR22OFXUdUGh4At8VBYSvh%2fCUD5aRMnV8kKg%2fCb6e5TkoVBbk1ZaN1aEYyeSvVhjOWXLW4z5LXYX1qwFXwOc1HUZT%2bTB _x000d__x000a_https://bar.cnki.net/bar/download/order?id=jBGETXBNdPImvx70aLAuJPYxPoFw%2bp%2bi0fIiSrcN6lWJIgD4zB9UiwJWAOs0KEW%2fIPqgR38m15LFMAZn%2bx0j%2f0GxVkq8YHJNz4jV3WhknTrl8E%2bCUVp5GtDTYhVF2dNUoJeGx62Ssygg68TNXJ%2b5JrigejDAar8Xqw%2f6WR22OFXUdUGh4At8VBYSvh%2fCUD5anPqyuMA9vrBRSzrv2gSq3mjrjiUA1i7Br0HLYwF%2fecz5LXYX1qwFXwOc1HUZT%2bTB _x000d__x000a_&lt;/_url&gt;&lt;_volume&gt;36&lt;/_volume&gt;&lt;_translated_author&gt;Wang, Zhang jiang;Jiang, Tao;Liu, Fu suo;Chen, Hou he;Lu, Hua wei&lt;/_translated_author&gt;&lt;/Details&gt;&lt;Extra&gt;&lt;DBUID&gt;{684DF7C5-873E-4B6A-A11E-0CD148BF4011}&lt;/DBUID&gt;&lt;/Extra&gt;&lt;/Item&gt;&lt;/References&gt;&lt;/Group&gt;&lt;Group&gt;&lt;References&gt;&lt;Item&gt;&lt;ID&gt;507&lt;/ID&gt;&lt;UID&gt;{0F41E67F-4FF2-482F-9345-67363B7F0623}&lt;/UID&gt;&lt;Title&gt;风电经特高压直流送出系统的暂态过电压计算方法&lt;/Title&gt;&lt;Template&gt;Journal Article&lt;/Template&gt;&lt;Star&gt;0&lt;/Star&gt;&lt;Tag&gt;0&lt;/Tag&gt;&lt;Author&gt;李帛洋; 晁璞璞; 李卫星; 徐式蕴; 刘新元; 李志民&lt;/Author&gt;&lt;Year&gt;2021&lt;/Year&gt;&lt;Details&gt;&lt;_author_aff&gt;哈尔滨工业大学电气工程及自动化学院;中国电力科学研究院有限公司;国网山西省电力公司电力科学研究院;&lt;/_author_aff&gt;&lt;_collection_scope&gt;CSCD;PKU;EI&lt;/_collection_scope&gt;&lt;_created&gt;64344249&lt;/_created&gt;&lt;_date&gt;2021-12-15&lt;/_date&gt;&lt;_db_updated&gt;CNKI - Reference&lt;/_db_updated&gt;&lt;_issue&gt;12&lt;/_issue&gt;&lt;_journal&gt;电机与控制学报&lt;/_journal&gt;&lt;_keywords&gt;特高压直流;直流闭锁;换相失败;暂态过电压;风电机组;故障穿越&lt;/_keywords&gt;&lt;_modified&gt;64441017&lt;/_modified&gt;&lt;_pages&gt;11-18&lt;/_pages&gt;&lt;_url&gt;https://kns.cnki.net/kcms/detail/detail.aspx?FileName=DJKZ202112002&amp;amp;DbName=CJFQ2021 _x000d__x000a_https://bar.cnki.net/bar/download/order?id=jBGETXBNdPImvx70aLAuJPYxPoFw%2bp%2bi0fIiSrcN6lUFprK49s5b%2fYIzogSE6DWw9OEo97ZCiBA9x8JL1XYq2Z0PLIIoFLYwy5BgUEfsTyzl8E%2bCUVp5GtDTYhVF2dNUoJeGx62Ssygg68TNXJ%2b5JrigejDAar8Xqw%2f6WR22OFXUdUGh4At8VBYSvh%2fCUD5anaU4zXUfp0ZKbNPuDKjSNpOuUyHkorBs%2f26UjMjDhzP5LXYX1qwFXwOc1HUZT%2bTB _x000d__x000a_https://bar.cnki.net/bar/download/order?id=jBGETXBNdPImvx70aLAuJPYxPoFw%2bp%2bi0fIiSrcN6lUFprK49s5b%2fYIzogSE6DWw9OEo97ZCiBA9x8JL1XYq2Z0PLIIoFLYwy5BgUEfsTyzl8E%2bCUVp5GtDTYhVF2dNUoJeGx62Ssygg68TNXJ%2b5JrigejDAar8Xqw%2f6WR22OFXUdUGh4At8VBYSvh%2fCUD5aBEaAFCzWK1tYR9MGZoU5ufTYGftZzTarqejxrpk3b2n5LXYX1qwFXwOc1HUZT%2bTB _x000d__x000a_https://bar.cnki.net/bar/download/order?id=jBGETXBNdPImvx70aLAuJPYxPoFw%2bp%2bi0fIiSrcN6lUFprK49s5b%2fYIzogSE6DWw9OEo97ZCiBA9x8JL1XYq2Z0PLIIoFLYwy5BgUEfsTyzl8E%2bCUVp5GtDTYhVF2dNUoJeGx62Ssygg68TNXJ%2b5JrigejDAar8Xqw%2f6WR22OFXUdUGh4At8VBYSvh%2fCUD5a0VRQxQCgtzy9xKFI3fCPpB05HpuPZzlK20fRUMAauHD5LXYX1qwFXwOc1HUZT%2bTB _x000d__x000a_https://bar.cnki.net/bar/download/order?id=jBGETXBNdPImvx70aLAuJPYxPoFw%2bp%2bi0fIiSrcN6lUFprK49s5b%2fYIzogSE6DWw9OEo97ZCiBA9x8JL1XYq2Z0PLIIoFLYwy5BgUEfsTyzl8E%2bCUVp5GtDTYhVF2dNUoJeGx62Ssygg68TNXJ%2b5JrigejDAar8Xqw%2f6WR22OFXUdUGh4At8VBYSvh%2fCUD5aik22H04KpOZzSS24%2brRmLXer9pR9nXZBl%2baaQcBkiWr5LXYX1qwFXwOc1HUZT%2bTB _x000d__x000a_&lt;/_url&gt;&lt;_volume&gt;25&lt;/_volume&gt;&lt;_translated_author&gt;Li, Bo yang;Chao, Pu pu;Li, Wei xing;Xu, Shi yun;Liu, Xin yuan;Li, Zhi min&lt;/_translated_author&gt;&lt;/Details&gt;&lt;Extra&gt;&lt;DBUID&gt;{684DF7C5-873E-4B6A-A11E-0CD148BF4011}&lt;/DBUID&gt;&lt;/Extra&gt;&lt;/Item&gt;&lt;/References&gt;&lt;/Group&gt;&lt;Group&gt;&lt;References&gt;&lt;Item&gt;&lt;ID&gt;183&lt;/ID&gt;&lt;UID&gt;{18C3581E-07AF-469D-979B-5623BC131F86}&lt;/UID&gt;&lt;Title&gt;直流双极闭锁故障下送端系统暂态过电压计算方法&lt;/Title&gt;&lt;Template&gt;Journal Article&lt;/Template&gt;&lt;Star&gt;0&lt;/Star&gt;&lt;Tag&gt;0&lt;/Tag&gt;&lt;Author&gt;李欣悦; 李凤婷; 尹纯亚; 白海滨&lt;/Author&gt;&lt;Year&gt;2021&lt;/Year&gt;&lt;Details&gt;&lt;_accessed&gt;64625224&lt;/_accessed&gt;&lt;_author_adr&gt;新疆大学电气工程学院;国网新疆电力有限公司昌吉供电公司;&lt;/_author_adr&gt;&lt;_collection_scope&gt;CSCD;PKU&lt;/_collection_scope&gt;&lt;_created&gt;63731467&lt;/_created&gt;&lt;_db_provider&gt;CNKI&lt;/_db_provider&gt;&lt;_isbn&gt;1674-3415&lt;/_isbn&gt;&lt;_issue&gt;01&lt;/_issue&gt;&lt;_journal&gt;电力系统保护与控制&lt;/_journal&gt;&lt;_keywords&gt;特高压直流;直流闭锁;送端交流系统;暂态过电压&lt;/_keywords&gt;&lt;_modified&gt;64440781&lt;/_modified&gt;&lt;_pages&gt;1-8&lt;/_pages&gt;&lt;_url&gt;https://kns.cnki.net/kcms/download.aspx?filename=sp2Vvlkd4cmRphTcKlWQ0oHR1hWQ2RHUrklexkzMyUmRpxGUB9SS0F2KCNUNZdTZR1GaTZERzJlQ5NmcyR0LntUWRJFSCd3ZTlGcqVlWrElV0AnZ4cGU2N1U4VHTJpldL9UdtRnTygTTvUjSqRXMuNnb0REV0tyc&amp;amp;tablename=CJFDLAST2021&amp;amp;dflag=pdfdown _x000d__x000a_https://bar.cnki.net/bar/download/order?id=jBGETXBNdPImvx70aLAuJPYxPoFw%2bp%2bi0fIiSrcN6lXs6FVLNFGJeIOE5eRUlm2bdIHL2Cy%2blkEQPNV7YmeogUGxVkq8YHJNz4jV3WhknTrl8E%2bCUVp5GtDTYhVF2dNUoJeGx62Ssygg68TNXJ%2b5JrigejDAar8Xqw%2f6WR22OFXUdUGh4At8VBYSvh%2fCUD5a9S0oF4cdzeoFirKtQLD6jHer9pR9nXZBl%2baaQcBkiWr5LXYX1qwFXwOc1HUZT%2bTB _x000d__x000a_https://bar.cnki.net/bar/download/order?id=jBGETXBNdPImvx70aLAuJPYxPoFw%2bp%2bi0fIiSrcN6lXs6FVLNFGJeIOE5eRUlm2bdIHL2Cy%2blkEQPNV7YmeogUGxVkq8YHJNz4jV3WhknTrl8E%2bCUVp5GtDTYhVF2dNUoJeGx62Ssygg68TNXJ%2b5JrigejDAar8Xqw%2f6WR22OFXUdUGh4At8VBYSvh%2fCUD5aNp9c4SjxIPKSVcDuMmpGIv%2bnbQ%2bOywBjrM8yUVvcE8b5LXYX1qwFXwOc1HUZT%2bTB _x000d__x000a_&lt;/_url&gt;&lt;_volume&gt;49&lt;/_volume&gt;&lt;_translated_author&gt;Li, Xin yue;Li, Feng ting;Yin, Chun ya;Bai, Hai bin&lt;/_translated_author&gt;&lt;/Details&gt;&lt;Extra&gt;&lt;DBUID&gt;{684DF7C5-873E-4B6A-A11E-0CD148BF4011}&lt;/DBUID&gt;&lt;/Extra&gt;&lt;/Item&gt;&lt;/References&gt;&lt;/Group&gt;&lt;Group&gt;&lt;References&gt;&lt;Item&gt;&lt;ID&gt;170&lt;/ID&gt;&lt;UID&gt;{4DEFE397-3E28-46E2-9D7B-A625C9221CFC}&lt;/UID&gt;&lt;Title&gt;考虑直流电流变化的HVDC系统不对称故障换相失败分析&lt;/Title&gt;&lt;Template&gt;Journal Article&lt;/Template&gt;&lt;Star&gt;0&lt;/Star&gt;&lt;Tag&gt;0&lt;/Tag&gt;&lt;Author&gt;王璐; 李凤婷; 尹纯亚; 辛超山&lt;/Author&gt;&lt;Year&gt;2021&lt;/Year&gt;&lt;Details&gt;&lt;_accessed&gt;63968332&lt;/_accessed&gt;&lt;_author_adr&gt;新疆大学电气工程学院;国网新疆电力有限公司经济技术研究院;&lt;/_author_adr&gt;&lt;_collection_scope&gt;CSCD;PKU&lt;/_collection_scope&gt;&lt;_created&gt;63731466&lt;/_created&gt;&lt;_db_provider&gt;CNKI&lt;/_db_provider&gt;&lt;_isbn&gt;1674-3415&lt;/_isbn&gt;&lt;_issue&gt;01&lt;/_issue&gt;&lt;_journal&gt;电力系统保护与控制&lt;/_journal&gt;&lt;_keywords&gt;高压直流输电;不对称故障;换相失败;直流电流变化;电压变化率&lt;/_keywords&gt;&lt;_modified&gt;64438150&lt;/_modified&gt;&lt;_pages&gt;17-23&lt;/_pages&gt;&lt;_url&gt;https://kns.cnki.net/kcms/download.aspx?filename=DpUdw1WepRVaEJGM5UmTRJVbxE2SyREeul2S5llVmJzRyp1MyIVar4UR1g3Uyw2SyI3aw5UUVRmaNVncalHV0lHd3NncYVFTGVDczcFcxUWe4UleP9EZyZTbVVjdzMkSxokawZTa5siUvgjYO10QSx0bzkFSwpUW&amp;amp;tablename=CJFDLAST2021&amp;amp;dflag=pdfdown _x000d__x000a_https://kns.cnki.net/kcms/download.aspx?filename=0YEavgWeHFDc4sWeYBVaa1kdUNVOtlXclZ0Zol3K2B3czpVVyhkRyUkVj9SN5pkd3ondMdXUOdkQUVVZ0sUZO50MQplMFxmQmx2RKtkW1AnewAlTwQ0QKZWTUtGZ3M0ZjZlVRVlWr40bTVGM00kQZRnY2QWdIZ2Z&amp;amp;tablename=CJFDLAST2021&amp;amp;dflag=pdfdown _x000d__x000a_https://bar.cnki.net/bar/download/order?id=jBGETXBNdPImvx70aLAuJPYxPoFw%2bp%2bi0fIiSrcN6lXs6FVLNFGJeIOE5eRUlm2bu0Y9cJyaeMzChUwbF%2bvmtEGxVkq8YHJNz4jV3WhknTrl8E%2bCUVp5GtDTYhVF2dNUoJeGx62Ssygg68TNXJ%2b5JrigejDAar8Xqw%2f6WR22OFXUdUGh4At8VBYSvh%2fCUD5acTomY2h7zQdwwxxC7zZ0yuPyk0KAUx%2bvRb2nBqtXw1r5LXYX1qwFXwOc1HUZT%2bTB _x000d__x000a_https://bar.cnki.net/bar/download/order?id=jBGETXBNdPImvx70aLAuJPYxPoFw%2bp%2bi0fIiSrcN6lXs6FVLNFGJeIOE5eRUlm2bu0Y9cJyaeMzChUwbF%2bvmtEGxVkq8YHJNz4jV3WhknTrl8E%2bCUVp5GtDTYhVF2dNUoJeGx62Ssygg68TNXJ%2b5JrigejDAar8Xqw%2f6WR22OFXUdUGh4At8VBYSvh%2fCUD5asBHZ7a%2bECCqsIqtsJhX6yYiOXNcILL40gGLlQuHI5NH5LXYX1qwFXwOc1HUZT%2bTB _x000d__x000a_https://bar.cnki.net/bar/download/order?id=jBGETXBNdPImvx70aLAuJPYxPoFw%2bp%2bi0fIiSrcN6lXs6FVLNFGJeIOE5eRUlm2bu0Y9cJyaeMzChUwbF%2bvmtEGxVkq8YHJNz4jV3WhknTrl8E%2bCUVp5GtDTYhVF2dNUoJeGx62Ssygg68TNXJ%2b5JrigejDAar8Xqw%2f6WR22OFXUdUGh4At8VBYSvh%2fCUD5aKRB5NCmGOnYBlogtd6LQHwSRykQOzwRtn%2fv925%2fEyTv5LXYX1qwFXwOc1HUZT%2bTB _x000d__x000a_&lt;/_url&gt;&lt;_volume&gt;49&lt;/_volume&gt;&lt;_translated_author&gt;Wang, Lu;Li, Feng ting;Yin, Chun ya;Xin, Chao shan&lt;/_translated_author&gt;&lt;/Details&gt;&lt;Extra&gt;&lt;DBUID&gt;{684DF7C5-873E-4B6A-A11E-0CD148BF4011}&lt;/DBUID&gt;&lt;/Extra&gt;&lt;/Item&gt;&lt;/References&gt;&lt;/Group&gt;&lt;Group&gt;&lt;References&gt;&lt;Item&gt;&lt;ID&gt;884&lt;/ID&gt;&lt;UID&gt;{04371A64-6FB5-4ACA-825E-EC771A4852EA}&lt;/UID&gt;&lt;Title&gt;基于虚拟电阻的高压直流换相失败期间送端电网暂态过电压抑制方法&lt;/Title&gt;&lt;Template&gt;Journal Article&lt;/Template&gt;&lt;Star&gt;0&lt;/Star&gt;&lt;Tag&gt;0&lt;/Tag&gt;&lt;Author&gt;肖超; 韩伟; 李琼林; 熊小伏; 冯志远&lt;/Author&gt;&lt;Year&gt;2021&lt;/Year&gt;&lt;Details&gt;&lt;_accessed&gt;64426775&lt;/_accessed&gt;&lt;_author_aff&gt;国网河南省电力公司电力科学研究院;重庆大学输配电装备及系统安全与新技术国家重点实验室;郑州大学电气工程学院;&lt;/_author_aff&gt;&lt;_collection_scope&gt;CSCD;PKU&lt;/_collection_scope&gt;&lt;_created&gt;64426765&lt;/_created&gt;&lt;_date&gt;2021-12-01&lt;/_date&gt;&lt;_db_updated&gt;CNKI - Reference&lt;/_db_updated&gt;&lt;_issue&gt;23&lt;/_issue&gt;&lt;_journal&gt;电力系统保护与控制&lt;/_journal&gt;&lt;_keywords&gt;高压直流;换相失败;送端电网;暂态过电压;虚拟电阻&lt;/_keywords&gt;&lt;_modified&gt;64441017&lt;/_modified&gt;&lt;_pages&gt;122-129&lt;/_pages&gt;&lt;_url&gt;https://kns.cnki.net/kcms/detail/detail.aspx?FileName=JDQW202123015&amp;amp;DbName=CJFQ2021 _x000d__x000a_https://bar.cnki.net/bar/download/order?id=jBGETXBNdPImvx70aLAuJPYxPoFw%2bp%2bi0fIiSrcN6lVYfheTlE%2fD5wCYjBMf0tCywURBIovEZWsxpaJNu72Rsp0PLIIoFLYwy5BgUEfsTyzl8E%2bCUVp5GtDTYhVF2dNUoJeGx62Ssygg68TNXJ%2b5JrigejDAar8Xqw%2f6WR22OFXUdUGh4At8VBYSvh%2fCUD5aN3v3ieLuLQZd7pVQT9qsxQSRykQOzwRtn%2fv925%2fEyTv5LXYX1qwFXwOc1HUZT%2bTB _x000d__x000a_https://bar.cnki.net/bar/download/order?id=jBGETXBNdPImvx70aLAuJPYxPoFw%2bp%2bi0fIiSrcN6lVYfheTlE%2fD5wCYjBMf0tCywURBIovEZWsxpaJNu72Rsp0PLIIoFLYwy5BgUEfsTyzl8E%2bCUVp5GtDTYhVF2dNUoJeGx62Ssygg68TNXJ%2b5JrigejDAar8Xqw%2f6WR22OFXUdUGh4At8VBYSvh%2fCUD5aXyabO%2bee14dsLfs%2fRbFt8D2ylb%2baDiGNLaSE7yoLX7%2f5LXYX1qwFXwOc1HUZT%2bTB _x000d__x000a_https://bar.cnki.net/bar/download/order?id=jBGETXBNdPImvx70aLAuJPYxPoFw%2bp%2bi0fIiSrcN6lVYfheTlE%2fD5wCYjBMf0tCywURBIovEZWsxpaJNu72Rsp0PLIIoFLYwy5BgUEfsTyzl8E%2bCUVp5GtDTYhVF2dNUoJeGx62Ssygg68TNXJ%2b5JrigejDAar8Xqw%2f6WR22OFXUdUGh4At8VBYSvh%2fCUD5an0x8Z9jaWqMnCn5BUumUugl7yL%2fXgP2XIvFCNMl9HiP5LXYX1qwFXwOc1HUZT%2bTB _x000d__x000a_&lt;/_url&gt;&lt;_volume&gt;49&lt;/_volume&gt;&lt;_translated_author&gt;Xiao, Chao;Han, Wei;Li, Qiong lin;Xiong, Xiao fu;Feng, Zhi yuan&lt;/_translated_author&gt;&lt;/Details&gt;&lt;Extra&gt;&lt;DBUID&gt;{684DF7C5-873E-4B6A-A11E-0CD148BF4011}&lt;/DBUID&gt;&lt;/Extra&gt;&lt;/Item&gt;&lt;/References&gt;&lt;/Group&gt;&lt;Group&gt;&lt;References&gt;&lt;Item&gt;&lt;ID&gt;393&lt;/ID&gt;&lt;UID&gt;{0CC30749-B811-440D-8E42-8BC6765A8175}&lt;/UID&gt;&lt;Title&gt;直流换相失败下双馈风电机组特性描述及暂态过电压抑制&lt;/Title&gt;&lt;Template&gt;Journal Article&lt;/Template&gt;&lt;Star&gt;0&lt;/Star&gt;&lt;Tag&gt;0&lt;/Tag&gt;&lt;Author&gt;刘其辉; 董楚然; 吴勇; 张亚灵; 逄思敏; 申杰&lt;/Author&gt;&lt;Year&gt;2021&lt;/Year&gt;&lt;Details&gt;&lt;_author_aff&gt;新能源电力系统国家重点实验室(华北电力大学);国网上海市电力公司检修公司;国网上海市电力公司松江供电公司;&lt;/_author_aff&gt;&lt;_collection_scope&gt;CSCD;PKU;EI&lt;/_collection_scope&gt;&lt;_created&gt;64079661&lt;/_created&gt;&lt;_date&gt;2021-10-28&lt;/_date&gt;&lt;_db_updated&gt;CNKI - Reference&lt;/_db_updated&gt;&lt;_journal&gt;电力系统自动化&lt;/_journal&gt;&lt;_keywords&gt;换相失败;双馈感应发电机(DFIG);暂态电压;故障穿越;过电压主动抑制&lt;/_keywords&gt;&lt;_modified&gt;64441017&lt;/_modified&gt;&lt;_pages&gt;1-14&lt;/_pages&gt;&lt;_url&gt;https://kns.cnki.net/kcms/detail/detail.aspx?FileName=DLXT20211027000&amp;amp;DbName=CAPJ2021 _x000d__x000a_https://bar.cnki.net/bar/download/order?id=jBGETXBNdPImvx70aLAuJPYxPoFw%2bp%2bi0fIiSrcN6lXVlq1eBSUeJvjZrOAJvDJukSJjWy3W0i%2b8K1%2b7%2bDUhfJ0PLIIoFLYwy5BgUEfsTyzl8E%2bCUVp5GtDTYhVF2dNUoJeGx62Ssygg68TNXJ%2b5JrigejDAar8Xqw%2f6WR22OFXUdUGh4At8VBYSvh%2fCUD5a7U1nvP9dQs5IhRdmJ3cGYEIPwyDWkVhM%2f9K5VmuW5Tn5LXYX1qwFXwOc1HUZT%2bTB _x000d__x000a_https://bar.cnki.net/bar/download/order?id=jBGETXBNdPImvx70aLAuJPYxPoFw%2bp%2bi0fIiSrcN6lXVlq1eBSUeJvjZrOAJvDJukSJjWy3W0i%2b8K1%2b7%2bDUhfJ0PLIIoFLYwy5BgUEfsTyzl8E%2bCUVp5GtDTYhVF2dNUoJeGx62Ssygg68TNXJ%2b5JrigejDAar8Xqw%2f6WR22OFXUdUGh4At8VBYSvh%2fCUD5aM9LEocCxmrxdbHAhMW759dUr2kvoJV7Lyc0%2fNbix2nb5LXYX1qwFXwOc1HUZT%2bTB _x000d__x000a_&lt;/_url&gt;&lt;_translated_author&gt;Liu, Qi hui;Dong, Chu ran;Wu, Yong;Zhang, Ya ling;Pang, Si min;Shen, Jie&lt;/_translated_author&gt;&lt;/Details&gt;&lt;Extra&gt;&lt;DBUID&gt;{684DF7C5-873E-4B6A-A11E-0CD148BF4011}&lt;/DBUID&gt;&lt;/Extra&gt;&lt;/Item&gt;&lt;/References&gt;&lt;/Group&gt;&lt;Group&gt;&lt;References&gt;&lt;Item&gt;&lt;ID&gt;451&lt;/ID&gt;&lt;UID&gt;{35CD7A67-EB60-4D52-86EA-12367FDB8F1A}&lt;/UID&gt;&lt;Title&gt;风电经特高压直流送出系统的暂态过电压问题研究综述&lt;/Title&gt;&lt;Template&gt;Journal Article&lt;/Template&gt;&lt;Star&gt;0&lt;/Star&gt;&lt;Tag&gt;5&lt;/Tag&gt;&lt;Author&gt;李帛洋; 晁璞璞; 徐式蕴; 李卫星; 刘新元; 李志民&lt;/Author&gt;&lt;Year&gt;2021&lt;/Year&gt;&lt;Details&gt;&lt;_accessed&gt;64441002&lt;/_accessed&gt;&lt;_author_aff&gt;哈尔滨工业大学电气工程及自动化学院;中国电力科学研究院有限公司;国网山西省电力公司电力科学研究院;&lt;/_author_aff&gt;&lt;_collection_scope&gt;CSCD;PKU;EI&lt;/_collection_scope&gt;&lt;_created&gt;64132958&lt;/_created&gt;&lt;_date&gt;2021-11-17&lt;/_date&gt;&lt;_db_updated&gt;CNKI - Reference&lt;/_db_updated&gt;&lt;_journal&gt;电力自动化设备&lt;/_journal&gt;&lt;_keywords&gt;大规模风电;特高压直流;暂态过电压;控制策略&lt;/_keywords&gt;&lt;_modified&gt;64441002&lt;/_modified&gt;&lt;_pages&gt;1-10&lt;/_pages&gt;&lt;_url&gt;https://kns.cnki.net/kcms/detail/detail.aspx?FileName=DLZS20211116000&amp;amp;DbName=CAPJ2021 _x000d__x000a_https://bar.cnki.net/bar/download/order?id=jBGETXBNdPImvx70aLAuJPYxPoFw%2bp%2bi0fIiSrcN6lUtiMQ%2f2Lgm7Z87zDdHzB4WkSJjWy3W0i%2b8K1%2b7%2bDUhfMm82jDOg3yr%2bqRqj9L2CzQtqddCdidyosdSaMNWur3ZJBjdlDrNnftoR5pdZPiFRNlKM4sfpT3nRHSqBOA4sms8GQBtE8Z8mK%2fNwS15YoSEA%2fQVk3hd8OTkVkmwfqxfV8k3vIf8uGHrQx4KQ5g8yTA%3d _x000d__x000a_https://bar.cnki.net/bar/download/order?id=jBGETXBNdPImvx70aLAuJPYxPoFw%2bp%2bi0fIiSrcN6lUtiMQ%2f2Lgm7Z87zDdHzB4WkSJjWy3W0i%2b8K1%2b7%2bDUhfJ0PLIIoFLYwy5BgUEfsTyzl8E%2bCUVp5GtDTYhVF2dNUoJeGx62Ssygg68TNXJ%2b5JrigejDAar8Xqw%2f6WR22OFXUdUGh4At8VBYSvh%2fCUD5aEVKJ6r30%2bQO5Eb1zI%2fVdc3nJm%2bfq9XMLVye%2faawB1wn5LXYX1qwFXwOc1HUZT%2bTB _x000d__x000a_https://bar.cnki.net/bar/download/order?id=jBGETXBNdPImvx70aLAuJPYxPoFw%2bp%2bi0fIiSrcN6lUtiMQ%2f2Lgm7Z87zDdHzB4WkSJjWy3W0i%2b8K1%2b7%2bDUhfJ0PLIIoFLYwy5BgUEfsTyzl8E%2bCUVp5GtDTYhVF2dNUoJeGx62Ssygg68TNXJ%2b5JrigejDAar8Xqw%2f6WR22OFXUdUGh4At8VBYSvh%2fCUD5a2UqkJr5H1Z0XvjrtaLCwynJ%2fk3qb3YlLDmkYcfC%2bquX5LXYX1qwFXwOc1HUZT%2bTB _x000d__x000a_https://bar.cnki.net/bar/download/order?id=jBGETXBNdPImvx70aLAuJPYxPoFw%2bp%2bi0fIiSrcN6lUtiMQ%2f2Lgm7Z87zDdHzB4WkSJjWy3W0i%2b8K1%2b7%2bDUhfJ0PLIIoFLYwy5BgUEfsTyzl8E%2bCUVp5GtDTYhVF2dNUoJeGx62Ssygg68TNXJ%2b5JrigejDAar8Xqw%2f6WR22OFXUdUGh4At8VBYSvh%2fCUD5aNXMPY70RRr8nwIXCqqbMMCyWI5uyZaOI7%2bN0Y06oLwj5LXYX1qwFXwOc1HUZT%2bTB _x000d__x000a_&lt;/_url&gt;&lt;_translated_author&gt;Li, Bo yang;Chao, Pu pu;Xu, Shi yun;Li, Wei xing;Liu, Xin yuan;Li, Zhi min&lt;/_translated_author&gt;&lt;/Details&gt;&lt;Extra&gt;&lt;DBUID&gt;{684DF7C5-873E-4B6A-A11E-0CD148BF4011}&lt;/DBUID&gt;&lt;/Extra&gt;&lt;/Item&gt;&lt;/References&gt;&lt;/Group&gt;&lt;Group&gt;&lt;References&gt;&lt;Item&gt;&lt;ID&gt;509&lt;/ID&gt;&lt;UID&gt;{E20E502B-B4E9-46C1-B45F-8BC8D6721A77}&lt;/UID&gt;&lt;Title&gt;基于短路容量量化评估的大规模新能源直流送端电网运行方式优化方法&lt;/Title&gt;&lt;Template&gt;Journal Article&lt;/Template&gt;&lt;Star&gt;0&lt;/Star&gt;&lt;Tag&gt;0&lt;/Tag&gt;&lt;Author&gt;牛拴保; 柯贤波; 任冲; 霍超; 王智伟; 张钢; 卫琳&lt;/Author&gt;&lt;Year&gt;2021&lt;/Year&gt;&lt;Details&gt;&lt;_author_aff&gt;西安交通大学电气工程学院;国家电网公司西北分部;&lt;/_author_aff&gt;&lt;_collection_scope&gt;CSCD;PKU;EI&lt;/_collection_scope&gt;&lt;_created&gt;64344252&lt;/_created&gt;&lt;_date&gt;2021-09-07&lt;/_date&gt;&lt;_db_updated&gt;CNKI - Reference&lt;/_db_updated&gt;&lt;_issue&gt;12&lt;/_issue&gt;&lt;_journal&gt;电力自动化设备&lt;/_journal&gt;&lt;_keywords&gt;特高压直流;暂态过电压;短路容量;机组组合;优化&lt;/_keywords&gt;&lt;_modified&gt;64438148&lt;/_modified&gt;&lt;_pages&gt;123-129&lt;/_pages&gt;&lt;_url&gt;https://kns.cnki.net/kcms/detail/detail.aspx?FileName=DLZS202112016&amp;amp;DbName=CJFQ2021 _x000d__x000a_https://bar.cnki.net/bar/download/order?id=jBGETXBNdPImvx70aLAuJPYxPoFw%2bp%2bi0fIiSrcN6lUsmghocH64yV638luJi40%2bOk4eyki12Xg7hP2OioSOFp0PLIIoFLYwy5BgUEfsTyzl8E%2bCUVp5GtDTYhVF2dNUoJeGx62Ssygg68TNXJ%2b5JrigejDAar8Xqw%2f6WR22OFXUdUGh4At8VBYSvh%2fCUD5aiyq%2b2Cl9N%2fnsXaZrQ72R%2fg7B4PXYl7DQ8cUM8T1meBv5LXYX1qwFXwOc1HUZT%2bTB _x000d__x000a_https://bar.cnki.net/bar/download/order?id=jBGETXBNdPImvx70aLAuJPYxPoFw%2bp%2bi0fIiSrcN6lUsmghocH64yV638luJi40%2bOk4eyki12Xg7hP2OioSOFp0PLIIoFLYwy5BgUEfsTyzl8E%2bCUVp5GtDTYhVF2dNUoJeGx62Ssygg68TNXJ%2b5JrigejDAar8Xqw%2f6WR22OFXUdUGh4At8VBYSvh%2fCUD5aVe2F4a%2f%2fsxJ%2fUZMdvljqcHy0DUMyLbwyMBR3th7LWsj5LXYX1qwFXwOc1HUZT%2bTB _x000d__x000a_https://bar.cnki.net/bar/download/order?id=jBGETXBNdPImvx70aLAuJPYxPoFw%2bp%2bi0fIiSrcN6lUsmghocH64yV638luJi40%2bOk4eyki12Xg7hP2OioSOFp0PLIIoFLYwy5BgUEfsTyzl8E%2bCUVp5GtDTYhVF2dNUoJeGx62Ssygg68TNXJ%2b5JrigejDAar8Xqw%2f6WR22OFXUdUGh4At8VBYSvh%2fCUD5aJcSut%2fyIMnQKYVifY6vxGPTYGftZzTarqejxrpk3b2n5LXYX1qwFXwOc1HUZT%2bTB _x000d__x000a_&lt;/_url&gt;&lt;_volume&gt;41&lt;/_volume&gt;&lt;_translated_author&gt;Niu, Shuan bao;Ke, Xian bo;Ren, Chong;Huo, Chao;Wang, Zhi wei;Zhang, Gang;Wei, Lin&lt;/_translated_author&gt;&lt;/Details&gt;&lt;Extra&gt;&lt;DBUID&gt;{684DF7C5-873E-4B6A-A11E-0CD148BF4011}&lt;/DBUID&gt;&lt;/Extra&gt;&lt;/Item&gt;&lt;/References&gt;&lt;/Group&gt;&lt;Group&gt;&lt;References&gt;&lt;Item&gt;&lt;ID&gt;895&lt;/ID&gt;&lt;UID&gt;{A6AAA06B-D732-4023-B668-906A250F710F}&lt;/UID&gt;&lt;Title&gt;基于调相机与SVC协调的抑制高压直流送端风机脱网的控制策略&lt;/Title&gt;&lt;Template&gt;Journal Article&lt;/Template&gt;&lt;Star&gt;0&lt;/Star&gt;&lt;Tag&gt;0&lt;/Tag&gt;&lt;Author&gt;朱丽萍; 刘文颖; 邵冲; 徐宏雷; 牛栓保; 陈仕彬&lt;/Author&gt;&lt;Year&gt;2021&lt;/Year&gt;&lt;Details&gt;&lt;_author_aff&gt;华北电力大学新能源电力系统国家重点实验室;国网甘肃省电力公司;国家电网公司西北分部;&lt;/_author_aff&gt;&lt;_cited_count&gt;6&lt;/_cited_count&gt;&lt;_collection_scope&gt;CSCD;PKU;EI&lt;/_collection_scope&gt;&lt;_created&gt;64441041&lt;/_created&gt;&lt;_date&gt;2021-02-03&lt;/_date&gt;&lt;_db_updated&gt;CNKI - Reference&lt;/_db_updated&gt;&lt;_issue&gt;06&lt;/_issue&gt;&lt;_journal&gt;电力自动化设备&lt;/_journal&gt;&lt;_keywords&gt;换相失败;直流闭锁;送端电网;风机连锁脱网;调相机;SVC&lt;/_keywords&gt;&lt;_modified&gt;64441051&lt;/_modified&gt;&lt;_pages&gt;107-115&lt;/_pages&gt;&lt;_url&gt;https://kns.cnki.net/kcms/detail/detail.aspx?FileName=DLZS202106015&amp;amp;DbName=CJFQ2021 _x000d__x000a_https://bar.cnki.net/bar/download/order?id=jBGETXBNdPImvx70aLAuJPYxPoFw%2bp%2bi0fIiSrcN6lX96MsuQtIYTiNMuOqm8qGEwURBIovEZWsxpaJNu72RskGxVkq8YHJNz4jV3WhknTrl8E%2bCUVp5GtDTYhVF2dNUoJeGx62Ssygg68TNXJ%2b5JrigejDAar8Xqw%2f6WR22OFXUdUGh4At8VBYSvh%2fCUD5a9QXezBGOpv9%2b7tN0lwWXzyWZL0ai5A42K%2bdv2kg5hcj5LXYX1qwFXwOc1HUZT%2bTB _x000d__x000a_&lt;/_url&gt;&lt;_volume&gt;41&lt;/_volume&gt;&lt;_translated_author&gt;Zhu, Li ping;Liu, Wen ying;Shao, Chong;Xu, Hong lei;Niu, Shuan bao;Chen, Shi bin&lt;/_translated_author&gt;&lt;/Details&gt;&lt;Extra&gt;&lt;DBUID&gt;{684DF7C5-873E-4B6A-A11E-0CD148BF4011}&lt;/DBUID&gt;&lt;/Extra&gt;&lt;/Item&gt;&lt;/References&gt;&lt;/Group&gt;&lt;Group&gt;&lt;References&gt;&lt;Item&gt;&lt;ID&gt;180&lt;/ID&gt;&lt;UID&gt;{41136A91-9C69-4E8F-BFBA-86794F51E8A5}&lt;/UID&gt;&lt;Title&gt;风机低电压穿越控制对系统暂态过电压的影响及优化&lt;/Title&gt;&lt;Template&gt;Journal Article&lt;/Template&gt;&lt;Star&gt;0&lt;/Star&gt;&lt;Tag&gt;0&lt;/Tag&gt;&lt;Author&gt;贾俊川; 金一丁; 赵兵; 仲悟之; 程势高; 刘涛; 徐希望; 郑帅飞&lt;/Author&gt;&lt;Year&gt;2021&lt;/Year&gt;&lt;Details&gt;&lt;_accessed&gt;64601174&lt;/_accessed&gt;&lt;_author_aff&gt;电网安全与节能国家重点实验室(中国电力科学研究院有限公司);国家电力调度控制中心;&lt;/_author_aff&gt;&lt;_collection_scope&gt;CSCD;PKU;EI&lt;/_collection_scope&gt;&lt;_created&gt;63843448&lt;/_created&gt;&lt;_date&gt;2020-11-25&lt;/_date&gt;&lt;_db_updated&gt;CNKI - Reference&lt;/_db_updated&gt;&lt;_issue&gt;02&lt;/_issue&gt;&lt;_journal&gt;电网技术&lt;/_journal&gt;&lt;_keywords&gt;低电压穿越;暂态过电压;风电机组;有功/无功特性;性能优化&lt;/_keywords&gt;&lt;_modified&gt;64441017&lt;/_modified&gt;&lt;_pages&gt;526-533&lt;/_pages&gt;&lt;_url&gt;https://kns.cnki.net/kcms/detail/detail.aspx?FileName=DWJS202102011&amp;amp;DbName=DKFX2021 _x000d__x000a_https://kns.cnki.net/kcms/download.aspx?filename=GRHOT12Z65Gewc2Z1dHRyR0REp0QYdGT4hmWElWWwRFSn1GTBdzRuNXRJFFVnJXZ6NEZSFXSkpmZZJUYJJnRVJHb4QXYEFEcVFEVUFmdGRjR0tkSzMEZxQzSwp3bMRmbZJzZCdHc2c0UxEHOvM0YsdlZBhVUYlUQ&amp;amp;tablename=CAPJLAST&amp;amp;dflag=pdfdown _x000d__x000a_https://bar.cnki.net/bar/download/order?id=jBGETXBNdPImvx70aLAuJPYxPoFw%2bp%2bi0fIiSrcN6lUWc80rOQ0UkmIocUyrNnsiH%2baLmkDLv%2bEsl5%2f0QJVlG0GxVkq8YHJNz4jV3WhknTrl8E%2bCUVp5GtDTYhVF2dNUoJeGx62Ssygg68TNXJ%2b5JrigejDAar8Xqw%2f6WR22OFXUdUGh4At8VBYSvh%2fCUD5ayxmnnu%2foj6DJJEoCumGzSaJHGuj7fnJt9ikoxP3IEIT5LXYX1qwFXwOc1HUZT%2bTB _x000d__x000a_https://bar.cnki.net/bar/download/order?id=jBGETXBNdPImvx70aLAuJPYxPoFw%2bp%2bi0fIiSrcN6lUWc80rOQ0UkmIocUyrNnsiH%2baLmkDLv%2bEsl5%2f0QJVlG0GxVkq8YHJNz4jV3WhknTrl8E%2bCUVp5GtDTYhVF2dNUoJeGx62Ssygg68TNXJ%2b5JrigejDAar8Xqw%2f6WR22OFXUdUGh4At8VBYSvh%2fCUD5azyvg5zgs01lbWtXjQlSmBk%2bLjlyYIu7nH8eknR%2fJ7rL5LXYX1qwFXwOc1HUZT%2bTB _x000d__x000a_https://bar.cnki.net/bar/download/order?id=jBGETXBNdPImvx70aLAuJPYxPoFw%2bp%2bi0fIiSrcN6lUWc80rOQ0UkmIocUyrNnsiH%2baLmkDLv%2bEsl5%2f0QJVlG0GxVkq8YHJNz4jV3WhknTrl8E%2bCUVp5GtDTYhVF2dNUoJeGx62Ssygg68TNXJ%2b5JrigejDAar8Xqw%2f6WR22OFXUdUGh4At8VBYSvh%2fCUD5auRAe4Vf%2fom5EW79iCatjhucOxCceuMg6Nad5lxtXDbj5LXYX1qwFXwOc1HUZT%2bTB _x000d__x000a_&lt;/_url&gt;&lt;_volume&gt;45&lt;/_volume&gt;&lt;_translated_author&gt;Jia, Jun chuan;Jin, Yi ding;Zhao, Bing;Zhong, Wu zhi;Cheng, Shi gao;Liu, Tao;Xu, Xi wang;Zheng, Shuai fei&lt;/_translated_author&gt;&lt;/Details&gt;&lt;Extra&gt;&lt;DBUID&gt;{684DF7C5-873E-4B6A-A11E-0CD148BF4011}&lt;/DBUID&gt;&lt;/Extra&gt;&lt;/Item&gt;&lt;/References&gt;&lt;/Group&gt;&lt;Group&gt;&lt;References&gt;&lt;Item&gt;&lt;ID&gt;713&lt;/ID&gt;&lt;UID&gt;{14B487B5-4F66-4CF3-8EE2-2C35BFE424E9}&lt;/UID&gt;&lt;Title&gt;功角失稳与暂态过电压并存型锡盟交直流弱送端系统特性分析&lt;/Title&gt;&lt;Template&gt;Journal Article&lt;/Template&gt;&lt;Star&gt;0&lt;/Star&gt;&lt;Tag&gt;0&lt;/Tag&gt;&lt;Author&gt;屠竞哲; 潘艳; 訾鹏; 刘明松; 王超; 张健&lt;/Author&gt;&lt;Year&gt;2021&lt;/Year&gt;&lt;Details&gt;&lt;_author_adr&gt;电网安全与节能国家重点实验室(中国电力科学研究院有限公司);国家电网有限公司华北分部;国家电力调度控制中心;&lt;/_author_adr&gt;&lt;_collection_scope&gt;CSCD;PKU;EI&lt;/_collection_scope&gt;&lt;_created&gt;64344283&lt;/_created&gt;&lt;_db_provider&gt;CNKI&lt;/_db_provider&gt;&lt;_doi&gt;10.13335/j.1000-3673.pst.2020.0189&lt;/_doi&gt;&lt;_isbn&gt;1000-3673&lt;/_isbn&gt;&lt;_issue&gt;04&lt;/_issue&gt;&lt;_journal&gt;电网技术&lt;/_journal&gt;&lt;_keywords&gt;交直流弱送端系统;功角稳定(失稳);暂态过电压;低穿特性;外送能力&lt;/_keywords&gt;&lt;_modified&gt;64441017&lt;/_modified&gt;&lt;_pages&gt;1496-1506&lt;/_pages&gt;&lt;_url&gt;https://kns.cnki.net/kcms/detail/11.2410.TM.20200718.1703.006.html _x000d__x000a_https://bar.cnki.net/bar/download/order?id=jBGETXBNdPImvx70aLAuJPYxPoFw%2bp%2bi0fIiSrcN6lUgned412MdJw3fu4g4M6nTjV8kH35x5ffYcOAgglpoTUGxVkq8YHJNz4jV3WhknTrl8E%2bCUVp5GtDTYhVF2dNUoJeGx62Ssygg68TNXJ%2b5JrigejDAar8Xqw%2f6WR22OFXUdUGh4At8VBYSvh%2fCUD5abSq332uEYQfC5Mf1oXYwB6bPqkOHz6XHGO1cnd%2fPGTr5LXYX1qwFXwOc1HUZT%2bTB _x000d__x000a_https://bar.cnki.net/bar/download/order?id=jBGETXBNdPImvx70aLAuJPYxPoFw%2bp%2bi0fIiSrcN6lUgned412MdJw3fu4g4M6nTjV8kH35x5ffYcOAgglpoTUGxVkq8YHJNz4jV3WhknTrl8E%2bCUVp5GtDTYhVF2dNUoJeGx62Ssygg68TNXJ%2b5JrigejDAar8Xqw%2f6WR22OFXUdUGh4At8VBYSvh%2fCUD5ae%2bNHZ9bXfC%2bzsT1nyXpOpGdWU96ofXqmsGtQKKUp9eP5LXYX1qwFXwOc1HUZT%2bTB _x000d__x000a_https://bar.cnki.net/bar/download/order?id=jBGETXBNdPImvx70aLAuJPYxPoFw%2bp%2bi0fIiSrcN6lUgned412MdJw3fu4g4M6nTjV8kH35x5ffYcOAgglpoTUGxVkq8YHJNz4jV3WhknTrl8E%2bCUVp5GtDTYhVF2dNUoJeGx62Ssygg68TNXJ%2b5JrigejDAar8Xqw%2f6WR22OFXUdUGh4At8VBYSvh%2fCUD5a3hgtSYr8geG2JP%2b0nM9hpOPyk0KAUx%2bvRb2nBqtXw1r5LXYX1qwFXwOc1HUZT%2bTB _x000d__x000a_&lt;/_url&gt;&lt;_volume&gt;45&lt;/_volume&gt;&lt;_translated_author&gt;Tu, Jing zhe;Pan, Yan;Zi, Peng;Liu, Ming song;Wang, Chao;Zhang, Jian&lt;/_translated_author&gt;&lt;/Details&gt;&lt;Extra&gt;&lt;DBUID&gt;{684DF7C5-873E-4B6A-A11E-0CD148BF4011}&lt;/DBUID&gt;&lt;/Extra&gt;&lt;/Item&gt;&lt;/References&gt;&lt;/Group&gt;&lt;Group&gt;&lt;References&gt;&lt;Item&gt;&lt;ID&gt;395&lt;/ID&gt;&lt;UID&gt;{6274F2A3-CB06-40B5-B7AE-01D96F56D81B}&lt;/UID&gt;&lt;Title&gt;风机故障穿越特性对大规模风电直流外送系统暂态过电压的影响及参数优化&lt;/Title&gt;&lt;Template&gt;Journal Article&lt;/Template&gt;&lt;Star&gt;0&lt;/Star&gt;&lt;Tag&gt;0&lt;/Tag&gt;&lt;Author&gt;王熙纯; 刘纯; 林伟芳; 解鸿斌&lt;/Author&gt;&lt;Year&gt;2021&lt;/Year&gt;&lt;Details&gt;&lt;_accessed&gt;64354193&lt;/_accessed&gt;&lt;_author_aff&gt;新能源与储能运行控制国家重点实验室(中国电力科学研究院有限公司);&lt;/_author_aff&gt;&lt;_collection_scope&gt;CSCD;PKU;EI&lt;/_collection_scope&gt;&lt;_created&gt;64079663&lt;/_created&gt;&lt;_date&gt;2021-05-14&lt;/_date&gt;&lt;_db_updated&gt;CNKI - Reference&lt;/_db_updated&gt;&lt;_journal&gt;电网技术&lt;/_journal&gt;&lt;_keywords&gt;暂态过电压;低电压穿越;风电机组;参数优化&lt;/_keywords&gt;&lt;_modified&gt;64441017&lt;/_modified&gt;&lt;_pages&gt;1-10&lt;/_pages&gt;&lt;_url&gt;https://kns.cnki.net/kcms/detail/detail.aspx?FileName=DWJS20210513001&amp;amp;DbName=DKFX2021 _x000d__x000a_https://bar.cnki.net/bar/download/order?id=jBGETXBNdPImvx70aLAuJPYxPoFw%2bp%2bi0fIiSrcN6lUE%2fm6X24IIb6M5isHz7ENq9OEo97ZCiBA9x8JL1XYq2UGxVkq8YHJNz4jV3WhknTrl8E%2bCUVp5GtDTYhVF2dNUoJeGx62Ssygg68TNXJ%2b5JrigejDAar8Xqw%2f6WR22OFXUdUGh4At8VBYSvh%2fCUD5aN6dPTqXllv%2bW8TkHitowude%2bo2b9e0Cppr%2bycIByksf5LXYX1qwFXwOc1HUZT%2bTB _x000d__x000a_https://bar.cnki.net/bar/download/order?id=jBGETXBNdPImvx70aLAuJPYxPoFw%2bp%2bi0fIiSrcN6lUE%2fm6X24IIb6M5isHz7ENq9OEo97ZCiBA9x8JL1XYq2UGxVkq8YHJNz4jV3WhknTrl8E%2bCUVp5GtDTYhVF2dNUoJeGx62Ssygg68TNXJ%2b5JrigejDAar8Xqw%2f6WR22OFXUdUGh4At8VBYSvh%2fCUD5aQO3AExPACQi3BQ%2b0Z05BopOuUyHkorBs%2f26UjMjDhzP5LXYX1qwFXwOc1HUZT%2bTB _x000d__x000a_https://bar.cnki.net/bar/download/order?id=jBGETXBNdPImvx70aLAuJPYxPoFw%2bp%2bi0fIiSrcN6lUE%2fm6X24IIb6M5isHz7ENq9OEo97ZCiBA9x8JL1XYq2UGxVkq8YHJNz4jV3WhknTrl8E%2bCUVp5GtDTYhVF2dNUoJeGx62Ssygg68TNXJ%2b5JrigejDAar8Xqw%2f6WR22OFXUdUGh4At8VBYSvh%2fCUD5aMmpJkA%2fPr6Kpk3UlClxHxw7B4PXYl7DQ8cUM8T1meBv5LXYX1qwFXwOc1HUZT%2bTB _x000d__x000a_https://bar.cnki.net/bar/download/order?id=jBGETXBNdPImvx70aLAuJPYxPoFw%2bp%2bi0fIiSrcN6lUE%2fm6X24IIb6M5isHz7ENq9OEo97ZCiBA9x8JL1XYq2UGxVkq8YHJNz4jV3WhknTrl8E%2bCUVp5GtDTYhVF2dNUoJeGx62Ssygg68TNXJ%2b5JrigejDAar8Xqw%2f6WR22OFXUdUGh4At8VBYSvh%2fCUD5a0LVJvCtbUnkmlC49WS%2bz3gWfuv%2bz7HRA49u8d8lNU7L5LXYX1qwFXwOc1HUZT%2bTB _x000d__x000a_&lt;/_url&gt;&lt;_translated_author&gt;Wang, Xi chun;Liu, Chun;Lin, Wei fang;Jie, Hong bin&lt;/_translated_author&gt;&lt;/Details&gt;&lt;Extra&gt;&lt;DBUID&gt;{684DF7C5-873E-4B6A-A11E-0CD148BF4011}&lt;/DBUID&gt;&lt;/Extra&gt;&lt;/Item&gt;&lt;/References&gt;&lt;/Group&gt;&lt;Group&gt;&lt;References&gt;&lt;Item&gt;&lt;ID&gt;501&lt;/ID&gt;&lt;UID&gt;{BA7F2A66-C895-426B-9C89-39A2DD7A33A6}&lt;/UID&gt;&lt;Title&gt;抑制直流单极闭锁引起大规模风电机组脱网的直流控制策略&lt;/Title&gt;&lt;Template&gt;Journal Article&lt;/Template&gt;&lt;Star&gt;0&lt;/Star&gt;&lt;Tag&gt;0&lt;/Tag&gt;&lt;Author&gt;张起瑞; 李凤婷; 尹纯亚; 刘江山; 陈睿康&lt;/Author&gt;&lt;Year&gt;2021&lt;/Year&gt;&lt;Details&gt;&lt;_author_aff&gt;新疆大学电气工程学院;&lt;/_author_aff&gt;&lt;_collection_scope&gt;CSCD;PKU;EI&lt;/_collection_scope&gt;&lt;_created&gt;64344246&lt;/_created&gt;&lt;_date&gt;2021-07-23&lt;/_date&gt;&lt;_db_updated&gt;CNKI - Reference&lt;/_db_updated&gt;&lt;_issue&gt;10&lt;/_issue&gt;&lt;_journal&gt;高电压技术&lt;/_journal&gt;&lt;_keywords&gt;交直流混联系统;单极闭锁;暂态过电压;风机高压脱网;直流控制策略&lt;/_keywords&gt;&lt;_modified&gt;64438150&lt;/_modified&gt;&lt;_pages&gt;3528-3537&lt;/_pages&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AJ588WIgmmizXoUTj2BPhe2Nz0AHLmjkWcnJY9U7lZz5LXYX1qwFXwOc1HUZT%2bTB _x000d__x000a_https://bar.cnki.net/bar/download/order?id=jBGETXBNdPImvx70aLAuJPYxPoFw%2bp%2bi0fIiSrcN6lWkV1tJa%2bxWNY0JklBMe8Tf%2bDdkDFepkUoGamH8rMrnz0GxVkq8YHJNz4jV3WhknTrl8E%2bCUVp5GtDTYhVF2dNUoJeGx62Ssygg68TNXJ%2b5JrigejDAar8Xqw%2f6WR22OFXUdUGh4At8VBYSvh%2fCUD5aj9tgWGRPuzBdu8PnnRxZtASRykQOzwRtn%2fv925%2fEyTv5LXYX1qwFXwOc1HUZT%2bTB _x000d__x000a_https://bar.cnki.net/bar/download/order?id=jBGETXBNdPImvx70aLAuJPYxPoFw%2bp%2bi0fIiSrcN6lWkV1tJa%2bxWNY0JklBMe8Tf%2bDdkDFepkUoGamH8rMrnz0GxVkq8YHJNz4jV3WhknTrl8E%2bCUVp5GtDTYhVF2dNUoJeGx62Ssygg68TNXJ%2b5JrigejDAar8Xqw%2f6WR22OFXUdUGh4At8VBYSvh%2fCUD5aDvmoM6VQbfi3qcBMvtv09fqSXm0CuW1w%2fFfWv6Rai0X5LXYX1qwFXwOc1HUZT%2bTB _x000d__x000a_&lt;/_url&gt;&lt;_volume&gt;47&lt;/_volume&gt;&lt;_translated_author&gt;Zhang, Qi rui;Li, Feng ting;Yin, Chun ya;Liu, Jiang shan;Chen, Rui kang&lt;/_translated_author&gt;&lt;/Details&gt;&lt;Extra&gt;&lt;DBUID&gt;{684DF7C5-873E-4B6A-A11E-0CD148BF4011}&lt;/DBUID&gt;&lt;/Extra&gt;&lt;/Item&gt;&lt;/References&gt;&lt;/Group&gt;&lt;/Citation&gt;_x000a_"/>
    <w:docVar w:name="NE.Ref{C16015B0-670B-413B-A4E4-4F48B16BAE14}" w:val=" ADDIN NE.Ref.{C16015B0-670B-413B-A4E4-4F48B16BAE14}&lt;Citation&gt;&lt;Group&gt;&lt;References&gt;&lt;Item&gt;&lt;ID&gt;416&lt;/ID&gt;&lt;UID&gt;{DAE97B38-DF4A-44A7-BCE6-477F1BD17FC0}&lt;/UID&gt;&lt;Title&gt;基于进化计算的含风电及电动汽车的电力系统调度研究&lt;/Title&gt;&lt;Template&gt;Thesis&lt;/Template&gt;&lt;Star&gt;0&lt;/Star&gt;&lt;Tag&gt;0&lt;/Tag&gt;&lt;Author&gt;乔百豪&lt;/Author&gt;&lt;Year&gt;2018&lt;/Year&gt;&lt;Details&gt;&lt;_created&gt;63642783&lt;/_created&gt;&lt;_db_provider&gt;CNKI&lt;/_db_provider&gt;&lt;_keywords&gt;电力系统调度;风电;电动汽车;多目标优化&lt;/_keywords&gt;&lt;_modified&gt;63642783&lt;/_modified&gt;&lt;_publisher&gt;中原工学院&lt;/_publisher&gt;&lt;_tertiary_author&gt;瞿博阳&lt;/_tertiary_author&gt;&lt;_type_work&gt;硕士&lt;/_type_work&gt;&lt;_translated_author&gt;Qiao, Baihao&lt;/_translated_author&gt;&lt;_translated_tertiary_author&gt;Ju, Boyang&lt;/_translated_tertiary_author&gt;&lt;/Details&gt;&lt;Extra&gt;&lt;DBUID&gt;{F96A950B-833F-4880-A151-76DA2D6A2879}&lt;/DBUID&gt;&lt;/Extra&gt;&lt;/Item&gt;&lt;/References&gt;&lt;/Group&gt;&lt;/Citation&gt;_x000a_"/>
    <w:docVar w:name="NE.Ref{C1C89770-BBD5-4644-B852-0BF259AF0D12}" w:val=" ADDIN NE.Ref.{C1C89770-BBD5-4644-B852-0BF259AF0D12}&lt;Citation&gt;&lt;Group&gt;&lt;References&gt;&lt;Item&gt;&lt;ID&gt;1058&lt;/ID&gt;&lt;UID&gt;{B2073171-4F8B-44E9-AFAD-7583238B9146}&lt;/UID&gt;&lt;Title&gt;Overvoltage Suppression Under Commutation Failure Based on Improved Voltage-Dependent Current Order Limiter Control Strategy&lt;/Title&gt;&lt;Template&gt;Journal Article&lt;/Template&gt;&lt;Star&gt;0&lt;/Star&gt;&lt;Tag&gt;0&lt;/Tag&gt;&lt;Author&gt;T., Wang; L., Pei; J., Wang; Z., Wang&lt;/Author&gt;&lt;Year&gt;2022&lt;/Year&gt;&lt;Details&gt;&lt;_alternate_title&gt;IEEE Transactions on Industry Applications; IEEE Transactions on Industry ApplicationsIEEE Transactions on Industry Applications&lt;/_alternate_title&gt;&lt;_date_display&gt;2022_x000d__x000a_July-Aug. 2022_x000d__x000a_July-Aug. 2022&lt;/_date_display&gt;&lt;_date&gt;2022-01-01&lt;/_date&gt;&lt;_doi&gt;10.1109/TIA.2022.3171747&lt;/_doi&gt;&lt;_isbn&gt;1939-9367&lt;/_isbn&gt;&lt;_issue&gt;4&lt;/_issue&gt;&lt;_journal&gt;IEEE Transactions on Industry Applications&lt;/_journal&gt;&lt;_keywords&gt;Rectifiers; Voltage control; Reactive power; Inverters; Control systems; Transient analysis; Steady-state; Commutation failure (CF); overvoltage suppression strategy; rectifier; transient overvoltage; voltage-dependent current order limiter (VDCOL)&lt;/_keywords&gt;&lt;_pages&gt;4914-4922&lt;/_pages&gt;&lt;_url&gt;https://dx.doi.org/10.1109/TIA.2022.3171747&lt;/_url&gt;&lt;_volume&gt;58&lt;/_volume&gt;&lt;_created&gt;64779615&lt;/_created&gt;&lt;_modified&gt;64779616&lt;/_modified&gt;&lt;_db_updated&gt;IEEE&lt;/_db_updated&gt;&lt;_impact_factor&gt;   4.079&lt;/_impact_factor&gt;&lt;_social_category&gt;工程技术(3)&lt;/_social_category&gt;&lt;_collection_scope&gt;SCI;SCIE;EI&lt;/_collection_scope&gt;&lt;/Details&gt;&lt;Extra&gt;&lt;DBUID&gt;{684DF7C5-873E-4B6A-A11E-0CD148BF4011}&lt;/DBUID&gt;&lt;/Extra&gt;&lt;/Item&gt;&lt;/References&gt;&lt;/Group&gt;&lt;Group&gt;&lt;References&gt;&lt;Item&gt;&lt;ID&gt;1057&lt;/ID&gt;&lt;UID&gt;{0563D8E1-1636-498B-9FA7-485477630D17}&lt;/UID&gt;&lt;Title&gt;Overvoltage Suppression Strategy for Sending AC Grid With High Penetration of Wind Power in the LCC-HVdc System Under Commutation Failure&lt;/Title&gt;&lt;Template&gt;Journal Article&lt;/Template&gt;&lt;Star&gt;0&lt;/Star&gt;&lt;Tag&gt;0&lt;/Tag&gt;&lt;Author&gt;X., Jin; H., Nian&lt;/Author&gt;&lt;Year&gt;2021&lt;/Year&gt;&lt;Details&gt;&lt;_alternate_title&gt;IEEE Transactions on Power Electronics; IEEE Transactions on Power ElectronicsIEEE Transactions on Power Electronics&lt;/_alternate_title&gt;&lt;_date_display&gt;2021_x000d__x000a_Sept. 2021_x000d__x000a_Sept. 2021&lt;/_date_display&gt;&lt;_date&gt;2021-01-01&lt;/_date&gt;&lt;_doi&gt;10.1109/TPEL.2021.3066641&lt;/_doi&gt;&lt;_isbn&gt;1941-0107&lt;/_isbn&gt;&lt;_issue&gt;9&lt;/_issue&gt;&lt;_journal&gt;IEEE Transactions on Power Electronics&lt;/_journal&gt;&lt;_keywords&gt;Voltage control; Wind turbines; Rectifiers; Wind power generation; Delays; Reactive power; Transient analysis; Commutation failure; delay compensation; high wind power penetration; line commutated converter (LCC) based high-voltage direct current (HVdc); overvoltage suppression strategy; sending ac grid&lt;/_keywords&gt;&lt;_pages&gt;10265-10277&lt;/_pages&gt;&lt;_url&gt;https://dx.doi.org/10.1109/TPEL.2021.3066641&lt;/_url&gt;&lt;_volume&gt;36&lt;/_volume&gt;&lt;_created&gt;64779615&lt;/_created&gt;&lt;_modified&gt;64779616&lt;/_modified&gt;&lt;_db_updated&gt;IEEE&lt;/_db_updated&gt;&lt;_impact_factor&gt;   5.967&lt;/_impact_factor&gt;&lt;_social_category&gt;工程技术(1)&lt;/_social_category&gt;&lt;_collection_scope&gt;SCI;SCIE;EI&lt;/_collection_scope&gt;&lt;/Details&gt;&lt;Extra&gt;&lt;DBUID&gt;{684DF7C5-873E-4B6A-A11E-0CD148BF4011}&lt;/DBUID&gt;&lt;/Extra&gt;&lt;/Item&gt;&lt;/References&gt;&lt;/Group&gt;&lt;/Citation&gt;_x000a_"/>
    <w:docVar w:name="NE.Ref{C1CDDE92-C406-430C-8473-A46F14052370}" w:val=" ADDIN NE.Ref.{C1CDDE92-C406-430C-8473-A46F14052370}&lt;Citation&gt;&lt;Group&gt;&lt;References&gt;&lt;Item&gt;&lt;ID&gt;581&lt;/ID&gt;&lt;UID&gt;{0A43A6CF-266A-4766-B24F-080E7A47DEFC}&lt;/UID&gt;&lt;Title&gt;Multi-objective economic emission load dispatch solution using gravitational search algorithm and considering wind power penetration&lt;/Title&gt;&lt;Template&gt;Journal Article&lt;/Template&gt;&lt;Star&gt;0&lt;/Star&gt;&lt;Tag&gt;0&lt;/Tag&gt;&lt;Author&gt;Mondal, Oumitra; Bhattacharya, Aniruddha; Dey, Sunita Halder Nee&lt;/Author&gt;&lt;Year&gt;2013&lt;/Year&gt;&lt;Details&gt;&lt;_collection_scope&gt;SCIE;EI&lt;/_collection_scope&gt;&lt;_created&gt;63704823&lt;/_created&gt;&lt;_impact_factor&gt;   3.588&lt;/_impact_factor&gt;&lt;_journal&gt;International Journal of Electrical Power &amp;amp; Energy Systems&lt;/_journal&gt;&lt;_modified&gt;63704823&lt;/_modified&gt;&lt;/Details&gt;&lt;Extra&gt;&lt;DBUID&gt;{F96A950B-833F-4880-A151-76DA2D6A2879}&lt;/DBUID&gt;&lt;/Extra&gt;&lt;/Item&gt;&lt;/References&gt;&lt;/Group&gt;&lt;Group&gt;&lt;References&gt;&lt;Item&gt;&lt;ID&gt;582&lt;/ID&gt;&lt;UID&gt;{1E5C3749-AC6F-49C8-9009-E6541C528E20}&lt;/UID&gt;&lt;Title&gt;Modified harmony search algorithm for combined economic emission dispatch of microgrid incorporating renewable sources&lt;/Title&gt;&lt;Template&gt;Journal Article&lt;/Template&gt;&lt;Star&gt;0&lt;/Star&gt;&lt;Tag&gt;0&lt;/Tag&gt;&lt;Author&gt;Elattar, Ehab E&lt;/Author&gt;&lt;Year&gt;2018&lt;/Year&gt;&lt;Details&gt;&lt;_collection_scope&gt;SCI;SCIE;EI&lt;/_collection_scope&gt;&lt;_created&gt;63704823&lt;/_created&gt;&lt;_impact_factor&gt;   6.082&lt;/_impact_factor&gt;&lt;_issue&gt;sep.15&lt;/_issue&gt;&lt;_journal&gt;Energy&lt;/_journal&gt;&lt;_modified&gt;63704823&lt;/_modified&gt;&lt;_pages&gt;496-507&lt;/_pages&gt;&lt;_volume&gt;159&lt;/_volume&gt;&lt;/Details&gt;&lt;Extra&gt;&lt;DBUID&gt;{F96A950B-833F-4880-A151-76DA2D6A2879}&lt;/DBUID&gt;&lt;/Extra&gt;&lt;/Item&gt;&lt;/References&gt;&lt;/Group&gt;&lt;/Citation&gt;_x000a_"/>
    <w:docVar w:name="NE.Ref{C1FB8EAA-7A12-499B-B5A8-1C9149E60F29}" w:val=" ADDIN NE.Ref.{C1FB8EAA-7A12-499B-B5A8-1C9149E60F29}&lt;Citation&gt;&lt;Group&gt;&lt;References&gt;&lt;Item&gt;&lt;ID&gt;514&lt;/ID&gt;&lt;UID&gt;{A8014B9C-1BA4-4134-B039-3709AC20E2FC}&lt;/UID&gt;&lt;Title&gt;Mitigation of commutation failures in LCC-HVDC systems based on superconducting fault current limiters&lt;/Title&gt;&lt;Template&gt;Journal Article&lt;/Template&gt;&lt;Star&gt;0&lt;/Star&gt;&lt;Tag&gt;0&lt;/Tag&gt;&lt;Author&gt;Lee, Jong-Geon; Khan, Umer Amir; Lee, Ho-Yun; Lim, Sung-Woo; Lee, Bang-Wook&lt;/Author&gt;&lt;Year&gt;2016&lt;/Year&gt;&lt;Details&gt;&lt;_accessed&gt;63445919&lt;/_accessed&gt;&lt;_accession_num&gt;WOS:000389518400042_x000d__x000a_ER&lt;/_accession_num&gt;&lt;_cited_count&gt;6&lt;/_cited_count&gt;&lt;_collection_scope&gt;SCI;SCIE;EI&lt;/_collection_scope&gt;&lt;_created&gt;63444588&lt;/_created&gt;&lt;_date_display&gt;2016, NOV 15 2016&lt;/_date_display&gt;&lt;_db_provider&gt;ISI&lt;/_db_provider&gt;&lt;_doi&gt;10.1016/j.physc.2016.02.008&lt;/_doi&gt;&lt;_impact_factor&gt;   1.241&lt;/_impact_factor&gt;&lt;_isbn&gt;0921-4534&lt;/_isbn&gt;&lt;_journal&gt;PHYSICA C-SUPERCONDUCTIVITY AND ITS APPLICATIONS&lt;/_journal&gt;&lt;_modified&gt;63445919&lt;/_modified&gt;&lt;_pages&gt;160-163&lt;/_pages&gt;&lt;_url&gt;http://gateway.isiknowledge.com/gateway/Gateway.cgi?GWVersion=2&amp;amp;SrcAuth=AegeanSoftware&amp;amp;SrcApp=NoteExpress&amp;amp;DestLinkType=FullRecord&amp;amp;DestApp=WOS&amp;amp;KeyUT=000389518400042&lt;/_url&gt;&lt;_volume&gt;530&lt;/_volume&gt;&lt;/Details&gt;&lt;Extra&gt;&lt;DBUID&gt;{6891F4B0-DCBA-459A-9A22-3059983243D4}&lt;/DBUID&gt;&lt;/Extra&gt;&lt;/Item&gt;&lt;/References&gt;&lt;/Group&gt;&lt;Group&gt;&lt;References&gt;&lt;Item&gt;&lt;ID&gt;473&lt;/ID&gt;&lt;UID&gt;{3C1AE69B-06D9-4C00-8054-17E4090028A0}&lt;/UID&gt;&lt;Title&gt;Application of SFCLs to Inhibit Commutation Failure in HVdc Systems: Position Comparison and Resistance Recommendation&lt;/Title&gt;&lt;Template&gt;Journal Article&lt;/Template&gt;&lt;Star&gt;0&lt;/Star&gt;&lt;Tag&gt;0&lt;/Tag&gt;&lt;Author&gt;Zhu, Jia; Li, Yinhong; Duan, Xianzhong&lt;/Author&gt;&lt;Year&gt;2017&lt;/Year&gt;&lt;Details&gt;&lt;_accessed&gt;63445929&lt;/_accessed&gt;&lt;_accession_num&gt;WOS:000397060300004_x000d__x000a_ER&lt;/_accession_num&gt;&lt;_cited_count&gt;5&lt;/_cited_count&gt;&lt;_collection_scope&gt;SCIE;EI&lt;/_collection_scope&gt;&lt;_created&gt;63444588&lt;/_created&gt;&lt;_date_display&gt;2017, WIN 2017&lt;/_date_display&gt;&lt;_db_provider&gt;ISI&lt;/_db_provider&gt;&lt;_doi&gt;10.1109/CJECE.2016.2611616&lt;/_doi&gt;&lt;_impact_factor&gt;   1.400&lt;/_impact_factor&gt;&lt;_isbn&gt;0840-8688&lt;/_isbn&gt;&lt;_issue&gt;1&lt;/_issue&gt;&lt;_journal&gt;CANADIAN JOURNAL OF ELECTRICAL AND COMPUTER ENGINEERING-REVUE CANADIENNE DE GENIE ELECTRIQUE ET INFORMATIQUE&lt;/_journal&gt;&lt;_modified&gt;63445929&lt;/_modified&gt;&lt;_pages&gt;31-40&lt;/_pages&gt;&lt;_url&gt;http://gateway.isiknowledge.com/gateway/Gateway.cgi?GWVersion=2&amp;amp;SrcAuth=AegeanSoftware&amp;amp;SrcApp=NoteExpress&amp;amp;DestLinkType=FullRecord&amp;amp;DestApp=WOS&amp;amp;KeyUT=000397060300004&lt;/_url&gt;&lt;_volume&gt;40&lt;/_volume&gt;&lt;/Details&gt;&lt;Extra&gt;&lt;DBUID&gt;{6891F4B0-DCBA-459A-9A22-3059983243D4}&lt;/DBUID&gt;&lt;/Extra&gt;&lt;/Item&gt;&lt;/References&gt;&lt;/Group&gt;&lt;/Citation&gt;_x000a_"/>
    <w:docVar w:name="NE.Ref{C23DD7F4-26A2-4E6F-9E55-BA042709020B}" w:val=" ADDIN NE.Ref.{C23DD7F4-26A2-4E6F-9E55-BA042709020B}&lt;Citation&gt;&lt;Group&gt;&lt;References&gt;&lt;Item&gt;&lt;ID&gt;610&lt;/ID&gt;&lt;UID&gt;{7F5A125A-FAED-48D4-9955-12E567B84D85}&lt;/UID&gt;&lt;Title&gt;Distributed Energy Management of Community Energy Internet Based on Leader-Followers Game&lt;/Title&gt;&lt;Template&gt;Journal Article&lt;/Template&gt;&lt;Star&gt;0&lt;/Star&gt;&lt;Tag&gt;0&lt;/Tag&gt;&lt;Author&gt;Ma, Li; Liu, Nian; Zhang, Jianhua; Wang, Cheng; Hou, Yiming&lt;/Author&gt;&lt;Year&gt;2016&lt;/Year&gt;&lt;Details&gt;&lt;_accession_num&gt;CSCD:5877631_x000d__x000a_ER&lt;/_accession_num&gt;&lt;_cited_count&gt;5&lt;/_cited_count&gt;&lt;_created&gt;63705312&lt;/_created&gt;&lt;_date_display&gt;2016, 2016&lt;/_date_display&gt;&lt;_db_provider&gt;ISI&lt;/_db_provider&gt;&lt;_isbn&gt;1000-3673&lt;/_isbn&gt;&lt;_issue&gt;1000-3673(2016)40:12&amp;lt;3655:JYZCBY&amp;gt;2.0.TX;2-S12&lt;/_issue&gt;&lt;_journal&gt;Power System Technology&lt;/_journal&gt;&lt;_modified&gt;63705312&lt;/_modified&gt;&lt;_pages&gt;3655-3662&lt;/_pages&gt;&lt;_tertiary_title&gt;电网技术&lt;/_tertiary_title&gt;&lt;_translated_author&gt;马丽_x000d__x000a_   刘念_x000d__x000a_   张建华_x000d__x000a_   王程_x000d__x000a_   侯义明&lt;/_translated_author&gt;&lt;_translated_title&gt;基于主从博弈策略的社区能源互联网分布式能量管理&lt;/_translated_title&gt;&lt;_url&gt;CSCD:5877631&lt;/_url&gt;&lt;_volume&gt;40&lt;/_volume&gt;&lt;/Details&gt;&lt;Extra&gt;&lt;DBUID&gt;{F96A950B-833F-4880-A151-76DA2D6A2879}&lt;/DBUID&gt;&lt;/Extra&gt;&lt;/Item&gt;&lt;/References&gt;&lt;/Group&gt;&lt;/Citation&gt;_x000a_"/>
    <w:docVar w:name="NE.Ref{C2A32FF4-5F69-4583-9EB0-9F74EF572368}" w:val=" ADDIN NE.Ref.{C2A32FF4-5F69-4583-9EB0-9F74EF572368}&lt;Citation&gt;&lt;Group&gt;&lt;References&gt;&lt;Item&gt;&lt;ID&gt;413&lt;/ID&gt;&lt;UID&gt;{BCEEC096-86E5-489B-A16E-FB5FF82A58C6}&lt;/UID&gt;&lt;Title&gt;Hybrid DE-SQP and hybrid PSO-SQP methods for solvin dynamic economic emission dispatch problem with valve-point effects&lt;/Title&gt;&lt;Template&gt;Journal Article&lt;/Template&gt;&lt;Star&gt;0&lt;/Star&gt;&lt;Tag&gt;0&lt;/Tag&gt;&lt;Author&gt;Elaiw, A M; Xia, X; Shehata, A M&lt;/Author&gt;&lt;Year&gt;2013&lt;/Year&gt;&lt;Details&gt;&lt;_collection_scope&gt;SCIE;EI&lt;/_collection_scope&gt;&lt;_created&gt;63642108&lt;/_created&gt;&lt;_impact_factor&gt;   3.211&lt;/_impact_factor&gt;&lt;_journal&gt;Electric Power Systems Research&lt;/_journal&gt;&lt;_modified&gt;63642108&lt;/_modified&gt;&lt;_pages&gt;192-200&lt;/_pages&gt;&lt;_volume&gt;103&lt;/_volume&gt;&lt;/Details&gt;&lt;Extra&gt;&lt;DBUID&gt;{F96A950B-833F-4880-A151-76DA2D6A2879}&lt;/DBUID&gt;&lt;/Extra&gt;&lt;/Item&gt;&lt;/References&gt;&lt;/Group&gt;&lt;/Citation&gt;_x000a_"/>
    <w:docVar w:name="NE.Ref{C2C6ED58-60C7-4131-A8AC-970D303451A4}" w:val=" ADDIN NE.Ref.{C2C6ED58-60C7-4131-A8AC-970D303451A4}&lt;Citation&gt;&lt;Group&gt;&lt;References&gt;&lt;Item&gt;&lt;ID&gt;427&lt;/ID&gt;&lt;UID&gt;{4ADD1227-4EBA-493C-8D65-271074435674}&lt;/UID&gt;&lt;Title&gt;A Predictive Control Strategy for Mitigation of Commutation Failure in LCC-Based HVDC Systems&lt;/Title&gt;&lt;Template&gt;Journal Article&lt;/Template&gt;&lt;Star&gt;0&lt;/Star&gt;&lt;Tag&gt;0&lt;/Tag&gt;&lt;Author&gt;Mirsaeidi, Sohrab; Dong, Xinzhou; Tzelepis, Dimitrios; Said, Dalila Mat; Dysko, Adam; Booth, Campbell&lt;/Author&gt;&lt;Year&gt;2019&lt;/Year&gt;&lt;Details&gt;&lt;_accessed&gt;63453162&lt;/_accessed&gt;&lt;_accession_num&gt;WOS:000451907000019_x000d__x000a_ER&lt;/_accession_num&gt;&lt;_cited_count&gt;17&lt;/_cited_count&gt;&lt;_collection_scope&gt;SCI;SCIE;EI&lt;/_collection_scope&gt;&lt;_created&gt;63444588&lt;/_created&gt;&lt;_date_display&gt;2019, JAN 2019&lt;/_date_display&gt;&lt;_db_provider&gt;ISI&lt;/_db_provider&gt;&lt;_doi&gt;10.1109/TPEL.2018.2820152&lt;/_doi&gt;&lt;_impact_factor&gt;   5.967&lt;/_impact_factor&gt;&lt;_isbn&gt;0885-8993&lt;/_isbn&gt;&lt;_issue&gt;1&lt;/_issue&gt;&lt;_journal&gt;IEEE TRANSACTIONS ON POWER ELECTRONICS&lt;/_journal&gt;&lt;_modified&gt;64498637&lt;/_modified&gt;&lt;_pages&gt;160-172&lt;/_pages&gt;&lt;_url&gt;http://gateway.isiknowledge.com/gateway/Gateway.cgi?GWVersion=2&amp;amp;SrcAuth=AegeanSoftware&amp;amp;SrcApp=NoteExpress&amp;amp;DestLinkType=FullRecord&amp;amp;DestApp=WOS&amp;amp;KeyUT=000451907000019 _x000d__x000a_https://ieeexplore.ieee.org/stampPDF/getPDF.jsp?tp=&amp;amp;arnumber=8327514&amp;amp;ref=aHR0cHM6Ly9pZWVleHBsb3JlLmllZWUub3JnL3Jlc3Qvc2VhcmNo _x000d__x000a_&lt;/_url&gt;&lt;_volume&gt;34&lt;/_volume&gt;&lt;/Details&gt;&lt;Extra&gt;&lt;DBUID&gt;{6891F4B0-DCBA-459A-9A22-3059983243D4}&lt;/DBUID&gt;&lt;/Extra&gt;&lt;/Item&gt;&lt;/References&gt;&lt;/Group&gt;&lt;/Citation&gt;_x000a_"/>
    <w:docVar w:name="NE.Ref{C3C3321C-6DD3-4C2D-B259-17409CACAB00}" w:val=" ADDIN NE.Ref.{C3C3321C-6DD3-4C2D-B259-17409CACAB00}&lt;Citation&gt;&lt;Group&gt;&lt;References&gt;&lt;Item&gt;&lt;ID&gt;669&lt;/ID&gt;&lt;UID&gt;{5D86C198-DF12-4DB8-AD56-FC2DEC2218B7}&lt;/UID&gt;&lt;Title&gt;Constant power factor control system for HVDC transmission--1976&lt;/Title&gt;&lt;Template&gt;Journal Article&lt;/Template&gt;&lt;Star&gt;0&lt;/Star&gt;&lt;Tag&gt;0&lt;/Tag&gt;&lt;Author&gt;Nishimura, F; Watanabe, A; Fujii, N; Ogata, F&lt;/Author&gt;&lt;Year&gt;1976&lt;/Year&gt;&lt;Details&gt;&lt;_accessed&gt;63446180&lt;/_accessed&gt;&lt;_created&gt;63446175&lt;/_created&gt;&lt;_issue&gt;6&lt;/_issue&gt;&lt;_journal&gt;IEEE Transactions on Power Apparatus and Systems&lt;/_journal&gt;&lt;_modified&gt;63446182&lt;/_modified&gt;&lt;_pages&gt;1845-1853&lt;/_pages&gt;&lt;_volume&gt;PAS-95&lt;/_volume&gt;&lt;/Details&gt;&lt;Extra&gt;&lt;DBUID&gt;{6891F4B0-DCBA-459A-9A22-3059983243D4}&lt;/DBUID&gt;&lt;/Extra&gt;&lt;/Item&gt;&lt;/References&gt;&lt;/Group&gt;&lt;/Citation&gt;_x000a_"/>
    <w:docVar w:name="NE.Ref{C44AE560-88E6-41EF-9C93-1467A290B08E}" w:val=" ADDIN NE.Ref.{C44AE560-88E6-41EF-9C93-1467A290B08E}&lt;Citation&gt;&lt;Group&gt;&lt;References&gt;&lt;Item&gt;&lt;ID&gt;429&lt;/ID&gt;&lt;UID&gt;{B3EB24ED-1C26-4EB1-807A-E11D9CD17A5C}&lt;/UID&gt;&lt;Title&gt;计及综合成本的风电–光伏–光热联合出力调度策略&lt;/Title&gt;&lt;Template&gt;Journal Article&lt;/Template&gt;&lt;Star&gt;0&lt;/Star&gt;&lt;Tag&gt;0&lt;/Tag&gt;&lt;Author&gt;崔杨; 杨志文; 张节潭; 王茂春; 严干贵&lt;/Author&gt;&lt;Year&gt;2019&lt;/Year&gt;&lt;Details&gt;&lt;_author_adr&gt;东北电力大学电气工程学院;国网青海省电力公司;青海省光伏发电并网技术重点实验室;&lt;/_author_adr&gt;&lt;_collection_scope&gt;CSCD;PKU;EI&lt;/_collection_scope&gt;&lt;_created&gt;63647248&lt;/_created&gt;&lt;_db_provider&gt;CNKI&lt;/_db_provider&gt;&lt;_isbn&gt;1003-6520&lt;/_isbn&gt;&lt;_issue&gt;01&lt;/_issue&gt;&lt;_journal&gt;高电压技术&lt;/_journal&gt;&lt;_keywords&gt;风电;光伏发电;光热发电;综合成本;并网消纳;联合调度;遗传算法&lt;/_keywords&gt;&lt;_modified&gt;63647248&lt;/_modified&gt;&lt;_pages&gt;269-275&lt;/_pages&gt;&lt;_volume&gt;45&lt;/_volume&gt;&lt;_translated_author&gt;Cui, Yang;Yang, Zhiwen;Zhang, Jietan;Wang, Maochun;Yan, Gangui&lt;/_translated_author&gt;&lt;/Details&gt;&lt;Extra&gt;&lt;DBUID&gt;{F96A950B-833F-4880-A151-76DA2D6A2879}&lt;/DBUID&gt;&lt;/Extra&gt;&lt;/Item&gt;&lt;/References&gt;&lt;/Group&gt;&lt;/Citation&gt;_x000a_"/>
    <w:docVar w:name="NE.Ref{C4806495-E7A2-4249-A569-0954B39D5190}" w:val=" ADDIN NE.Ref.{C4806495-E7A2-4249-A569-0954B39D5190}&lt;Citation&gt;&lt;Group&gt;&lt;References&gt;&lt;Item&gt;&lt;ID&gt;534&lt;/ID&gt;&lt;UID&gt;{169D861A-04CF-45FD-ACEC-EF269C0FEBE3}&lt;/UID&gt;&lt;Title&gt;考虑网络约束和源荷不确定性的区域综合能源系统两阶段鲁棒优化调度&lt;/Title&gt;&lt;Template&gt;Journal Article&lt;/Template&gt;&lt;Star&gt;0&lt;/Star&gt;&lt;Tag&gt;0&lt;/Tag&gt;&lt;Author&gt;郭尊; 李庚银; 周明; 冯威&lt;/Author&gt;&lt;Year&gt;2019&lt;/Year&gt;&lt;Details&gt;&lt;_author_adr&gt;新能源电力系统国家重点实验室(华北电力大学);劳伦斯伯克利国家实验室;&lt;/_author_adr&gt;&lt;_collection_scope&gt;CSCD;PKU;EI&lt;/_collection_scope&gt;&lt;_created&gt;63660533&lt;/_created&gt;&lt;_db_provider&gt;CNKI&lt;/_db_provider&gt;&lt;_isbn&gt;1000-3673&lt;/_isbn&gt;&lt;_issue&gt;09&lt;/_issue&gt;&lt;_journal&gt;电网技术&lt;/_journal&gt;&lt;_keywords&gt;区域综合能源系统;日前调度;两阶段鲁棒优化;网络约束;列约束生成算法&lt;/_keywords&gt;&lt;_modified&gt;63660533&lt;/_modified&gt;&lt;_pages&gt;3090-3100&lt;/_pages&gt;&lt;_volume&gt;43&lt;/_volume&gt;&lt;_translated_author&gt;Guo, Zun;Li, Gengyin;Zhou, Ming;Feng, Wei&lt;/_translated_author&gt;&lt;/Details&gt;&lt;Extra&gt;&lt;DBUID&gt;{F96A950B-833F-4880-A151-76DA2D6A2879}&lt;/DBUID&gt;&lt;/Extra&gt;&lt;/Item&gt;&lt;/References&gt;&lt;/Group&gt;&lt;/Citation&gt;_x000a_"/>
    <w:docVar w:name="NE.Ref{C5A4983A-5227-462E-80CD-9D6EB2328573}" w:val=" ADDIN NE.Ref.{C5A4983A-5227-462E-80CD-9D6EB2328573}&lt;Citation&gt;&lt;Group&gt;&lt;References&gt;&lt;Item&gt;&lt;ID&gt;527&lt;/ID&gt;&lt;UID&gt;{291B8031-6D51-45D5-91E7-A340E5A9D44D}&lt;/UID&gt;&lt;Title&gt; 暂态过电压引起风电机组连锁脱网风险分析及对策&lt;/Title&gt;&lt;Template&gt;Journal Article&lt;/Template&gt;&lt;Star&gt;0&lt;/Star&gt;&lt;Tag&gt;0&lt;/Tag&gt;&lt;Author&gt;贺静波; 庄伟; 许涛; 霍超; 蒋维勇&lt;/Author&gt;&lt;Year&gt;2016&lt;/Year&gt;&lt;Details&gt;&lt;_accessed&gt;63727861&lt;/_accessed&gt;&lt;_accession_num&gt;CSCD:5736009_x000d__x000a_ER&lt;/_accession_num&gt;&lt;_cited_count&gt;9&lt;/_cited_count&gt;&lt;_created&gt;63444588&lt;/_created&gt;&lt;_date_display&gt;2016, 2016&lt;/_date_display&gt;&lt;_db_provider&gt;ISI&lt;/_db_provider&gt;&lt;_isbn&gt;1000-3673&lt;/_isbn&gt;&lt;_issue&gt;6&lt;/_issue&gt;&lt;_journal&gt;电网技术 &lt;/_journal&gt;&lt;_modified&gt;63727861&lt;/_modified&gt;&lt;_pages&gt;1839-1844&lt;/_pages&gt;&lt;_tertiary_title&gt;Power System Technology&lt;/_tertiary_title&gt;&lt;_translated_author&gt;He, Jingbo; Zhuang, Wei; Xu, Tao; Huo, Chao; Jiang, Weiyong&lt;/_translated_author&gt;&lt;_translated_title&gt;Study on Cascading Tripping Risk of Wind Turbines Caused by Transient Overvoltage and Its Countermeasures&lt;/_translated_title&gt;&lt;_url&gt;CSCD:5736009 _x000d__x000a_https://kns.cnki.net/kcms/download.aspx?filename=IFnSFNURQdmZCJ1Q44ETa10aklnZjVFRVV3a1QjZo5WUzN0cSdEdNl2NSp3ZqZGdGBnZMhUbCdVbT1kVwkFWPd3SHVWZv9EVBtWdvVXVIhTOTZnZKZ1ayEkMwUjauZHWvhnQw82U4RmYYVGNKdlSFRkQGRzVulXT&amp;amp;tablename=CJFDLAST2016&amp;amp;dflag=pdfdown _x000d__x000a_&lt;/_url&gt;&lt;_volume&gt;40&lt;/_volume&gt;&lt;/Details&gt;&lt;Extra&gt;&lt;DBUID&gt;{6891F4B0-DCBA-459A-9A22-3059983243D4}&lt;/DBUID&gt;&lt;/Extra&gt;&lt;/Item&gt;&lt;/References&gt;&lt;/Group&gt;&lt;Group&gt;&lt;References&gt;&lt;Item&gt;&lt;ID&gt;377&lt;/ID&gt;&lt;UID&gt;{FF6551E7-E336-4DBF-815D-682300D2805B}&lt;/UID&gt;&lt;Title&gt;换相失败对含风电场的交直流混联系统送端过电压的影响&lt;/Title&gt;&lt;Template&gt;Journal Article&lt;/Template&gt;&lt;Star&gt;0&lt;/Star&gt;&lt;Tag&gt;0&lt;/Tag&gt;&lt;Author&gt;赵学明; 李永丽; 孙广宇; 张云柯; 曾亮&lt;/Author&gt;&lt;Year&gt;2019&lt;/Year&gt;&lt;Details&gt;&lt;_accessed&gt;63445973&lt;/_accessed&gt;&lt;_accession_num&gt;CSCD:6612778_x000d__x000a_ER&lt;/_accession_num&gt;&lt;_cited_count&gt;0&lt;/_cited_count&gt;&lt;_collection_scope&gt;CSCD;PKU;EI&lt;/_collection_scope&gt;&lt;_created&gt;63444588&lt;/_created&gt;&lt;_date_display&gt;2019, 2019&lt;/_date_display&gt;&lt;_db_provider&gt;ISI&lt;/_db_provider&gt;&lt;_isbn&gt;1003-6520&lt;/_isbn&gt;&lt;_issue&gt;1003-6520(2019)45:11&amp;lt;3666:HXSBDH&amp;gt;2.0.TX;2-411&lt;/_issue&gt;&lt;_journal&gt;高电压技术&lt;/_journal&gt;&lt;_modified&gt;63611200&lt;/_modified&gt;&lt;_pages&gt;3666-3673&lt;/_pages&gt;&lt;_tertiary_title&gt;High Voltage Engineering&lt;/_tertiary_title&gt;&lt;_translated_author&gt;Zhao, Xueming; Li, Yongli; Sun, Guangyu; Zhang, Yunke; Zeng, Liang&lt;/_translated_author&gt;&lt;_translated_title&gt;Effect of Commutation Failure on the Overvoltage on Rectifier Station in AC/DC Hybrid Power System With Wind Farms&lt;/_translated_title&gt;&lt;_url&gt;CSCD:6612778 _x000d__x000a_https://kns.cnki.net/kcms/download.aspx?filename=6FlSTlTRYBFephEZaRWbxQmb4QVbTdlQR50a1ZXdY10ZHx2Tx4URtF2KtJlaBlHbkpXRxgFVxBnViJHdFVEcycld1lzROVHakdGSup2cr8UVzQWWs9EewIEdOZ2KwFVSStSQNdkQoJFd3ombqFlZ1ZXSMhXcSVTW&amp;amp;tablename=CJFDLAST2019&amp;amp;dflag=pdfdown _x000d__x000a_&lt;/_url&gt;&lt;_volume&gt;45&lt;/_volume&gt;&lt;/Details&gt;&lt;Extra&gt;&lt;DBUID&gt;{6891F4B0-DCBA-459A-9A22-3059983243D4}&lt;/DBUID&gt;&lt;/Extra&gt;&lt;/Item&gt;&lt;/References&gt;&lt;/Group&gt;&lt;/Citation&gt;_x000a_"/>
    <w:docVar w:name="NE.Ref{C5FBD4E9-383B-488B-B591-D3AD87224330}" w:val=" ADDIN NE.Ref.{C5FBD4E9-383B-488B-B591-D3AD87224330}&lt;Citation&gt;&lt;Group&gt;&lt;References&gt;&lt;Item&gt;&lt;ID&gt;426&lt;/ID&gt;&lt;UID&gt;{9B34423A-AAC6-47E0-9EDB-4AC3E97C81E4}&lt;/UID&gt;&lt;Title&gt;Comparative Study on Small-Signal Stability of LCC-HVDC System With Different Control Strategies at the Inverter Station&lt;/Title&gt;&lt;Template&gt;Journal Article&lt;/Template&gt;&lt;Star&gt;0&lt;/Star&gt;&lt;Tag&gt;0&lt;/Tag&gt;&lt;Author&gt;Zheng, Anran; Guo, Chunyi; Cui, Peng; Jiang, Wen; Zhao, Chengyong&lt;/Author&gt;&lt;Year&gt;2019&lt;/Year&gt;&lt;Details&gt;&lt;_accessed&gt;63446009&lt;/_accessed&gt;&lt;_accession_num&gt;WOS:000463714800001_x000d__x000a_ER&lt;/_accession_num&gt;&lt;_cited_count&gt;3&lt;/_cited_count&gt;&lt;_collection_scope&gt;SCIE;EI&lt;/_collection_scope&gt;&lt;_created&gt;63444588&lt;/_created&gt;&lt;_date_display&gt;2019, 2019&lt;/_date_display&gt;&lt;_db_provider&gt;ISI&lt;/_db_provider&gt;&lt;_doi&gt;10.1109/ACCESS.2019.2904395&lt;/_doi&gt;&lt;_impact_factor&gt;   3.745&lt;/_impact_factor&gt;&lt;_isbn&gt;2169-3536&lt;/_isbn&gt;&lt;_journal&gt;IEEE ACCESS&lt;/_journal&gt;&lt;_modified&gt;63446038&lt;/_modified&gt;&lt;_pages&gt;34946-34953&lt;/_pages&gt;&lt;_url&gt;http://gateway.isiknowledge.com/gateway/Gateway.cgi?GWVersion=2&amp;amp;SrcAuth=AegeanSoftware&amp;amp;SrcApp=NoteExpress&amp;amp;DestLinkType=FullRecord&amp;amp;DestApp=WOS&amp;amp;KeyUT=000463714800001 _x000d__x000a_https://ieeexplore.ieee.org/ielx7/6287639/8600701/08665891.pdf?tp=&amp;amp;arnumber=8665891&amp;amp;isnumber=8600701&amp;amp;ref=aHR0cHM6Ly9pZWVleHBsb3JlLmllZWUub3JnL3Jlc3Qvc2VhcmNo _x000d__x000a_&lt;/_url&gt;&lt;_volume&gt;7&lt;/_volume&gt;&lt;/Details&gt;&lt;Extra&gt;&lt;DBUID&gt;{6891F4B0-DCBA-459A-9A22-3059983243D4}&lt;/DBUID&gt;&lt;/Extra&gt;&lt;/Item&gt;&lt;/References&gt;&lt;/Group&gt;&lt;Group&gt;&lt;References&gt;&lt;Item&gt;&lt;ID&gt;401&lt;/ID&gt;&lt;UID&gt;{3D4EC79E-C4DC-4A56-A55E-64DEF0FBE931}&lt;/UID&gt;&lt;Title&gt;高压直流系统常用3种基本控制策略的对比分析&lt;/Title&gt;&lt;Template&gt;Journal Article&lt;/Template&gt;&lt;Star&gt;0&lt;/Star&gt;&lt;Tag&gt;0&lt;/Tag&gt;&lt;Author&gt;文兆新; 傅闯; 汪娟娟; 黄星海; 龚英明; 王子民&lt;/Author&gt;&lt;Year&gt;2019&lt;/Year&gt;&lt;Details&gt;&lt;_accessed&gt;63445981&lt;/_accessed&gt;&lt;_accession_num&gt;CSCD:6576519_x000d__x000a_ER&lt;/_accession_num&gt;&lt;_cited_count&gt;0&lt;/_cited_count&gt;&lt;_collection_scope&gt;CSCD;PKU;EI&lt;/_collection_scope&gt;&lt;_created&gt;63444588&lt;/_created&gt;&lt;_date_display&gt;2019, 2019&lt;/_date_display&gt;&lt;_db_provider&gt;ISI&lt;/_db_provider&gt;&lt;_isbn&gt;1000-3673&lt;/_isbn&gt;&lt;_issue&gt;1000-3673(2019)43:9&amp;lt;3399:GYZLXT&amp;gt;2.0.TX;2-39&lt;/_issue&gt;&lt;_journal&gt;电网技术&lt;/_journal&gt;&lt;_modified&gt;63552627&lt;/_modified&gt;&lt;_pages&gt;3399-3408&lt;/_pages&gt;&lt;_tertiary_title&gt;Power System Technology&lt;/_tertiary_title&gt;&lt;_translated_author&gt;Wen, Zhaoxin; Fu, Chuang; Wang, Juanjuan; Huang, Xinghai; Gong, Yingming; Wang, Zimin&lt;/_translated_author&gt;&lt;_translated_title&gt;Comparative Analysis of Three Basic Control Strategies for HVDC&lt;/_translated_title&gt;&lt;_url&gt;CSCD:6576519 _x000d__x000a_https://kns.cnki.net/kcms/download.aspx?filename=0JHZTdGZLVGa5M0dRlUd6hkRjRnSxIGMxYWQrZHOaxGMzkGVLRlZu50UjFEe1RVNY9ycUN1UZFFbJZVYJZUN1NDN0JHcxMWTMp1d5xkM40kWkdXez0WZrxUTk9WVRdlTx8yMGNGOON0aY10bZhzVVNkVPJ1RvoEa&amp;amp;tablename=CJFDLAST2019&amp;amp;dflag=pdfdown _x000d__x000a_&lt;/_url&gt;&lt;_volume&gt;43&lt;/_volume&gt;&lt;/Details&gt;&lt;Extra&gt;&lt;DBUID&gt;{6891F4B0-DCBA-459A-9A22-3059983243D4}&lt;/DBUID&gt;&lt;/Extra&gt;&lt;/Item&gt;&lt;/References&gt;&lt;/Group&gt;&lt;Group&gt;&lt;References&gt;&lt;Item&gt;&lt;ID&gt;519&lt;/ID&gt;&lt;UID&gt;{CE3949A9-2702-40CD-9E2B-02F54ABC1F37}&lt;/UID&gt;&lt;Title&gt;逆变侧控制策略对换相失败影响的研究&lt;/Title&gt;&lt;Template&gt;Journal Article&lt;/Template&gt;&lt;Star&gt;0&lt;/Star&gt;&lt;Tag&gt;0&lt;/Tag&gt;&lt;Author&gt;赵书强; 董沛毅; 蒲莹; 卢亚军; 马玉龙; 高本锋; 毛亚鹏&lt;/Author&gt;&lt;Year&gt;2016&lt;/Year&gt;&lt;Details&gt;&lt;_accessed&gt;63445920&lt;/_accessed&gt;&lt;_accession_num&gt;CSCD:5877655_x000d__x000a_ER&lt;/_accession_num&gt;&lt;_cited_count&gt;1&lt;/_cited_count&gt;&lt;_collection_scope&gt;CSCD;PKU;EI&lt;/_collection_scope&gt;&lt;_created&gt;63444588&lt;/_created&gt;&lt;_date_display&gt;2016, 2016&lt;/_date_display&gt;&lt;_db_provider&gt;ISI&lt;/_db_provider&gt;&lt;_isbn&gt;1000-3673&lt;/_isbn&gt;&lt;_issue&gt;1000-3673(2016)40:12&amp;lt;3840:NBCKZC&amp;gt;2.0.TX;2-T12&lt;/_issue&gt;&lt;_journal&gt;电网技术&lt;/_journal&gt;&lt;_modified&gt;63445920&lt;/_modified&gt;&lt;_pages&gt;3840-3848&lt;/_pages&gt;&lt;_tertiary_title&gt;Power System Technology&lt;/_tertiary_title&gt;&lt;_translated_author&gt;Zhao, Shuqiang; Dong, Peiyi; Pu, Ying; Lu, Yajun; Ma, Yulong; Gao, Benfeng; Mao, Yapeng&lt;/_translated_author&gt;&lt;_translated_title&gt;Research on Influence of Inverter Side Control Strategy on Commutation Failure&lt;/_translated_title&gt;&lt;_url&gt;CSCD:5877655&lt;/_url&gt;&lt;_volume&gt;40&lt;/_volume&gt;&lt;/Details&gt;&lt;Extra&gt;&lt;DBUID&gt;{6891F4B0-DCBA-459A-9A22-3059983243D4}&lt;/DBUID&gt;&lt;/Extra&gt;&lt;/Item&gt;&lt;/References&gt;&lt;/Group&gt;&lt;Group&gt;&lt;References&gt;&lt;Item&gt;&lt;ID&gt;580&lt;/ID&gt;&lt;UID&gt;{8F8A7C9F-8223-45C7-8D18-04DD794304FA}&lt;/UID&gt;&lt;Title&gt;直流控制对直流系统无功动态特性的影响分析&lt;/Title&gt;&lt;Template&gt;Journal Article&lt;/Template&gt;&lt;Star&gt;0&lt;/Star&gt;&lt;Tag&gt;0&lt;/Tag&gt;&lt;Author&gt;杨欢欢; 朱林; 蔡泽祥; 陈宇川; 李晓华; 金小明; 周保荣; 张东辉&lt;/Author&gt;&lt;Year&gt;2014&lt;/Year&gt;&lt;Details&gt;&lt;_accessed&gt;63445906&lt;/_accessed&gt;&lt;_accession_num&gt;CSCD:5258932_x000d__x000a_ER&lt;/_accession_num&gt;&lt;_cited_count&gt;5&lt;/_cited_count&gt;&lt;_created&gt;63444588&lt;/_created&gt;&lt;_date_display&gt;2014, 2014&lt;/_date_display&gt;&lt;_db_provider&gt;ISI&lt;/_db_provider&gt;&lt;_isbn&gt;1000-3673&lt;/_isbn&gt;&lt;_issue&gt;1000-3673(2014)38:10&amp;lt;2631:ZLKZDZ&amp;gt;2.0.TX;2-C10&lt;/_issue&gt;&lt;_journal&gt;电网技术 &lt;/_journal&gt;&lt;_modified&gt;63445908&lt;/_modified&gt;&lt;_pages&gt;2631-2637&lt;/_pages&gt;&lt;_tertiary_title&gt;Power System Technology&lt;/_tertiary_title&gt;&lt;_translated_author&gt;Yang, Huanhuan; Zhu, Lin; Cai, Zexiang; Chen, Yuchuan; Li, Xiaohua; Jin, Xiaoming; Zhou, Baorong; Zhang, Donghui&lt;/_translated_author&gt;&lt;_translated_title&gt;Influence of HVDC Control on HVDC Reactive Power Dynamic Characteristic &lt;/_translated_title&gt;&lt;_url&gt;CSCD:5258932 _x000d__x000a_https://kns.cnki.net/kns/download.aspx?filename=3FUVqlFe4NGaXNGbYR1KEJVcLRHcW90ckxEU2h3MzYnb50GN4o0KoJHM4cnZLRTctJUZ050c3RETMlnSLRVT3IWYkJjVjhTQaJ3YzIEbOJjVO5GSZNlbygDOzYXbi10KSplaVRjQXtkdN1UUyolellUSPV1YMV3U&amp;amp;tablename=CJFD2014&amp;amp;dflag=pdfdown _x000d__x000a_&lt;/_url&gt;&lt;_volume&gt;38&lt;/_volume&gt;&lt;/Details&gt;&lt;Extra&gt;&lt;DBUID&gt;{6891F4B0-DCBA-459A-9A22-3059983243D4}&lt;/DBUID&gt;&lt;/Extra&gt;&lt;/Item&gt;&lt;/References&gt;&lt;/Group&gt;&lt;Group&gt;&lt;References&gt;&lt;Item&gt;&lt;ID&gt;632&lt;/ID&gt;&lt;UID&gt;{DAF0F915-EB4E-4617-89F6-0AD9E6F478F6}&lt;/UID&gt;&lt;Title&gt; 定熄弧角控制器对直流输电系统的影响分析&lt;/Title&gt;&lt;Template&gt;Journal Article&lt;/Template&gt;&lt;Star&gt;0&lt;/Star&gt;&lt;Tag&gt;0&lt;/Tag&gt;&lt;Author&gt;罗隆福; 雷园园; 李勇; 张俊华; 邓淑娟&lt;/Author&gt;&lt;Year&gt;2009&lt;/Year&gt;&lt;Details&gt;&lt;_accessed&gt;63445577&lt;/_accessed&gt;&lt;_accession_num&gt;CSCD:3714757_x000d__x000a_ER&lt;/_accession_num&gt;&lt;_cited_count&gt;0&lt;/_cited_count&gt;&lt;_collection_scope&gt;CSCD;PKU&lt;/_collection_scope&gt;&lt;_created&gt;63444588&lt;/_created&gt;&lt;_date_display&gt;2009, 2009&lt;/_date_display&gt;&lt;_db_provider&gt;ISI&lt;/_db_provider&gt;&lt;_isbn&gt;1003-8930&lt;/_isbn&gt;&lt;_issue&gt;1003-8930(2009)21:5&amp;lt;97:DXHJKZ&amp;gt;2.0.TX;2-O5&lt;/_issue&gt;&lt;_journal&gt;电力系统及其自动化学报&lt;/_journal&gt;&lt;_modified&gt;63445579&lt;/_modified&gt;&lt;_pages&gt;97-103&lt;/_pages&gt;&lt;_tertiary_title&gt;Proceedings of the Electric Power System and Automation&lt;/_tertiary_title&gt;&lt;_translated_author&gt;LUO, Long-fu; LEI, Yuan-yuan; LI, Yong; ZHANG, Jun-hua; DENG, Shu-juan&lt;/_translated_author&gt;&lt;_translated_title&gt;Effects of Constant Arc Extinguishing Angle Controller on HVDC Transmission System&lt;/_translated_title&gt;&lt;_url&gt;CSCD:3714757 _x000d__x000a_https://kns.cnki.net/kns/download.aspx?filename=ycDSYVESiF2KkR2VwhXeTNlevFkU0gDaD12RHlDSHhUQn5UemhEM3Y2Y4kTZYJla0YFMzo3VCFlVGVmaD1kMPFTajRjSJtEVndHZWNEatRUY2M1LShzNidGbwgnYKRHb1EzSzg3SRdURntkMuVFbKx0S4YTNShXW&amp;amp;tablename=CJFD2009&amp;amp;dflag=pdfdown _x000d__x000a_&lt;/_url&gt;&lt;_volume&gt;21&lt;/_volume&gt;&lt;/Details&gt;&lt;Extra&gt;&lt;DBUID&gt;{6891F4B0-DCBA-459A-9A22-3059983243D4}&lt;/DBUID&gt;&lt;/Extra&gt;&lt;/Item&gt;&lt;/References&gt;&lt;/Group&gt;&lt;/Citation&gt;_x000a_"/>
    <w:docVar w:name="NE.Ref{C634AD57-5D9A-43F6-BF19-3A03D79120F1}" w:val=" ADDIN NE.Ref.{C634AD57-5D9A-43F6-BF19-3A03D79120F1}&lt;Citation&gt;&lt;Group&gt;&lt;References&gt;&lt;Item&gt;&lt;ID&gt;666&lt;/ID&gt;&lt;UID&gt;{48DEA907-FD84-4BF2-AA07-D511E6BBACF5}&lt;/UID&gt;&lt;Title&gt;Decreasing the commutation failure frequency in HVDC transmission systems&lt;/Title&gt;&lt;Template&gt;Journal Article&lt;/Template&gt;&lt;Star&gt;0&lt;/Star&gt;&lt;Tag&gt;0&lt;/Tag&gt;&lt;Author&gt;Hansen, A; Havemann, K&lt;/Author&gt;&lt;Year&gt;2000&lt;/Year&gt;&lt;Details&gt;&lt;_accessed&gt;63444710&lt;/_accessed&gt;&lt;_accession_num&gt;WOS:000089629900027_x000d__x000a_ER&lt;/_accession_num&gt;&lt;_cited_count&gt;39&lt;/_cited_count&gt;&lt;_collection_scope&gt;SCI;SCIE;EI&lt;/_collection_scope&gt;&lt;_created&gt;63444588&lt;/_created&gt;&lt;_date_display&gt;2000, JUL 2000&lt;/_date_display&gt;&lt;_db_provider&gt;ISI&lt;/_db_provider&gt;&lt;_doi&gt;10.1109/61.871369&lt;/_doi&gt;&lt;_impact_factor&gt;   3.681&lt;/_impact_factor&gt;&lt;_isbn&gt;0885-8977&lt;/_isbn&gt;&lt;_issue&gt;3&lt;/_issue&gt;&lt;_journal&gt;IEEE TRANSACTIONS ON POWER DELIVERY&lt;/_journal&gt;&lt;_modified&gt;63444840&lt;/_modified&gt;&lt;_pages&gt;1022-1026&lt;/_pages&gt;&lt;_url&gt;http://gateway.isiknowledge.com/gateway/Gateway.cgi?GWVersion=2&amp;amp;SrcAuth=AegeanSoftware&amp;amp;SrcApp=NoteExpress&amp;amp;DestLinkType=FullRecord&amp;amp;DestApp=WOS&amp;amp;KeyUT=000089629900027 _x000d__x000a_https://ieeexplore.ieee.org/stampPDF/getPDF.jsp?tp=&amp;amp;arnumber=871369&amp;amp;ref=aHR0cHM6Ly9pZWVleHBsb3JlLmllZWUub3JnL3Jlc3Qvc2VhcmNo _x000d__x000a_&lt;/_url&gt;&lt;_volume&gt;15&lt;/_volume&gt;&lt;/Details&gt;&lt;Extra&gt;&lt;DBUID&gt;{6891F4B0-DCBA-459A-9A22-3059983243D4}&lt;/DBUID&gt;&lt;/Extra&gt;&lt;/Item&gt;&lt;/References&gt;&lt;/Group&gt;&lt;/Citation&gt;_x000a_"/>
    <w:docVar w:name="NE.Ref{C67D0D07-C442-4F26-B58A-E01E16F4CA1E}" w:val=" ADDIN NE.Ref.{C67D0D07-C442-4F26-B58A-E01E16F4CA1E}&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C6ABEDEE-B44E-434B-9AD8-CE9F664FA3B8}" w:val=" ADDIN NE.Ref.{C6ABEDEE-B44E-434B-9AD8-CE9F664FA3B8}&lt;Citation&gt;&lt;Group&gt;&lt;References&gt;&lt;Item&gt;&lt;ID&gt;625&lt;/ID&gt;&lt;UID&gt;{CD625A82-E9F9-43AC-BEEB-BF263EAEBA92}&lt;/UID&gt;&lt;Title&gt;Real-Time Calculation Method of DC Voltage and Current to Eliminate the Influence of Signal Delay&lt;/Title&gt;&lt;Template&gt;Journal Article&lt;/Template&gt;&lt;Star&gt;0&lt;/Star&gt;&lt;Tag&gt;0&lt;/Tag&gt;&lt;Author&gt;Yin, C Y; Li, F T&lt;/Author&gt;&lt;Year&gt;2020&lt;/Year&gt;&lt;Details&gt;&lt;_alternate_title&gt;IEEE ACCESS&lt;/_alternate_title&gt;&lt;_author_adr&gt;Xinjiang Univ, Sch Elect Engn, Urumqi 830046, Peoples R China&lt;/_author_adr&gt;&lt;_cited_count&gt;0&lt;/_cited_count&gt;&lt;_collection_scope&gt;SCIE;EI&lt;/_collection_scope&gt;&lt;_created&gt;64493989&lt;/_created&gt;&lt;_date&gt;2020-01-01&lt;/_date&gt;&lt;_date_display&gt;2020&lt;/_date_display&gt;&lt;_db_updated&gt;Web of Science-Core&lt;/_db_updated&gt;&lt;_doi&gt;10.1109/ACCESS.2020.3019594&lt;/_doi&gt;&lt;_impact_factor&gt;   3.476&lt;/_impact_factor&gt;&lt;_journal&gt;IEEE ACCESS&lt;/_journal&gt;&lt;_keywords&gt;Inverters; Rectifiers; Delays; Control systems; HVDC transmission; Analytical models; Voltage control; Commutation failure; DC~voltage; high voltage DC transmission; signal delay time&lt;/_keywords&gt;&lt;_modified&gt;64494362&lt;/_modified&gt;&lt;_pages&gt;157168-157176&lt;/_pages&gt;&lt;_url&gt;https://ieeexplore.ieee.org/ielx7/6287639/8948470/09178331.pdf?tp=&amp;amp;arnumber=9178331&amp;amp;isnumber=8948470&amp;amp;ref=aHR0cHM6Ly9pZWVleHBsb3JlLmllZWUub3JnL3Jlc3Qvc2VhcmNo _x000d__x000a_&lt;/_url&gt;&lt;_volume&gt;8&lt;/_volume&gt;&lt;/Details&gt;&lt;Extra&gt;&lt;DBUID&gt;{F96A950B-833F-4880-A151-76DA2D6A2879}&lt;/DBUID&gt;&lt;/Extra&gt;&lt;/Item&gt;&lt;/References&gt;&lt;/Group&gt;&lt;/Citation&gt;_x000a_"/>
    <w:docVar w:name="NE.Ref{C734C6DC-4A8B-4D5F-BDFD-5E4952AC3788}" w:val=" ADDIN NE.Ref.{C734C6DC-4A8B-4D5F-BDFD-5E4952AC3788}&lt;Citation&gt;&lt;Group&gt;&lt;References&gt;&lt;Item&gt;&lt;ID&gt;523&lt;/ID&gt;&lt;UID&gt;{1BBDB98E-9BB1-4CA8-8E20-42C8716F742F}&lt;/UID&gt;&lt;Title&gt;考虑大规模风电输送的跨区域电网优化调度策略研究&lt;/Title&gt;&lt;Template&gt;Thesis&lt;/Template&gt;&lt;Star&gt;0&lt;/Star&gt;&lt;Tag&gt;0&lt;/Tag&gt;&lt;Author&gt;吴非宏&lt;/Author&gt;&lt;Year&gt;2018&lt;/Year&gt;&lt;Details&gt;&lt;_created&gt;63657903&lt;/_created&gt;&lt;_db_provider&gt;CNKI&lt;/_db_provider&gt;&lt;_keywords&gt;风力发电;多区域电力系统;粒子群优化&lt;/_keywords&gt;&lt;_modified&gt;63657903&lt;/_modified&gt;&lt;_publisher&gt;华北电力大学(北京)&lt;/_publisher&gt;&lt;_tertiary_author&gt;李庚银&lt;/_tertiary_author&gt;&lt;_type_work&gt;硕士&lt;/_type_work&gt;&lt;_translated_author&gt;Wu, Feihong&lt;/_translated_author&gt;&lt;_translated_tertiary_author&gt;Li, Gengyin&lt;/_translated_tertiary_author&gt;&lt;/Details&gt;&lt;Extra&gt;&lt;DBUID&gt;{F96A950B-833F-4880-A151-76DA2D6A2879}&lt;/DBUID&gt;&lt;/Extra&gt;&lt;/Item&gt;&lt;/References&gt;&lt;/Group&gt;&lt;/Citation&gt;_x000a_"/>
    <w:docVar w:name="NE.Ref{C77D9EA9-2D6B-46A9-9BB8-B7E0B2EF0418}" w:val=" ADDIN NE.Ref.{C77D9EA9-2D6B-46A9-9BB8-B7E0B2EF0418}&lt;Citation&gt;&lt;Group&gt;&lt;References&gt;&lt;Item&gt;&lt;ID&gt;503&lt;/ID&gt;&lt;UID&gt;{D6C4CBEC-6466-41FF-AD22-61D8A9CC6B6D}&lt;/UID&gt;&lt;Title&gt;分布鲁棒优化方法在电力系统中的理论分析与应用综述&lt;/Title&gt;&lt;Template&gt;Journal Article&lt;/Template&gt;&lt;Star&gt;0&lt;/Star&gt;&lt;Tag&gt;0&lt;/Tag&gt;&lt;Author&gt;贺帅佳; 阮贺彬; 高红均; 刘俊勇&lt;/Author&gt;&lt;Year&gt;2020&lt;/Year&gt;&lt;Details&gt;&lt;_author_adr&gt;四川大学电气工程学院;&lt;/_author_adr&gt;&lt;_db_provider&gt;CNKI&lt;/_db_provider&gt;&lt;_isbn&gt;1000-1026&lt;/_isbn&gt;&lt;_issue&gt;14&lt;/_issue&gt;&lt;_journal&gt;电力系统自动化&lt;/_journal&gt;&lt;_keywords&gt;不确定性;电力系统;分布鲁棒优化;机会约束方法&lt;/_keywords&gt;&lt;_pages&gt;179-191&lt;/_pages&gt;&lt;_volume&gt;44&lt;/_volume&gt;&lt;_created&gt;63654819&lt;/_created&gt;&lt;_modified&gt;63654819&lt;/_modified&gt;&lt;_collection_scope&gt;CSCD;PKU;EI&lt;/_collection_scope&gt;&lt;_translated_author&gt;He, Shuaijia;Ruan, Hebin;Gao, Hongjun;Liu, Junyong&lt;/_translated_author&gt;&lt;/Details&gt;&lt;Extra&gt;&lt;DBUID&gt;{F96A950B-833F-4880-A151-76DA2D6A2879}&lt;/DBUID&gt;&lt;/Extra&gt;&lt;/Item&gt;&lt;/References&gt;&lt;/Group&gt;&lt;/Citation&gt;_x000a_"/>
    <w:docVar w:name="NE.Ref{C8088575-5501-4974-9456-E15F606DEFCE}" w:val=" ADDIN NE.Ref.{C8088575-5501-4974-9456-E15F606DEFCE}&lt;Citation&gt;&lt;Group&gt;&lt;References&gt;&lt;Item&gt;&lt;ID&gt;506&lt;/ID&gt;&lt;UID&gt;{F314D980-0DE1-4791-8F52-07056AFA3322}&lt;/UID&gt;&lt;Title&gt;可再生能源配额制下的短期发电计划研究&lt;/Title&gt;&lt;Template&gt;Thesis&lt;/Template&gt;&lt;Star&gt;0&lt;/Star&gt;&lt;Tag&gt;0&lt;/Tag&gt;&lt;Author&gt;张娜娜&lt;/Author&gt;&lt;Year&gt;2014&lt;/Year&gt;&lt;Details&gt;&lt;_created&gt;63654918&lt;/_created&gt;&lt;_db_provider&gt;CNKI&lt;/_db_provider&gt;&lt;_keywords&gt;可再生能源配额制;风电有序发电计划;短期发电计划;风电调度因子;配额交易机制&lt;/_keywords&gt;&lt;_modified&gt;63654918&lt;/_modified&gt;&lt;_publisher&gt;上海交通大学&lt;/_publisher&gt;&lt;_tertiary_author&gt;严正&lt;/_tertiary_author&gt;&lt;_type_work&gt;硕士&lt;/_type_work&gt;&lt;_translated_author&gt;Zhang, Nana&lt;/_translated_author&gt;&lt;_translated_tertiary_author&gt;Yan, Zheng&lt;/_translated_tertiary_author&gt;&lt;/Details&gt;&lt;Extra&gt;&lt;DBUID&gt;{F96A950B-833F-4880-A151-76DA2D6A2879}&lt;/DBUID&gt;&lt;/Extra&gt;&lt;/Item&gt;&lt;/References&gt;&lt;/Group&gt;&lt;/Citation&gt;_x000a_"/>
    <w:docVar w:name="NE.Ref{C8F025F2-B7EC-4686-A12E-38E06DB57AA3}" w:val=" ADDIN NE.Ref.{C8F025F2-B7EC-4686-A12E-38E06DB57AA3}&lt;Citation&gt;&lt;Group&gt;&lt;References&gt;&lt;Item&gt;&lt;ID&gt;637&lt;/ID&gt;&lt;UID&gt;{4E4E5610-5D45-40BC-AE7E-5182B44B9733}&lt;/UID&gt;&lt;Title&gt;负荷模型对含UHVDC的多落点电网直流恢复特性的影响&lt;/Title&gt;&lt;Template&gt;Journal Article&lt;/Template&gt;&lt;Star&gt;0&lt;/Star&gt;&lt;Tag&gt;0&lt;/Tag&gt;&lt;Author&gt;谢惠藩; 张尧; 罗宗杰; 夏成军; 胡金磊&lt;/Author&gt;&lt;Year&gt;2008&lt;/Year&gt;&lt;Details&gt;&lt;_accessed&gt;63444836&lt;/_accessed&gt;&lt;_accession_num&gt;CSCD:3394212_x000d__x000a_ER&lt;/_accession_num&gt;&lt;_cited_count&gt;1&lt;/_cited_count&gt;&lt;_collection_scope&gt;CSCD;PKU;EI&lt;/_collection_scope&gt;&lt;_created&gt;63444588&lt;/_created&gt;&lt;_date_display&gt;2008, 2008&lt;/_date_display&gt;&lt;_db_provider&gt;ISI&lt;/_db_provider&gt;&lt;_isbn&gt;1003-6520&lt;/_isbn&gt;&lt;_issue&gt;1003-6520(2008)34:9&amp;lt;1831:FHMXDH&amp;gt;2.0.TX;2-H9&lt;/_issue&gt;&lt;_journal&gt;高电压技术&lt;/_journal&gt;&lt;_modified&gt;63444837&lt;/_modified&gt;&lt;_pages&gt;1831-1838&lt;/_pages&gt;&lt;_tertiary_title&gt;High Voltage Engineering&lt;/_tertiary_title&gt;&lt;_translated_author&gt;XIE, Huifan; ZHANG, Yao; LUO, Zongjie; XIA, Chenjun; HU, Jinlei&lt;/_translated_author&gt;&lt;_translated_title&gt;Impact of Load Models to DC Recovery Performance in Multi-feed  HVDC Grid Including UHVDC &lt;/_translated_title&gt;&lt;_url&gt;CSCD:3394212 _x000d__x000a_https://kns.cnki.net/kns/download.aspx?filename=adnW2UFMxdWW4pkUEtWbwUWVJxEdqZzc2AlMWd0VpZmUndzcjFmZD5WdyQzMVN3MsVWaW9GUMlXTmpWSrknby0WZyZDWF5UV0RzNkR1Q5JlTypWbj1USrN0VpJ1VaNXdlFHVap2ViREeKxka20WVmdkQzhUUOJWZ&amp;amp;tablename=CJFD2008&amp;amp;dflag=pdfdown _x000d__x000a_&lt;/_url&gt;&lt;_volume&gt;34&lt;/_volume&gt;&lt;/Details&gt;&lt;Extra&gt;&lt;DBUID&gt;{6891F4B0-DCBA-459A-9A22-3059983243D4}&lt;/DBUID&gt;&lt;/Extra&gt;&lt;/Item&gt;&lt;/References&gt;&lt;/Group&gt;&lt;Group&gt;&lt;References&gt;&lt;Item&gt;&lt;ID&gt;648&lt;/ID&gt;&lt;UID&gt;{A0DB87AC-11F3-4FE9-96D0-008D8859F58E}&lt;/UID&gt;&lt;Title&gt;受端系统负荷对高压直流输电的影响&lt;/Title&gt;&lt;Template&gt;Journal Article&lt;/Template&gt;&lt;Star&gt;0&lt;/Star&gt;&lt;Tag&gt;0&lt;/Tag&gt;&lt;Author&gt;赵贺; 周孝信&lt;/Author&gt;&lt;Year&gt;2007&lt;/Year&gt;&lt;Details&gt;&lt;_accessed&gt;63444834&lt;/_accessed&gt;&lt;_accession_num&gt;CSCD:2825674_x000d__x000a_ER&lt;/_accession_num&gt;&lt;_cited_count&gt;2&lt;/_cited_count&gt;&lt;_collection_scope&gt;CSCD;PKU;EI&lt;/_collection_scope&gt;&lt;_created&gt;63444588&lt;/_created&gt;&lt;_date_display&gt;2007, 2007&lt;/_date_display&gt;&lt;_db_provider&gt;ISI&lt;/_db_provider&gt;&lt;_isbn&gt;0258-8013&lt;/_isbn&gt;&lt;_issue&gt;0258-8013(2007)27:16&amp;lt;1:SDXTFH&amp;gt;2.0.TX;2-Y16&lt;/_issue&gt;&lt;_journal&gt;中国电机工程学报&lt;/_journal&gt;&lt;_modified&gt;63444834&lt;/_modified&gt;&lt;_pages&gt;1-6&lt;/_pages&gt;&lt;_tertiary_title&gt;Proceedings of the Chinese Society of Electrical Engineering &lt;/_tertiary_title&gt;&lt;_translated_author&gt;ZHAO, He; ZHOU, Xiaoxin&lt;/_translated_author&gt;&lt;_translated_title&gt;Influence of Receiving End Load on HVDC Transmission&lt;/_translated_title&gt;&lt;_url&gt;CSCD:2825674 _x000d__x000a_https://kns.cnki.net/kns/download.aspx?filename=oRTZ0plelRGbGd2SM9mdIZ2YINkY0RkVMN1UUF1Q5kXQnhXSFREOjZVUzVleWVDMNlzRrcnTZBVSN9UbBZUO2VGdwd2QZBTRKJjQtt0TygGM0Q2KBZXRiBVViRVZY9WW2RGc3EUaBR2c2QnU58mW3VzUl12Ka9WN&amp;amp;tablename=CJFD2007&amp;amp;dflag=pdfdown _x000d__x000a_&lt;/_url&gt;&lt;_volume&gt;27&lt;/_volume&gt;&lt;/Details&gt;&lt;Extra&gt;&lt;DBUID&gt;{6891F4B0-DCBA-459A-9A22-3059983243D4}&lt;/DBUID&gt;&lt;/Extra&gt;&lt;/Item&gt;&lt;/References&gt;&lt;/Group&gt;&lt;/Citation&gt;_x000a_"/>
    <w:docVar w:name="NE.Ref{C906C1E8-10FC-4898-96FA-93E8B3F19CF5}" w:val=" ADDIN NE.Ref.{C906C1E8-10FC-4898-96FA-93E8B3F19CF5}&lt;Citation&gt;&lt;Group&gt;&lt;References&gt;&lt;Item&gt;&lt;ID&gt;585&lt;/ID&gt;&lt;UID&gt;{3779F5E8-40F3-4222-8FFA-3447D5C44BA5}&lt;/UID&gt;&lt;Title&gt;基于二阶段鲁棒博弈模型的微电网群及混合交直流配电系统协调能量管理策略研究&lt;/Title&gt;&lt;Template&gt;Journal Article&lt;/Template&gt;&lt;Star&gt;0&lt;/Star&gt;&lt;Tag&gt;0&lt;/Tag&gt;&lt;Author&gt;符杨; 张智泉; 李振坤; 米阳&lt;/Author&gt;&lt;Year&gt;2020&lt;/Year&gt;&lt;Details&gt;&lt;_author_adr&gt;上海电力大学电气工程学院;上海海事大学物流工程学院;&lt;/_author_adr&gt;&lt;_db_provider&gt;CNKI&lt;/_db_provider&gt;&lt;_isbn&gt;0258-8013&lt;/_isbn&gt;&lt;_issue&gt;04&lt;/_issue&gt;&lt;_journal&gt;中国电机工程学报&lt;/_journal&gt;&lt;_keywords&gt;能量管理;微电网群;混合交直流配电系统;博弈论;鲁棒优化&lt;/_keywords&gt;&lt;_pages&gt;1226-1240+1413&lt;/_pages&gt;&lt;_volume&gt;40&lt;/_volume&gt;&lt;_created&gt;63704857&lt;/_created&gt;&lt;_modified&gt;63704857&lt;/_modified&gt;&lt;_collection_scope&gt;CSCD;PKU;EI&lt;/_collection_scope&gt;&lt;_translated_author&gt;Fu, Yang;Zhang, Zhiquan;Li, Zhenkun;Mi, Yang&lt;/_translated_author&gt;&lt;/Details&gt;&lt;Extra&gt;&lt;DBUID&gt;{F96A950B-833F-4880-A151-76DA2D6A2879}&lt;/DBUID&gt;&lt;/Extra&gt;&lt;/Item&gt;&lt;/References&gt;&lt;/Group&gt;&lt;/Citation&gt;_x000a_"/>
    <w:docVar w:name="NE.Ref{C928CF4B-DBBB-4AF2-ADAF-48C5A58EF6D3}" w:val=" ADDIN NE.Ref.{C928CF4B-DBBB-4AF2-ADAF-48C5A58EF6D3}&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C9410F19-E496-4890-AE6E-A7250F4F5938}" w:val=" ADDIN NE.Ref.{C9410F19-E496-4890-AE6E-A7250F4F5938}&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ccessed&gt;64647193&lt;/_accessed&gt;&lt;_author_aff&gt;四川大学电气信息学院;&lt;/_author_aff&gt;&lt;_cited_count&gt;64&lt;/_cited_count&gt;&lt;_collection_scope&gt;CSCD;PKU;EI&lt;/_collection_scope&gt;&lt;_created&gt;64646900&lt;/_created&gt;&lt;_date&gt;2016-07-07&lt;/_date&gt;&lt;_db_updated&gt;CNKI - Reference&lt;/_db_updated&gt;&lt;_issue&gt;10&lt;/_issue&gt;&lt;_journal&gt;电网技术&lt;/_journal&gt;&lt;_keywords&gt;高压直流;暂态过电压;短路比;影响因素;故障分析;机理分析&lt;/_keywords&gt;&lt;_modified&gt;64647194&lt;/_modified&gt;&lt;_pages&gt;3059-3065&lt;/_pages&gt;&lt;_tertiary_title&gt;Power System Technology&lt;/_tertiary_title&gt;&lt;_translated_author&gt;WANG, Feng; LIU, Tianqi; DING, Yuanyuan; ZENG, Qi; LI, Xingyuan&lt;/_translated_author&gt;&lt;_translated_title&gt;Calculation Method and Influencing Factors of Transient Overvoltage&lt;/_translated_title&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Details&gt;&lt;Extra&gt;&lt;DBUID&gt;{6891F4B0-DCBA-459A-9A22-3059983243D4}&lt;/DBUID&gt;&lt;/Extra&gt;&lt;/Item&gt;&lt;/References&gt;&lt;/Group&gt;&lt;/Citation&gt;_x000a_"/>
    <w:docVar w:name="NE.Ref{C95322E5-DAF4-40E4-BE0D-A82D3E7005DB}" w:val=" ADDIN NE.Ref.{C95322E5-DAF4-40E4-BE0D-A82D3E7005DB}&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C9AB0FC0-85BF-4015-B2AF-50CA3CA26FAE}" w:val=" ADDIN NE.Ref.{C9AB0FC0-85BF-4015-B2AF-50CA3CA26FAE}&lt;Citation&gt;&lt;Group&gt;&lt;References&gt;&lt;Item&gt;&lt;ID&gt;58&lt;/ID&gt;&lt;UID&gt;{4198E63B-EBBE-40E3-AC43-01FAAFF5B6B2}&lt;/UID&gt;&lt;Title&gt;消纳大规模风电的鲁棒区间经济调度  (一)调度模式与数学模型&lt;/Title&gt;&lt;Template&gt;Journal Article&lt;/Template&gt;&lt;Star&gt;0&lt;/Star&gt;&lt;Tag&gt;0&lt;/Tag&gt;&lt;Author&gt;李志刚; 吴文传; 张伯明&lt;/Author&gt;&lt;Year&gt;2014&lt;/Year&gt;&lt;Details&gt;&lt;_accessed&gt;64355830&lt;/_accessed&gt;&lt;_author_aff&gt;清华大学电机工程与应用电子技术系;电力系统及发电设备控制与仿真国家重点实验室,清华大学;&lt;/_author_aff&gt;&lt;_cited_count&gt;115&lt;/_cited_count&gt;&lt;_collection_scope&gt;CSCD;PKU;EI&lt;/_collection_scope&gt;&lt;_created&gt;64102676&lt;/_created&gt;&lt;_date&gt;60386400&lt;/_date&gt;&lt;_db_updated&gt;CNKI - Reference&lt;/_db_updated&gt;&lt;_issue&gt;20&lt;/_issue&gt;&lt;_journal&gt;电力系统自动化&lt;/_journal&gt;&lt;_keywords&gt;经济调度;鲁棒优化;风力发电;预测区间;不确定性&lt;/_keywords&gt;&lt;_language&gt;Chinese&lt;/_language&gt;&lt;_modified&gt;64105503&lt;/_modified&gt;&lt;_pages&gt;33-39&lt;/_pages&gt;&lt;_url&gt;https://kns.cnki.net/kcms/detail/detail.aspx?FileName=DLXT201420006&amp;amp;DbName=CJFQ2014&lt;/_url&gt;&lt;_volume&gt;38&lt;/_volume&gt;&lt;_translated_author&gt;Li, Zhigang;Wu, Wenchuan;Zhang, Boming&lt;/_translated_author&gt;&lt;/Details&gt;&lt;Extra&gt;&lt;DBUID&gt;{560D5FFD-5A46-4EB8-859B-FD657304A42E}&lt;/DBUID&gt;&lt;/Extra&gt;&lt;/Item&gt;&lt;/References&gt;&lt;/Group&gt;&lt;/Citation&gt;_x000a_"/>
    <w:docVar w:name="NE.Ref{C9C1E982-96DA-4E10-9687-9C56E3B4A90B}" w:val=" ADDIN NE.Ref.{C9C1E982-96DA-4E10-9687-9C56E3B4A90B}&lt;Citation&gt;&lt;Group&gt;&lt;References&gt;&lt;Item&gt;&lt;ID&gt;591&lt;/ID&gt;&lt;UID&gt;{4BF5BE91-C5DF-49FB-B44E-41FC7C888E2B}&lt;/UID&gt;&lt;Title&gt;A Multiobjective Memetic Algorithm Based on Particle Swarm Optimization.&lt;/Title&gt;&lt;Template&gt;Journal Article&lt;/Template&gt;&lt;Star&gt;0&lt;/Star&gt;&lt;Tag&gt;0&lt;/Tag&gt;&lt;Author&gt;Dasheng; Liu; Tan; K.; C.; Goh; C.; K.; W.; K.&lt;/Author&gt;&lt;Year&gt;2007&lt;/Year&gt;&lt;Details&gt;&lt;_created&gt;63705108&lt;/_created&gt;&lt;_issue&gt;1&lt;/_issue&gt;&lt;_journal&gt;IEEE Transactions on Systems Man &amp;amp; Cybernetics Part B Cybernetics A Publication of the IEEE Systems Man &amp;amp; Cybernetics Society&lt;/_journal&gt;&lt;_modified&gt;63705108&lt;/_modified&gt;&lt;_pages&gt;42-50&lt;/_pages&gt;&lt;_volume&gt;37&lt;/_volume&gt;&lt;/Details&gt;&lt;Extra&gt;&lt;DBUID&gt;{F96A950B-833F-4880-A151-76DA2D6A2879}&lt;/DBUID&gt;&lt;/Extra&gt;&lt;/Item&gt;&lt;/References&gt;&lt;/Group&gt;&lt;/Citation&gt;_x000a_"/>
    <w:docVar w:name="NE.Ref{CA23FB5E-563F-4474-9B2A-00596A7DF31C}" w:val=" ADDIN NE.Ref.{CA23FB5E-563F-4474-9B2A-00596A7DF31C}&lt;Citation&gt;&lt;Group&gt;&lt;References&gt;&lt;Item&gt;&lt;ID&gt;588&lt;/ID&gt;&lt;UID&gt;{6461E7E2-909C-4346-B8B7-7D3EC6B6D8DA}&lt;/UID&gt;&lt;Title&gt;MOEA/D: A Multiobjective Evolutionary Algorithm Based on Decomposition&lt;/Title&gt;&lt;Template&gt;Book&lt;/Template&gt;&lt;Star&gt;0&lt;/Star&gt;&lt;Tag&gt;0&lt;/Tag&gt;&lt;Author&gt;Zhang, Qingfu; Li, Hui&lt;/Author&gt;&lt;Year&gt;2007&lt;/Year&gt;&lt;Details&gt;&lt;_created&gt;63704968&lt;/_created&gt;&lt;_modified&gt;63704968&lt;/_modified&gt;&lt;_publisher&gt;IEEE Press&lt;/_publisher&gt;&lt;/Details&gt;&lt;Extra&gt;&lt;DBUID&gt;{F96A950B-833F-4880-A151-76DA2D6A2879}&lt;/DBUID&gt;&lt;/Extra&gt;&lt;/Item&gt;&lt;/References&gt;&lt;/Group&gt;&lt;/Citation&gt;_x000a_"/>
    <w:docVar w:name="NE.Ref{CA4E400E-D9F3-4FE9-B214-8524B1CC2927}" w:val=" ADDIN NE.Ref.{CA4E400E-D9F3-4FE9-B214-8524B1CC2927}&lt;Citation&gt;&lt;Group&gt;&lt;References&gt;&lt;Item&gt;&lt;ID&gt;874&lt;/ID&gt;&lt;UID&gt;{755202DE-01BD-4D80-8FAF-25A5819DA0EE}&lt;/UID&gt;&lt;Title&gt;整流侧换流母线电压恢复导致逆变器换相失败的机理分析&lt;/Title&gt;&lt;Template&gt;Journal Article&lt;/Template&gt;&lt;Star&gt;0&lt;/Star&gt;&lt;Tag&gt;0&lt;/Tag&gt;&lt;Author&gt;马星; 李凤婷; 尹纯亚; 解超&lt;/Author&gt;&lt;Year&gt;2021&lt;/Year&gt;&lt;Details&gt;&lt;_accessed&gt;64647186&lt;/_accessed&gt;&lt;_author_aff&gt;可再生能源发电与并网技术教育部工程研究中心(新疆大学);&lt;/_author_aff&gt;&lt;_cited_count&gt;1&lt;/_cited_count&gt;&lt;_created&gt;64646879&lt;/_created&gt;&lt;_date&gt;2021-07-28&lt;/_date&gt;&lt;_db_updated&gt;CNKI - Reference&lt;/_db_updated&gt;&lt;_issue&gt;04&lt;/_issue&gt;&lt;_journal&gt;电力工程技术&lt;/_journal&gt;&lt;_keywords&gt;换相失败;电流偏差控制;直流电流指令值;高压直流输电;关断角&lt;/_keywords&gt;&lt;_modified&gt;64646988&lt;/_modified&gt;&lt;_pages&gt;83-88&lt;/_pages&gt;&lt;_tertiary_title&gt;Electric power engineering technology&lt;/_tertiary_title&gt;&lt;_translated_author&gt;MA, Xing; Li, Fengting; Yin, Chunya; XIE, Chao&lt;/_translated_author&gt;&lt;_translated_title&gt;Mechanism analysis of inverter commutation failure caused by voltage recovery of commutation bus at rectifier side&lt;/_translated_title&gt;&lt;_url&gt;https://kns.cnki.net/kcms/detail/detail.aspx?FileName=JSDJ202104015&amp;amp;DbName=CJFQ2021 _x000d__x000a_https://bar.cnki.net/bar/download/order?id=jBGETXBNdPImvx70aLAuJPYxPoFw%2bp%2bi0fIiSrcN6lUSx76m4VDvrWvOeoYbIn8iwURBIovEZWsxpaJNu72RskGxVkq8YHJNz4jV3WhknTrl8E%2bCUVp5GtDTYhVF2dNUoJeGx62Ssygg68TNXJ%2b5JrigejDAar8Xqw%2f6WR22OFXUdUGh4At8VBYSvh%2fCUD5aVHvqjmFieqfKvR3k%2bUEvn4kWl%2f5%2bM02t3C4Rt6mdaoj5LXYX1qwFXwOc1HUZT%2bTB _x000d__x000a_&lt;/_url&gt;&lt;_volume&gt;40&lt;/_volume&gt;&lt;/Details&gt;&lt;Extra&gt;&lt;DBUID&gt;{6891F4B0-DCBA-459A-9A22-3059983243D4}&lt;/DBUID&gt;&lt;/Extra&gt;&lt;/Item&gt;&lt;/References&gt;&lt;/Group&gt;&lt;Group&gt;&lt;References&gt;&lt;Item&gt;&lt;ID&gt;883&lt;/ID&gt;&lt;UID&gt;{C176C388-5555-4DBA-A9F3-4DB4EEB22E89}&lt;/UID&gt;&lt;Title&gt;整流侧换流母线电压恢复对逆变器换相的影响&lt;/Title&gt;&lt;Template&gt;Journal Article&lt;/Template&gt;&lt;Star&gt;0&lt;/Star&gt;&lt;Tag&gt;0&lt;/Tag&gt;&lt;Author&gt;马星; 李凤婷; 尹纯亚&lt;/Author&gt;&lt;Year&gt;2020&lt;/Year&gt;&lt;Details&gt;&lt;_accessed&gt;64647187&lt;/_accessed&gt;&lt;_author_aff&gt;可再生能源发电与并网技术教育部工程研究中心(新疆大学);&lt;/_author_aff&gt;&lt;_cited_count&gt;11&lt;/_cited_count&gt;&lt;_collection_scope&gt;CSCD;PKU;EI&lt;/_collection_scope&gt;&lt;_created&gt;64646975&lt;/_created&gt;&lt;_date&gt;2019-12-07&lt;/_date&gt;&lt;_db_updated&gt;CNKI - Reference&lt;/_db_updated&gt;&lt;_issue&gt;08&lt;/_issue&gt;&lt;_journal&gt;电网技术&lt;/_journal&gt;&lt;_keywords&gt;整流侧;换流母线电压;换相失败;交直流系统&lt;/_keywords&gt;&lt;_modified&gt;64647187&lt;/_modified&gt;&lt;_pages&gt;2950-2960&lt;/_pages&gt;&lt;_tertiary_title&gt;Power System Technology&lt;/_tertiary_title&gt;&lt;_translated_author&gt;MA, Xing; LI, Fengting; YIN, Chunya&lt;/_translated_author&gt;&lt;_translated_title&gt;Impact of Voltage Restoration of Commutation Bus on Rectifier Side on Commutation of Inverters&lt;/_translated_title&gt;&lt;_url&gt;https://kns.cnki.net/kcms/detail/detail.aspx?FileName=DWJS202008018&amp;amp;DbName=DKFX2020 _x000d__x000a_https://bar.cnki.net/bar/download/order?id=jBGETXBNdPImvx70aLAuJPYxPoFw%2bp%2bi0fIiSrcN6lWXnEoYtphX0Jtvtjf3EoE87xjkRlvGO8J6KALxJ1GxhTnQrP31sd3qbIpJim%2fvA8Tl8E%2bCUVp5GtDTYhVF2dNUoJeGx62Ssygg68TNXJ%2b5JrigejDAar8Xqw%2f6WR22OFXUdUGh4At8VBYSvh%2fCUD5aTDHomm%2bSFaP0ny2lFSKwV5Kzk2nEpXpjv48eWYbtnKv5LXYX1qwFXwOc1HUZT%2bTB _x000d__x000a_https://bar.cnki.net/bar/download/order?id=jBGETXBNdPImvx70aLAuJPYxPoFw%2bp%2bi0fIiSrcN6lWXnEoYtphX0Jtvtjf3EoE87xjkRlvGO8J6KALxJ1GxhTnQrP31sd3qbIpJim%2fvA8Tl8E%2bCUVp5GtDTYhVF2dNUoJeGx62Ssygg68TNXJ%2b5JrigejDAar8Xqw%2f6WR22OFXUdUGh4At8VBYSvh%2fCUD5apLJdRX4BwC58MAWtXmYCAu%2bF67nMpzthHJOFur%2bUCZv5LXYX1qwFXwOc1HUZT%2bTB _x000d__x000a_https://bar.cnki.net/bar/download/order?id=jBGETXBNdPImvx70aLAuJPYxPoFw%2bp%2bi0fIiSrcN6lWXnEoYtphX0Jtvtjf3EoE87xjkRlvGO8J6KALxJ1GxhTnQrP31sd3qbIpJim%2fvA8Tl8E%2bCUVp5GtDTYhVF2dNUoJeGx62Ssygg68TNXJ%2b5JrigejDAar8Xqw%2f6WR22OFXUdUGh4At8VBYSvh%2fCUD5a1paC4yf1pBa9fVWwD7c54GK2VE5g5xhSx3OoeqP39%2bD5LXYX1qwFXwOc1HUZT%2bTB _x000d__x000a_https://bar.cnki.net/bar/download/order?id=jBGETXBNdPImvx70aLAuJPYxPoFw%2bp%2bi0fIiSrcN6lWXnEoYtphX0Jtvtjf3EoE87xjkRlvGO8J6KALxJ1GxhTnQrP31sd3qbIpJim%2fvA8Tl8E%2bCUVp5GtDTYhVF2dNUoJeGx62Ssygg68TNXJ%2b5JrigejDAar8Xqw%2f6WR22OFXUdUGh4At8VBYSvh%2fCUD5aZ8UJu4y6aHx18s2mIAXr5KbPqkOHz6XHGO1cnd%2fPGTr5LXYX1qwFXwOc1HUZT%2bTB _x000d__x000a_&lt;/_url&gt;&lt;_volume&gt;44&lt;/_volume&gt;&lt;/Details&gt;&lt;Extra&gt;&lt;DBUID&gt;{6891F4B0-DCBA-459A-9A22-3059983243D4}&lt;/DBUID&gt;&lt;/Extra&gt;&lt;/Item&gt;&lt;/References&gt;&lt;/Group&gt;&lt;/Citation&gt;_x000a_"/>
    <w:docVar w:name="NE.Ref{CA845EE8-CA57-44A7-BCC1-C0B21EF16C59}" w:val=" ADDIN NE.Ref.{CA845EE8-CA57-44A7-BCC1-C0B21EF16C59}&lt;Citation&gt;&lt;Group&gt;&lt;References&gt;&lt;Item&gt;&lt;ID&gt;526&lt;/ID&gt;&lt;UID&gt;{5FAEA3FF-5F76-46D8-AC09-080124D9DB30}&lt;/UID&gt;&lt;Title&gt;2019年全球能源供需分析——基于《BP世界能源统计年鉴(2020)》&lt;/Title&gt;&lt;Template&gt;Journal Article&lt;/Template&gt;&lt;Star&gt;0&lt;/Star&gt;&lt;Tag&gt;5&lt;/Tag&gt;&lt;Author&gt;李洪言; 赵朔; 林傲丹; 刘飞; 李雷; 代晓东&lt;/Author&gt;&lt;Year&gt;2020&lt;/Year&gt;&lt;Details&gt;&lt;_author_adr&gt;中国石油大学胜利学院油气工程学院;&lt;/_author_adr&gt;&lt;_created&gt;63659476&lt;/_created&gt;&lt;_db_provider&gt;CNKI&lt;/_db_provider&gt;&lt;_isbn&gt;1006-5539&lt;/_isbn&gt;&lt;_issue&gt;06&lt;/_issue&gt;&lt;_journal&gt;天然气与石油&lt;/_journal&gt;&lt;_keywords&gt;BP;2019年;全球能源;供需&lt;/_keywords&gt;&lt;_modified&gt;63705361&lt;/_modified&gt;&lt;_pages&gt;122-130&lt;/_pages&gt;&lt;_volume&gt;38&lt;/_volume&gt;&lt;_translated_author&gt;Li, Hongyan;Zhao, Shuo;Lin, Aodan;Liu, Fei;Li, Lei;Dai, Xiaodong&lt;/_translated_author&gt;&lt;/Details&gt;&lt;Extra&gt;&lt;DBUID&gt;{F96A950B-833F-4880-A151-76DA2D6A2879}&lt;/DBUID&gt;&lt;/Extra&gt;&lt;/Item&gt;&lt;/References&gt;&lt;/Group&gt;&lt;/Citation&gt;_x000a_"/>
    <w:docVar w:name="NE.Ref{CAAB92D6-B819-4D8F-9947-BD695D5F5A8E}" w:val=" ADDIN NE.Ref.{CAAB92D6-B819-4D8F-9947-BD695D5F5A8E}&lt;Citation&gt;&lt;Group&gt;&lt;References&gt;&lt;Item&gt;&lt;ID&gt;577&lt;/ID&gt;&lt;UID&gt;{9D7B3693-4187-4F51-8498-7CEA72219ED6}&lt;/UID&gt;&lt;Title&gt;Cooperation of Wind Power and Battery Storage to Provide Frequency Regulation in Power Markets&lt;/Title&gt;&lt;Template&gt;Journal Article&lt;/Template&gt;&lt;Star&gt;0&lt;/Star&gt;&lt;Tag&gt;0&lt;/Tag&gt;&lt;Author&gt;He, G; Chen, Q; Kang, C; Xia, Q; Poolla, K&lt;/Author&gt;&lt;Year&gt;2017&lt;/Year&gt;&lt;Details&gt;&lt;_collection_scope&gt;SCI;SCIE;EI&lt;/_collection_scope&gt;&lt;_created&gt;63685289&lt;/_created&gt;&lt;_doi&gt;10.1109/TPWRS.2016.2644642}&lt;/_doi&gt;&lt;_impact_factor&gt;   6.074&lt;/_impact_factor&gt;&lt;_issue&gt;5&lt;/_issue&gt;&lt;_journal&gt;IEEE Transactions on Power Systems&lt;/_journal&gt;&lt;_modified&gt;63685289&lt;/_modified&gt;&lt;_pages&gt;3559-3568&lt;/_pages&gt;&lt;_volume&gt;32&lt;/_volume&gt;&lt;/Details&gt;&lt;Extra&gt;&lt;DBUID&gt;{F96A950B-833F-4880-A151-76DA2D6A2879}&lt;/DBUID&gt;&lt;/Extra&gt;&lt;/Item&gt;&lt;/References&gt;&lt;/Group&gt;&lt;/Citation&gt;_x000a_"/>
    <w:docVar w:name="NE.Ref{CB0B92EC-B121-4A63-8F39-EE89199521C0}" w:val=" ADDIN NE.Ref.{CB0B92EC-B121-4A63-8F39-EE89199521C0}&lt;Citation&gt;&lt;Group&gt;&lt;References&gt;&lt;Item&gt;&lt;ID&gt;111&lt;/ID&gt;&lt;UID&gt;{FEA426BE-BC31-4E92-BA65-59842BC0329B}&lt;/UID&gt;&lt;Title&gt;能源互联网背景下的电力储能技术展望&lt;/Title&gt;&lt;Template&gt;Journal Article&lt;/Template&gt;&lt;Star&gt;0&lt;/Star&gt;&lt;Tag&gt;0&lt;/Tag&gt;&lt;Author&gt;来小康; 李建林; 田立亭&lt;/Author&gt;&lt;Year&gt;2015&lt;/Year&gt;&lt;Details&gt;&lt;_accessed&gt;64308266&lt;/_accessed&gt;&lt;_created&gt;64303980&lt;/_created&gt;&lt;_language&gt;Chinese&lt;/_language&gt;&lt;_modified&gt;64308267&lt;/_modified&gt;&lt;_translated_author&gt;Lai, Xiaokang;Li, Jianlin;Tian, Liting&lt;/_translated_author&gt;&lt;/Details&gt;&lt;Extra&gt;&lt;DBUID&gt;{560D5FFD-5A46-4EB8-859B-FD657304A42E}&lt;/DBUID&gt;&lt;/Extra&gt;&lt;/Item&gt;&lt;/References&gt;&lt;/Group&gt;&lt;/Citation&gt;_x000a_"/>
    <w:docVar w:name="NE.Ref{CBC55F94-45C8-4910-BEAC-789B58375839}" w:val=" ADDIN NE.Ref.{CBC55F94-45C8-4910-BEAC-789B58375839}&lt;Citation&gt;&lt;Group&gt;&lt;References&gt;&lt;Item&gt;&lt;ID&gt;420&lt;/ID&gt;&lt;UID&gt;{58189AAD-9D24-4074-98E3-2E8EA3C7CA56}&lt;/UID&gt;&lt;Title&gt;基于整流侧触发角紧急控制的换相失败预防策略&lt;/Title&gt;&lt;Template&gt;Journal Article&lt;/Template&gt;&lt;Star&gt;0&lt;/Star&gt;&lt;Tag&gt;0&lt;/Tag&gt;&lt;Author&gt;刘畅; 李程昊; 姚伟; 张振安; 文劲宇&lt;/Author&gt;&lt;Year&gt;2019&lt;/Year&gt;&lt;Details&gt;&lt;_accessed&gt;63454199&lt;/_accessed&gt;&lt;_accession_num&gt;CSCD:6410688_x000d__x000a_ER&lt;/_accession_num&gt;&lt;_cited_count&gt;0&lt;/_cited_count&gt;&lt;_collection_scope&gt;CSCD;PKU;EI&lt;/_collection_scope&gt;&lt;_created&gt;63444588&lt;/_created&gt;&lt;_date_display&gt;2019, 2019&lt;/_date_display&gt;&lt;_db_provider&gt;ISI&lt;/_db_provider&gt;&lt;_isbn&gt;1006-6047&lt;/_isbn&gt;&lt;_issue&gt;1006-6047(2019)39:1&amp;lt;10:JYZLCC&amp;gt;2.0.TX;2-D1&lt;/_issue&gt;&lt;_journal&gt;电力自动化设备&lt;/_journal&gt;&lt;_modified&gt;63454200&lt;/_modified&gt;&lt;_pages&gt;10-18&lt;/_pages&gt;&lt;_tertiary_title&gt;Electric Power Automation Equipment&lt;/_tertiary_title&gt;&lt;_translated_author&gt;Liu, Chang; Li, Chenghao; Yao, Wei; Zhang, Zhen&amp;apos;an; Wen, Jinyu&lt;/_translated_author&gt;&lt;_translated_title&gt;Rectifier trigger angle emergency control strategy for preventing commutation failures&lt;/_translated_title&gt;&lt;_url&gt;CSCD:6410688 _x000d__x000a_https://kns.cnki.net/kns/download.aspx?filename=zEzKwgEMrMVS2RDV2JzUpxmMDNTdW1kWzh0LQVTePRTeqFnMPdzaoJDUQpXRm9mc5FTY4BlZDxUTGVEcnhUQ3JlaiFGTQRldypVY2N1MLtUON9SdztGNrlVW0sUR3gTYY5mbTpnYlREVKlVTYFXer1mVud3V4dTb&amp;amp;tablename=CJFDLAST2019&amp;amp;dflag=pdfdown _x000d__x000a_&lt;/_url&gt;&lt;_volume&gt;39&lt;/_volume&gt;&lt;/Details&gt;&lt;Extra&gt;&lt;DBUID&gt;{6891F4B0-DCBA-459A-9A22-3059983243D4}&lt;/DBUID&gt;&lt;/Extra&gt;&lt;/Item&gt;&lt;/References&gt;&lt;/Group&gt;&lt;/Citation&gt;_x000a_"/>
    <w:docVar w:name="NE.Ref{CBD3DE49-0EB1-4C8E-857D-D10C01D03BBE}" w:val=" ADDIN NE.Ref.{CBD3DE49-0EB1-4C8E-857D-D10C01D03BBE}&lt;Citation&gt;&lt;Group&gt;&lt;References&gt;&lt;Item&gt;&lt;ID&gt;519&lt;/ID&gt;&lt;UID&gt;{B69D6FF4-075F-46B6-8199-E4147DE3D6BA}&lt;/UID&gt;&lt;Title&gt;风光储系统储能容量优化配置策略&lt;/Title&gt;&lt;Template&gt;Journal Article&lt;/Template&gt;&lt;Star&gt;0&lt;/Star&gt;&lt;Tag&gt;0&lt;/Tag&gt;&lt;Author&gt;李建林; 郭斌琪; 牛萌; 修晓青; 田立亭&lt;/Author&gt;&lt;Year&gt;2018&lt;/Year&gt;&lt;Details&gt;&lt;_author_adr&gt;新能源与储能运行控制国家重点实验室(中国电力科学研究院);&lt;/_author_adr&gt;&lt;_collection_scope&gt;CSCD;PKU;EI&lt;/_collection_scope&gt;&lt;_created&gt;63657439&lt;/_created&gt;&lt;_db_provider&gt;CNKI&lt;/_db_provider&gt;&lt;_isbn&gt;1000-6753&lt;/_isbn&gt;&lt;_issue&gt;06&lt;/_issue&gt;&lt;_journal&gt;电工技术学报&lt;/_journal&gt;&lt;_keywords&gt;风光储;储能配置;动态规划;双层决策&lt;/_keywords&gt;&lt;_modified&gt;63657439&lt;/_modified&gt;&lt;_pages&gt;1189-1196&lt;/_pages&gt;&lt;_volume&gt;33&lt;/_volume&gt;&lt;_translated_author&gt;Li, Jianlin;Guo, Binqi;Niu, Meng;Xiu, Xiaoqing;Tian, Liting&lt;/_translated_author&gt;&lt;/Details&gt;&lt;Extra&gt;&lt;DBUID&gt;{F96A950B-833F-4880-A151-76DA2D6A2879}&lt;/DBUID&gt;&lt;/Extra&gt;&lt;/Item&gt;&lt;/References&gt;&lt;/Group&gt;&lt;/Citation&gt;_x000a_"/>
    <w:docVar w:name="NE.Ref{CE24A398-BE17-428C-84C9-CE60DBD313A2}" w:val=" ADDIN NE.Ref.{CE24A398-BE17-428C-84C9-CE60DBD313A2}&lt;Citation&gt;&lt;Group&gt;&lt;References&gt;&lt;Item&gt;&lt;ID&gt;1039&lt;/ID&gt;&lt;UID&gt;{016FAEF3-AC24-462E-86AB-5C9495CEC40F}&lt;/UID&gt;&lt;Title&gt;A DC Chopper Topology to Mitigate Commutation Failure of Line Commutated Converter Based High Voltage Direct Current Transmission&lt;/Title&gt;&lt;Template&gt;Journal Article&lt;/Template&gt;&lt;Star&gt;0&lt;/Star&gt;&lt;Tag&gt;0&lt;/Tag&gt;&lt;Author&gt;Guo, C Y; Liu, B; Zhao, C Y&lt;/Author&gt;&lt;Year&gt;2020&lt;/Year&gt;&lt;Details&gt;&lt;_alternate_title&gt;JOURNAL OF MODERN POWER SYSTEMS AND CLEAN ENERGY&lt;/_alternate_title&gt;&lt;_author_adr&gt;North China Elect Power Univ, State Key Lab Alternate Elect Power Syst Renewabl, Beijing, Peoples R China&lt;/_author_adr&gt;&lt;_cited_count&gt;11&lt;/_cited_count&gt;&lt;_date_display&gt;2020&lt;/_date_display&gt;&lt;_date&gt;2020-01-01&lt;/_date&gt;&lt;_doi&gt;10.35833/MPCE.2019.000327&lt;/_doi&gt;&lt;_issue&gt;2&lt;/_issue&gt;&lt;_journal&gt;JOURNAL OF MODERN POWER SYSTEMS AND CLEAN ENERGY&lt;/_journal&gt;&lt;_keywords&gt;Line commutated converter based high-voltage direct current (LCC-HVDC) transmission; DC chopper; power consumption sub-module based on thyristor full-bridge module; (TFB-PCSM); commutation failure (CF); fault recovery capability&lt;/_keywords&gt;&lt;_pages&gt;345-355&lt;/_pages&gt;&lt;_volume&gt;8&lt;/_volume&gt;&lt;_created&gt;64789131&lt;/_created&gt;&lt;_modified&gt;64789131&lt;/_modified&gt;&lt;_db_updated&gt;Web of Science-Core&lt;/_db_updated&gt;&lt;_impact_factor&gt;   4.469&lt;/_impact_factor&gt;&lt;_collection_scope&gt;SCIE;EI&lt;/_collection_scope&gt;&lt;/Details&gt;&lt;Extra&gt;&lt;DBUID&gt;{6891F4B0-DCBA-459A-9A22-3059983243D4}&lt;/DBUID&gt;&lt;/Extra&gt;&lt;/Item&gt;&lt;/References&gt;&lt;/Group&gt;&lt;/Citation&gt;_x000a_"/>
    <w:docVar w:name="NE.Ref{CE3D8129-5D85-4AFC-B473-166F6705FD84}" w:val=" ADDIN NE.Ref.{CE3D8129-5D85-4AFC-B473-166F6705FD84}&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db_provider&gt;CNKI&lt;/_db_provider&gt;&lt;_isbn&gt;1000-3673&lt;/_isbn&gt;&lt;_issue&gt;03&lt;/_issue&gt;&lt;_journal&gt;电网技术&lt;/_journal&gt;&lt;_keywords&gt;售电公司;虚拟电厂;双层规划;NSGA-Ⅱ算法;混合整数二阶锥规划&lt;/_keywords&gt;&lt;_pages&gt;952-961&lt;/_pages&gt;&lt;_volume&gt;43&lt;/_volume&gt;&lt;_created&gt;63648575&lt;/_created&gt;&lt;_modified&gt;63648575&lt;/_modified&gt;&lt;_collection_scope&gt;CSCD;PKU;EI&lt;/_collection_scope&gt;&lt;_translated_author&gt;Zhang, Tao;Wang, Cheng;Wang, Lingyun;Zhang, Dongfang;Zhang, Jiaying&lt;/_translated_author&gt;&lt;/Details&gt;&lt;Extra&gt;&lt;DBUID&gt;{F96A950B-833F-4880-A151-76DA2D6A2879}&lt;/DBUID&gt;&lt;/Extra&gt;&lt;/Item&gt;&lt;/References&gt;&lt;/Group&gt;&lt;/Citation&gt;_x000a_"/>
    <w:docVar w:name="NE.Ref{CE453168-7506-4EAD-AC87-75744FA320F4}" w:val=" ADDIN NE.Ref.{CE453168-7506-4EAD-AC87-75744FA320F4}&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Citation&gt;_x000a_"/>
    <w:docVar w:name="NE.Ref{CEADF9BF-48C9-4AD6-A581-7A63D2B1AA64}" w:val=" ADDIN NE.Ref.{CEADF9BF-48C9-4AD6-A581-7A63D2B1AA64}&lt;Citation&gt;&lt;Group&gt;&lt;References&gt;&lt;Item&gt;&lt;ID&gt;433&lt;/ID&gt;&lt;UID&gt;{1EA31325-9773-449F-8E1E-935EBA62DA1B}&lt;/UID&gt;&lt;Title&gt;基于集合经验模态分解的交直流混合微电网混合储能容量优化配置&lt;/Title&gt;&lt;Template&gt;Journal Article&lt;/Template&gt;&lt;Star&gt;0&lt;/Star&gt;&lt;Tag&gt;0&lt;/Tag&gt;&lt;Author&gt;郭玲娟; 魏斌; 韩肖清; 李雯&lt;/Author&gt;&lt;Year&gt;2020&lt;/Year&gt;&lt;Details&gt;&lt;_author_adr&gt;电力系统运行与控制山西省重点实验室(太原理工大学);&lt;/_author_adr&gt;&lt;_collection_scope&gt;CSCD;PKU;EI&lt;/_collection_scope&gt;&lt;_created&gt;63648590&lt;/_created&gt;&lt;_db_provider&gt;CNKI&lt;/_db_provider&gt;&lt;_isbn&gt;1003-6520&lt;/_isbn&gt;&lt;_issue&gt;02&lt;/_issue&gt;&lt;_journal&gt;高电压技术&lt;/_journal&gt;&lt;_keywords&gt;交直流混合微电网;联络线功率;混合储能系统;容量优化配置;集合经验模态分解;自适应惯性权重粒子群算法&lt;/_keywords&gt;&lt;_modified&gt;63648590&lt;/_modified&gt;&lt;_pages&gt;527-537&lt;/_pages&gt;&lt;_volume&gt;46&lt;/_volume&gt;&lt;_translated_author&gt;Guo, Lingjuan;Wei, Bin;Han, Xiaoqing;Li, Wen&lt;/_translated_author&gt;&lt;/Details&gt;&lt;Extra&gt;&lt;DBUID&gt;{F96A950B-833F-4880-A151-76DA2D6A2879}&lt;/DBUID&gt;&lt;/Extra&gt;&lt;/Item&gt;&lt;/References&gt;&lt;/Group&gt;&lt;/Citation&gt;_x000a_"/>
    <w:docVar w:name="NE.Ref{CEF2B02E-2ABE-4181-BD19-F39DE37EDB4A}" w:val=" ADDIN NE.Ref.{CEF2B02E-2ABE-4181-BD19-F39DE37EDB4A}&lt;Citation&gt;&lt;Group&gt;&lt;References&gt;&lt;Item&gt;&lt;ID&gt;486&lt;/ID&gt;&lt;UID&gt;{574D1813-A53B-45B1-AF36-3055B27AE56A}&lt;/UID&gt;&lt;Title&gt;Application of modified NSGA-Ⅱ algorithm to Combined Economic and Emission Dispatch problem&lt;/Title&gt;&lt;Template&gt;Journal Article&lt;/Template&gt;&lt;Star&gt;0&lt;/Star&gt;&lt;Tag&gt;0&lt;/Tag&gt;&lt;Author&gt;Dhanalakshmi, S; Kannan, S; Mahadevan, K; Baskar, S&lt;/Author&gt;&lt;Year&gt;2011&lt;/Year&gt;&lt;Details&gt;&lt;_created&gt;63650782&lt;/_created&gt;&lt;_journal&gt;International journal of electrical power and energy systems&lt;/_journal&gt;&lt;_modified&gt;63650782&lt;/_modified&gt;&lt;/Details&gt;&lt;Extra&gt;&lt;DBUID&gt;{F96A950B-833F-4880-A151-76DA2D6A2879}&lt;/DBUID&gt;&lt;/Extra&gt;&lt;/Item&gt;&lt;/References&gt;&lt;/Group&gt;&lt;/Citation&gt;_x000a_"/>
    <w:docVar w:name="NE.Ref{CF269815-D900-4818-B6B8-CFEE45C15AAD}" w:val=" ADDIN NE.Ref.{CF269815-D900-4818-B6B8-CFEE45C15AAD}&lt;Citation&gt;&lt;Group&gt;&lt;References&gt;&lt;Item&gt;&lt;ID&gt;886&lt;/ID&gt;&lt;UID&gt;{074588F1-C55C-4456-99D3-8566CD1C8E68}&lt;/UID&gt;&lt;Title&gt;新能源接入系统暂态过电压产生机理及主要影响因素&lt;/Title&gt;&lt;Template&gt;Journal Article&lt;/Template&gt;&lt;Star&gt;0&lt;/Star&gt;&lt;Tag&gt;0&lt;/Tag&gt;&lt;Author&gt;杨大业; 项祖涛; 马世英; 晁武杰; 宋瑞华; 吕思琦&lt;/Author&gt;&lt;Year&gt;2022&lt;/Year&gt;&lt;Details&gt;&lt;_author_aff&gt;中国电力科学研究院有限公司;国网福建省电力有限公司电力科学研究院;&lt;/_author_aff&gt;&lt;_collection_scope&gt;PKU&lt;/_collection_scope&gt;&lt;_created&gt;64426768&lt;/_created&gt;&lt;_date&gt;2022-06-19&lt;/_date&gt;&lt;_db_updated&gt;CNKI - Reference&lt;/_db_updated&gt;&lt;_issue&gt;03&lt;/_issue&gt;&lt;_journal&gt;电力电容器与无功补偿&lt;/_journal&gt;&lt;_keywords&gt;暂态过电压;新能源;无功平衡;不对称故障;系统稳定&lt;/_keywords&gt;&lt;_modified&gt;64438140&lt;/_modified&gt;&lt;_pages&gt;127-134&lt;/_pages&gt;&lt;_url&gt;https://kns.cnki.net/kcms/detail/detail.aspx?FileName=DLDY202203019&amp;amp;DbName=CJFQTEMP _x000d__x000a_https://bar.cnki.net/bar/download/order?id=jBGETXBNdPImvx70aLAuJPYxPoFw%2bp%2bi0fIiSrcN6lU1Ltjhwl%2bC5NwQVhnO20Ziqfi8%2bi%2f76dNraIZO5iW6Bsm82jDOg3yr%2bqRqj9L2CzQtqddCdidyosdSaMNWur3ZJBjdlDrNnftoR5pdZPiFRNlKM4sfpT3nRHSqBOA4sms8GQBtE8Z8mK%2fNwS15YoSEnzqdkHWwYxlA3x2%2bbrRA8qopkQ6JnjQzfIvFcCnka0M%3d _x000d__x000a_https://bar.cnki.net/bar/download/order?id=jBGETXBNdPImvx70aLAuJPYxPoFw%2bp%2bi0fIiSrcN6lU1Ltjhwl%2bC5NwQVhnO20Ziqfi8%2bi%2f76dNraIZO5iW6Bsm82jDOg3yr%2bqRqj9L2CzQtqddCdidyosdSaMNWur3ZJBjdlDrNnftoR5pdZPiFRNlKM4sfpT3nRHSqBOA4sms8GQBtE8Z8mK%2fNwS15YoSEyHekmfBqznMc%2fTCMwTyw1KopkQ6JnjQzfIvFcCnka0M%3d _x000d__x000a_&lt;/_url&gt;&lt;_volume&gt;43&lt;/_volume&gt;&lt;_translated_author&gt;Yang, Da ye;Xiang, Zu tao;Ma, Shi ying;Chao, Wu jie;Song, Rui hua;Lu, Si qi&lt;/_translated_author&gt;&lt;/Details&gt;&lt;Extra&gt;&lt;DBUID&gt;{684DF7C5-873E-4B6A-A11E-0CD148BF4011}&lt;/DBUID&gt;&lt;/Extra&gt;&lt;/Item&gt;&lt;/References&gt;&lt;/Group&gt;&lt;Group&gt;&lt;References&gt;&lt;Item&gt;&lt;ID&gt;851&lt;/ID&gt;&lt;UID&gt;{B73142E5-478E-492D-A8AA-A94436F01F4A}&lt;/UID&gt;&lt;Title&gt;换相失败下STATCOM助增暂态过电压机理与优化策略&lt;/Title&gt;&lt;Template&gt;Journal Article&lt;/Template&gt;&lt;Star&gt;0&lt;/Star&gt;&lt;Tag&gt;0&lt;/Tag&gt;&lt;Author&gt;梁卓航; 时纯; 李岩松; 刘君&lt;/Author&gt;&lt;Year&gt;2022&lt;/Year&gt;&lt;Details&gt;&lt;_author_aff&gt;华北电力大学电气与电子工程学院;&lt;/_author_aff&gt;&lt;_collection_scope&gt;PKU&lt;/_collection_scope&gt;&lt;_created&gt;64401906&lt;/_created&gt;&lt;_date&gt;2022-06-01&lt;/_date&gt;&lt;_db_updated&gt;CNKI - Reference&lt;/_db_updated&gt;&lt;_issue&gt;06&lt;/_issue&gt;&lt;_journal&gt;电力建设&lt;/_journal&gt;&lt;_keywords&gt;静止同步补偿器(STATCOM);换相失败;高压直流输电;暂态过电压&lt;/_keywords&gt;&lt;_modified&gt;64441017&lt;/_modified&gt;&lt;_pages&gt;66-74&lt;/_pages&gt;&lt;_url&gt;https://kns.cnki.net/kcms/detail/detail.aspx?FileName=DLJS202206007&amp;amp;DbName=CJFQTEMP _x000d__x000a_https://bar.cnki.net/bar/download/order?id=jBGETXBNdPImvx70aLAuJPYxPoFw%2bp%2bi0fIiSrcN6lUm4KR1sJa35H1ObGoKx0rqH2sD2G7he7jbcHBcDwil38m82jDOg3yr%2bqRqj9L2CzQtqddCdidyosdSaMNWur3ZJBjdlDrNnftoR5pdZPiFRNlKM4sfpT3nRHSqBOA4sms8GQBtE8Z8mK%2fNwS15YoSEZt%2bimay%2bR9P2Vo7501khrKopkQ6JnjQzfIvFcCnka0M%3d _x000d__x000a_https://bar.cnki.net/bar/download/order?id=jBGETXBNdPImvx70aLAuJPYxPoFw%2bp%2bi0fIiSrcN6lUm4KR1sJa35H1ObGoKx0rqH2sD2G7he7jbcHBcDwil38m82jDOg3yr%2bqRqj9L2CzQtqddCdidyosdSaMNWur3ZJBjdlDrNnftoR5pdZPiFRNlKM4sfpT3nRHSqBOA4sms8GQBtE8Z8mK%2fNwS15YoSEMrfs5%2fGjBUE3QlLhx%2b1VJ6opkQ6JnjQzfIvFcCnka0M%3d _x000d__x000a_&lt;/_url&gt;&lt;_volume&gt;43&lt;/_volume&gt;&lt;_translated_author&gt;Liang, Zhuo hang;Shi, Chun;Li, Yan song;Liu, Jun&lt;/_translated_author&gt;&lt;/Details&gt;&lt;Extra&gt;&lt;DBUID&gt;{684DF7C5-873E-4B6A-A11E-0CD148BF4011}&lt;/DBUID&gt;&lt;/Extra&gt;&lt;/Item&gt;&lt;/References&gt;&lt;/Group&gt;&lt;Group&gt;&lt;References&gt;&lt;Item&gt;&lt;ID&gt;856&lt;/ID&gt;&lt;UID&gt;{9C4B4B81-9245-45D8-9C38-48F401B3CDDF}&lt;/UID&gt;&lt;Title&gt;新能源机组低电压穿越控制参数对机端工频过电压的影响&lt;/Title&gt;&lt;Template&gt;Journal Article&lt;/Template&gt;&lt;Star&gt;0&lt;/Star&gt;&lt;Tag&gt;0&lt;/Tag&gt;&lt;Author&gt;周莹坤; 谢恒; 孙华东; 徐式蕴; 赵兵; 张怡; 常喜强; 张健&lt;/Author&gt;&lt;Year&gt;2022&lt;/Year&gt;&lt;Details&gt;&lt;_author_aff&gt;电网安全与节能国家重点实验室(中国电力科学研究院有限公司);国网新疆电力有限公司;国家电力调度控制中心;&lt;/_author_aff&gt;&lt;_collection_scope&gt;CSCD;PKU;EI&lt;/_collection_scope&gt;&lt;_created&gt;64402414&lt;/_created&gt;&lt;_date&gt;2021-07-29&lt;/_date&gt;&lt;_db_updated&gt;CNKI - Reference&lt;/_db_updated&gt;&lt;_issue&gt;05&lt;/_issue&gt;&lt;_journal&gt;电网技术&lt;/_journal&gt;&lt;_keywords&gt;特高压直流;过电压;低电压穿越;安全稳定控制&lt;/_keywords&gt;&lt;_modified&gt;64441017&lt;/_modified&gt;&lt;_pages&gt;1907-1916&lt;/_pages&gt;&lt;_url&gt;https://kns.cnki.net/kcms/detail/detail.aspx?FileName=DWJS202205024&amp;amp;DbName=DKFXTEMP _x000d__x000a_https://bar.cnki.net/bar/download/order?id=jBGETXBNdPImvx70aLAuJPYxPoFw%2bp%2bi0fIiSrcN6lUjlhfp73Urejyts9sFyPxFFV%2b%2fuL8qdq3fK6G18C2CLcm82jDOg3yr%2bqRqj9L2CzQtqddCdidyosdSaMNWur3ZJBjdlDrNnftoR5pdZPiFRNlKM4sfpT3nRHSqBOA4sms8GQBtE8Z8mK%2fNwS15YoSEG0qczTib8bX8SU0%2bNiJb2KopkQ6JnjQzfIvFcCnka0M%3d _x000d__x000a_https://bar.cnki.net/bar/download/order?id=jBGETXBNdPImvx70aLAuJPYxPoFw%2bp%2bi0fIiSrcN6lUjlhfp73Urejyts9sFyPxFFV%2b%2fuL8qdq3fK6G18C2CLcm82jDOg3yr%2bqRqj9L2CzQtqddCdidyosdSaMNWur3ZJBjdlDrNnftoR5pdZPiFRNlKM4sfpT3nRHSqBOA4sms8GQBtE8Z8mK%2fNwS15YoSEg%2f8VJ3jWXz311uzzShk84KopkQ6JnjQzfIvFcCnka0M%3d _x000d__x000a_&lt;/_url&gt;&lt;_volume&gt;46&lt;/_volume&gt;&lt;_translated_author&gt;Zhou, Ying kun;Xie, Heng;Sun, Hua dong;Xu, Shi yun;Zhao, Bing;Zhang, Yi;Chang, Xi qiang;Zhang, Jian&lt;/_translated_author&gt;&lt;/Details&gt;&lt;Extra&gt;&lt;DBUID&gt;{684DF7C5-873E-4B6A-A11E-0CD148BF4011}&lt;/DBUID&gt;&lt;/Extra&gt;&lt;/Item&gt;&lt;/References&gt;&lt;/Group&gt;&lt;/Citation&gt;_x000a_"/>
    <w:docVar w:name="NE.Ref{CF41C7A6-D242-41FE-8F62-47EB7402E764}" w:val=" ADDIN NE.Ref.{CF41C7A6-D242-41FE-8F62-47EB7402E764}&lt;Citation&gt;&lt;Group&gt;&lt;References&gt;&lt;Item&gt;&lt;ID&gt;527&lt;/ID&gt;&lt;UID&gt;{291B8031-6D51-45D5-91E7-A340E5A9D44D}&lt;/UID&gt;&lt;Title&gt;暂态过电压引起风电机组连锁脱网风险分析及对策&lt;/Title&gt;&lt;Template&gt;Journal Article&lt;/Template&gt;&lt;Star&gt;0&lt;/Star&gt;&lt;Tag&gt;0&lt;/Tag&gt;&lt;Author&gt;贺静波; 庄伟; 许涛; 霍超; 蒋维勇&lt;/Author&gt;&lt;Year&gt;2016&lt;/Year&gt;&lt;Details&gt;&lt;_accessed&gt;63445923&lt;/_accessed&gt;&lt;_accession_num&gt;CSCD:5736009_x000d__x000a_ER&lt;/_accession_num&gt;&lt;_cited_count&gt;9&lt;/_cited_count&gt;&lt;_created&gt;63444588&lt;/_created&gt;&lt;_date_display&gt;2016, 2016&lt;/_date_display&gt;&lt;_db_provider&gt;ISI&lt;/_db_provider&gt;&lt;_isbn&gt;1000-3673&lt;/_isbn&gt;&lt;_issue&gt;1000-3673(2016)40:6&amp;lt;1839:ZTGDYY&amp;gt;2.0.TX;2-T6&lt;/_issue&gt;&lt;_journal&gt;电网技术 &lt;/_journal&gt;&lt;_modified&gt;64646882&lt;/_modified&gt;&lt;_pages&gt;1839-1844&lt;/_pages&gt;&lt;_tertiary_title&gt;Power System Technology&lt;/_tertiary_title&gt;&lt;_translated_author&gt;He, Jingbo; Zhuang, Wei; Xu, Tao; Huo, Chao; Jiang, Weiyong&lt;/_translated_author&gt;&lt;_translated_title&gt; Study on Cascading Tripping Risk of Wind Turbines Caused by Transient Overvoltage and Its Countermeasures&lt;/_translated_title&gt;&lt;_url&gt;CSCD:5736009 _x000d__x000a_https://bar.cnki.net/bar/download/order?id=jBGETXBNdPImvx70aLAuJPYxPoFw%2bp%2bi0fIiSrcN6lXLoRz4Z5iquf9T8M9ugbDCsxSj2%2bg5K93ojkRss4hrVDW1naasVB8LAM3hX8NAtijl8E%2bCUVp5GtDTYhVF2dNUoJeGx62Ssygg68TNXJ%2b5JrigejDAar8Xqw%2f6WR22OFXUdUGh4At8VBYSvh%2fCUD5avdCCX9%2fNlOQEXTDOzMevLRcYlBaUIWXbuFE25fb2m%2fb5LXYX1qwFXwOc1HUZT%2bTB _x000d__x000a_&lt;/_url&gt;&lt;_volume&gt;40&lt;/_volume&gt;&lt;/Details&gt;&lt;Extra&gt;&lt;DBUID&gt;{6891F4B0-DCBA-459A-9A22-3059983243D4}&lt;/DBUID&gt;&lt;/Extra&gt;&lt;/Item&gt;&lt;/References&gt;&lt;/Group&gt;&lt;/Citation&gt;_x000a_"/>
    <w:docVar w:name="NE.Ref{D0714579-0547-4EEC-9DDC-EF40C6530589}" w:val=" ADDIN NE.Ref.{D0714579-0547-4EEC-9DDC-EF40C6530589}&lt;Citation&gt;&lt;Group&gt;&lt;References&gt;&lt;Item&gt;&lt;ID&gt;341&lt;/ID&gt;&lt;UID&gt;{6D9A678F-8188-442B-8046-5048FD6D6ED1}&lt;/UID&gt;&lt;Title&gt;Probabilistic Analysis of Commutation Failure in LCC-HVDC System Considering the CFPREV and the Initial Fault Voltage Angle&lt;/Title&gt;&lt;Template&gt;Journal Article&lt;/Template&gt;&lt;Star&gt;0&lt;/Star&gt;&lt;Tag&gt;0&lt;/Tag&gt;&lt;Author&gt;Yao, Wei; Liu, Chang; Fang, Jiakun; Ai, Xiaomeng; Wen, Jinyu; Cheng, Shijie&lt;/Author&gt;&lt;Year&gt;2020&lt;/Year&gt;&lt;Details&gt;&lt;_accessed&gt;63446030&lt;/_accessed&gt;&lt;_accession_num&gt;WOS:000522350600029_x000d__x000a_ER&lt;/_accession_num&gt;&lt;_cited_count&gt;2&lt;/_cited_count&gt;&lt;_collection_scope&gt;SCI;SCIE;EI&lt;/_collection_scope&gt;&lt;_created&gt;63444588&lt;/_created&gt;&lt;_date_display&gt;2020, APR 2020&lt;/_date_display&gt;&lt;_db_provider&gt;ISI&lt;/_db_provider&gt;&lt;_doi&gt;10.1109/TPWRD.2019.2925399&lt;/_doi&gt;&lt;_impact_factor&gt;   3.681&lt;/_impact_factor&gt;&lt;_isbn&gt;0885-8977&lt;/_isbn&gt;&lt;_issue&gt;2&lt;/_issue&gt;&lt;_journal&gt;IEEE TRANSACTIONS ON POWER DELIVERY&lt;/_journal&gt;&lt;_modified&gt;63446032&lt;/_modified&gt;&lt;_pages&gt;715-724&lt;/_pages&gt;&lt;_url&gt;http://gateway.isiknowledge.com/gateway/Gateway.cgi?GWVersion=2&amp;amp;SrcAuth=AegeanSoftware&amp;amp;SrcApp=NoteExpress&amp;amp;DestLinkType=FullRecord&amp;amp;DestApp=WOS&amp;amp;KeyUT=000522350600029 _x000d__x000a_https://ieeexplore.ieee.org/stampPDF/getPDF.jsp?tp=&amp;amp;arnumber=8747540&amp;amp;ref=aHR0cHM6Ly9pZWVleHBsb3JlLmllZWUub3JnL3Jlc3Qvc2VhcmNo _x000d__x000a_&lt;/_url&gt;&lt;_volume&gt;35&lt;/_volume&gt;&lt;/Details&gt;&lt;Extra&gt;&lt;DBUID&gt;{6891F4B0-DCBA-459A-9A22-3059983243D4}&lt;/DBUID&gt;&lt;/Extra&gt;&lt;/Item&gt;&lt;/References&gt;&lt;/Group&gt;&lt;Group&gt;&lt;References&gt;&lt;Item&gt;&lt;ID&gt;468&lt;/ID&gt;&lt;UID&gt;{666F5209-124D-414A-B895-6D242E53645F}&lt;/UID&gt;&lt;Title&gt;计及换相失败预测控制和故障合闸角的HVDC换相失败分析&lt;/Title&gt;&lt;Template&gt;Journal Article&lt;/Template&gt;&lt;Star&gt;0&lt;/Star&gt;&lt;Tag&gt;0&lt;/Tag&gt;&lt;Author&gt;李程昊; 刘畅; 张振安; 姚伟; 文劲宇; 王建波&lt;/Author&gt;&lt;Year&gt;2018&lt;/Year&gt;&lt;Details&gt;&lt;_accessed&gt;63445970&lt;/_accessed&gt;&lt;_accession_num&gt;CSCD:6176082_x000d__x000a_ER&lt;/_accession_num&gt;&lt;_cited_count&gt;3&lt;/_cited_count&gt;&lt;_collection_scope&gt;CSCD;PKU;EI&lt;/_collection_scope&gt;&lt;_created&gt;63444588&lt;/_created&gt;&lt;_date_display&gt;2018, 2018&lt;/_date_display&gt;&lt;_db_provider&gt;ISI&lt;/_db_provider&gt;&lt;_isbn&gt;1000-1026&lt;/_isbn&gt;&lt;_issue&gt;1000-1026(2018)42:3&amp;lt;56:JJHXSB&amp;gt;2.0.TX;2-33&lt;/_issue&gt;&lt;_journal&gt;电力系统自动化&lt;/_journal&gt;&lt;_modified&gt;63552597&lt;/_modified&gt;&lt;_pages&gt;56-63,76&lt;/_pages&gt;&lt;_tertiary_title&gt;Automation of Electric Power Systems&lt;/_tertiary_title&gt;&lt;_translated_author&gt;Li, Chenghao; Liu, Chang; Zhang, Zhen&amp;apos;an; Yao, Wei; Wen, Jinyu; Wang, Jianbo&lt;/_translated_author&gt;&lt;_translated_title&gt;Analysis of Commutation Failure in HVDC Power Transmission System Considering Prediction Control of Commutation Failure and Initial Fault Angle&lt;/_translated_title&gt;&lt;_url&gt;CSCD:6176082 _x000d__x000a_https://kns.cnki.net/kcms/download.aspx?filename=pB3NJVFS3U1SkBDTRpHd31WdylzbqVTU6VHa3s2ZuhHUV92YZlHdRlXQQRnWv90TPVVexNGVWNWZkplR3RFcnF1b38GU2ElM2kHRsBFaxYTQOd3aQJDdYBVRWRVbNxWTEV1S3kmUyl3bMNTczcEVDZ3QalFNBZVN&amp;amp;tablename=CJFDLAST2018&amp;amp;dflag=pdfdown _x000d__x000a_&lt;/_url&gt;&lt;_volume&gt;42&lt;/_volume&gt;&lt;/Details&gt;&lt;Extra&gt;&lt;DBUID&gt;{6891F4B0-DCBA-459A-9A22-3059983243D4}&lt;/DBUID&gt;&lt;/Extra&gt;&lt;/Item&gt;&lt;/References&gt;&lt;/Group&gt;&lt;Group&gt;&lt;References&gt;&lt;Item&gt;&lt;ID&gt;565&lt;/ID&gt;&lt;UID&gt;{5F634247-0F19-4220-908B-C510A6654ED4}&lt;/UID&gt;&lt;Title&gt;考虑直流电流变化及交流故障发生时刻影响的HVDC换相失败分析方法&lt;/Title&gt;&lt;Template&gt;Journal Article&lt;/Template&gt;&lt;Star&gt;0&lt;/Star&gt;&lt;Tag&gt;0&lt;/Tag&gt;&lt;Author&gt;徐敬友; 谭海燕; 孙海顺; 吴晋波&lt;/Author&gt;&lt;Year&gt;2015&lt;/Year&gt;&lt;Details&gt;&lt;_accessed&gt;63451440&lt;/_accessed&gt;&lt;_accession_num&gt;CSCD:5432946_x000d__x000a_ER&lt;/_accession_num&gt;&lt;_cited_count&gt;3&lt;/_cited_count&gt;&lt;_collection_scope&gt;CSCD;PKU;EI&lt;/_collection_scope&gt;&lt;_created&gt;63444588&lt;/_created&gt;&lt;_date_display&gt;2015, 2015&lt;/_date_display&gt;&lt;_db_provider&gt;ISI&lt;/_db_provider&gt;&lt;_isbn&gt;1000-3673&lt;/_isbn&gt;&lt;_issue&gt;1000-3673(2015)39:5&amp;lt;1261:KLZLDL&amp;gt;2.0.TX;2-V5&lt;/_issue&gt;&lt;_journal&gt;电网技术&lt;/_journal&gt;&lt;_modified&gt;63552604&lt;/_modified&gt;&lt;_pages&gt;1261-1267&lt;/_pages&gt;&lt;_tertiary_title&gt;Power System Technology&lt;/_tertiary_title&gt;&lt;_translated_author&gt;Xu, Jingyou; Tan, Haiyan; Sun, Haishun; Wu, Jinbo&lt;/_translated_author&gt;&lt;_translated_title&gt;Research on Method to Analyze Commutation Failure in HVDC Power Transmission System Considering the Impact of DC Current Variation and Occurrence Moment of AC Fault&lt;/_translated_title&gt;&lt;_url&gt;CSCD:5432946 _x000d__x000a_https://kns.cnki.net/kcms/download.aspx?filename=6hHMwlmSyAlTN1memlUbjlGcy8GN0R1UWRFOZNnUFZTM0Q3YQJXU5YDNa10R3NzVrYUR49mbqhGaCZEbttCaRJXNXdHVLh1ZZhHZ2AjVIRkRTF2VSpES4UXdBR3Zxc2QVRVSydjcFJURiN0bihVR5RkZhhEZ5gjV&amp;amp;tablename=CJFDLAST2015&amp;amp;dflag=pdfdown _x000d__x000a_&lt;/_url&gt;&lt;_volume&gt;39&lt;/_volume&gt;&lt;/Details&gt;&lt;Extra&gt;&lt;DBUID&gt;{6891F4B0-DCBA-459A-9A22-3059983243D4}&lt;/DBUID&gt;&lt;/Extra&gt;&lt;/Item&gt;&lt;/References&gt;&lt;/Group&gt;&lt;Group&gt;&lt;References&gt;&lt;Item&gt;&lt;ID&gt;618&lt;/ID&gt;&lt;UID&gt;{DAC5D514-0ADE-47A9-B17C-76E26CF33FC1}&lt;/UID&gt;&lt;Title&gt; HVDC输电系统换相失败的故障合闸角影响机理&lt;/Title&gt;&lt;Template&gt;Journal Article&lt;/Template&gt;&lt;Star&gt;0&lt;/Star&gt;&lt;Tag&gt;0&lt;/Tag&gt;&lt;Author&gt;王钢; 李志铿; 黄敏; 李海锋&lt;/Author&gt;&lt;Year&gt;2010&lt;/Year&gt;&lt;Details&gt;&lt;_accessed&gt;63447487&lt;/_accessed&gt;&lt;_accession_num&gt;CSCD:3918717_x000d__x000a_ER&lt;/_accession_num&gt;&lt;_cited_count&gt;9&lt;/_cited_count&gt;&lt;_collection_scope&gt;CSCD;PKU;EI&lt;/_collection_scope&gt;&lt;_created&gt;63444588&lt;/_created&gt;&lt;_date_display&gt;2010, 2010&lt;/_date_display&gt;&lt;_db_provider&gt;ISI&lt;/_db_provider&gt;&lt;_isbn&gt;1000-1026&lt;/_isbn&gt;&lt;_issue&gt;1000-1026(2010)34:4&amp;lt;49:HSDXTH&amp;gt;2.0.TX;2-#4&lt;/_issue&gt;&lt;_journal&gt;电力系统自动化&lt;/_journal&gt;&lt;_modified&gt;63445579&lt;/_modified&gt;&lt;_pages&gt;49-54,102&lt;/_pages&gt;&lt;_tertiary_title&gt;Automation of Electric Power Systems&lt;/_tertiary_title&gt;&lt;_translated_author&gt;Wang, Gang; Li, Zhikeng; Huang, Min; Li, Haifeng&lt;/_translated_author&gt;&lt;_translated_title&gt;Influence of Initial Fault Voltage Angle on Commutation Failure Identification in a HVDC System &lt;/_translated_title&gt;&lt;_url&gt;CSCD:3918717 _x000d__x000a_https://kns.cnki.net/kns/download.aspx?filename=rkkYaJ2TzcWbFZUQFdlVZZHe6xWMCBTeIxGN4F2dtR2dXVTZadTNNxUaPVmaKVVTsZkdvo2VrVnZO1EW40mUGl1LvlGZRN0QJZ1NxAlZUdHZnhERmtUdIJEdLV1N652LzQkewFzaBNFNNBTdatGU65UZMZzQmxUU&amp;amp;tablename=CJFD2010&amp;amp;dflag=pdfdown _x000d__x000a_&lt;/_url&gt;&lt;_volume&gt;34&lt;/_volume&gt;&lt;/Details&gt;&lt;Extra&gt;&lt;DBUID&gt;{6891F4B0-DCBA-459A-9A22-3059983243D4}&lt;/DBUID&gt;&lt;/Extra&gt;&lt;/Item&gt;&lt;/References&gt;&lt;/Group&gt;&lt;/Citation&gt;_x000a_"/>
    <w:docVar w:name="NE.Ref{D0BAD8F1-9559-44F0-ACA8-499439E4B57E}" w:val=" ADDIN NE.Ref.{D0BAD8F1-9559-44F0-ACA8-499439E4B57E}&lt;Citation&gt;&lt;Group&gt;&lt;References&gt;&lt;Item&gt;&lt;ID&gt;647&lt;/ID&gt;&lt;UID&gt;{E9563CAD-FCAF-45F1-9077-462BEF30551B}&lt;/UID&gt;&lt;Title&gt;Early Warning and Inhibition of HVDC Subsequent Commutation Failure During Recovery Process Under Grid Fault&lt;/Title&gt;&lt;Template&gt;Journal Article&lt;/Template&gt;&lt;Star&gt;0&lt;/Star&gt;&lt;Tag&gt;0&lt;/Tag&gt;&lt;Author&gt;Tian, D C; Xiong, X F; Xiao, C&lt;/Author&gt;&lt;Year&gt;2021&lt;/Year&gt;&lt;Details&gt;&lt;_alternate_title&gt;IEEE TRANSACTIONS ON POWER DELIVERY&lt;/_alternate_title&gt;&lt;_author_adr&gt;Chongqing Univ, Sch Elect Engn, Chongqing 400044, Peoples R China; State Grid Henan Elect Power Res Inst, Zhengzhou 450052, Peoples R China&lt;/_author_adr&gt;&lt;_cited_count&gt;3&lt;/_cited_count&gt;&lt;_collection_scope&gt;SCI;SCIE;EI&lt;/_collection_scope&gt;&lt;_created&gt;64493973&lt;/_created&gt;&lt;_date&gt;2021-01-01&lt;/_date&gt;&lt;_date_display&gt;2021&lt;/_date_display&gt;&lt;_db_updated&gt;Web of Science-Core&lt;/_db_updated&gt;&lt;_doi&gt;10.1109/TPWRD.2020.3001123&lt;/_doi&gt;&lt;_impact_factor&gt;   4.825&lt;/_impact_factor&gt;&lt;_issue&gt;2&lt;/_issue&gt;&lt;_journal&gt;IEEE TRANSACTIONS ON POWER DELIVERY&lt;/_journal&gt;&lt;_keywords&gt;Inverters; Circuit faults; HVDC transmission; Switches; Benchmark testing; Process control; Subsequent commutation failure; early warning; emergency control; LCC-HVDC; switch function&lt;/_keywords&gt;&lt;_modified&gt;64494421&lt;/_modified&gt;&lt;_pages&gt;1051-1062&lt;/_pages&gt;&lt;_url&gt;https://ieeexplore.ieee.org/stampPDF/getPDF.jsp?tp=&amp;amp;arnumber=9112716&amp;amp;ref=aHR0cHM6Ly9pZWVleHBsb3JlLmllZWUub3JnL3Jlc3Qvc2VhcmNo _x000d__x000a_&lt;/_url&gt;&lt;_volume&gt;36&lt;/_volume&gt;&lt;/Details&gt;&lt;Extra&gt;&lt;DBUID&gt;{F96A950B-833F-4880-A151-76DA2D6A2879}&lt;/DBUID&gt;&lt;/Extra&gt;&lt;/Item&gt;&lt;/References&gt;&lt;/Group&gt;&lt;/Citation&gt;_x000a_"/>
    <w:docVar w:name="NE.Ref{D124F576-9335-4BAC-BA53-DA896E7C4CDF}" w:val=" ADDIN NE.Ref.{D124F576-9335-4BAC-BA53-DA896E7C4CDF}&lt;Citation&gt;&lt;Group&gt;&lt;References&gt;&lt;Item&gt;&lt;ID&gt;1011&lt;/ID&gt;&lt;UID&gt;{29460CFA-64F7-4141-95C6-8B4C478245F6}&lt;/UID&gt;&lt;Title&gt;基于短路容量的含大规模新能源接入的电网状态脆弱性评估方法研究&lt;/Title&gt;&lt;Template&gt;Journal Article&lt;/Template&gt;&lt;Star&gt;0&lt;/Star&gt;&lt;Tag&gt;0&lt;/Tag&gt;&lt;Author&gt;丁少倩; 林涛; 翟学; 徐遐龄; 毕如玉; 秦晓菁&lt;/Author&gt;&lt;Year&gt;2016&lt;/Year&gt;&lt;Details&gt;&lt;_author_aff&gt;武汉大学电气工程学院;华中电力调控分中心;&lt;/_author_aff&gt;&lt;_cited_count&gt;34&lt;/_cited_count&gt;&lt;_date&gt;2016-07-01&lt;/_date&gt;&lt;_issue&gt;13&lt;/_issue&gt;&lt;_journal&gt;电力系统保护与控制&lt;/_journal&gt;&lt;_keywords&gt;电力系统;状态脆弱性;短路容量;脆弱性评估指标;聚类算法;大规模新能源&lt;/_keywords&gt;&lt;_pages&gt;40-47&lt;/_pages&gt;&lt;_url&gt;https://kns.cnki.net/kcms/detail/detail.aspx?FileName=JDQW201613007&amp;amp;DbName=CJFQ2016&lt;/_url&gt;&lt;_volume&gt;44&lt;/_volume&gt;&lt;_created&gt;64779625&lt;/_created&gt;&lt;_modified&gt;64779625&lt;/_modified&gt;&lt;_db_updated&gt;CNKI - Reference&lt;/_db_updated&gt;&lt;_collection_scope&gt;CSCD;PKU&lt;/_collection_scope&gt;&lt;_translated_author&gt;Ding, Shaoqian;Lin, Tao;Zhai, Xue;Xu, Xialing;Bi, Ruyu;Qin, Xiaojing&lt;/_translated_author&gt;&lt;/Details&gt;&lt;Extra&gt;&lt;DBUID&gt;{6891F4B0-DCBA-459A-9A22-3059983243D4}&lt;/DBUID&gt;&lt;/Extra&gt;&lt;/Item&gt;&lt;/References&gt;&lt;/Group&gt;&lt;Group&gt;&lt;References&gt;&lt;Item&gt;&lt;ID&gt;1012&lt;/ID&gt;&lt;UID&gt;{50673C16-A658-46DD-A692-594ED3CD2147}&lt;/UID&gt;&lt;Title&gt;计及节点脆弱程度的新能源消纳能力风险评估&lt;/Title&gt;&lt;Template&gt;Journal Article&lt;/Template&gt;&lt;Star&gt;0&lt;/Star&gt;&lt;Tag&gt;0&lt;/Tag&gt;&lt;Author&gt;李亦凡; 房鑫炎; 王波; 蔡振华&lt;/Author&gt;&lt;Year&gt;2020&lt;/Year&gt;&lt;Details&gt;&lt;_author_aff&gt;电力传输与功率变换控制教育部重点实验室(上海交通大学);国网宁波电力调度控制中心;&lt;/_author_aff&gt;&lt;_cited_count&gt;11&lt;/_cited_count&gt;&lt;_date&gt;2020-07-08&lt;/_date&gt;&lt;_issue&gt;12&lt;/_issue&gt;&lt;_journal&gt;电网技术&lt;/_journal&gt;&lt;_keywords&gt;新能源消纳;负荷–系统短路容量比;渗透率;系统脆弱度;风险评估&lt;/_keywords&gt;&lt;_pages&gt;4479-4486&lt;/_pages&gt;&lt;_url&gt;https://kns.cnki.net/kcms/detail/detail.aspx?FileName=DWJS202012002&amp;amp;DbName=DKFX2020&lt;/_url&gt;&lt;_volume&gt;44&lt;/_volume&gt;&lt;_created&gt;64779626&lt;/_created&gt;&lt;_modified&gt;64779626&lt;/_modified&gt;&lt;_db_updated&gt;CNKI - Reference&lt;/_db_updated&gt;&lt;_collection_scope&gt;CSCD;PKU;EI&lt;/_collection_scope&gt;&lt;_translated_author&gt;Li, Yifan;Fang, Xinyan;Wang, Bo;Cai, Zhenhua&lt;/_translated_author&gt;&lt;/Details&gt;&lt;Extra&gt;&lt;DBUID&gt;{6891F4B0-DCBA-459A-9A22-3059983243D4}&lt;/DBUID&gt;&lt;/Extra&gt;&lt;/Item&gt;&lt;/References&gt;&lt;/Group&gt;&lt;/Citation&gt;_x000a_"/>
    <w:docVar w:name="NE.Ref{D13DBC31-EF3A-455F-B3D7-6B85B7719F8E}" w:val=" ADDIN NE.Ref.{D13DBC31-EF3A-455F-B3D7-6B85B7719F8E}&lt;Citation&gt;&lt;Group&gt;&lt;References&gt;&lt;Item&gt;&lt;ID&gt;401&lt;/ID&gt;&lt;UID&gt;{6A86C3E1-FECD-48F4-A727-05489259F61D}&lt;/UID&gt;&lt;Title&gt;Multi-objective self-adaptive differential evolution with elitist archive and crowding entropy-based diversity measure&lt;/Title&gt;&lt;Template&gt;Journal Article&lt;/Template&gt;&lt;Star&gt;0&lt;/Star&gt;&lt;Tag&gt;0&lt;/Tag&gt;&lt;Author&gt;Wang, Yao-Nan; Wu, Liang-Hong; Yuan, Xiao-Fang&lt;/Author&gt;&lt;Year&gt;2010&lt;/Year&gt;&lt;Details&gt;&lt;_accession_num&gt;WOS:000270883200001_x000d__x000a_ER&lt;/_accession_num&gt;&lt;_cited_count&gt;115&lt;/_cited_count&gt;&lt;_collection_scope&gt;SCIE;EI&lt;/_collection_scope&gt;&lt;_created&gt;63641522&lt;/_created&gt;&lt;_date_display&gt;2010, FEB 2010&lt;/_date_display&gt;&lt;_db_provider&gt;ISI&lt;/_db_provider&gt;&lt;_doi&gt;10.1007/s00500-008-0394-9&lt;/_doi&gt;&lt;_impact_factor&gt;   3.050&lt;/_impact_factor&gt;&lt;_isbn&gt;1432-7643&lt;/_isbn&gt;&lt;_issue&gt;3&lt;/_issue&gt;&lt;_journal&gt;SOFT COMPUTING&lt;/_journal&gt;&lt;_modified&gt;63641522&lt;/_modified&gt;&lt;_pages&gt;193-209&lt;/_pages&gt;&lt;_url&gt;http://gateway.isiknowledge.com/gateway/Gateway.cgi?GWVersion=2&amp;amp;SrcAuth=AegeanSoftware&amp;amp;SrcApp=NoteExpress&amp;amp;DestLinkType=FullRecord&amp;amp;DestApp=WOS&amp;amp;KeyUT=000270883200001&lt;/_url&gt;&lt;_volume&gt;14&lt;/_volume&gt;&lt;/Details&gt;&lt;Extra&gt;&lt;DBUID&gt;{F96A950B-833F-4880-A151-76DA2D6A2879}&lt;/DBUID&gt;&lt;/Extra&gt;&lt;/Item&gt;&lt;/References&gt;&lt;/Group&gt;&lt;/Citation&gt;_x000a_"/>
    <w:docVar w:name="NE.Ref{D1CC94C7-68CF-4441-9130-828092BE9BEA}" w:val=" ADDIN NE.Ref.{D1CC94C7-68CF-4441-9130-828092BE9BEA}&lt;Citation&gt;&lt;Group&gt;&lt;References&gt;&lt;Item&gt;&lt;ID&gt;488&lt;/ID&gt;&lt;UID&gt;{7B6294E3-0DD0-42AD-AD2C-DEFAB7FE7BA3}&lt;/UID&gt;&lt;Title&gt;The Whale Optimization Algorithm&lt;/Title&gt;&lt;Template&gt;Journal Article&lt;/Template&gt;&lt;Star&gt;0&lt;/Star&gt;&lt;Tag&gt;0&lt;/Tag&gt;&lt;Author&gt;Mirjalili, Seyedali; Lewis, Andrew&lt;/Author&gt;&lt;Year&gt;2016&lt;/Year&gt;&lt;Details&gt;&lt;_collection_scope&gt;SCIE;EI&lt;/_collection_scope&gt;&lt;_created&gt;63650822&lt;/_created&gt;&lt;_doi&gt;https://doi.org/10.1016/j.advengsoft.2016.01.008&lt;/_doi&gt;&lt;_impact_factor&gt;   3.884&lt;/_impact_factor&gt;&lt;_isbn&gt;0965-9978&lt;/_isbn&gt;&lt;_journal&gt;Advances in Engineering Software&lt;/_journal&gt;&lt;_keywords&gt;Optimization, Benchmark, Constrained optimization, Particle swarm optimization, Algorithm, Heuristic algorithm, Genetic algorithm, Structural optimization&lt;/_keywords&gt;&lt;_modified&gt;63650822&lt;/_modified&gt;&lt;_pages&gt;51 - 67&lt;/_pages&gt;&lt;_url&gt;http://www.sciencedirect.com/science/article/pii/S0965997816300163&lt;/_url&gt;&lt;_volume&gt;95&lt;/_volume&gt;&lt;/Details&gt;&lt;Extra&gt;&lt;DBUID&gt;{F96A950B-833F-4880-A151-76DA2D6A2879}&lt;/DBUID&gt;&lt;/Extra&gt;&lt;/Item&gt;&lt;/References&gt;&lt;/Group&gt;&lt;/Citation&gt;_x000a_"/>
    <w:docVar w:name="NE.Ref{D2043221-4F8E-4FE6-9961-6A29407ECDDE}" w:val=" ADDIN NE.Ref.{D2043221-4F8E-4FE6-9961-6A29407ECDDE}&lt;Citation&gt;&lt;Group&gt;&lt;References&gt;&lt;Item&gt;&lt;ID&gt;559&lt;/ID&gt;&lt;UID&gt;{91F62DBB-6AD3-4452-A16A-2864AFD3C1D2}&lt;/UID&gt;&lt;Title&gt;整流侧控制方式对特高压直流输电系统换相失败影响研究&lt;/Title&gt;&lt;Template&gt;Journal Article&lt;/Template&gt;&lt;Star&gt;0&lt;/Star&gt;&lt;Tag&gt;0&lt;/Tag&gt;&lt;Author&gt;陈仕龙; 荣俊香; 毕贵红; 李兴旺; 曹蕊蕊&lt;/Author&gt;&lt;Year&gt;2015&lt;/Year&gt;&lt;Details&gt;&lt;_accessed&gt;63445914&lt;/_accessed&gt;&lt;_accession_num&gt;CSCD:5470000_x000d__x000a_ER&lt;/_accession_num&gt;&lt;_cited_count&gt;4&lt;/_cited_count&gt;&lt;_collection_scope&gt;CSCD;PKU&lt;/_collection_scope&gt;&lt;_created&gt;63444588&lt;/_created&gt;&lt;_date_display&gt;2015, 2015&lt;/_date_display&gt;&lt;_db_provider&gt;ISI&lt;/_db_provider&gt;&lt;_isbn&gt;1004-9649&lt;/_isbn&gt;&lt;_issue&gt;1004-9649(2015)48:7&amp;lt;1:ZLCKZF&amp;gt;2.0.TX;2-D7&lt;/_issue&gt;&lt;_journal&gt;中国电力&lt;/_journal&gt;&lt;_modified&gt;63445914&lt;/_modified&gt;&lt;_pages&gt;1-7&lt;/_pages&gt;&lt;_tertiary_title&gt;Electric Power&lt;/_tertiary_title&gt;&lt;_translated_author&gt;Chen, Shilong; Rong, Junxiang; Bi, Guihong; Li, Xingwang; Cao, Ruirui&lt;/_translated_author&gt;&lt;_translated_title&gt;Study of the Effect of Rectifier Side Control Modes on UHVDC Commutation Failure&lt;/_translated_title&gt;&lt;_url&gt;CSCD:5470000&lt;/_url&gt;&lt;_volume&gt;48&lt;/_volume&gt;&lt;/Details&gt;&lt;Extra&gt;&lt;DBUID&gt;{6891F4B0-DCBA-459A-9A22-3059983243D4}&lt;/DBUID&gt;&lt;/Extra&gt;&lt;/Item&gt;&lt;/References&gt;&lt;/Group&gt;&lt;/Citation&gt;_x000a_"/>
    <w:docVar w:name="NE.Ref{D31AA8E0-9693-424E-938B-E83701A7B4E4}" w:val=" ADDIN NE.Ref.{D31AA8E0-9693-424E-938B-E83701A7B4E4}&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4.825&lt;/_impact_factor&gt;&lt;_issue&gt;2&lt;/_issue&gt;&lt;_journal&gt;IEEE Transactions on Power Delivery&lt;/_journal&gt;&lt;_modified&gt;64498597&lt;/_modified&gt;&lt;_pages&gt;946-957&lt;/_pages&gt;&lt;_volume&gt;11&lt;/_volume&gt;&lt;/Details&gt;&lt;Extra&gt;&lt;DBUID&gt;{6891F4B0-DCBA-459A-9A22-3059983243D4}&lt;/DBUID&gt;&lt;/Extra&gt;&lt;/Item&gt;&lt;/References&gt;&lt;/Group&gt;&lt;Group&gt;&lt;References&gt;&lt;Item&gt;&lt;ID&gt;634&lt;/ID&gt;&lt;UID&gt;{FC57A673-E76E-4A7E-9266-9036576CC8E6}&lt;/UID&gt;&lt;Title&gt;Fast Evaluation of Commutation Failure Risk in Multi-Infeed HVDC Systems&lt;/Title&gt;&lt;Template&gt;Journal Article&lt;/Template&gt;&lt;Star&gt;0&lt;/Star&gt;&lt;Tag&gt;0&lt;/Tag&gt;&lt;Author&gt;Shao, Y; Tang, Y&lt;/Author&gt;&lt;Year&gt;2018&lt;/Year&gt;&lt;Details&gt;&lt;_alternate_title&gt;IEEE TRANSACTIONS ON POWER SYSTEMS&lt;/_alternate_title&gt;&lt;_author_adr&gt;China Elect Power Res Inst, State Key Lab Power Grid Safety &amp;amp; Energy Conserva, Beijing 100192, Peoples R China&lt;/_author_adr&gt;&lt;_cited_count&gt;71&lt;/_cited_count&gt;&lt;_collection_scope&gt;SCI;SCIE;EI&lt;/_collection_scope&gt;&lt;_created&gt;64493993&lt;/_created&gt;&lt;_date&gt;2018-01-01&lt;/_date&gt;&lt;_date_display&gt;2018&lt;/_date_display&gt;&lt;_db_updated&gt;Web of Science-Core&lt;/_db_updated&gt;&lt;_doi&gt;10.1109/TPWRS.2017.2700045&lt;/_doi&gt;&lt;_impact_factor&gt;   7.326&lt;/_impact_factor&gt;&lt;_issue&gt;1&lt;/_issue&gt;&lt;_journal&gt;IEEE TRANSACTIONS ON POWER SYSTEMS&lt;/_journal&gt;&lt;_keywords&gt;AC-DC system voltage interaction factor; commutation failure; critical AC-DC system voltage interaction factor; multi-infeed HVDC; multi-infeed interaction factor&lt;/_keywords&gt;&lt;_modified&gt;64494334&lt;/_modified&gt;&lt;_pages&gt;646-653&lt;/_pages&gt;&lt;_url&gt;https://ieeexplore.ieee.org/stampPDF/getPDF.jsp?tp=&amp;amp;arnumber=7918634&amp;amp;ref=aHR0cHM6Ly9pZWVleHBsb3JlLmllZWUub3JnL3Jlc3Qvc2VhcmNo _x000d__x000a_&lt;/_url&gt;&lt;_volume&gt;33&lt;/_volume&gt;&lt;/Details&gt;&lt;Extra&gt;&lt;DBUID&gt;{F96A950B-833F-4880-A151-76DA2D6A2879}&lt;/DBUID&gt;&lt;/Extra&gt;&lt;/Item&gt;&lt;/References&gt;&lt;/Group&gt;&lt;/Citation&gt;_x000a_"/>
    <w:docVar w:name="NE.Ref{D3516FBC-D105-4373-8C3E-E1858B2517B4}" w:val=" ADDIN NE.Ref.{D3516FBC-D105-4373-8C3E-E1858B2517B4}&lt;Citation&gt;&lt;Group&gt;&lt;References&gt;&lt;Item&gt;&lt;ID&gt;726&lt;/ID&gt;&lt;UID&gt;{54372F33-273A-42C6-BD26-646C96DD1606}&lt;/UID&gt;&lt;Title&gt;计及暂态过电压约束的直流闭锁安控与极控协调控制研究&lt;/Title&gt;&lt;Template&gt;Journal Article&lt;/Template&gt;&lt;Star&gt;0&lt;/Star&gt;&lt;Tag&gt;0&lt;/Tag&gt;&lt;Author&gt;罗煦之; 张健; 贺静波; 霍超; 王建明; 贺庆; 王安斯&lt;/Author&gt;&lt;Year&gt;2015&lt;/Year&gt;&lt;Details&gt;&lt;_author_aff&gt;中国电力科学研究院;国家电力调度控制中心;西北电网有限公司;&lt;/_author_aff&gt;&lt;_date&gt;2015-09-05&lt;/_date&gt;&lt;_db_provider&gt;CNKI: 期刊&lt;/_db_provider&gt;&lt;_issue&gt;09&lt;/_issue&gt;&lt;_journal&gt;电网技术&lt;/_journal&gt;&lt;_keywords&gt;暂态过电压;二次压升;极控系统;安控系统;协调控制策略&lt;/_keywords&gt;&lt;_pages&gt;2526-2531&lt;/_pages&gt;&lt;_url&gt;http://kns.cnki.net/KCMS/detail/detail.aspx?FileName=DWJS201509025&amp;amp;DbName=CJFQ2015&lt;/_url&gt;&lt;_volume&gt;39&lt;/_volume&gt;&lt;_created&gt;63727904&lt;/_created&gt;&lt;_modified&gt;63727908&lt;/_modified&gt;&lt;_db_updated&gt;CNKI - Reference&lt;/_db_updated&gt;&lt;_collection_scope&gt;CSCD;PKU;EI&lt;/_collection_scope&gt;&lt;_translated_author&gt;Luo, Xuzhi;Zhang, Jian;He, Jingbo;Huo, Chao;Wang, Jianming;He, Qing;Wang, Ansi&lt;/_translated_author&gt;&lt;/Details&gt;&lt;Extra&gt;&lt;DBUID&gt;{6891F4B0-DCBA-459A-9A22-3059983243D4}&lt;/DBUID&gt;&lt;/Extra&gt;&lt;/Item&gt;&lt;/References&gt;&lt;/Group&gt;&lt;/Citation&gt;_x000a_"/>
    <w:docVar w:name="NE.Ref{D498CE29-0678-4FEB-A4A3-C1D199E1409D}" w:val=" ADDIN NE.Ref.{D498CE29-0678-4FEB-A4A3-C1D199E1409D}&lt;Citation&gt;&lt;Group&gt;&lt;References&gt;&lt;Item&gt;&lt;ID&gt;602&lt;/ID&gt;&lt;UID&gt;{5ED58BEE-6018-4590-BBEE-42E360342B53}&lt;/UID&gt;&lt;Title&gt;A New Decomposition-Based NSGA-II for Many-Objective Optimization&lt;/Title&gt;&lt;Template&gt;Journal Article&lt;/Template&gt;&lt;Star&gt;0&lt;/Star&gt;&lt;Tag&gt;0&lt;/Tag&gt;&lt;Author&gt;Elarbi, Maha; Bechikh, Slim; Gupta, Abhishek; Said, Lamjed Ben; Ong, Yew Soon&lt;/Author&gt;&lt;Year&gt;2017&lt;/Year&gt;&lt;Details&gt;&lt;_created&gt;63705167&lt;/_created&gt;&lt;_journal&gt;IEEE Transactions on Systems Man &amp;amp; Cybernetics Systems&lt;/_journal&gt;&lt;_modified&gt;63705167&lt;/_modified&gt;&lt;/Details&gt;&lt;Extra&gt;&lt;DBUID&gt;{F96A950B-833F-4880-A151-76DA2D6A2879}&lt;/DBUID&gt;&lt;/Extra&gt;&lt;/Item&gt;&lt;/References&gt;&lt;/Group&gt;&lt;/Citation&gt;_x000a_"/>
    <w:docVar w:name="NE.Ref{D57C7999-0196-4CA9-9DF4-9FDF99994360}" w:val=" ADDIN NE.Ref.{D57C7999-0196-4CA9-9DF4-9FDF99994360}&lt;Citation&gt;&lt;Group&gt;&lt;References&gt;&lt;Item&gt;&lt;ID&gt;427&lt;/ID&gt;&lt;UID&gt;{5D617D22-ADE3-44DD-A389-1DDB3FC5935F}&lt;/UID&gt;&lt;Title&gt;考虑荷源双侧不确定性的跨区域灵活性鲁棒优化运行策略&lt;/Title&gt;&lt;Template&gt;Journal Article&lt;/Template&gt;&lt;Star&gt;0&lt;/Star&gt;&lt;Tag&gt;0&lt;/Tag&gt;&lt;Author&gt;李笑竹; 王维庆; 王海云; 武家辉; 徐其丹; 常鹏&lt;/Author&gt;&lt;Year&gt;2020&lt;/Year&gt;&lt;Details&gt;&lt;_author_adr&gt;新疆大学可再生能源发电与并网技术教育部工程研究中心;国网新疆电力有限公司经济技术研究院;&lt;/_author_adr&gt;&lt;_collection_scope&gt;CSCD;PKU;EI&lt;/_collection_scope&gt;&lt;_created&gt;63646522&lt;/_created&gt;&lt;_db_provider&gt;CNKI&lt;/_db_provider&gt;&lt;_isbn&gt;1003-6520&lt;/_isbn&gt;&lt;_issue&gt;05&lt;/_issue&gt;&lt;_journal&gt;高电压技术&lt;/_journal&gt;&lt;_keywords&gt;跨区域;日前优化;双侧不确定;空间集群效应;鲁棒优化;滤子技术;协同进化算法&lt;/_keywords&gt;&lt;_modified&gt;63646522&lt;/_modified&gt;&lt;_pages&gt;1538-1549&lt;/_pages&gt;&lt;_volume&gt;46&lt;/_volume&gt;&lt;_translated_author&gt;Li, Xiaozhu;Wang, Weiqing;Wang, Haiyun;Wu, Jiahui;Xu, Qidan;Chang, Peng&lt;/_translated_author&gt;&lt;/Details&gt;&lt;Extra&gt;&lt;DBUID&gt;{F96A950B-833F-4880-A151-76DA2D6A2879}&lt;/DBUID&gt;&lt;/Extra&gt;&lt;/Item&gt;&lt;/References&gt;&lt;/Group&gt;&lt;/Citation&gt;_x000a_"/>
    <w:docVar w:name="NE.Ref{D5990248-B66E-480E-AF53-2C820BD63C61}" w:val=" ADDIN NE.Ref.{D5990248-B66E-480E-AF53-2C820BD63C61}&lt;Citation&gt;&lt;Group&gt;&lt;References&gt;&lt;Item&gt;&lt;ID&gt;485&lt;/ID&gt;&lt;UID&gt;{662855DD-491E-4851-A81B-789F8E722613}&lt;/UID&gt;&lt;Title&gt;An Indicator Based Multi-Objective Evolutionary Algorithm with Reference Point Adaptation for Better Versatility&lt;/Title&gt;&lt;Template&gt;Journal Article&lt;/Template&gt;&lt;Star&gt;0&lt;/Star&gt;&lt;Tag&gt;0&lt;/Tag&gt;&lt;Author&gt;Tian, Ye; Cheng, Ran; Zhang, Xingyi; Cheng, Fan; Jin, Yaochu&lt;/Author&gt;&lt;Year&gt;2017&lt;/Year&gt;&lt;Details&gt;&lt;_collection_scope&gt;SCI;SCIE;EI&lt;/_collection_scope&gt;&lt;_created&gt;63650779&lt;/_created&gt;&lt;_impact_factor&gt;  11.169&lt;/_impact_factor&gt;&lt;_issue&gt;99&lt;/_issue&gt;&lt;_journal&gt;IEEE Transactions on Evolutionary Computation&lt;/_journal&gt;&lt;_modified&gt;63650779&lt;/_modified&gt;&lt;_volume&gt;PP&lt;/_volume&gt;&lt;/Details&gt;&lt;Extra&gt;&lt;DBUID&gt;{F96A950B-833F-4880-A151-76DA2D6A2879}&lt;/DBUID&gt;&lt;/Extra&gt;&lt;/Item&gt;&lt;/References&gt;&lt;/Group&gt;&lt;/Citation&gt;_x000a_"/>
    <w:docVar w:name="NE.Ref{D5A86570-2805-449C-9F25-88CAFB309644}" w:val=" ADDIN NE.Ref.{D5A86570-2805-449C-9F25-88CAFB309644}&lt;Citation&gt;&lt;Group&gt;&lt;References&gt;&lt;Item&gt;&lt;ID&gt;603&lt;/ID&gt;&lt;UID&gt;{13216CA6-50CE-43C9-BF95-D2306499A96D}&lt;/UID&gt;&lt;Title&gt;A faster algorithm for calculating hypervolume&lt;/Title&gt;&lt;Template&gt;Journal Article&lt;/Template&gt;&lt;Star&gt;0&lt;/Star&gt;&lt;Tag&gt;0&lt;/Tag&gt;&lt;Author&gt;While, L; Hingston, P; Barone, L; Huband, S&lt;/Author&gt;&lt;Year&gt;2006&lt;/Year&gt;&lt;Details&gt;&lt;_collection_scope&gt;SCI;SCIE;EI&lt;/_collection_scope&gt;&lt;_created&gt;63705183&lt;/_created&gt;&lt;_impact_factor&gt;  11.169&lt;/_impact_factor&gt;&lt;_issue&gt;1&lt;/_issue&gt;&lt;_journal&gt;IEEE Transactions on Evolutionary Computation&lt;/_journal&gt;&lt;_modified&gt;63705183&lt;/_modified&gt;&lt;_pages&gt;29-38&lt;/_pages&gt;&lt;_volume&gt;10&lt;/_volume&gt;&lt;/Details&gt;&lt;Extra&gt;&lt;DBUID&gt;{F96A950B-833F-4880-A151-76DA2D6A2879}&lt;/DBUID&gt;&lt;/Extra&gt;&lt;/Item&gt;&lt;/References&gt;&lt;/Group&gt;&lt;/Citation&gt;_x000a_"/>
    <w:docVar w:name="NE.Ref{D66F1E91-CA30-4833-9BD0-C7154422E307}" w:val=" ADDIN NE.Ref.{D66F1E91-CA30-4833-9BD0-C7154422E307}&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3.681&lt;/_impact_factor&gt;&lt;_issue&gt;2&lt;/_issue&gt;&lt;_journal&gt;IEEE Transactions on Power Delivery&lt;/_journal&gt;&lt;_modified&gt;63446180&lt;/_modified&gt;&lt;_pages&gt;946-957&lt;/_pages&gt;&lt;_volume&gt;11&lt;/_volume&gt;&lt;/Details&gt;&lt;Extra&gt;&lt;DBUID&gt;{6891F4B0-DCBA-459A-9A22-3059983243D4}&lt;/DBUID&gt;&lt;/Extra&gt;&lt;/Item&gt;&lt;/References&gt;&lt;/Group&gt;&lt;/Citation&gt;_x000a_"/>
    <w:docVar w:name="NE.Ref{D742CEC3-08BC-40DB-9A83-53961D30A722}" w:val=" ADDIN NE.Ref.{D742CEC3-08BC-40DB-9A83-53961D30A722}&lt;Citation&gt;&lt;Group&gt;&lt;References&gt;&lt;Item&gt;&lt;ID&gt;668&lt;/ID&gt;&lt;UID&gt;{E75F96D4-2A3C-4D2B-B3E2-F702CD3D727A}&lt;/UID&gt;&lt;Title&gt;COMMUTATION FAILURES IN HVDC TRANSMISSION SYSTEMS&lt;/Title&gt;&lt;Template&gt;Journal Article&lt;/Template&gt;&lt;Star&gt;0&lt;/Star&gt;&lt;Tag&gt;0&lt;/Tag&gt;&lt;Author&gt;Thio, C V; Davies, J B; Kent, K L&lt;/Author&gt;&lt;Year&gt;1996&lt;/Year&gt;&lt;Details&gt;&lt;_accessed&gt;63446178&lt;/_accessed&gt;&lt;_collection_scope&gt;SCI;SCIE;EI&lt;/_collection_scope&gt;&lt;_created&gt;63446175&lt;/_created&gt;&lt;_impact_factor&gt;   3.681&lt;/_impact_factor&gt;&lt;_issue&gt;2&lt;/_issue&gt;&lt;_journal&gt;IEEE Transactions on Power Delivery&lt;/_journal&gt;&lt;_modified&gt;63446180&lt;/_modified&gt;&lt;_pages&gt;946-957&lt;/_pages&gt;&lt;_volume&gt;11&lt;/_volume&gt;&lt;/Details&gt;&lt;Extra&gt;&lt;DBUID&gt;{6891F4B0-DCBA-459A-9A22-3059983243D4}&lt;/DBUID&gt;&lt;/Extra&gt;&lt;/Item&gt;&lt;/References&gt;&lt;/Group&gt;&lt;/Citation&gt;_x000a_"/>
    <w:docVar w:name="NE.Ref{D7DA6761-F501-445B-A7FD-51E1C33D145C}" w:val=" ADDIN NE.Ref.{D7DA6761-F501-445B-A7FD-51E1C33D145C}&lt;Citation&gt;&lt;Group&gt;&lt;References&gt;&lt;Item&gt;&lt;ID&gt;869&lt;/ID&gt;&lt;UID&gt;{6F919514-ADFF-44C9-9E9D-F640A6ADDA3A}&lt;/UID&gt;&lt;Title&gt;直流双极闭锁故障下送端系统暂态过电压计算方法&lt;/Title&gt;&lt;Template&gt;Journal Article&lt;/Template&gt;&lt;Star&gt;0&lt;/Star&gt;&lt;Tag&gt;0&lt;/Tag&gt;&lt;Author&gt;李欣悦; 李凤婷; 尹纯亚; 白海滨&lt;/Author&gt;&lt;Year&gt;2021&lt;/Year&gt;&lt;Details&gt;&lt;_accessed&gt;64647184&lt;/_accessed&gt;&lt;_author_aff&gt;新疆大学电气工程学院;国网新疆电力有限公司昌吉供电公司;&lt;/_author_aff&gt;&lt;_cited_count&gt;65&lt;/_cited_count&gt;&lt;_collection_scope&gt;CSCD;PKU&lt;/_collection_scope&gt;&lt;_created&gt;64646738&lt;/_created&gt;&lt;_date&gt;2021-01-01&lt;/_date&gt;&lt;_db_updated&gt;CNKI - Reference&lt;/_db_updated&gt;&lt;_issue&gt;01&lt;/_issue&gt;&lt;_journal&gt;电力系统保护与控制&lt;/_journal&gt;&lt;_keywords&gt;特高压直流;直流闭锁;送端交流系统;暂态过电压&lt;/_keywords&gt;&lt;_modified&gt;64647185&lt;/_modified&gt;&lt;_pages&gt;1-8&lt;/_pages&gt;&lt;_tertiary_title&gt;Power System Protection and Control&lt;/_tertiary_title&gt;&lt;_translated_author&gt;LI, Xinyue; LI, Fengting; YIN, Chunya; BAI, Haibin&lt;/_translated_author&gt;&lt;_translated_title&gt;Transient overvoltage calculation method of HVDC sending-end system under DC bipolar blocking&lt;/_translated_title&gt;&lt;_url&gt;https://kns.cnki.net/kcms/detail/detail.aspx?FileName=JDQW202101001&amp;amp;DbName=CJFQ2021 _x000d__x000a_https://bar.cnki.net/bar/download/order?id=jBGETXBNdPImvx70aLAuJPYxPoFw%2bp%2bi0fIiSrcN6lXs6FVLNFGJeIOE5eRUlm2bdIHL2Cy%2blkEQPNV7YmeogUGxVkq8YHJNz4jV3WhknTrl8E%2bCUVp5GtDTYhVF2dNUoJeGx62Ssygg68TNXJ%2b5JrigejDAar8Xqw%2f6WR22OFXUdUGh4At8VBYSvh%2fCUD5aWOzmXBt1swS4iqmxYBP2b%2b1vYx0aqWvcABg4xskmmzn5LXYX1qwFXwOc1HUZT%2bTB _x000d__x000a_&lt;/_url&gt;&lt;_volume&gt;49&lt;/_volume&gt;&lt;/Details&gt;&lt;Extra&gt;&lt;DBUID&gt;{6891F4B0-DCBA-459A-9A22-3059983243D4}&lt;/DBUID&gt;&lt;/Extra&gt;&lt;/Item&gt;&lt;/References&gt;&lt;/Group&gt;&lt;/Citation&gt;_x000a_"/>
    <w:docVar w:name="NE.Ref{D8685BA2-05FA-49C1-9027-BD57186A4DA7}" w:val=" ADDIN NE.Ref.{D8685BA2-05FA-49C1-9027-BD57186A4DA7}&lt;Citation&gt;&lt;Group&gt;&lt;References&gt;&lt;Item&gt;&lt;ID&gt;1033&lt;/ID&gt;&lt;UID&gt;{C188535A-C19D-4802-BCC2-42CC03A5C588}&lt;/UID&gt;&lt;Title&gt;风电经特高压直流送出系统的暂态过电压计算方法&lt;/Title&gt;&lt;Template&gt;Journal Article&lt;/Template&gt;&lt;Star&gt;0&lt;/Star&gt;&lt;Tag&gt;0&lt;/Tag&gt;&lt;Author&gt;李帛洋; 晁璞璞; 李卫星; 徐式蕴; 刘新元; 李志民&lt;/Author&gt;&lt;Year&gt;2021&lt;/Year&gt;&lt;Details&gt;&lt;_author_aff&gt;哈尔滨工业大学电气工程及自动化学院;中国电力科学研究院有限公司;国网山西省电力公司电力科学研究院;&lt;/_author_aff&gt;&lt;_cited_count&gt;1&lt;/_cited_count&gt;&lt;_date&gt;2021-12-15&lt;/_date&gt;&lt;_issue&gt;12&lt;/_issue&gt;&lt;_journal&gt;电机与控制学报&lt;/_journal&gt;&lt;_keywords&gt;特高压直流;直流闭锁;换相失败;暂态过电压;风电机组;故障穿越&lt;/_keywords&gt;&lt;_pages&gt;11-18&lt;/_pages&gt;&lt;_url&gt;https://kns.cnki.net/kcms/detail/detail.aspx?FileName=DJKZ202112002&amp;amp;DbName=CJFQ2021 _x000d__x000a_https://bar.cnki.net/bar/download/order?id=jBGETXBNdPImvx70aLAuJPYxPoFw%2bp%2bi0fIiSrcN6lUFprK49s5b%2fYIzogSE6DWw9OEo97ZCiBA9x8JL1XYq2Z0PLIIoFLYwy5BgUEfsTyzl8E%2bCUVp5GtDTYhVF2dNUoJeGx62Ssygg68TNXJ%2b5JrigejDAar8Xqw%2f6WR22OFXUdUGh4At8VBYSvh%2fCUD5ags%2fsGAZifngueo8TOqPAxuHCj0rcHFOqtzo%2fDKKQz1%2f5LXYX1qwFXwOc1HUZT%2bTB _x000d__x000a_&lt;/_url&gt;&lt;_volume&gt;25&lt;/_volume&gt;&lt;_created&gt;64780426&lt;/_created&gt;&lt;_modified&gt;64780427&lt;/_modified&gt;&lt;_db_updated&gt;CNKI - Reference&lt;/_db_updated&gt;&lt;_collection_scope&gt;CSCD;PKU;EI&lt;/_collection_scope&gt;&lt;_translated_author&gt;Li, Boyang;Chao, Pupu;Li, Weixing;Xu, Shiyun;Liu, Xinyuan;Li, Zhimin&lt;/_translated_author&gt;&lt;/Details&gt;&lt;Extra&gt;&lt;DBUID&gt;{6891F4B0-DCBA-459A-9A22-3059983243D4}&lt;/DBUID&gt;&lt;/Extra&gt;&lt;/Item&gt;&lt;/References&gt;&lt;/Group&gt;&lt;/Citation&gt;_x000a_"/>
    <w:docVar w:name="NE.Ref{D86B750E-5F4D-4D8D-973F-41165B9F3EBB}" w:val=" ADDIN NE.Ref.{D86B750E-5F4D-4D8D-973F-41165B9F3EBB}&lt;Citation&gt;&lt;Group&gt;&lt;References&gt;&lt;Item&gt;&lt;ID&gt;114&lt;/ID&gt;&lt;UID&gt;{0E1B9E87-D8E5-477F-BE52-D8696067E921}&lt;/UID&gt;&lt;Title&gt;A New Combined Scheduling Method of Thermal-Wind Power Considering Grid Restrictions and Wind Power Consumption&lt;/Title&gt;&lt;Template&gt;Conference Proceedings&lt;/Template&gt;&lt;Star&gt;0&lt;/Star&gt;&lt;Tag&gt;0&lt;/Tag&gt;&lt;Author&gt;Z., Zhu; M., Han; L., Li; X., Li&lt;/Author&gt;&lt;Year&gt;2021&lt;/Year&gt;&lt;Details&gt;&lt;_accessed&gt;64306757&lt;/_accessed&gt;&lt;_created&gt;64306732&lt;/_created&gt;&lt;_date&gt;-994629600&lt;/_date&gt;&lt;_date_display&gt;2021_x000d__x000a_8-11 April 2021_x000d__x000a_8-11 April 2021&lt;/_date_display&gt;&lt;_db_updated&gt;IEEE&lt;/_db_updated&gt;&lt;_doi&gt;10.1109/ACPEE51499.2021.9436973&lt;/_doi&gt;&lt;_keywords&gt;Economics; Power transmission lines; Wind energy; Wind power generation; Power grids; Mathematical model; Thermal pollution; economic cost; grid restrictions; combined scheduling; wind abandonment&lt;/_keywords&gt;&lt;_modified&gt;64306757&lt;/_modified&gt;&lt;_pages&gt;1053-1058&lt;/_pages&gt;&lt;_secondary_title&gt;2021 6th Asia Conference on Power and Electrical Engineering (ACPEE)&lt;/_secondary_title&gt;&lt;_short_title&gt;2021 6th Asia Conference on Power and Electrical Engineering (ACPEE)&lt;/_short_title&gt;&lt;_url&gt;https://dx.doi.org/10.1109/ACPEE51499.2021.9436973&lt;/_url&gt;&lt;/Details&gt;&lt;Extra&gt;&lt;DBUID&gt;{560D5FFD-5A46-4EB8-859B-FD657304A42E}&lt;/DBUID&gt;&lt;/Extra&gt;&lt;/Item&gt;&lt;/References&gt;&lt;/Group&gt;&lt;/Citation&gt;_x000a_"/>
    <w:docVar w:name="NE.Ref{D9B6BCA5-E30B-47F1-8A79-CE103C953114}" w:val=" ADDIN NE.Ref.{D9B6BCA5-E30B-47F1-8A79-CE103C953114}&lt;Citation&gt;&lt;Group&gt;&lt;References&gt;&lt;Item&gt;&lt;ID&gt;587&lt;/ID&gt;&lt;UID&gt;{F1A164E8-5228-4DBB-ABC1-38280DDBF38D}&lt;/UID&gt;&lt;Title&gt;Multi-Objective Optimization of Vehicle Passive Suspension System Using NSGA-II, SPEA2 and PESA-II&lt;/Title&gt;&lt;Template&gt;Journal Article&lt;/Template&gt;&lt;Star&gt;0&lt;/Star&gt;&lt;Tag&gt;0&lt;/Tag&gt;&lt;Author&gt;Gadhvi, Bhargav; Savsani, Vimal; Patel, Vivek&lt;/Author&gt;&lt;Year&gt;2016&lt;/Year&gt;&lt;Details&gt;&lt;_created&gt;63704967&lt;/_created&gt;&lt;_journal&gt;Procedia Technology&lt;/_journal&gt;&lt;_modified&gt;63704967&lt;/_modified&gt;&lt;_pages&gt;361-368&lt;/_pages&gt;&lt;_volume&gt;23&lt;/_volume&gt;&lt;/Details&gt;&lt;Extra&gt;&lt;DBUID&gt;{F96A950B-833F-4880-A151-76DA2D6A2879}&lt;/DBUID&gt;&lt;/Extra&gt;&lt;/Item&gt;&lt;/References&gt;&lt;/Group&gt;&lt;/Citation&gt;_x000a_"/>
    <w:docVar w:name="NE.Ref{DBCB1F74-3934-4895-90E5-E38A77296570}" w:val=" ADDIN NE.Ref.{DBCB1F74-3934-4895-90E5-E38A77296570}&lt;Citation&gt;&lt;Group&gt;&lt;References&gt;&lt;Item&gt;&lt;ID&gt;1016&lt;/ID&gt;&lt;UID&gt;{3359CFFB-7C61-42DA-8934-A5B37CD89FEE}&lt;/UID&gt;&lt;Title&gt;基于暂态过电压约束的新能源并网系统电压支撑强度量化分析方法&lt;/Title&gt;&lt;Template&gt;Journal Article&lt;/Template&gt;&lt;Star&gt;0&lt;/Star&gt;&lt;Tag&gt;0&lt;/Tag&gt;&lt;Author&gt;孙华东; 于琳; 赵兵&lt;/Author&gt;&lt;Year&gt;2022&lt;/Year&gt;&lt;Details&gt;&lt;_author_aff&gt;电网安全与节能国家重点实验室(中国电力科学研究院有限公司);&lt;/_author_aff&gt;&lt;_date&gt;2022-05-23&lt;/_date&gt;&lt;_journal&gt;中国电机工程学报&lt;/_journal&gt;&lt;_keywords&gt;暂态过电压;新能源并网系统;电压支撑强度;短路容量;并网规模&lt;/_keywords&gt;&lt;_pages&gt;1-13&lt;/_pages&gt;&lt;_url&gt;https://kns.cnki.net/kcms/detail/detail.aspx?FileName=ZGDC20220517003&amp;amp;DbName=DKFX2022 _x000d__x000a_https://bar.cnki.net/bar/download/order?id=jBGETXBNdPImvx70aLAuJPjDI3A2vZL8vlJ5Yxju1VI%2fnRynOSjNVBHYb8Zzf6TLNly9XkofL7c2hjkwBXUUNYXNr%2bq%2fxAZGaJQaVfGy3LZXUusYHsGzJp9yrhvnk3r3JRJIuitYASY3ZPhq07jV3E2KrDbH2i1UsOVLzAXdpwmbKKoXvHPzsB%2bN7b8wc595GQJFEA4Br%2b68rniQGB%2fWWdr%2b93LrdvkD9CwUbXbsT4sYgW1T3oFZ4xO0eVG7BcLs _x000d__x000a_&lt;/_url&gt;&lt;_created&gt;64779706&lt;/_created&gt;&lt;_modified&gt;64779706&lt;/_modified&gt;&lt;_db_updated&gt;CNKI - Reference&lt;/_db_updated&gt;&lt;_collection_scope&gt;CSCD;PKU;EI&lt;/_collection_scope&gt;&lt;_translated_author&gt;Sun, Huadong;Yu, Lin;Zhao, Bing&lt;/_translated_author&gt;&lt;/Details&gt;&lt;Extra&gt;&lt;DBUID&gt;{6891F4B0-DCBA-459A-9A22-3059983243D4}&lt;/DBUID&gt;&lt;/Extra&gt;&lt;/Item&gt;&lt;/References&gt;&lt;/Group&gt;&lt;/Citation&gt;_x000a_"/>
    <w:docVar w:name="NE.Ref{DCA414E0-275E-4960-AE1F-2BD930CDB751}" w:val=" ADDIN NE.Ref.{DCA414E0-275E-4960-AE1F-2BD930CDB751}&lt;Citation&gt;&lt;Group&gt;&lt;References&gt;&lt;Item&gt;&lt;ID&gt;831&lt;/ID&gt;&lt;UID&gt;{452AC1DD-A6A0-4F97-907D-0C2DC439FF93}&lt;/UID&gt;&lt;Title&gt;直流换相失败下双馈风电机组特性描述及暂态过电压抑制&lt;/Title&gt;&lt;Template&gt;Journal Article&lt;/Template&gt;&lt;Star&gt;0&lt;/Star&gt;&lt;Tag&gt;0&lt;/Tag&gt;&lt;Author&gt;刘其辉; 董楚然; 吴勇; 张亚灵; 逄思敏; 申杰&lt;/Author&gt;&lt;Year&gt;2022&lt;/Year&gt;&lt;Details&gt;&lt;_accessed&gt;64646970&lt;/_accessed&gt;&lt;_author_aff&gt;新能源电力系统国家重点实验室(华北电力大学);国网上海市电力公司检修公司;国网上海市电力公司松江供电公司;&lt;/_author_aff&gt;&lt;_collection_scope&gt;CSCD;PKU;EI&lt;/_collection_scope&gt;&lt;_created&gt;64646629&lt;/_created&gt;&lt;_date&gt;2021-10-28&lt;/_date&gt;&lt;_db_updated&gt;CNKI - Reference&lt;/_db_updated&gt;&lt;_issue&gt;08&lt;/_issue&gt;&lt;_journal&gt;电力系统自动化&lt;/_journal&gt;&lt;_keywords&gt;换相失败;双馈感应发电机;暂态电压;故障穿越;过电压主动抑制&lt;/_keywords&gt;&lt;_modified&gt;64646965&lt;/_modified&gt;&lt;_pages&gt;29-38&lt;/_pages&gt;&lt;_tertiary_title&gt;Automation of electric power systems&lt;/_tertiary_title&gt;&lt;_translated_author&gt;Qihui, LIU; Churan, DONG; Yong, WU; Yaling, ZHANG; Simin, PANG; Jie, SHEN&lt;/_translated_author&gt;&lt;_translated_title&gt;Characteristic Description and Transient Overvoltage Suppression of Doubly-fed Wind Turbines with LCC-HVDC Commutation Failure&lt;/_translated_title&gt;&lt;_url&gt;https://kns.cnki.net/kcms/detail/detail.aspx?FileName=DLXT202208004&amp;amp;DbName=CJFQ2022 _x000d__x000a_https://bar.cnki.net/bar/download/order?id=jBGETXBNdPImvx70aLAuJPYxPoFw%2bp%2bi0fIiSrcN6lXVlq1eBSUeJvjZrOAJvDJukSJjWy3W0i%2b8K1%2b7%2bDUhfJ0PLIIoFLYwy5BgUEfsTyzl8E%2bCUVp5GtDTYhVF2dNUoJeGx62Ssygg68TNXJ%2b5JrigejDAar8Xqw%2f6WR22OFXUdUGh4At8VBYSvh%2fCUD5aLzjwAGWyOdgr9efAeY6tPCyWI5uyZaOI7%2bN0Y06oLwj5LXYX1qwFXwOc1HUZT%2bTB _x000d__x000a_&lt;/_url&gt;&lt;_volume&gt;46&lt;/_volume&gt;&lt;/Details&gt;&lt;Extra&gt;&lt;DBUID&gt;{6891F4B0-DCBA-459A-9A22-3059983243D4}&lt;/DBUID&gt;&lt;/Extra&gt;&lt;/Item&gt;&lt;/References&gt;&lt;/Group&gt;&lt;Group&gt;&lt;References&gt;&lt;Item&gt;&lt;ID&gt;881&lt;/ID&gt;&lt;UID&gt;{083538B0-3D7B-4624-8DF1-4AA048959452}&lt;/UID&gt;&lt;Title&gt;基于动态无功支撑的全功率变流风电机组高电压穿越改进控制&lt;/Title&gt;&lt;Template&gt;Journal Article&lt;/Template&gt;&lt;Star&gt;0&lt;/Star&gt;&lt;Tag&gt;0&lt;/Tag&gt;&lt;Author&gt;王德胜; 颜湘武; 刘辉; 贾焦心; 高玉雅&lt;/Author&gt;&lt;Year&gt;2022&lt;/Year&gt;&lt;Details&gt;&lt;_accessed&gt;64646970&lt;/_accessed&gt;&lt;_author_aff&gt;新能源电力系统国家重点实验室(华北电力大学);国网冀北电力有限公司电力科学研究院;国网西安供电公司经济技术研究所;&lt;/_author_aff&gt;&lt;_cited_count&gt;1&lt;/_cited_count&gt;&lt;_collection_scope&gt;CSCD;PKU;EI&lt;/_collection_scope&gt;&lt;_created&gt;64646951&lt;/_created&gt;&lt;_date&gt;2022-02-05&lt;/_date&gt;&lt;_db_updated&gt;CNKI - Reference&lt;/_db_updated&gt;&lt;_issue&gt;03&lt;/_issue&gt;&lt;_journal&gt;中国电机工程学报&lt;/_journal&gt;&lt;_keywords&gt;高电压穿越;故障脱网;矢量控制;无功支撑;功率振荡&lt;/_keywords&gt;&lt;_modified&gt;64646971&lt;/_modified&gt;&lt;_pages&gt;957-968&lt;/_pages&gt;&lt;_tertiary_title&gt;Proceedings of the CSEE&lt;/_tertiary_title&gt;&lt;_translated_author&gt;Desheng, WANG; Xiangwu, YAN; Hui, LIU; Jiaoxin, JIA; Yuya, GAO&lt;/_translated_author&gt;&lt;_translated_title&gt;High Voltage Ride Through Improved Control of Full Power Converter Wind Turbines Based on Dynamic Reactive Power Support&lt;/_translated_title&gt;&lt;_url&gt;https://kns.cnki.net/kcms/detail/detail.aspx?FileName=ZGDC202203009&amp;amp;DbName=DKFX2022 _x000d__x000a_https://bar.cnki.net/bar/download/order?id=jBGETXBNdPImvx70aLAuJPYxPoFw%2bp%2bi0fIiSrcN6lUmL5uUyU6IHvJnocTOg%2fbjsshnTQdlzf0o9Rxczx2nOp0PLIIoFLYwy5BgUEfsTyzl8E%2bCUVp5GtDTYhVF2dNUoJeGx62Ssygg68TNXJ%2b5JrigejDAar8Xqw%2f6WR22OFXUdUGh4At8VBYSvh%2fCUD5aA2rg%2bPYu6ktCER3kEmPq40NiSK5zOkkV0VzBerLHmhH5LXYX1qwFXwOc1HUZT%2bTB _x000d__x000a_https://bar.cnki.net/bar/download/order?id=jBGETXBNdPImvx70aLAuJPYxPoFw%2bp%2bi0fIiSrcN6lUmL5uUyU6IHvJnocTOg%2fbjsshnTQdlzf0o9Rxczx2nOp0PLIIoFLYwy5BgUEfsTyzl8E%2bCUVp5GtDTYhVF2dNUoJeGx62Ssygg68TNXJ%2b5JrigejDAar8Xqw%2f6WR22OFXUdUGh4At8VBYSvh%2fCUD5a5CVhvmli0QLOFG19qIfdQgSUVLmggogtCe%2bW%2f%2bhXCQj5LXYX1qwFXwOc1HUZT%2bTB _x000d__x000a_https://bar.cnki.net/bar/download/order?id=jBGETXBNdPImvx70aLAuJPYxPoFw%2bp%2bi0fIiSrcN6lUmL5uUyU6IHvJnocTOg%2fbjsshnTQdlzf0o9Rxczx2nOp0PLIIoFLYwy5BgUEfsTyzl8E%2bCUVp5GtDTYhVF2dNUoJeGx62Ssygg68TNXJ%2b5JrigejDAar8Xqw%2f6WR22OFXUdUGh4At8VBYSvh%2fCUD5aSYvfUUxfS5t29FWadm08aYOZ0HvlvQvi2zfFMKHGBvH5LXYX1qwFXwOc1HUZT%2bTB _x000d__x000a_&lt;/_url&gt;&lt;_volume&gt;42&lt;/_volume&gt;&lt;/Details&gt;&lt;Extra&gt;&lt;DBUID&gt;{6891F4B0-DCBA-459A-9A22-3059983243D4}&lt;/DBUID&gt;&lt;/Extra&gt;&lt;/Item&gt;&lt;/References&gt;&lt;/Group&gt;&lt;Group&gt;&lt;References&gt;&lt;Item&gt;&lt;ID&gt;882&lt;/ID&gt;&lt;UID&gt;{027F788E-861A-4764-ABC8-A96CFAE4B914}&lt;/UID&gt;&lt;Title&gt;双馈风机并网系统高电压穿越控制策略稳定性分析&lt;/Title&gt;&lt;Template&gt;Journal Article&lt;/Template&gt;&lt;Star&gt;0&lt;/Star&gt;&lt;Tag&gt;0&lt;/Tag&gt;&lt;Author&gt;周昌平; 汪震; 甘德强; 袁辉; 辛焕海&lt;/Author&gt;&lt;Year&gt;2022&lt;/Year&gt;&lt;Details&gt;&lt;_accessed&gt;64646972&lt;/_accessed&gt;&lt;_author_aff&gt;浙江大学电气工程学院;&lt;/_author_aff&gt;&lt;_cited_count&gt;1&lt;/_cited_count&gt;&lt;_collection_scope&gt;CSCD;PKU;EI&lt;/_collection_scope&gt;&lt;_created&gt;64646951&lt;/_created&gt;&lt;_date&gt;2021-08-30&lt;/_date&gt;&lt;_db_updated&gt;CNKI - Reference&lt;/_db_updated&gt;&lt;_issue&gt;20&lt;/_issue&gt;&lt;_journal&gt;中国电机工程学报&lt;/_journal&gt;&lt;_keywords&gt;双馈风机;高电压穿越;暂态电压稳定;小信号建模&lt;/_keywords&gt;&lt;_modified&gt;64646972&lt;/_modified&gt;&lt;_pages&gt;7415-7426&lt;/_pages&gt;&lt;_tertiary_title&gt;Proceedings of the CSEE&lt;/_tertiary_title&gt;&lt;_translated_author&gt;Changping, ZHOU; Zhen, WANG; Deqiang, GAN; Hui, YUAN; Huanhai, XIN&lt;/_translated_author&gt;&lt;_translated_title&gt;Stability Analysis of High Voltage Ride Trough Control Strategy for DFIG Integrated System&lt;/_translated_title&gt;&lt;_url&gt;https://kns.cnki.net/kcms/detail/detail.aspx?FileName=ZGDC202220012&amp;amp;DbName=DKFXTEMP _x000d__x000a_https://bar.cnki.net/bar/download/order?id=jBGETXBNdPImvx70aLAuJPYxPoFw%2bp%2bi0fIiSrcN6lVR7dLHKFXImZjxInT3D9sPIPqgR38m15LFMAZn%2bx0j%2f8m82jDOg3yr%2bqRqj9L2CzQtqddCdidyosdSaMNWur3ZJBjdlDrNnftoR5pdZPiFRNlKM4sfpT3nRHSqBOA4sms8GQBtE8Z8mK%2fNwS15YoSE%2b76osIIwp5dpYYc5YpX2o6opkQ6JnjQzfIvFcCnka0M%3d _x000d__x000a_https://bar.cnki.net/bar/download/order?id=jBGETXBNdPImvx70aLAuJPYxPoFw%2bp%2bi0fIiSrcN6lVR7dLHKFXImZjxInT3D9sPIPqgR38m15LFMAZn%2bx0j%2f8m82jDOg3yr%2bqRqj9L2CzQtqddCdidyosdSaMNWur3ZJBjdlDrNnftoR5pdZPiFRNlKM4sfpT3nRHSqBOA4sms8GQBtE8Z8mK%2fNwS15YoSEsbsslJFtkoJb%2fIsmJwThtKopkQ6JnjQzfIvFcCnka0M%3d _x000d__x000a_https://bar.cnki.net/bar/download/order?id=jBGETXBNdPImvx70aLAuJPYxPoFw%2bp%2bi0fIiSrcN6lVR7dLHKFXImZjxInT3D9sPIPqgR38m15LFMAZn%2bx0j%2f8m82jDOg3yr%2bqRqj9L2CzQtqddCdidyosdSaMNWur3ZJBjdlDrNnftoR5pdZPiFRNlKM4sfpT3nRHSqBOA4sms8GQBtE8Z8mK%2fNwS15YoSEMRLO1%2fA5UQiUP296zqz3YqopkQ6JnjQzfIvFcCnka0M%3d _x000d__x000a_&lt;/_url&gt;&lt;_volume&gt;42&lt;/_volume&gt;&lt;/Details&gt;&lt;Extra&gt;&lt;DBUID&gt;{6891F4B0-DCBA-459A-9A22-3059983243D4}&lt;/DBUID&gt;&lt;/Extra&gt;&lt;/Item&gt;&lt;/References&gt;&lt;/Group&gt;&lt;Group&gt;&lt;References&gt;&lt;Item&gt;&lt;ID&gt;867&lt;/ID&gt;&lt;UID&gt;{9B6D9E52-9DC1-47CA-B7E3-D9B5EFFE2583}&lt;/UID&gt;&lt;Title&gt;基于虚拟电阻的高压直流换相失败期间送端电网暂态过电压抑制方法&lt;/Title&gt;&lt;Template&gt;Journal Article&lt;/Template&gt;&lt;Star&gt;0&lt;/Star&gt;&lt;Tag&gt;0&lt;/Tag&gt;&lt;Author&gt;肖超; 韩伟; 李琼林; 熊小伏; 冯志远&lt;/Author&gt;&lt;Year&gt;2021&lt;/Year&gt;&lt;Details&gt;&lt;_accessed&gt;64646973&lt;/_accessed&gt;&lt;_author_aff&gt;国网河南省电力公司电力科学研究院;重庆大学输配电装备及系统安全与新技术国家重点实验室;郑州大学电气工程学院;&lt;/_author_aff&gt;&lt;_collection_scope&gt;CSCD;PKU&lt;/_collection_scope&gt;&lt;_created&gt;64646736&lt;/_created&gt;&lt;_date&gt;2021-12-01&lt;/_date&gt;&lt;_db_updated&gt;CNKI - Reference&lt;/_db_updated&gt;&lt;_issue&gt;23&lt;/_issue&gt;&lt;_journal&gt;电力系统保护与控制&lt;/_journal&gt;&lt;_keywords&gt;高压直流;换相失败;送端电网;暂态过电压;虚拟电阻&lt;/_keywords&gt;&lt;_modified&gt;64646771&lt;/_modified&gt;&lt;_pages&gt;122-129&lt;/_pages&gt;&lt;_tertiary_title&gt;Power System Protection and Control&lt;/_tertiary_title&gt;&lt;_translated_author&gt;Chao, XIAO; Wei, HAN; Qionglin, LI; Xiaofu, XIONG; Zhiyuan, FENG&lt;/_translated_author&gt;&lt;_translated_title&gt;A suppression method for overvoltage of a sending end grid caused by commutation failure based on virtual resistance&lt;/_translated_title&gt;&lt;_url&gt;https://kns.cnki.net/kcms/detail/detail.aspx?FileName=JDQW202123015&amp;amp;DbName=CJFQ2021 _x000d__x000a_https://bar.cnki.net/bar/download/order?id=jBGETXBNdPImvx70aLAuJPYxPoFw%2bp%2bi0fIiSrcN6lVYfheTlE%2fD5wCYjBMf0tCywURBIovEZWsxpaJNu72Rsp0PLIIoFLYwy5BgUEfsTyzl8E%2bCUVp5GtDTYhVF2dNUoJeGx62Ssygg68TNXJ%2b5JrigejDAar8Xqw%2f6WR22OFXUdUGh4At8VBYSvh%2fCUD5a0R4J2h05Fi3D2%2bUSGg2PWmEsjTQSh1%2bb8hrfyDJ5K3L5LXYX1qwFXwOc1HUZT%2bTB _x000d__x000a_&lt;/_url&gt;&lt;_volume&gt;49&lt;/_volume&gt;&lt;/Details&gt;&lt;Extra&gt;&lt;DBUID&gt;{6891F4B0-DCBA-459A-9A22-3059983243D4}&lt;/DBUID&gt;&lt;/Extra&gt;&lt;/Item&gt;&lt;/References&gt;&lt;/Group&gt;&lt;Group&gt;&lt;References&gt;&lt;Item&gt;&lt;ID&gt;873&lt;/ID&gt;&lt;UID&gt;{3FFF440F-D99C-4B51-9C25-CC6113EC0F58}&lt;/UID&gt;&lt;Title&gt;抑制直流单极闭锁引起大规模风电机组脱网的直流控制策略&lt;/Title&gt;&lt;Template&gt;Journal Article&lt;/Template&gt;&lt;Star&gt;0&lt;/Star&gt;&lt;Tag&gt;0&lt;/Tag&gt;&lt;Author&gt;张起瑞; 李凤婷; 尹纯亚; 刘江山; 陈睿康&lt;/Author&gt;&lt;Year&gt;2021&lt;/Year&gt;&lt;Details&gt;&lt;_accessed&gt;64646974&lt;/_accessed&gt;&lt;_author_aff&gt;新疆大学电气工程学院;&lt;/_author_aff&gt;&lt;_cited_count&gt;1&lt;/_cited_count&gt;&lt;_collection_scope&gt;CSCD;PKU;EI&lt;/_collection_scope&gt;&lt;_created&gt;64646879&lt;/_created&gt;&lt;_date&gt;2021-07-23&lt;/_date&gt;&lt;_db_updated&gt;CNKI - Reference&lt;/_db_updated&gt;&lt;_issue&gt;10&lt;/_issue&gt;&lt;_journal&gt;高电压技术&lt;/_journal&gt;&lt;_keywords&gt;交直流混联系统;单极闭锁;暂态过电压;风机高压脱网;直流控制策略&lt;/_keywords&gt;&lt;_modified&gt;64646975&lt;/_modified&gt;&lt;_pages&gt;3528-3537&lt;/_pages&gt;&lt;_tertiary_title&gt;High Voltage Engineering&lt;/_tertiary_title&gt;&lt;_translated_author&gt;Qirui, ZHANG; Fengting, LI; Chunya, YIN; Jiangshan, LIU; Ruikang, CHEN&lt;/_translated_author&gt;&lt;_translated_title&gt;DC Control Strategy for Suppressing Large-scale WTG Tripping Caused by Mono-polar Block Fault&lt;/_translated_title&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Wwr3RLRRtYESINzUbeq%2bhAl7yL%2fXgP2XIvFCNMl9HiP5LXYX1qwFXwOc1HUZT%2bTB _x000d__x000a_&lt;/_url&gt;&lt;_volume&gt;47&lt;/_volume&gt;&lt;/Details&gt;&lt;Extra&gt;&lt;DBUID&gt;{6891F4B0-DCBA-459A-9A22-3059983243D4}&lt;/DBUID&gt;&lt;/Extra&gt;&lt;/Item&gt;&lt;/References&gt;&lt;/Group&gt;&lt;Group&gt;&lt;References&gt;&lt;Item&gt;&lt;ID&gt;880&lt;/ID&gt;&lt;UID&gt;{6720ED1C-F1BE-4CD6-A2F7-24FB77781EC7}&lt;/UID&gt;&lt;Title&gt;大规模高压直流输电系统闭锁故障下送端风电场高电压穿越的控制策略&lt;/Title&gt;&lt;Template&gt;Journal Article&lt;/Template&gt;&lt;Star&gt;0&lt;/Star&gt;&lt;Tag&gt;0&lt;/Tag&gt;&lt;Author&gt;韩平平; 张海天; 丁明; 张炎; 陈凌琦; 李宾宾&lt;/Author&gt;&lt;Year&gt;2018&lt;/Year&gt;&lt;Details&gt;&lt;_author_aff&gt;安徽省新能源利用与节能重点实验室(合肥工业大学);国网安徽省电力有限公司电力科学研究院;&lt;/_author_aff&gt;&lt;_cited_count&gt;36&lt;/_cited_count&gt;&lt;_collection_scope&gt;CSCD;PKU;EI&lt;/_collection_scope&gt;&lt;_created&gt;64646950&lt;/_created&gt;&lt;_date&gt;2018-01-12&lt;/_date&gt;&lt;_db_updated&gt;CNKI - Reference&lt;/_db_updated&gt;&lt;_issue&gt;04&lt;/_issue&gt;&lt;_journal&gt;电网技术&lt;/_journal&gt;&lt;_keywords&gt;高压直流输电;双馈感应发电机;直流闭锁;高电压穿越;协调控制策略&lt;/_keywords&gt;&lt;_modified&gt;64646999&lt;/_modified&gt;&lt;_pages&gt;1086-1095&lt;/_pages&gt;&lt;_url&gt;https://kns.cnki.net/kcms/detail/detail.aspx?FileName=DWJS201804010&amp;amp;DbName=DKFX2018 _x000d__x000a_https://bar.cnki.net/bar/download/order?id=jBGETXBNdPImvx70aLAuJPYxPoFw%2bp%2bi0fIiSrcN6lVXoWh9I51KvJY42PSOwJH8NMzCyB7hda7A48JEX9bxsvxcK7E%2b1%2bNriIb3ea%2bN9O%2fl8E%2bCUVp5GtDTYhVF2dNUoJeGx62Ssygg68TNXJ%2b5JrigejDAar8Xqw%2f6WR22OFXUdUGh4At8VBYSvh%2fCUD5aitsY2SLtumRfFV9gu4Q1HAOta7rWke4Z875Bm%2fVVU1b5LXYX1qwFXwOc1HUZT%2bTB _x000d__x000a_https://bar.cnki.net/bar/download/order?id=jBGETXBNdPImvx70aLAuJPYxPoFw%2bp%2bi0fIiSrcN6lVXoWh9I51KvJY42PSOwJH8NMzCyB7hda7A48JEX9bxsvxcK7E%2b1%2bNriIb3ea%2bN9O%2fl8E%2bCUVp5GtDTYhVF2dNUoJeGx62Ssygg68TNXJ%2b5JrigejDAar8Xqw%2f6WR22OFXUdUGh4At8VBYSvh%2fCUD5a0sLzbaiFZx5FLl2osDURdKqZHyie2Ddw94BHMoP%2f3wL5LXYX1qwFXwOc1HUZT%2bTB _x000d__x000a_https://bar.cnki.net/bar/download/order?id=jBGETXBNdPImvx70aLAuJPYxPoFw%2bp%2bi0fIiSrcN6lVXoWh9I51KvJY42PSOwJH8NMzCyB7hda7A48JEX9bxsvxcK7E%2b1%2bNriIb3ea%2bN9O%2fl8E%2bCUVp5GtDTYhVF2dNUoJeGx62Ssygg68TNXJ%2b5JrigejDAar8Xqw%2f6WR22OFXUdUGh4At8VBYSvh%2fCUD5a%2fmQ4nP0lGn7KoBDCrAGtnJKzk2nEpXpjv48eWYbtnKv5LXYX1qwFXwOc1HUZT%2bTB _x000d__x000a_https://bar.cnki.net/bar/download/order?id=jBGETXBNdPImvx70aLAuJPYxPoFw%2bp%2bi0fIiSrcN6lVXoWh9I51KvJY42PSOwJH8NMzCyB7hda7A48JEX9bxsvxcK7E%2b1%2bNriIb3ea%2bN9O%2fl8E%2bCUVp5GtDTYhVF2dNUoJeGx62Ssygg68TNXJ%2b5JrigejDAar8Xqw%2f6WR22OFXUdUGh4At8VBYSvh%2fCUD5ausKudqDWcJNkuCunUVFyzqNKCnIOoNa4blBU9bYNq175LXYX1qwFXwOc1HUZT%2bTB _x000d__x000a_&lt;/_url&gt;&lt;_volume&gt;42&lt;/_volume&gt;&lt;_accessed&gt;64646998&lt;/_accessed&gt;&lt;_translated_title&gt;A Coordinated HVRT Strategy of Large-Scale Wind Power Transmitted With HVDC System&lt;/_translated_title&gt;&lt;_translated_author&gt;Pingping, HAN; Haitian, ZHANG; Ming, DING; Yan, ZHANG; Lingqi, CHEN; Binbin, LI&lt;/_translated_author&gt;&lt;_tertiary_title&gt;Power System Technology&lt;/_tertiary_title&gt;&lt;/Details&gt;&lt;Extra&gt;&lt;DBUID&gt;{6891F4B0-DCBA-459A-9A22-3059983243D4}&lt;/DBUID&gt;&lt;/Extra&gt;&lt;/Item&gt;&lt;/References&gt;&lt;/Group&gt;&lt;/Citation&gt;_x000a_"/>
    <w:docVar w:name="NE.Ref{DCE00982-B714-4287-8F4D-DBA6F613FF9A}" w:val=" ADDIN NE.Ref.{DCE00982-B714-4287-8F4D-DBA6F613FF9A}&lt;Citation&gt;&lt;Group&gt;&lt;References&gt;&lt;Item&gt;&lt;ID&gt;681&lt;/ID&gt;&lt;UID&gt;{E878DBC5-E6D1-48D4-85CF-78ED65104E91}&lt;/UID&gt;&lt;Title&gt;Reactive power control strategy for low power operation of HVDC transmission system&lt;/Title&gt;&lt;Template&gt;Journal Article&lt;/Template&gt;&lt;Star&gt;0&lt;/Star&gt;&lt;Tag&gt;0&lt;/Tag&gt;&lt;Author&gt;Wang, J; Liang, Z; Li, Z; Li, Y; Huang, L&lt;/Author&gt;&lt;Year&gt;2017&lt;/Year&gt;&lt;Details&gt;&lt;_accessed&gt;63480634&lt;/_accessed&gt;&lt;_created&gt;63480543&lt;/_created&gt;&lt;_issue&gt;6&lt;/_issue&gt;&lt;_journal&gt;Automation of Electric Power Systems&lt;/_journal&gt;&lt;_modified&gt;63480554&lt;/_modified&gt;&lt;_pages&gt;154-158&lt;/_pages&gt;&lt;_volume&gt;41&lt;/_volume&gt;&lt;/Details&gt;&lt;Extra&gt;&lt;DBUID&gt;{6891F4B0-DCBA-459A-9A22-3059983243D4}&lt;/DBUID&gt;&lt;/Extra&gt;&lt;/Item&gt;&lt;/References&gt;&lt;/Group&gt;&lt;Group&gt;&lt;References&gt;&lt;Item&gt;&lt;ID&gt;368&lt;/ID&gt;&lt;UID&gt;{0700AA5D-2AAC-4EB7-821E-9EBD3D87AAC6}&lt;/UID&gt;&lt;Title&gt;A New Recovery Strategy of HVDC System During AC Faults&lt;/Title&gt;&lt;Template&gt;Journal Article&lt;/Template&gt;&lt;Star&gt;0&lt;/Star&gt;&lt;Tag&gt;0&lt;/Tag&gt;&lt;Author&gt;Wang, Juanjuan; Huang, Menghua; Fu, Chuang; Li, Huan; Xu, Shukai; Li, Xiaohua&lt;/Author&gt;&lt;Year&gt;2019&lt;/Year&gt;&lt;Details&gt;&lt;_accessed&gt;63445972&lt;/_accessed&gt;&lt;_accession_num&gt;WOS:000462414900009_x000d__x000a_ER&lt;/_accession_num&gt;&lt;_cited_count&gt;4&lt;/_cited_count&gt;&lt;_collection_scope&gt;SCI;SCIE;EI&lt;/_collection_scope&gt;&lt;_created&gt;63444588&lt;/_created&gt;&lt;_date_display&gt;2019, APR 2019&lt;/_date_display&gt;&lt;_db_provider&gt;ISI&lt;/_db_provider&gt;&lt;_doi&gt;10.1109/TPWRD.2019.2892410&lt;/_doi&gt;&lt;_impact_factor&gt;   3.681&lt;/_impact_factor&gt;&lt;_isbn&gt;0885-8977&lt;/_isbn&gt;&lt;_issue&gt;2&lt;/_issue&gt;&lt;_journal&gt;IEEE TRANSACTIONS ON POWER DELIVERY&lt;/_journal&gt;&lt;_modified&gt;63446043&lt;/_modified&gt;&lt;_pages&gt;486-495&lt;/_pages&gt;&lt;_url&gt;http://gateway.isiknowledge.com/gateway/Gateway.cgi?GWVersion=2&amp;amp;SrcAuth=AegeanSoftware&amp;amp;SrcApp=NoteExpress&amp;amp;DestLinkType=FullRecord&amp;amp;DestApp=WOS&amp;amp;KeyUT=000462414900009 _x000d__x000a_https://ieeexplore.ieee.org/stampPDF/getPDF.jsp?tp=&amp;amp;arnumber=8610316&amp;amp;ref=aHR0cHM6Ly9pZWVleHBsb3JlLmllZWUub3JnL3Jlc3Qvc2VhcmNo _x000d__x000a_&lt;/_url&gt;&lt;_volume&gt;34&lt;/_volume&gt;&lt;/Details&gt;&lt;Extra&gt;&lt;DBUID&gt;{6891F4B0-DCBA-459A-9A22-3059983243D4}&lt;/DBUID&gt;&lt;/Extra&gt;&lt;/Item&gt;&lt;/References&gt;&lt;/Group&gt;&lt;/Citation&gt;_x000a_"/>
    <w:docVar w:name="NE.Ref{DD149DD7-AD17-4D8C-AF2C-EE56072AED57}" w:val=" ADDIN NE.Ref.{DD149DD7-AD17-4D8C-AF2C-EE56072AED57}&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DD19E32F-CB23-4D21-803F-ECCCA2458E86}" w:val=" ADDIN NE.Ref.{DD19E32F-CB23-4D21-803F-ECCCA2458E86}&lt;Citation&gt;&lt;Group&gt;&lt;References&gt;&lt;Item&gt;&lt;ID&gt;527&lt;/ID&gt;&lt;UID&gt;{96D3BAD8-542E-454A-94E3-C359727EB1E5}&lt;/UID&gt;&lt;Title&gt;科学规划,实现我国电力工业发展蓝图&lt;/Title&gt;&lt;Template&gt;Journal Article&lt;/Template&gt;&lt;Star&gt;0&lt;/Star&gt;&lt;Tag&gt;0&lt;/Tag&gt;&lt;Author&gt;王锡凡&lt;/Author&gt;&lt;Year&gt;2017&lt;/Year&gt;&lt;Details&gt;&lt;_author_adr&gt;西安交通大学;&lt;/_author_adr&gt;&lt;_collection_scope&gt;CSCD;PKU&lt;/_collection_scope&gt;&lt;_created&gt;63659482&lt;/_created&gt;&lt;_db_provider&gt;CNKI&lt;/_db_provider&gt;&lt;_isbn&gt;1004-9649&lt;/_isbn&gt;&lt;_issue&gt;01&lt;/_issue&gt;&lt;_journal&gt;中国电力&lt;/_journal&gt;&lt;_keywords&gt;电力工业发展;“十三五”规划;“十三五”期间;&lt;/_keywords&gt;&lt;_modified&gt;63659482&lt;/_modified&gt;&lt;_pages&gt;1&lt;/_pages&gt;&lt;_volume&gt;50&lt;/_volume&gt;&lt;_translated_author&gt;Wang, Xifan&lt;/_translated_author&gt;&lt;/Details&gt;&lt;Extra&gt;&lt;DBUID&gt;{F96A950B-833F-4880-A151-76DA2D6A2879}&lt;/DBUID&gt;&lt;/Extra&gt;&lt;/Item&gt;&lt;/References&gt;&lt;/Group&gt;&lt;/Citation&gt;_x000a_"/>
    <w:docVar w:name="NE.Ref{DD9EBAEC-B784-47EE-A0FF-17E24DF6C01B}" w:val=" ADDIN NE.Ref.{DD9EBAEC-B784-47EE-A0FF-17E24DF6C01B}&lt;Citation&gt;&lt;Group&gt;&lt;References&gt;&lt;Item&gt;&lt;ID&gt;504&lt;/ID&gt;&lt;UID&gt;{5DF64928-72F0-4189-8555-69314F416862}&lt;/UID&gt;&lt;Title&gt;Distributionally Robust Self-Scheduling Optimization with CO2 Emissions Constraints under Uncertainty of Prices&lt;/Title&gt;&lt;Template&gt;Journal Article&lt;/Template&gt;&lt;Star&gt;0&lt;/Star&gt;&lt;Tag&gt;0&lt;/Tag&gt;&lt;Author&gt;Bai, Minru; Yang, Zhupei&lt;/Author&gt;&lt;Year&gt;2014&lt;/Year&gt;&lt;Details&gt;&lt;_created&gt;63654827&lt;/_created&gt;&lt;_journal&gt;Journal of Applied Mathematics,2014,(2014-6-2)&lt;/_journal&gt;&lt;_modified&gt;63654827&lt;/_modified&gt;&lt;_pages&gt;1-7&lt;/_pages&gt;&lt;_volume&gt;2014&lt;/_volume&gt;&lt;/Details&gt;&lt;Extra&gt;&lt;DBUID&gt;{F96A950B-833F-4880-A151-76DA2D6A2879}&lt;/DBUID&gt;&lt;/Extra&gt;&lt;/Item&gt;&lt;/References&gt;&lt;/Group&gt;&lt;/Citation&gt;_x000a_"/>
    <w:docVar w:name="NE.Ref{DDB49AE3-A9D7-4966-88BC-BFCD69797029}" w:val=" ADDIN NE.Ref.{DDB49AE3-A9D7-4966-88BC-BFCD69797029}&lt;Citation&gt;&lt;Group&gt;&lt;References&gt;&lt;Item&gt;&lt;ID&gt;391&lt;/ID&gt;&lt;UID&gt;{027BBCE2-BB37-4260-9ABE-5F3F899BE5D6}&lt;/UID&gt;&lt;Title&gt;可再生能源配额制对优化我国电源结构的影响分析&lt;/Title&gt;&lt;Template&gt;Journal Article&lt;/Template&gt;&lt;Star&gt;0&lt;/Star&gt;&lt;Tag&gt;0&lt;/Tag&gt;&lt;Author&gt;赵新刚; 刘晓蒙; 兰贝&lt;/Author&gt;&lt;Year&gt;2013&lt;/Year&gt;&lt;Details&gt;&lt;_author_adr&gt;华北电力大学经济与管理学院;&lt;/_author_adr&gt;&lt;_collection_scope&gt;PKU&lt;/_collection_scope&gt;&lt;_created&gt;63640279&lt;/_created&gt;&lt;_db_provider&gt;CNKI&lt;/_db_provider&gt;&lt;_isbn&gt;1671-5292&lt;/_isbn&gt;&lt;_issue&gt;04&lt;/_issue&gt;&lt;_journal&gt;可再生能源&lt;/_journal&gt;&lt;_keywords&gt;绿电;可再生能源配额制;绿色证书&lt;/_keywords&gt;&lt;_modified&gt;63640279&lt;/_modified&gt;&lt;_pages&gt;1-5&lt;/_pages&gt;&lt;_volume&gt;31&lt;/_volume&gt;&lt;_translated_author&gt;Zhao, Xingang;Liu, Xiaomeng;Lan, Bei&lt;/_translated_author&gt;&lt;/Details&gt;&lt;Extra&gt;&lt;DBUID&gt;{F96A950B-833F-4880-A151-76DA2D6A2879}&lt;/DBUID&gt;&lt;/Extra&gt;&lt;/Item&gt;&lt;/References&gt;&lt;/Group&gt;&lt;/Citation&gt;_x000a_"/>
    <w:docVar w:name="NE.Ref{DE36E333-0E68-45BC-8D83-5762944A9DE7}" w:val=" ADDIN NE.Ref.{DE36E333-0E68-45BC-8D83-5762944A9DE7}&lt;Citation&gt;&lt;Group&gt;&lt;References&gt;&lt;Item&gt;&lt;ID&gt;514&lt;/ID&gt;&lt;UID&gt;{A8014B9C-1BA4-4134-B039-3709AC20E2FC}&lt;/UID&gt;&lt;Title&gt;Mitigation of commutation failures in LCC-HVDC systems based on superconducting fault current limiters&lt;/Title&gt;&lt;Template&gt;Journal Article&lt;/Template&gt;&lt;Star&gt;0&lt;/Star&gt;&lt;Tag&gt;0&lt;/Tag&gt;&lt;Author&gt;Lee, Jong-Geon; Khan, Umer Amir; Lee, Ho-Yun; Lim, Sung-Woo; Lee, Bang-Wook&lt;/Author&gt;&lt;Year&gt;2016&lt;/Year&gt;&lt;Details&gt;&lt;_accessed&gt;63445919&lt;/_accessed&gt;&lt;_accession_num&gt;WOS:000389518400042_x000d__x000a_ER&lt;/_accession_num&gt;&lt;_cited_count&gt;6&lt;/_cited_count&gt;&lt;_collection_scope&gt;SCI;SCIE;EI&lt;/_collection_scope&gt;&lt;_created&gt;63444588&lt;/_created&gt;&lt;_date_display&gt;2016, NOV 15 2016&lt;/_date_display&gt;&lt;_db_provider&gt;ISI&lt;/_db_provider&gt;&lt;_doi&gt;10.1016/j.physc.2016.02.008&lt;/_doi&gt;&lt;_impact_factor&gt;   1.534&lt;/_impact_factor&gt;&lt;_isbn&gt;0921-4534&lt;/_isbn&gt;&lt;_journal&gt;PHYSICA C-SUPERCONDUCTIVITY AND ITS APPLICATIONS&lt;/_journal&gt;&lt;_modified&gt;64498627&lt;/_modified&gt;&lt;_pages&gt;160-163&lt;/_pages&gt;&lt;_url&gt;http://gateway.isiknowledge.com/gateway/Gateway.cgi?GWVersion=2&amp;amp;SrcAuth=AegeanSoftware&amp;amp;SrcApp=NoteExpress&amp;amp;DestLinkType=FullRecord&amp;amp;DestApp=WOS&amp;amp;KeyUT=000389518400042&lt;/_url&gt;&lt;_volume&gt;530&lt;/_volume&gt;&lt;/Details&gt;&lt;Extra&gt;&lt;DBUID&gt;{6891F4B0-DCBA-459A-9A22-3059983243D4}&lt;/DBUID&gt;&lt;/Extra&gt;&lt;/Item&gt;&lt;/References&gt;&lt;/Group&gt;&lt;/Citation&gt;_x000a_"/>
    <w:docVar w:name="NE.Ref{DEFDCBE9-561C-423D-8AA7-853D8B5B7EE3}" w:val=" ADDIN NE.Ref.{DEFDCBE9-561C-423D-8AA7-853D8B5B7EE3}&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collection_scope&gt;CSCD;PKU;EI&lt;/_collection_scope&gt;&lt;_created&gt;63648575&lt;/_created&gt;&lt;_db_provider&gt;CNKI&lt;/_db_provider&gt;&lt;_isbn&gt;1000-3673&lt;/_isbn&gt;&lt;_issue&gt;03&lt;/_issue&gt;&lt;_journal&gt;电网技术&lt;/_journal&gt;&lt;_keywords&gt;售电公司;虚拟电厂;双层规划;NSGA-Ⅱ算法;混合整数二阶锥规划&lt;/_keywords&gt;&lt;_modified&gt;63648575&lt;/_modified&gt;&lt;_pages&gt;952-961&lt;/_pages&gt;&lt;_volume&gt;43&lt;/_volume&gt;&lt;_translated_author&gt;Zhang, Tao;Wang, Cheng;Wang, Lingyun;Zhang, Dongfang;Zhang, Jiaying&lt;/_translated_author&gt;&lt;/Details&gt;&lt;Extra&gt;&lt;DBUID&gt;{F96A950B-833F-4880-A151-76DA2D6A2879}&lt;/DBUID&gt;&lt;/Extra&gt;&lt;/Item&gt;&lt;/References&gt;&lt;/Group&gt;&lt;/Citation&gt;_x000a_"/>
    <w:docVar w:name="NE.Ref{DF5537FF-6273-4A4B-B657-93F862BD28C2}" w:val=" ADDIN NE.Ref.{DF5537FF-6273-4A4B-B657-93F862BD28C2}&lt;Citation&gt;&lt;Group&gt;&lt;References&gt;&lt;Item&gt;&lt;ID&gt;879&lt;/ID&gt;&lt;UID&gt;{17CC3877-DB0A-4B1E-945A-CAB7588DFA9B}&lt;/UID&gt;&lt;Title&gt;直流闭锁引起的暂态过电压计算方法及其影响因素分析&lt;/Title&gt;&lt;Template&gt;Journal Article&lt;/Template&gt;&lt;Star&gt;0&lt;/Star&gt;&lt;Tag&gt;0&lt;/Tag&gt;&lt;Author&gt;王峰; 刘天琪; 丁媛媛; 曾琦; 李兴源&lt;/Author&gt;&lt;Year&gt;2016&lt;/Year&gt;&lt;Details&gt;&lt;_author_aff&gt;四川大学电气信息学院;&lt;/_author_aff&gt;&lt;_cited_count&gt;64&lt;/_cited_count&gt;&lt;_date&gt;2016-07-07&lt;/_date&gt;&lt;_issue&gt;10&lt;/_issue&gt;&lt;_journal&gt;电网技术&lt;/_journal&gt;&lt;_keywords&gt;高压直流;暂态过电压;短路比;影响因素;故障分析;机理分析&lt;/_keywords&gt;&lt;_pages&gt;3059-3065&lt;/_pages&gt;&lt;_url&gt;https://kns.cnki.net/kcms/detail/detail.aspx?FileName=DWJS201610019&amp;amp;DbName=CJFQ2016 _x000d__x000a_https://bar.cnki.net/bar/download/order?id=jBGETXBNdPImvx70aLAuJPYxPoFw%2bp%2bi0fIiSrcN6lUlsf3jvNdo1JXdqQpjD3fUqfi8%2bi%2f76dNraIZO5iW6BjW1naasVB8LAM3hX8NAtijl8E%2bCUVp5GtDTYhVF2dNUoJeGx62Ssygg68TNXJ%2b5JrigejDAar8Xqw%2f6WR22OFXUdUGh4At8VBYSvh%2fCUD5aIfbqd5VV8W97gdFugl19E6qOchAv6e3mVeShEpZLqwj5LXYX1qwFXwOc1HUZT%2bTB _x000d__x000a_&lt;/_url&gt;&lt;_volume&gt;40&lt;/_volume&gt;&lt;_created&gt;64646900&lt;/_created&gt;&lt;_modified&gt;64646901&lt;/_modified&gt;&lt;_db_updated&gt;CNKI - Reference&lt;/_db_updated&gt;&lt;_collection_scope&gt;CSCD;PKU;EI&lt;/_collection_scope&gt;&lt;_translated_author&gt;Wang, Feng;Liu, Tianqi;Ding, Yuanyuan;Ceng, Qi;Li, Xingyuan&lt;/_translated_author&gt;&lt;/Details&gt;&lt;Extra&gt;&lt;DBUID&gt;{6891F4B0-DCBA-459A-9A22-3059983243D4}&lt;/DBUID&gt;&lt;/Extra&gt;&lt;/Item&gt;&lt;/References&gt;&lt;/Group&gt;&lt;/Citation&gt;_x000a_"/>
    <w:docVar w:name="NE.Ref{DF674BF4-3FD7-4CCF-959F-D88198157465}" w:val=" ADDIN NE.Ref.{DF674BF4-3FD7-4CCF-959F-D88198157465}&lt;Citation&gt;&lt;Group&gt;&lt;References&gt;&lt;Item&gt;&lt;ID&gt;472&lt;/ID&gt;&lt;UID&gt;{973770F9-307B-47E8-A89D-E432CBE4DABD}&lt;/UID&gt;&lt;Title&gt;Fast Evaluation of Commutation Failure Risk in Multi-Infeed HVDC Systems&lt;/Title&gt;&lt;Template&gt;Journal Article&lt;/Template&gt;&lt;Star&gt;0&lt;/Star&gt;&lt;Tag&gt;0&lt;/Tag&gt;&lt;Author&gt;Shao, Yao; Tang, Yong&lt;/Author&gt;&lt;Year&gt;2018&lt;/Year&gt;&lt;Details&gt;&lt;_accessed&gt;63445972&lt;/_accessed&gt;&lt;_accession_num&gt;WOS:000418776400057_x000d__x000a_ER&lt;/_accession_num&gt;&lt;_cited_count&gt;27&lt;/_cited_count&gt;&lt;_collection_scope&gt;SCI;SCIE;EI&lt;/_collection_scope&gt;&lt;_created&gt;63444588&lt;/_created&gt;&lt;_date_display&gt;2018, JAN 2018&lt;/_date_display&gt;&lt;_db_provider&gt;ISI&lt;/_db_provider&gt;&lt;_doi&gt;10.1109/TPWRS.2017.2700045&lt;/_doi&gt;&lt;_impact_factor&gt;   7.326&lt;/_impact_factor&gt;&lt;_isbn&gt;0885-8950&lt;/_isbn&gt;&lt;_issue&gt;1&lt;/_issue&gt;&lt;_journal&gt;IEEE TRANSACTIONS ON POWER SYSTEMS&lt;/_journal&gt;&lt;_modified&gt;64498636&lt;/_modified&gt;&lt;_pages&gt;646-653&lt;/_pages&gt;&lt;_url&gt;http://gateway.isiknowledge.com/gateway/Gateway.cgi?GWVersion=2&amp;amp;SrcAuth=AegeanSoftware&amp;amp;SrcApp=NoteExpress&amp;amp;DestLinkType=FullRecord&amp;amp;DestApp=WOS&amp;amp;KeyUT=000418776400057 _x000d__x000a_https://ieeexplore.ieee.org/stampPDF/getPDF.jsp?tp=&amp;amp;arnumber=7918634&amp;amp;ref=aHR0cHM6Ly9pZWVleHBsb3JlLmllZWUub3JnL3Jlc3Qvc2VhcmNo _x000d__x000a_&lt;/_url&gt;&lt;_volume&gt;33&lt;/_volume&gt;&lt;/Details&gt;&lt;Extra&gt;&lt;DBUID&gt;{6891F4B0-DCBA-459A-9A22-3059983243D4}&lt;/DBUID&gt;&lt;/Extra&gt;&lt;/Item&gt;&lt;/References&gt;&lt;/Group&gt;&lt;/Citation&gt;_x000a_"/>
    <w:docVar w:name="NE.Ref{E0270433-149D-4149-9436-120242F346B7}" w:val=" ADDIN NE.Ref.{E0270433-149D-4149-9436-120242F346B7}&lt;Citation&gt;&lt;Group&gt;&lt;References&gt;&lt;Item&gt;&lt;ID&gt;392&lt;/ID&gt;&lt;UID&gt;{58578CA1-2ECD-435D-BCE2-1E8975CAF299}&lt;/UID&gt;&lt;Title&gt;基于可再生能源配额制的风电并网节能经济调度&lt;/Title&gt;&lt;Template&gt;Journal Article&lt;/Template&gt;&lt;Star&gt;0&lt;/Star&gt;&lt;Tag&gt;0&lt;/Tag&gt;&lt;Author&gt;梁吉; 左艺; 张玉琢; 赵新刚&lt;/Author&gt;&lt;Year&gt;2019&lt;/Year&gt;&lt;Details&gt;&lt;_author_adr&gt;华北电力大学经济与管理学院;北京市新能源与低碳发展重点实验室(华北电力大学);&lt;/_author_adr&gt;&lt;_collection_scope&gt;CSCD;PKU;EI&lt;/_collection_scope&gt;&lt;_created&gt;63640279&lt;/_created&gt;&lt;_db_provider&gt;CNKI&lt;/_db_provider&gt;&lt;_isbn&gt;1000-3673&lt;/_isbn&gt;&lt;_issue&gt;07&lt;/_issue&gt;&lt;_journal&gt;电网技术&lt;/_journal&gt;&lt;_keywords&gt;节能经济调度;可再生能源配额制;可交易绿色证书;风电消纳&lt;/_keywords&gt;&lt;_modified&gt;63640279&lt;/_modified&gt;&lt;_pages&gt;2528-2534&lt;/_pages&gt;&lt;_volume&gt;43&lt;/_volume&gt;&lt;_translated_author&gt;Liang, Ji;Zuo, Yi;Zhang, Yuzhuo;Zhao, Xingang&lt;/_translated_author&gt;&lt;/Details&gt;&lt;Extra&gt;&lt;DBUID&gt;{F96A950B-833F-4880-A151-76DA2D6A2879}&lt;/DBUID&gt;&lt;/Extra&gt;&lt;/Item&gt;&lt;/References&gt;&lt;/Group&gt;&lt;/Citation&gt;_x000a_"/>
    <w:docVar w:name="NE.Ref{E0F67CD8-FCB1-48B6-A7FF-B83B93027DAD}" w:val=" ADDIN NE.Ref.{E0F67CD8-FCB1-48B6-A7FF-B83B93027DAD}&lt;Citation&gt;&lt;Group&gt;&lt;References&gt;&lt;Item&gt;&lt;ID&gt;62&lt;/ID&gt;&lt;UID&gt;{6F1D56D1-368E-40B4-A1D1-2D21C3653140}&lt;/UID&gt;&lt;Title&gt;计及需求侧响应的电力系统鲁棒优化规划模型&lt;/Title&gt;&lt;Template&gt;Journal Article&lt;/Template&gt;&lt;Star&gt;0&lt;/Star&gt;&lt;Tag&gt;0&lt;/Tag&gt;&lt;Author&gt;曾鸣; 杨雍琦; 向红伟; 王丽华; 孙静惠&lt;/Author&gt;&lt;Year&gt;2016&lt;/Year&gt;&lt;Details&gt;&lt;_accessed&gt;64323131&lt;/_accessed&gt;&lt;_author_aff&gt;华北电力大学经济与管理学院;新能源电力系统国家重点实验室(华北电力大学);&lt;/_author_aff&gt;&lt;_cited_count&gt;62&lt;/_cited_count&gt;&lt;_collection_scope&gt;CSCD;PKU;EI&lt;/_collection_scope&gt;&lt;_created&gt;64102965&lt;/_created&gt;&lt;_date&gt;2016-09-10&lt;/_date&gt;&lt;_db_updated&gt;CNKI - Reference&lt;/_db_updated&gt;&lt;_issue&gt;17&lt;/_issue&gt;&lt;_journal&gt;电力系统自动化&lt;/_journal&gt;&lt;_keywords&gt;需求侧响应;鲁棒优化;电力系统规划;非支配排序遗传算法&lt;/_keywords&gt;&lt;_modified&gt;64323131&lt;/_modified&gt;&lt;_pages&gt;137-145&lt;/_pages&gt;&lt;_url&gt;https://kns.cnki.net/kcms/detail/detail.aspx?FileName=DLXT201617019&amp;amp;DbName=CJFQ2016&lt;/_url&gt;&lt;_volume&gt;40&lt;/_volume&gt;&lt;_translated_author&gt;Ceng, Ming;Yang, Yongqi;Xiang, Hongwei;Wang, Lihua;Sun, Jinghui&lt;/_translated_author&gt;&lt;/Details&gt;&lt;Extra&gt;&lt;DBUID&gt;{560D5FFD-5A46-4EB8-859B-FD657304A42E}&lt;/DBUID&gt;&lt;/Extra&gt;&lt;/Item&gt;&lt;/References&gt;&lt;/Group&gt;&lt;/Citation&gt;_x000a_"/>
    <w:docVar w:name="NE.Ref{E11E2335-3DCF-4D80-937C-449D9D626853}" w:val=" ADDIN NE.Ref.{E11E2335-3DCF-4D80-937C-449D9D626853}&lt;Citation&gt;&lt;Group&gt;&lt;References&gt;&lt;Item&gt;&lt;ID&gt;600&lt;/ID&gt;&lt;UID&gt;{73E815EA-3016-43EC-8764-FC4486290162}&lt;/UID&gt;&lt;Title&gt;HKn-RVEA: a novel many-objective evolutionary algorithm for car side impact bar crashworthiness problem&lt;/Title&gt;&lt;Template&gt;Journal Article&lt;/Template&gt;&lt;Star&gt;0&lt;/Star&gt;&lt;Tag&gt;0&lt;/Tag&gt;&lt;Author&gt;Dhiman, Gaurav; Kaur, Amandeep&lt;/Author&gt;&lt;Year&gt;2019&lt;/Year&gt;&lt;Details&gt;&lt;_accession_num&gt;WOS:000576400300010_x000d__x000a_ER&lt;/_accession_num&gt;&lt;_cited_count&gt;1&lt;/_cited_count&gt;&lt;_collection_scope&gt;SCIE;EI&lt;/_collection_scope&gt;&lt;_created&gt;63705149&lt;/_created&gt;&lt;_date_display&gt;2019, 2019&lt;/_date_display&gt;&lt;_db_provider&gt;ISI&lt;/_db_provider&gt;&lt;_doi&gt;10.1504/IJVD.2019.109869&lt;/_doi&gt;&lt;_impact_factor&gt;   1.771&lt;/_impact_factor&gt;&lt;_isbn&gt;0143-3369&lt;/_isbn&gt;&lt;_issue&gt;2-4SI&lt;/_issue&gt;&lt;_journal&gt;INTERNATIONAL JOURNAL OF VEHICLE DESIGN&lt;/_journal&gt;&lt;_modified&gt;63705149&lt;/_modified&gt;&lt;_pages&gt;257-284&lt;/_pages&gt;&lt;_url&gt;http://gateway.isiknowledge.com/gateway/Gateway.cgi?GWVersion=2&amp;amp;SrcAuth=AegeanSoftware&amp;amp;SrcApp=NoteExpress&amp;amp;DestLinkType=FullRecord&amp;amp;DestApp=WOS&amp;amp;KeyUT=000576400300010&lt;/_url&gt;&lt;_volume&gt;80&lt;/_volume&gt;&lt;/Details&gt;&lt;Extra&gt;&lt;DBUID&gt;{F96A950B-833F-4880-A151-76DA2D6A2879}&lt;/DBUID&gt;&lt;/Extra&gt;&lt;/Item&gt;&lt;/References&gt;&lt;/Group&gt;&lt;/Citation&gt;_x000a_"/>
    <w:docVar w:name="NE.Ref{E13E54FC-820E-4EE9-BF1A-4BC2CD15FAD9}" w:val=" ADDIN NE.Ref.{E13E54FC-820E-4EE9-BF1A-4BC2CD15FAD9}&lt;Citation&gt;&lt;Group&gt;&lt;References&gt;&lt;Item&gt;&lt;ID&gt;410&lt;/ID&gt;&lt;UID&gt;{AE1D83D3-6007-4A28-97A9-6C54B816E029}&lt;/UID&gt;&lt;Title&gt;Commutation Failure Prediction Method Considering Commutation Voltage Distortion and DC Current Variation&lt;/Title&gt;&lt;Template&gt;Journal Article&lt;/Template&gt;&lt;Star&gt;0&lt;/Star&gt;&lt;Tag&gt;0&lt;/Tag&gt;&lt;Author&gt;Wang, Qi; Zhang, Chaoming; Wu, Xingquan; Tang, Yi&lt;/Author&gt;&lt;Year&gt;2019&lt;/Year&gt;&lt;Details&gt;&lt;_accessed&gt;63446005&lt;/_accessed&gt;&lt;_accession_num&gt;WOS:000478961900093_x000d__x000a_ER&lt;/_accession_num&gt;&lt;_cited_count&gt;3&lt;/_cited_count&gt;&lt;_collection_scope&gt;SCIE;EI&lt;/_collection_scope&gt;&lt;_created&gt;63444588&lt;/_created&gt;&lt;_date_display&gt;2019, 2019&lt;/_date_display&gt;&lt;_db_provider&gt;ISI&lt;/_db_provider&gt;&lt;_doi&gt;10.1109/ACCESS.2019.2929301&lt;/_doi&gt;&lt;_impact_factor&gt;   3.476&lt;/_impact_factor&gt;&lt;_isbn&gt;2169-3536&lt;/_isbn&gt;&lt;_journal&gt;IEEE ACCESS&lt;/_journal&gt;&lt;_modified&gt;64498622&lt;/_modified&gt;&lt;_pages&gt;96531-96539&lt;/_pages&gt;&lt;_url&gt;http://gateway.isiknowledge.com/gateway/Gateway.cgi?GWVersion=2&amp;amp;SrcAuth=AegeanSoftware&amp;amp;SrcApp=NoteExpress&amp;amp;DestLinkType=FullRecord&amp;amp;DestApp=WOS&amp;amp;KeyUT=000478961900093 _x000d__x000a_https://ieeexplore.ieee.org/ielx7/6287639/8600701/08764543.pdf?tp=&amp;amp;arnumber=8764543&amp;amp;isnumber=8600701&amp;amp;ref=aHR0cHM6Ly9pZWVleHBsb3JlLmllZWUub3JnL3Jlc3Qvc2VhcmNo _x000d__x000a_&lt;/_url&gt;&lt;_volume&gt;7&lt;/_volume&gt;&lt;/Details&gt;&lt;Extra&gt;&lt;DBUID&gt;{6891F4B0-DCBA-459A-9A22-3059983243D4}&lt;/DBUID&gt;&lt;/Extra&gt;&lt;/Item&gt;&lt;/References&gt;&lt;/Group&gt;&lt;Group&gt;&lt;References&gt;&lt;Item&gt;&lt;ID&gt;361&lt;/ID&gt;&lt;UID&gt;{774282C3-05EE-42E0-91C8-BAC42DFB086C}&lt;/UID&gt;&lt;Title&gt;Extinction angle predictive control strategy for commutation failure mitigation in HVDC systems considering voltage distortion&lt;/Title&gt;&lt;Template&gt;Journal Article&lt;/Template&gt;&lt;Star&gt;0&lt;/Star&gt;&lt;Tag&gt;0&lt;/Tag&gt;&lt;Author&gt;Liu, Lei; Lin, Sheng; Liao, Kai; Sung, Peiyao; Deng, Yujia; Li, Xiaopeng; He, Zhengyou&lt;/Author&gt;&lt;Year&gt;2019&lt;/Year&gt;&lt;Details&gt;&lt;_accessed&gt;63445972&lt;/_accessed&gt;&lt;_accession_num&gt;WOS:000501809700016_x000d__x000a_ER&lt;/_accession_num&gt;&lt;_cited_count&gt;0&lt;/_cited_count&gt;&lt;_collection_scope&gt;SCI;SCIE;EI&lt;/_collection_scope&gt;&lt;_created&gt;63444588&lt;/_created&gt;&lt;_date_display&gt;2019, NOV 19 2019&lt;/_date_display&gt;&lt;_db_provider&gt;ISI&lt;/_db_provider&gt;&lt;_doi&gt;10.1049/iet-gtd.2019.0619&lt;/_doi&gt;&lt;_impact_factor&gt;   2.503&lt;/_impact_factor&gt;&lt;_isbn&gt;1751-8687&lt;/_isbn&gt;&lt;_issue&gt;22&lt;/_issue&gt;&lt;_journal&gt;IET GENERATION TRANSMISSION &amp;amp; DISTRIBUTION&lt;/_journal&gt;&lt;_modified&gt;64498615&lt;/_modified&gt;&lt;_pages&gt;5171-5179&lt;/_pages&gt;&lt;_url&gt;http://gateway.isiknowledge.com/gateway/Gateway.cgi?GWVersion=2&amp;amp;SrcAuth=AegeanSoftware&amp;amp;SrcApp=NoteExpress&amp;amp;DestLinkType=FullRecord&amp;amp;DestApp=WOS&amp;amp;KeyUT=000501809700016 _x000d__x000a_https://ieeexplore.ieee.org/stampPDF/getPDF.jsp?tp=&amp;amp;arnumber=8913784&amp;amp;ref=aHR0cHM6Ly9pZWVleHBsb3JlLmllZWUub3JnL3Jlc3Qvc2VhcmNo _x000d__x000a_&lt;/_url&gt;&lt;_volume&gt;13&lt;/_volume&gt;&lt;/Details&gt;&lt;Extra&gt;&lt;DBUID&gt;{6891F4B0-DCBA-459A-9A22-3059983243D4}&lt;/DBUID&gt;&lt;/Extra&gt;&lt;/Item&gt;&lt;/References&gt;&lt;/Group&gt;&lt;Group&gt;&lt;References&gt;&lt;Item&gt;&lt;ID&gt;477&lt;/ID&gt;&lt;UID&gt;{E36B792A-0F32-4CA8-99B4-F34E4DEB4890}&lt;/UID&gt;&lt;Title&gt;Decreasing the frequency of HVDC commutation failures caused by harmonics&lt;/Title&gt;&lt;Template&gt;Journal Article&lt;/Template&gt;&lt;Star&gt;0&lt;/Star&gt;&lt;Tag&gt;0&lt;/Tag&gt;&lt;Author&gt;Wang, Feng; Liu, Tian-qi; Li, Xing-yuan&lt;/Author&gt;&lt;Year&gt;2017&lt;/Year&gt;&lt;Details&gt;&lt;_accessed&gt;63445929&lt;/_accessed&gt;&lt;_accession_num&gt;WOS:000395529000009_x000d__x000a_ER&lt;/_accession_num&gt;&lt;_cited_count&gt;19&lt;/_cited_count&gt;&lt;_collection_scope&gt;SCIE;EI&lt;/_collection_scope&gt;&lt;_created&gt;63444588&lt;/_created&gt;&lt;_date_display&gt;2017, FEB 10 2017&lt;/_date_display&gt;&lt;_db_provider&gt;ISI&lt;/_db_provider&gt;&lt;_doi&gt;10.1049/iet-pel.2016.0230&lt;/_doi&gt;&lt;_impact_factor&gt;   2.112&lt;/_impact_factor&gt;&lt;_isbn&gt;1755-4535&lt;/_isbn&gt;&lt;_issue&gt;2&lt;/_issue&gt;&lt;_journal&gt;IET POWER ELECTRONICS&lt;/_journal&gt;&lt;_modified&gt;64498622&lt;/_modified&gt;&lt;_pages&gt;215-221&lt;/_pages&gt;&lt;_url&gt;http://gateway.isiknowledge.com/gateway/Gateway.cgi?GWVersion=2&amp;amp;SrcAuth=AegeanSoftware&amp;amp;SrcApp=NoteExpress&amp;amp;DestLinkType=FullRecord&amp;amp;DestApp=WOS&amp;amp;KeyUT=000395529000009 _x000d__x000a_https://ieeexplore.ieee.org/stampPDF/getPDF.jsp?tp=&amp;amp;arnumber=7845153&amp;amp;ref=aHR0cHM6Ly9pZWVleHBsb3JlLmllZWUub3JnL3Jlc3Qvc2VhcmNo _x000d__x000a_&lt;/_url&gt;&lt;_volume&gt;10&lt;/_volume&gt;&lt;/Details&gt;&lt;Extra&gt;&lt;DBUID&gt;{6891F4B0-DCBA-459A-9A22-3059983243D4}&lt;/DBUID&gt;&lt;/Extra&gt;&lt;/Item&gt;&lt;/References&gt;&lt;/Group&gt;&lt;/Citation&gt;_x000a_"/>
    <w:docVar w:name="NE.Ref{E21DF2F3-BE74-4E5C-88E7-73E594E0DE40}" w:val=" ADDIN NE.Ref.{E21DF2F3-BE74-4E5C-88E7-73E594E0DE40}&lt;Citation&gt;&lt;Group&gt;&lt;References&gt;&lt;Item&gt;&lt;ID&gt;583&lt;/ID&gt;&lt;UID&gt;{5F61ECA9-9634-4D21-8839-495E5E4F7318}&lt;/UID&gt;&lt;Title&gt;Solving Multi-Objective Economic Dispatch Problem Via Semidefinite Programming&lt;/Title&gt;&lt;Template&gt;Journal Article&lt;/Template&gt;&lt;Star&gt;0&lt;/Star&gt;&lt;Tag&gt;0&lt;/Tag&gt;&lt;Author&gt;Jubril; M, A; Komolafe; A, O; Alawode; O, K&lt;/Author&gt;&lt;Year&gt;2013&lt;/Year&gt;&lt;Details&gt;&lt;_collection_scope&gt;SCI;SCIE;EI&lt;/_collection_scope&gt;&lt;_created&gt;63704824&lt;/_created&gt;&lt;_impact_factor&gt;   6.074&lt;/_impact_factor&gt;&lt;_issue&gt;3&lt;/_issue&gt;&lt;_journal&gt;IEEE Transactions on Power Systems&lt;/_journal&gt;&lt;_modified&gt;63704824&lt;/_modified&gt;&lt;_pages&gt;2056-2064&lt;/_pages&gt;&lt;_volume&gt;28&lt;/_volume&gt;&lt;/Details&gt;&lt;Extra&gt;&lt;DBUID&gt;{F96A950B-833F-4880-A151-76DA2D6A2879}&lt;/DBUID&gt;&lt;/Extra&gt;&lt;/Item&gt;&lt;/References&gt;&lt;/Group&gt;&lt;/Citation&gt;_x000a_"/>
    <w:docVar w:name="NE.Ref{E28727E1-81EB-43C3-97EB-154EF78B8DB0}" w:val=" ADDIN NE.Ref.{E28727E1-81EB-43C3-97EB-154EF78B8DB0}&lt;Citation&gt;&lt;Group&gt;&lt;References&gt;&lt;Item&gt;&lt;ID&gt;639&lt;/ID&gt;&lt;UID&gt;{8A4D127C-6CEF-45AF-B119-9D65AA5A3738}&lt;/UID&gt;&lt;Title&gt;基于相关机会目标规划的风光储联合发电系统储能调度策略&lt;/Title&gt;&lt;Template&gt;Journal Article&lt;/Template&gt;&lt;Star&gt;0&lt;/Star&gt;&lt;Tag&gt;0&lt;/Tag&gt;&lt;Author&gt;赵书强; 刘大正; 谢宇琪; 刘晋; 胡永强&lt;/Author&gt;&lt;Year&gt;2015&lt;/Year&gt;&lt;Details&gt;&lt;_author_adr&gt;新能源电力系统国家重点实验室华北电力大学;&lt;/_author_adr&gt;&lt;_db_provider&gt;CNKI&lt;/_db_provider&gt;&lt;_isbn&gt;1000-1026&lt;/_isbn&gt;&lt;_issue&gt;14&lt;/_issue&gt;&lt;_journal&gt;电力系统自动化&lt;/_journal&gt;&lt;_keywords&gt;风力发电;光伏发电;储能;相关机会目标规划;储能调度;混合智能算法&lt;/_keywords&gt;&lt;_pages&gt;30-36+53&lt;/_pages&gt;&lt;_volume&gt;39&lt;/_volume&gt;&lt;_created&gt;63705567&lt;/_created&gt;&lt;_modified&gt;63705567&lt;/_modified&gt;&lt;_collection_scope&gt;CSCD;PKU;EI&lt;/_collection_scope&gt;&lt;_translated_author&gt;Zhao, Shuqiang;Liu, Dazheng;Xie, Yuqi;Liu, Jin;Hu, Yongqiang&lt;/_translated_author&gt;&lt;/Details&gt;&lt;Extra&gt;&lt;DBUID&gt;{F96A950B-833F-4880-A151-76DA2D6A2879}&lt;/DBUID&gt;&lt;/Extra&gt;&lt;/Item&gt;&lt;/References&gt;&lt;/Group&gt;&lt;/Citation&gt;_x000a_"/>
    <w:docVar w:name="NE.Ref{E34A4337-741F-4C94-89D8-84599F2DAAE5}" w:val=" ADDIN NE.Ref.{E34A4337-741F-4C94-89D8-84599F2DAAE5}&lt;Citation&gt;&lt;Group&gt;&lt;References&gt;&lt;Item&gt;&lt;ID&gt;641&lt;/ID&gt;&lt;UID&gt;{32D4CEE2-DCF5-43B8-BCFF-95914750FBCC}&lt;/UID&gt;&lt;Title&gt;考虑电价型需求响应的交直流混合配电网优化调度&lt;/Title&gt;&lt;Template&gt;Journal Article&lt;/Template&gt;&lt;Star&gt;0&lt;/Star&gt;&lt;Tag&gt;0&lt;/Tag&gt;&lt;Author&gt;王文超; 庞丹; 成龙; 王振浩&lt;/Author&gt;&lt;Year&gt;2019&lt;/Year&gt;&lt;Details&gt;&lt;_author_adr&gt;东北电力大学电气工程学院;国网长春供电公司;&lt;/_author_adr&gt;&lt;_db_provider&gt;CNKI&lt;/_db_provider&gt;&lt;_isbn&gt;1000-3673&lt;/_isbn&gt;&lt;_issue&gt;05&lt;/_issue&gt;&lt;_journal&gt;电网技术&lt;/_journal&gt;&lt;_keywords&gt;交直流混合配电网;电价型需求响应;分布式电源;经济调度;混合整数二阶锥规划&lt;/_keywords&gt;&lt;_pages&gt;1675-1682&lt;/_pages&gt;&lt;_volume&gt;43&lt;/_volume&gt;&lt;_created&gt;63705589&lt;/_created&gt;&lt;_modified&gt;63705589&lt;/_modified&gt;&lt;_collection_scope&gt;CSCD;PKU;EI&lt;/_collection_scope&gt;&lt;_translated_author&gt;Wang, Wenchao;Pang, Dan;Cheng, Long;Wang, Zhenhao&lt;/_translated_author&gt;&lt;/Details&gt;&lt;Extra&gt;&lt;DBUID&gt;{F96A950B-833F-4880-A151-76DA2D6A2879}&lt;/DBUID&gt;&lt;/Extra&gt;&lt;/Item&gt;&lt;/References&gt;&lt;/Group&gt;&lt;/Citation&gt;_x000a_"/>
    <w:docVar w:name="NE.Ref{E3752DCB-C2A4-4A8E-B53B-6B778F438726}" w:val=" ADDIN NE.Ref.{E3752DCB-C2A4-4A8E-B53B-6B778F438726}&lt;Citation&gt;&lt;Group&gt;&lt;References&gt;&lt;Item&gt;&lt;ID&gt;869&lt;/ID&gt;&lt;UID&gt;{6F919514-ADFF-44C9-9E9D-F640A6ADDA3A}&lt;/UID&gt;&lt;Title&gt;直流双极闭锁故障下送端系统暂态过电压计算方法&lt;/Title&gt;&lt;Template&gt;Journal Article&lt;/Template&gt;&lt;Star&gt;0&lt;/Star&gt;&lt;Tag&gt;0&lt;/Tag&gt;&lt;Author&gt;李欣悦; 李凤婷; 尹纯亚; 白海滨&lt;/Author&gt;&lt;Year&gt;2021&lt;/Year&gt;&lt;Details&gt;&lt;_accessed&gt;64647184&lt;/_accessed&gt;&lt;_author_aff&gt;新疆大学电气工程学院;国网新疆电力有限公司昌吉供电公司;&lt;/_author_aff&gt;&lt;_cited_count&gt;65&lt;/_cited_count&gt;&lt;_collection_scope&gt;CSCD;PKU&lt;/_collection_scope&gt;&lt;_created&gt;64646738&lt;/_created&gt;&lt;_date&gt;2021-01-01&lt;/_date&gt;&lt;_db_updated&gt;CNKI - Reference&lt;/_db_updated&gt;&lt;_issue&gt;01&lt;/_issue&gt;&lt;_journal&gt;电力系统保护与控制&lt;/_journal&gt;&lt;_keywords&gt;特高压直流;直流闭锁;送端交流系统;暂态过电压&lt;/_keywords&gt;&lt;_modified&gt;64647185&lt;/_modified&gt;&lt;_pages&gt;1-8&lt;/_pages&gt;&lt;_tertiary_title&gt;Power System Protection and Control&lt;/_tertiary_title&gt;&lt;_translated_author&gt;LI, Xinyue; LI, Fengting; YIN, Chunya; BAI, Haibin&lt;/_translated_author&gt;&lt;_translated_title&gt;Transient overvoltage calculation method of HVDC sending-end system under DC bipolar blocking&lt;/_translated_title&gt;&lt;_url&gt;https://kns.cnki.net/kcms/detail/detail.aspx?FileName=JDQW202101001&amp;amp;DbName=CJFQ2021 _x000d__x000a_https://bar.cnki.net/bar/download/order?id=jBGETXBNdPImvx70aLAuJPYxPoFw%2bp%2bi0fIiSrcN6lXs6FVLNFGJeIOE5eRUlm2bdIHL2Cy%2blkEQPNV7YmeogUGxVkq8YHJNz4jV3WhknTrl8E%2bCUVp5GtDTYhVF2dNUoJeGx62Ssygg68TNXJ%2b5JrigejDAar8Xqw%2f6WR22OFXUdUGh4At8VBYSvh%2fCUD5aWOzmXBt1swS4iqmxYBP2b%2b1vYx0aqWvcABg4xskmmzn5LXYX1qwFXwOc1HUZT%2bTB _x000d__x000a_&lt;/_url&gt;&lt;_volume&gt;49&lt;/_volume&gt;&lt;/Details&gt;&lt;Extra&gt;&lt;DBUID&gt;{6891F4B0-DCBA-459A-9A22-3059983243D4}&lt;/DBUID&gt;&lt;/Extra&gt;&lt;/Item&gt;&lt;/References&gt;&lt;/Group&gt;&lt;/Citation&gt;_x000a_"/>
    <w:docVar w:name="NE.Ref{E3824A24-5284-4347-A309-1DEC7D1395FE}" w:val=" ADDIN NE.Ref.{E3824A24-5284-4347-A309-1DEC7D1395FE}&lt;Citation&gt;&lt;Group&gt;&lt;References&gt;&lt;Item&gt;&lt;ID&gt;394&lt;/ID&gt;&lt;UID&gt;{9027A971-998C-4857-B26D-E97B13AE4D68}&lt;/UID&gt;&lt;Title&gt;可再生能源配额制下绿色证书补偿辅助服务方案探讨&lt;/Title&gt;&lt;Template&gt;Journal Article&lt;/Template&gt;&lt;Star&gt;0&lt;/Star&gt;&lt;Tag&gt;0&lt;/Tag&gt;&lt;Author&gt;刘秋华; 袁浩; 杨争林; 樊海锋; 徐春雷&lt;/Author&gt;&lt;Year&gt;2020&lt;/Year&gt;&lt;Details&gt;&lt;_author_adr&gt;南京工程学院经济与管理学院;中国电力科学研究院有限公司(南京);国网江苏省电力有限公司;&lt;/_author_adr&gt;&lt;_collection_scope&gt;CSCD;PKU;EI&lt;/_collection_scope&gt;&lt;_created&gt;63640281&lt;/_created&gt;&lt;_db_provider&gt;CNKI&lt;/_db_provider&gt;&lt;_isbn&gt;1000-1026&lt;/_isbn&gt;&lt;_issue&gt;06&lt;/_issue&gt;&lt;_journal&gt;电力系统自动化&lt;/_journal&gt;&lt;_keywords&gt;辅助服务;绿色证书;电力市场;可再生能源配额制&lt;/_keywords&gt;&lt;_modified&gt;63640281&lt;/_modified&gt;&lt;_pages&gt;1-8&lt;/_pages&gt;&lt;_volume&gt;44&lt;/_volume&gt;&lt;_translated_author&gt;Liu, Qiuhua;Yuan, Hao;Yang, Zhenglin;Fan, Haifeng;Xu, Chunlei&lt;/_translated_author&gt;&lt;/Details&gt;&lt;Extra&gt;&lt;DBUID&gt;{F96A950B-833F-4880-A151-76DA2D6A2879}&lt;/DBUID&gt;&lt;/Extra&gt;&lt;/Item&gt;&lt;/References&gt;&lt;/Group&gt;&lt;/Citation&gt;_x000a_"/>
    <w:docVar w:name="NE.Ref{E56EA532-B3B6-4284-97F2-40D0E03DE158}" w:val=" ADDIN NE.Ref.{E56EA532-B3B6-4284-97F2-40D0E03DE158}&lt;Citation&gt;&lt;Group&gt;&lt;References&gt;&lt;Item&gt;&lt;ID&gt;624&lt;/ID&gt;&lt;UID&gt;{FE805BA9-421A-43D0-901F-329B5BC8E04D}&lt;/UID&gt;&lt;Title&gt;多区域电力系统实时分散鲁棒调度的求解方法&lt;/Title&gt;&lt;Template&gt;Journal Article&lt;/Template&gt;&lt;Star&gt;0&lt;/Star&gt;&lt;Tag&gt;0&lt;/Tag&gt;&lt;Author&gt;王晨曦; 朱建全; 夏云睿; 郭野; 莫勰旻; 罗添允&lt;/Author&gt;&lt;Year&gt;2019&lt;/Year&gt;&lt;Details&gt;&lt;_author_adr&gt;华南理工大学电力学院;&lt;/_author_adr&gt;&lt;_db_provider&gt;CNKI&lt;/_db_provider&gt;&lt;_isbn&gt;1000-3673&lt;/_isbn&gt;&lt;_issue&gt;12&lt;/_issue&gt;&lt;_journal&gt;电网技术&lt;/_journal&gt;&lt;_keywords&gt;多区域电力系统;风电;实时调度;分散鲁棒优化;近似动态规划&lt;/_keywords&gt;&lt;_pages&gt;4478-4485&lt;/_pages&gt;&lt;_volume&gt;43&lt;/_volume&gt;&lt;_created&gt;63705545&lt;/_created&gt;&lt;_modified&gt;63705545&lt;/_modified&gt;&lt;_collection_scope&gt;CSCD;PKU;EI&lt;/_collection_scope&gt;&lt;_translated_author&gt;Wang, Chenxi;Zhu, Jianquan;Xia, Yunrui;Guo, Ye;Mo, Xiemin;Luo, Tianyun&lt;/_translated_author&gt;&lt;/Details&gt;&lt;Extra&gt;&lt;DBUID&gt;{F96A950B-833F-4880-A151-76DA2D6A2879}&lt;/DBUID&gt;&lt;/Extra&gt;&lt;/Item&gt;&lt;/References&gt;&lt;/Group&gt;&lt;/Citation&gt;_x000a_"/>
    <w:docVar w:name="NE.Ref{E5C62A59-09FA-424C-830A-9C303B1F8568}" w:val=" ADDIN NE.Ref.{E5C62A59-09FA-424C-830A-9C303B1F8568}&lt;Citation&gt;&lt;Group&gt;&lt;References&gt;&lt;Item&gt;&lt;ID&gt;361&lt;/ID&gt;&lt;UID&gt;{774282C3-05EE-42E0-91C8-BAC42DFB086C}&lt;/UID&gt;&lt;Title&gt;Extinction angle predictive control strategy for commutation failure mitigation in HVDC systems considering voltage distortion&lt;/Title&gt;&lt;Template&gt;Journal Article&lt;/Template&gt;&lt;Star&gt;0&lt;/Star&gt;&lt;Tag&gt;0&lt;/Tag&gt;&lt;Author&gt;Liu, Lei; Lin, Sheng; Liao, Kai; Sung, Peiyao; Deng, Yujia; Li, Xiaopeng; He, Zhengyou&lt;/Author&gt;&lt;Year&gt;2019&lt;/Year&gt;&lt;Details&gt;&lt;_accessed&gt;63445972&lt;/_accessed&gt;&lt;_accession_num&gt;WOS:000501809700016_x000d__x000a_ER&lt;/_accession_num&gt;&lt;_cited_count&gt;0&lt;/_cited_count&gt;&lt;_collection_scope&gt;SCI;SCIE;EI&lt;/_collection_scope&gt;&lt;_created&gt;63444588&lt;/_created&gt;&lt;_date_display&gt;2019, NOV 19 2019&lt;/_date_display&gt;&lt;_db_provider&gt;ISI&lt;/_db_provider&gt;&lt;_doi&gt;10.1049/iet-gtd.2019.0619&lt;/_doi&gt;&lt;_impact_factor&gt;   2.862&lt;/_impact_factor&gt;&lt;_isbn&gt;1751-8687&lt;/_isbn&gt;&lt;_issue&gt;22&lt;/_issue&gt;&lt;_journal&gt;IET GENERATION TRANSMISSION &amp;amp; DISTRIBUTION&lt;/_journal&gt;&lt;_modified&gt;63446047&lt;/_modified&gt;&lt;_pages&gt;5171-5179&lt;/_pages&gt;&lt;_url&gt;http://gateway.isiknowledge.com/gateway/Gateway.cgi?GWVersion=2&amp;amp;SrcAuth=AegeanSoftware&amp;amp;SrcApp=NoteExpress&amp;amp;DestLinkType=FullRecord&amp;amp;DestApp=WOS&amp;amp;KeyUT=000501809700016 _x000d__x000a_https://ieeexplore.ieee.org/stampPDF/getPDF.jsp?tp=&amp;amp;arnumber=8913784&amp;amp;ref=aHR0cHM6Ly9pZWVleHBsb3JlLmllZWUub3JnL3Jlc3Qvc2VhcmNo _x000d__x000a_&lt;/_url&gt;&lt;_volume&gt;13&lt;/_volume&gt;&lt;/Details&gt;&lt;Extra&gt;&lt;DBUID&gt;{6891F4B0-DCBA-459A-9A22-3059983243D4}&lt;/DBUID&gt;&lt;/Extra&gt;&lt;/Item&gt;&lt;/References&gt;&lt;/Group&gt;&lt;/Citation&gt;_x000a_"/>
    <w:docVar w:name="NE.Ref{E5D8F010-32D8-4DA7-8BF6-AC2753E35A3D}" w:val=" ADDIN NE.Ref.{E5D8F010-32D8-4DA7-8BF6-AC2753E35A3D}&lt;Citation&gt;&lt;Group&gt;&lt;References&gt;&lt;Item&gt;&lt;ID&gt;895&lt;/ID&gt;&lt;UID&gt;{DA2B6A9A-7D73-4067-A9C9-1BA6869E621C}&lt;/UID&gt;&lt;Title&gt;Coordinated power control of electrochemical energy storage for mitigating subsequent commutation failures of HVDC&lt;/Title&gt;&lt;Template&gt;Journal Article&lt;/Template&gt;&lt;Star&gt;0&lt;/Star&gt;&lt;Tag&gt;0&lt;/Tag&gt;&lt;Author&gt;Zhou, H Y; Yao, W; Ai, X M; Zhang, J; Wen, J Y; Li, C H&lt;/Author&gt;&lt;Year&gt;2022&lt;/Year&gt;&lt;Details&gt;&lt;_alternate_title&gt;INTERNATIONAL JOURNAL OF ELECTRICAL POWER &amp;amp; ENERGY SYSTEMS&lt;/_alternate_title&gt;&lt;_author_adr&gt;Huazhong Univ Sci &amp;amp; Technol, Sch Elect &amp;amp; Elect Engn, State Key Lab Adv Electromagnet Engn &amp;amp; Technol, Wuhan 430074, Peoples R China; Guizhou Univ, Sch Elect Engn, Guiyang 550025, Peoples R China; State Grid Henan Elect Power Co, Elect Power Res Inst, Zhengzhou 450052, Peoples R China&lt;/_author_adr&gt;&lt;_cited_count&gt;8&lt;/_cited_count&gt;&lt;_collection_scope&gt;SCIE;EI&lt;/_collection_scope&gt;&lt;_created&gt;64655769&lt;/_created&gt;&lt;_date&gt;2022-01-01&lt;/_date&gt;&lt;_date_display&gt;2022&lt;/_date_display&gt;&lt;_db_updated&gt;Web of Science-Core&lt;/_db_updated&gt;&lt;_doi&gt;10.1016/j.ijepes.2021.107455&lt;/_doi&gt;&lt;_impact_factor&gt;   5.659&lt;/_impact_factor&gt;&lt;_journal&gt;INTERNATIONAL JOURNAL OF ELECTRICAL POWER &amp;amp; ENERGY SYSTEMS&lt;/_journal&gt;&lt;_keywords&gt;HVDC; Electrochemical energy storage; Subsequent commutation failures; Power control&lt;/_keywords&gt;&lt;_modified&gt;64655770&lt;/_modified&gt;&lt;_volume&gt;134&lt;/_volume&gt;&lt;/Details&gt;&lt;Extra&gt;&lt;DBUID&gt;{6891F4B0-DCBA-459A-9A22-3059983243D4}&lt;/DBUID&gt;&lt;/Extra&gt;&lt;/Item&gt;&lt;/References&gt;&lt;/Group&gt;&lt;/Citation&gt;_x000a_"/>
    <w:docVar w:name="NE.Ref{E6472185-43D6-4E25-8B2A-C45785F9095E}" w:val=" ADDIN NE.Ref.{E6472185-43D6-4E25-8B2A-C45785F9095E}&lt;Citation&gt;&lt;Group&gt;&lt;References&gt;&lt;Item&gt;&lt;ID&gt;510&lt;/ID&gt;&lt;UID&gt;{02D860A4-4262-4AD4-93E0-F5C185DC3E0F}&lt;/UID&gt;&lt;Title&gt;基于集中供热系统储热特性的热电联产机组多时间尺度灵活性协调调度&lt;/Title&gt;&lt;Template&gt;Journal Article&lt;/Template&gt;&lt;Star&gt;0&lt;/Star&gt;&lt;Tag&gt;0&lt;/Tag&gt;&lt;Author&gt;张磊; 罗毅; 罗恒恒; 苗世洪; 叶婧; 周桂平; 孙亮&lt;/Author&gt;&lt;Year&gt;2018&lt;/Year&gt;&lt;Details&gt;&lt;_author_adr&gt;华中科技大学电气与电子工程学院;国网辽宁省电力有限公司;三峡大学电气与新能源学院;&lt;/_author_adr&gt;&lt;_collection_scope&gt;CSCD;PKU;EI&lt;/_collection_scope&gt;&lt;_created&gt;63655099&lt;/_created&gt;&lt;_db_provider&gt;CNKI&lt;/_db_provider&gt;&lt;_isbn&gt;0258-8013&lt;/_isbn&gt;&lt;_issue&gt;04&lt;/_issue&gt;&lt;_journal&gt;中国电机工程学报&lt;/_journal&gt;&lt;_keywords&gt;热电联产机组;多时间尺度灵活性;高渗透率风电;热网系统&lt;/_keywords&gt;&lt;_modified&gt;63655099&lt;/_modified&gt;&lt;_pages&gt;985-998+1275&lt;/_pages&gt;&lt;_volume&gt;38&lt;/_volume&gt;&lt;_translated_author&gt;Zhang, Lei;Luo, Yi;Luo, Hengheng;Miao, Shihong;Ye, Jing;Zhou, Guiping;Sun, Liang&lt;/_translated_author&gt;&lt;/Details&gt;&lt;Extra&gt;&lt;DBUID&gt;{F96A950B-833F-4880-A151-76DA2D6A2879}&lt;/DBUID&gt;&lt;/Extra&gt;&lt;/Item&gt;&lt;/References&gt;&lt;/Group&gt;&lt;Group&gt;&lt;References&gt;&lt;Item&gt;&lt;ID&gt;514&lt;/ID&gt;&lt;UID&gt;{6C8A5A43-B832-48C9-90C9-F9788223EC74}&lt;/UID&gt;&lt;Title&gt;Economical flexibility options for integrating fluctuating wind energy in power systems: The case of China&lt;/Title&gt;&lt;Template&gt;Journal Article&lt;/Template&gt;&lt;Star&gt;0&lt;/Star&gt;&lt;Tag&gt;0&lt;/Tag&gt;&lt;Author&gt;Yi, Ding; Changzheng, Shao; Jinyue, Yan; Yonghua, Song; Chi, Zhang; Chuangxin, Guo&lt;/Author&gt;&lt;Year&gt;2018&lt;/Year&gt;&lt;Details&gt;&lt;_collection_scope&gt;SCI;SCIE;EI&lt;/_collection_scope&gt;&lt;_created&gt;63655101&lt;/_created&gt;&lt;_impact_factor&gt;   8.848&lt;/_impact_factor&gt;&lt;_journal&gt;Applied Energy&lt;/_journal&gt;&lt;_modified&gt;63655101&lt;/_modified&gt;&lt;_pages&gt;426-436&lt;/_pages&gt;&lt;_volume&gt;228&lt;/_volume&gt;&lt;/Details&gt;&lt;Extra&gt;&lt;DBUID&gt;{F96A950B-833F-4880-A151-76DA2D6A2879}&lt;/DBUID&gt;&lt;/Extra&gt;&lt;/Item&gt;&lt;/References&gt;&lt;/Group&gt;&lt;/Citation&gt;_x000a_"/>
    <w:docVar w:name="NE.Ref{E6CD1F53-E7B1-4153-B9F8-234996436C5B}" w:val=" ADDIN NE.Ref.{E6CD1F53-E7B1-4153-B9F8-234996436C5B}&lt;Citation&gt;&lt;Group&gt;&lt;References&gt;&lt;Item&gt;&lt;ID&gt;620&lt;/ID&gt;&lt;UID&gt;{B51A987A-7860-4232-99B2-4D1BD8CC9729}&lt;/UID&gt;&lt;Title&gt;电-热联合微网中分布式可再生能源功率波动平抑策略&lt;/Title&gt;&lt;Template&gt;Journal Article&lt;/Template&gt;&lt;Star&gt;0&lt;/Star&gt;&lt;Tag&gt;0&lt;/Tag&gt;&lt;Author&gt;施金晓; 黄文焘; 邰能灵; 樊飞龙; 余墨多; 马洲俊&lt;/Author&gt;&lt;Year&gt;2018&lt;/Year&gt;&lt;Details&gt;&lt;_journal&gt;中国电机工程学报&lt;/_journal&gt;&lt;_created&gt;63705506&lt;/_created&gt;&lt;_modified&gt;63705506&lt;/_modified&gt;&lt;_collection_scope&gt;CSCD;PKU;EI&lt;/_collection_scope&gt;&lt;_translated_author&gt;Shi, Jinxiao;Huang, Wendao;Tai, Nengling;Fan, Feilong;Yu, Moduo;Ma, Zhoujun&lt;/_translated_author&gt;&lt;/Details&gt;&lt;Extra&gt;&lt;DBUID&gt;{F96A950B-833F-4880-A151-76DA2D6A2879}&lt;/DBUID&gt;&lt;/Extra&gt;&lt;/Item&gt;&lt;/References&gt;&lt;/Group&gt;&lt;/Citation&gt;_x000a_"/>
    <w:docVar w:name="NE.Ref{E6EADFED-D102-48FE-BA0A-B37FF2CE404E}" w:val=" ADDIN NE.Ref.{E6EADFED-D102-48FE-BA0A-B37FF2CE404E}&lt;Citation&gt;&lt;Group&gt;&lt;References&gt;&lt;Item&gt;&lt;ID&gt;674&lt;/ID&gt;&lt;UID&gt;{6D5733ED-3972-4874-89C6-EEA165621FA0}&lt;/UID&gt;&lt;Title&gt;Simulation and analysis of cascading faults in hybrid AC/DC power grids&lt;/Title&gt;&lt;Template&gt;Journal Article&lt;/Template&gt;&lt;Star&gt;0&lt;/Star&gt;&lt;Tag&gt;0&lt;/Tag&gt;&lt;Author&gt;Dong, X Z; Guan, E Y; Jing, L M; Wang, H; Mirsaeidi, S&lt;/Author&gt;&lt;Year&gt;2020&lt;/Year&gt;&lt;Details&gt;&lt;_accessed&gt;64494355&lt;/_accessed&gt;&lt;_alternate_title&gt;INTERNATIONAL JOURNAL OF ELECTRICAL POWER &amp;amp; ENERGY SYSTEMS&lt;/_alternate_title&gt;&lt;_author_adr&gt;Tsinghua Univ, State Key Lab Control &amp;amp; Simulat Power Syst &amp;amp; Gene, Dept Elect Engn, Beijing, Peoples R China; Xi An Jiao Tong Univ, Dept Elect Engn, Shaanxi Key Lab Smart Grid, Xian, Shaanxi, Peoples R China; Beijing Jiaotong Univ, Sch Elect Engn, Beijing, Peoples R China&lt;/_author_adr&gt;&lt;_cited_count&gt;10&lt;/_cited_count&gt;&lt;_collection_scope&gt;SCIE;EI&lt;/_collection_scope&gt;&lt;_created&gt;64493985&lt;/_created&gt;&lt;_date&gt;2020-01-01&lt;/_date&gt;&lt;_date_display&gt;2020&lt;/_date_display&gt;&lt;_db_updated&gt;Web of Science-Core&lt;/_db_updated&gt;&lt;_doi&gt;10.1016/j.ijepes.2019.105492&lt;/_doi&gt;&lt;_impact_factor&gt;   5.659&lt;/_impact_factor&gt;&lt;_journal&gt;INTERNATIONAL JOURNAL OF ELECTRICAL POWER &amp;amp; ENERGY SYSTEMS&lt;/_journal&gt;&lt;_keywords&gt;Hybrid AC/DC power grids; Cascading faults; Commutation failure; Power flow transfer; DC block; Cascading trip&lt;/_keywords&gt;&lt;_modified&gt;64494355&lt;/_modified&gt;&lt;_url&gt;https://onlinelibrary.wiley.com/doi/pdfdirect/10.1016/j.ijepes.2019.105492?download=true _x000d__x000a_&lt;/_url&gt;&lt;_volume&gt;115&lt;/_volume&gt;&lt;/Details&gt;&lt;Extra&gt;&lt;DBUID&gt;{F96A950B-833F-4880-A151-76DA2D6A2879}&lt;/DBUID&gt;&lt;/Extra&gt;&lt;/Item&gt;&lt;/References&gt;&lt;/Group&gt;&lt;/Citation&gt;_x000a_"/>
    <w:docVar w:name="NE.Ref{E7E8A0B1-3F40-4BB0-B156-70E86679B8AB}" w:val=" ADDIN NE.Ref.{E7E8A0B1-3F40-4BB0-B156-70E86679B8AB}&lt;Citation&gt;&lt;Group&gt;&lt;References&gt;&lt;Item&gt;&lt;ID&gt;665&lt;/ID&gt;&lt;UID&gt;{2C22D33F-996F-456D-B0C5-45D0E5406DB5}&lt;/UID&gt;&lt;Title&gt;大规模交直流电力系统仿真计算的相关问题&lt;/Title&gt;&lt;Template&gt;Journal Article&lt;/Template&gt;&lt;Star&gt;1&lt;/Star&gt;&lt;Tag&gt;0&lt;/Tag&gt;&lt;Author&gt;徐政; 蔡晔; 刘国平&lt;/Author&gt;&lt;Year&gt;2002&lt;/Year&gt;&lt;Details&gt;&lt;_accessed&gt;63444710&lt;/_accessed&gt;&lt;_accession_num&gt;CSCD:976036_x000d__x000a_ER&lt;/_accession_num&gt;&lt;_cited_count&gt;4&lt;/_cited_count&gt;&lt;_collection_scope&gt;CSCD;PKU;EI&lt;/_collection_scope&gt;&lt;_created&gt;63444588&lt;/_created&gt;&lt;_date_display&gt;2002, 2002&lt;/_date_display&gt;&lt;_db_provider&gt;ISI&lt;/_db_provider&gt;&lt;_isbn&gt;1000-1026&lt;/_isbn&gt;&lt;_issue&gt;15&lt;/_issue&gt;&lt;_journal&gt;电力系统自动化&lt;/_journal&gt;&lt;_modified&gt;63446169&lt;/_modified&gt;&lt;_pages&gt;4-8&lt;/_pages&gt;&lt;_tertiary_title&gt;电力系统自动化Automation of Electric Power Systems&lt;/_tertiary_title&gt;&lt;_translated_author&gt;Xu, Zheng; Cai, Ye; Liu, Guoping&lt;/_translated_author&gt;&lt;_translated_title&gt;Some problems in the simulation of large-scale AC/DC power systems&lt;/_translated_title&gt;&lt;_url&gt;CSCD:976036 _x000d__x000a_https://kns.cnki.net/kns/download.aspx?filename=KRlUndlZ0YTMClFMT9URqdlQ4MTSi9SbIVjar0GTzgHV3VmT6dTcutia5UFbulneRZzV49mTuplQ6RXbX9WemtCNwR1cxhVcn5GRiV0YCRDMNFEbIlmN4VWekRGUqFGc3RnNYRGdBJDbDBXR2AFM6tyLY9Uaah0Z&amp;amp;tablename=CJFD2002&amp;amp;dflag=pdfdown _x000d__x000a_https://kns.cnki.net/kns/download.aspx?filename=PJGNBlkN382dT9yT2gHbrYTQxZEblp3brIzMrBHb0plRqpENlhmZ2MzKqF0K4oEMoB1MxomQmJWalZVZDNzMipkdW90L3BzcQZEVGZmM6lEUmJmSqZlTaJDbUNneZhjRTNzQItEcF9Ed1EnQ48CZMtUVoF3QN92U&amp;amp;tablename=CJFD2002&amp;amp;dflag=pdfdown _x000d__x000a_&lt;/_url&gt;&lt;_volume&gt;26&lt;/_volume&gt;&lt;/Details&gt;&lt;Extra&gt;&lt;DBUID&gt;{6891F4B0-DCBA-459A-9A22-3059983243D4}&lt;/DBUID&gt;&lt;/Extra&gt;&lt;/Item&gt;&lt;/References&gt;&lt;/Group&gt;&lt;/Citation&gt;_x000a_"/>
    <w:docVar w:name="NE.Ref{E91AE3C8-C1F1-423C-9608-B166B13CC821}" w:val=" ADDIN NE.Ref.{E91AE3C8-C1F1-423C-9608-B166B13CC821}&lt;Citation&gt;&lt;Group&gt;&lt;References&gt;&lt;Item&gt;&lt;ID&gt;432&lt;/ID&gt;&lt;UID&gt;{00318ED0-9D21-411E-BE96-F69CD842E5A1}&lt;/UID&gt;&lt;Title&gt;考虑虚拟电厂参与的售电公司双层优化调度模型&lt;/Title&gt;&lt;Template&gt;Journal Article&lt;/Template&gt;&lt;Star&gt;0&lt;/Star&gt;&lt;Tag&gt;0&lt;/Tag&gt;&lt;Author&gt;张涛; 王成; 王凌云; 张东方; 章佳莹&lt;/Author&gt;&lt;Year&gt;2019&lt;/Year&gt;&lt;Details&gt;&lt;_author_adr&gt;三峡大学电气与新能源学院;三峡大学新能源微电网湖北省协同创新中心;国网湖北省电力公司随州供电公司;&lt;/_author_adr&gt;&lt;_collection_scope&gt;CSCD;PKU;EI&lt;/_collection_scope&gt;&lt;_created&gt;63648575&lt;/_created&gt;&lt;_db_provider&gt;CNKI&lt;/_db_provider&gt;&lt;_isbn&gt;1000-3673&lt;/_isbn&gt;&lt;_issue&gt;03&lt;/_issue&gt;&lt;_journal&gt;电网技术&lt;/_journal&gt;&lt;_keywords&gt;售电公司;虚拟电厂;双层规划;NSGA-Ⅱ算法;混合整数二阶锥规划&lt;/_keywords&gt;&lt;_modified&gt;63648575&lt;/_modified&gt;&lt;_pages&gt;952-961&lt;/_pages&gt;&lt;_volume&gt;43&lt;/_volume&gt;&lt;_translated_author&gt;Zhang, Tao;Wang, Cheng;Wang, Lingyun;Zhang, Dongfang;Zhang, Jiaying&lt;/_translated_author&gt;&lt;/Details&gt;&lt;Extra&gt;&lt;DBUID&gt;{F96A950B-833F-4880-A151-76DA2D6A2879}&lt;/DBUID&gt;&lt;/Extra&gt;&lt;/Item&gt;&lt;/References&gt;&lt;/Group&gt;&lt;/Citation&gt;_x000a_"/>
    <w:docVar w:name="NE.Ref{E9D75F7B-28B8-4400-BDF6-66C48530E16C}" w:val=" ADDIN NE.Ref.{E9D75F7B-28B8-4400-BDF6-66C48530E16C}&lt;Citation&gt;&lt;Group&gt;&lt;References&gt;&lt;Item&gt;&lt;ID&gt;673&lt;/ID&gt;&lt;UID&gt;{3BFC353C-EF56-4F4B-836A-BD68FC86A30C}&lt;/UID&gt;&lt;Title&gt;Definition, Connotation and Form of Strong HVDC and Weak AC and Countermeasures for Stable Operation of Hybrid Power Grid&lt;/Title&gt;&lt;Template&gt;Journal Article&lt;/Template&gt;&lt;Star&gt;0&lt;/Star&gt;&lt;Tag&gt;0&lt;/Tag&gt;&lt;Author&gt;Zheng, Chao; Ma, Shiying; Shen, Xuhui; Liu, Daowei&lt;/Author&gt;&lt;Year&gt;2017&lt;/Year&gt;&lt;Details&gt;&lt;_accession_num&gt;CSCD:6050560&lt;/_accession_num&gt;&lt;_cited_count&gt;3&lt;/_cited_count&gt;&lt;_date_display&gt;2017, 2017&lt;/_date_display&gt;&lt;_isbn&gt;1000-3673&lt;/_isbn&gt;&lt;_issue&gt;8&lt;/_issue&gt;&lt;_journal&gt;Power System Technology&lt;/_journal&gt;&lt;_pages&gt;2491-2498&lt;/_pages&gt;&lt;_tertiary_title&gt;电网技术&lt;/_tertiary_title&gt;&lt;_translated_author&gt;郑超_x000d__x000a_   马世英_x000d__x000a_   申旭辉_x000d__x000a_   刘道伟&lt;/_translated_author&gt;&lt;_translated_title&gt;强直弱交的定义、内涵与形式及其应对措施&lt;/_translated_title&gt;&lt;_url&gt;CSCD:6050560&lt;/_url&gt;&lt;_volume&gt;41&lt;/_volume&gt;&lt;_created&gt;63459186&lt;/_created&gt;&lt;_modified&gt;63459187&lt;/_modified&gt;&lt;_db_provider&gt;ISI&lt;/_db_provider&gt;&lt;_db_updated&gt;Web of Science-All&lt;/_db_updated&gt;&lt;_accessed&gt;63459189&lt;/_accessed&gt;&lt;/Details&gt;&lt;Extra&gt;&lt;DBUID&gt;{6891F4B0-DCBA-459A-9A22-3059983243D4}&lt;/DBUID&gt;&lt;/Extra&gt;&lt;/Item&gt;&lt;/References&gt;&lt;/Group&gt;&lt;Group&gt;&lt;References&gt;&lt;Item&gt;&lt;ID&gt;366&lt;/ID&gt;&lt;UID&gt;{C77C692E-F5FB-4E72-B42C-4384C150C477}&lt;/UID&gt;&lt;Title&gt;HVDC Transmission: Technology Review, Market Trends and Future Outlook&lt;/Title&gt;&lt;Template&gt;Journal Article&lt;/Template&gt;&lt;Star&gt;0&lt;/Star&gt;&lt;Tag&gt;0&lt;/Tag&gt;&lt;Author&gt;Alassi, Abdulrahman; Banales, Santiago; Ellabban, Omar; Adam, Grain; MacIver, Callum&lt;/Author&gt;&lt;Year&gt;2019&lt;/Year&gt;&lt;Details&gt;&lt;_accessed&gt;63445972&lt;/_accessed&gt;&lt;_accession_num&gt;WOS:000474208400037_x000d__x000a_ER&lt;/_accession_num&gt;&lt;_cited_count&gt;11&lt;/_cited_count&gt;&lt;_collection_scope&gt;SCI;SCIE;EI&lt;/_collection_scope&gt;&lt;_created&gt;63444588&lt;/_created&gt;&lt;_date_display&gt;2019, SEP 2019&lt;/_date_display&gt;&lt;_db_provider&gt;ISI&lt;/_db_provider&gt;&lt;_doi&gt;10.1016/j.rser.2019.04.062&lt;/_doi&gt;&lt;_impact_factor&gt;  12.110&lt;/_impact_factor&gt;&lt;_isbn&gt;1364-0321&lt;/_isbn&gt;&lt;_journal&gt;RENEWABLE &amp;amp; SUSTAINABLE ENERGY REVIEWS&lt;/_journal&gt;&lt;_modified&gt;63446044&lt;/_modified&gt;&lt;_pages&gt;530-554&lt;/_pages&gt;&lt;_url&gt;http://gateway.isiknowledge.com/gateway/Gateway.cgi?GWVersion=2&amp;amp;SrcAuth=AegeanSoftware&amp;amp;SrcApp=NoteExpress&amp;amp;DestLinkType=FullRecord&amp;amp;DestApp=WOS&amp;amp;KeyUT=000474208400037 _x000d__x000a_https://pdf.sciencedirectassets.com/271969/1-s2.0-S1364032119X00106/1-s2.0-S1364032119302837/main.pdf?X-Amz-Security-Token=IQoJb3JpZ2luX2VjECkaCXVzLWVhc3QtMSJHMEUCIQDT%2BPUPo3cMvhzEaTfTaTG0sao5h0Kt3VmuJpQZkeqlEAIgRXxNnJT5NdcMDmlQJw2euAuTULlv7CPZRffzq3EcFtwqtAMIEhADGgwwNTkwMDM1NDY4NjUiDBYHz5noY7dOgWqZtiqRA4N8hxCfY1Dkt3XiYYNeScDxUuWPdtHEGTqGkEwFXN%2BR8fRgDAi1AfgudQA78MFsdhLqVuKvzCAQYlz%2FLfjmDt2nP3z6N7i9wOcUDk%2FTmwKY2eyUE4SpVB2vynNDRAUqnFC3sghbH8MTitJMtRebYM%2BIOK5YVhLFqgGHOrwlpgIKHkP3ROAJ9cF9H%2FXev1QWbCdK4%2BS%2BdKRnPbS65yczzjH%2B6uPuPLyFq9ytPGayHFTUrKgd5nI5Ef7Yb0sRkoPGgYiA2v2aDhEAFazoVyymb6u7L%2FFOFmUpKbg8Xkkuyc%2F32Ey%2BtBuQ%2BYZacUknKwKOiyHqJ5EGkPLmswj5CkItR10gET7MMoFPCcn2C6bshreGrrOm0ieOjbA%2Bf7HsfJ7LFge06lmvNVEJi2MVLBki0lr0nRWYi62soDeOQ7dHZXQiyGt%2FIMWIYnTDPrFPzuomVcJ4Fpdarb4q%2Fz5HqJY1j2LS7DKbxzb08lqjio4Fpk8Wbw%2FfT9JX0LX43gHa96gfK1PpeXEpUscPcd27D8dydXViMOmy7vkFOusB%2Bv%2BUVBjrwhEfs969NYQK4Xs%2Bwaaz0rf2g9gDD4qX9wBt7oZs%2BKBDNmbVuYIjzJP%2Ft6%2BJIqAlbFj3EnsOvms2cs8ZhstPwTUsPlsSxVzqVrXke9gxx%2BstEOeV40zR1UU9LGHJohsPkLdJzDyVLwrNBISOBKetHDW3TDQT4BWH7dHNfFx%2BpW%2BPuEiGUnHUCDhF56sO22XzOBwKZIveU5yv2tpqofwsUxnC8gGgpru58Vw9hsC3xZUWUHvZtMz1rn3yiwLH79DMPqFNANxrAN1kX%2BakXVw2dbWG8UMmsUFbxLTHBXPjxmgGqVLPTA%3D%3D&amp;amp;X-Amz-Algorithm=AWS4-HMAC-SHA256&amp;amp;X-Amz-Date=20200818T100411Z&amp;amp;X-Amz-SignedHeaders=host&amp;amp;X-Amz-Expires=300&amp;amp;X-Amz-Credential=ASIAQ3PHCVTYRRHIMDUZ%2F20200818%2Fus-east-1%2Fs3%2Faws4_request&amp;amp;X-Amz-Signature=a09d2552bceb874e3f4c96afe88d567821ea0aedb9a1a686b90ddbd067aa0d37&amp;amp;hash=d3aae682c1341c9a2e301d9e13cd747b859f607617ad3fe11fd9d4180b7b3118&amp;amp;host=68042c943591013ac2b2430a89b270f6af2c76d8dfd086a07176afe7c76c2c61&amp;amp;pii=S1364032119302837&amp;amp;tid=spdf-91b49cb6-5d28-4351-aa1b-f8e08b8726fd&amp;amp;sid=f52ef8d64bd7a74c2c3844a4fb751a582258gxrqa&amp;amp;type=client _x000d__x000a_&lt;/_url&gt;&lt;_volume&gt;112&lt;/_volume&gt;&lt;/Details&gt;&lt;Extra&gt;&lt;DBUID&gt;{6891F4B0-DCBA-459A-9A22-3059983243D4}&lt;/DBUID&gt;&lt;/Extra&gt;&lt;/Item&gt;&lt;/References&gt;&lt;/Group&gt;&lt;/Citation&gt;_x000a_"/>
    <w:docVar w:name="NE.Ref{EAD8BFDB-3EAA-47D1-A6B8-F48973BCFA9E}" w:val=" ADDIN NE.Ref.{EAD8BFDB-3EAA-47D1-A6B8-F48973BCFA9E}&lt;Citation&gt;&lt;Group&gt;&lt;References&gt;&lt;Item&gt;&lt;ID&gt;411&lt;/ID&gt;&lt;UID&gt;{803FE997-D4CD-41F7-AA83-B6A9B000F5C6}&lt;/UID&gt;&lt;Title&gt;基于改进PSO算法的动态环境经济调度研究&lt;/Title&gt;&lt;Template&gt;Journal Article&lt;/Template&gt;&lt;Star&gt;0&lt;/Star&gt;&lt;Tag&gt;0&lt;/Tag&gt;&lt;Author&gt;稳国栋&lt;/Author&gt;&lt;Year&gt;2017&lt;/Year&gt;&lt;Details&gt;&lt;_created&gt;63642106&lt;/_created&gt;&lt;_issue&gt;02&lt;/_issue&gt;&lt;_journal&gt;黑龙江电力&lt;/_journal&gt;&lt;_modified&gt;63642106&lt;/_modified&gt;&lt;_pages&gt;120-124&lt;/_pages&gt;&lt;_translated_author&gt;Wen, Guodong&lt;/_translated_author&gt;&lt;/Details&gt;&lt;Extra&gt;&lt;DBUID&gt;{F96A950B-833F-4880-A151-76DA2D6A2879}&lt;/DBUID&gt;&lt;/Extra&gt;&lt;/Item&gt;&lt;/References&gt;&lt;/Group&gt;&lt;Group&gt;&lt;References&gt;&lt;Item&gt;&lt;ID&gt;412&lt;/ID&gt;&lt;UID&gt;{5688BFE8-2D59-4109-9B4D-D6C0993407DD}&lt;/UID&gt;&lt;Title&gt;Evolutionary Algorithms for Dynamic Economic Dispatch Problems&lt;/Title&gt;&lt;Template&gt;Journal Article&lt;/Template&gt;&lt;Star&gt;0&lt;/Star&gt;&lt;Tag&gt;0&lt;/Tag&gt;&lt;Author&gt;Zaman, M F; Elsayed, Saber M; Ray, Tapabrata; Sarker, Ruhul A&lt;/Author&gt;&lt;Year&gt;2016&lt;/Year&gt;&lt;Details&gt;&lt;_collection_scope&gt;SCI;SCIE;EI&lt;/_collection_scope&gt;&lt;_created&gt;63642107&lt;/_created&gt;&lt;_impact_factor&gt;   6.074&lt;/_impact_factor&gt;&lt;_issue&gt;2&lt;/_issue&gt;&lt;_journal&gt;IEEE Transactions on Power Systems&lt;/_journal&gt;&lt;_modified&gt;63642107&lt;/_modified&gt;&lt;_pages&gt;1486-1495&lt;/_pages&gt;&lt;_volume&gt;31&lt;/_volume&gt;&lt;/Details&gt;&lt;Extra&gt;&lt;DBUID&gt;{F96A950B-833F-4880-A151-76DA2D6A2879}&lt;/DBUID&gt;&lt;/Extra&gt;&lt;/Item&gt;&lt;/References&gt;&lt;/Group&gt;&lt;/Citation&gt;_x000a_"/>
    <w:docVar w:name="NE.Ref{EB1525E1-124F-4CB8-B614-FF6DD0645CC5}" w:val=" ADDIN NE.Ref.{EB1525E1-124F-4CB8-B614-FF6DD0645CC5}&lt;Citation&gt;&lt;Group&gt;&lt;References&gt;&lt;Item&gt;&lt;ID&gt;367&lt;/ID&gt;&lt;UID&gt;{A1FE966F-8ADA-4AD7-950B-63C40F5C303B}&lt;/UID&gt;&lt;Title&gt;An Integrated Control and Protection Scheme to Inhibit Blackouts Caused by Cascading Fault in Large-Scale Hybrid AC/DC Power Grids&lt;/Title&gt;&lt;Template&gt;Journal Article&lt;/Template&gt;&lt;Star&gt;0&lt;/Star&gt;&lt;Tag&gt;0&lt;/Tag&gt;&lt;Author&gt;Mirsaeidi, Sohrab; Dong, Xinzhou&lt;/Author&gt;&lt;Year&gt;2019&lt;/Year&gt;&lt;Details&gt;&lt;_accessed&gt;63445972&lt;/_accessed&gt;&lt;_accession_num&gt;WOS:000469912200019_x000d__x000a_ER&lt;/_accession_num&gt;&lt;_cited_count&gt;1&lt;/_cited_count&gt;&lt;_collection_scope&gt;SCI;SCIE;EI&lt;/_collection_scope&gt;&lt;_created&gt;63444588&lt;/_created&gt;&lt;_date_display&gt;2019, AUG 2019&lt;/_date_display&gt;&lt;_db_provider&gt;ISI&lt;/_db_provider&gt;&lt;_doi&gt;10.1109/TPEL.2018.2881720&lt;/_doi&gt;&lt;_impact_factor&gt;   5.967&lt;/_impact_factor&gt;&lt;_isbn&gt;0885-8993&lt;/_isbn&gt;&lt;_issue&gt;8&lt;/_issue&gt;&lt;_journal&gt;IEEE TRANSACTIONS ON POWER ELECTRONICS&lt;/_journal&gt;&lt;_modified&gt;64498621&lt;/_modified&gt;&lt;_pages&gt;7278-7291&lt;/_pages&gt;&lt;_url&gt;http://gateway.isiknowledge.com/gateway/Gateway.cgi?GWVersion=2&amp;amp;SrcAuth=AegeanSoftware&amp;amp;SrcApp=NoteExpress&amp;amp;DestLinkType=FullRecord&amp;amp;DestApp=WOS&amp;amp;KeyUT=000469912200019 _x000d__x000a_https://ieeexplore.ieee.org/stampPDF/getPDF.jsp?tp=&amp;amp;arnumber=8537972&amp;amp;ref=aHR0cHM6Ly9pZWVleHBsb3JlLmllZWUub3JnL3Jlc3Qvc2VhcmNo _x000d__x000a_&lt;/_url&gt;&lt;_volume&gt;34&lt;/_volume&gt;&lt;/Details&gt;&lt;Extra&gt;&lt;DBUID&gt;{6891F4B0-DCBA-459A-9A22-3059983243D4}&lt;/DBUID&gt;&lt;/Extra&gt;&lt;/Item&gt;&lt;/References&gt;&lt;/Group&gt;&lt;Group&gt;&lt;References&gt;&lt;Item&gt;&lt;ID&gt;366&lt;/ID&gt;&lt;UID&gt;{C77C692E-F5FB-4E72-B42C-4384C150C477}&lt;/UID&gt;&lt;Title&gt;HVDC Transmission: Technology Review, Market Trends and Future Outlook&lt;/Title&gt;&lt;Template&gt;Journal Article&lt;/Template&gt;&lt;Star&gt;0&lt;/Star&gt;&lt;Tag&gt;0&lt;/Tag&gt;&lt;Author&gt;Alassi, Abdulrahman; Banales, Santiago; Ellabban, Omar; Adam, Grain; MacIver, Callum&lt;/Author&gt;&lt;Year&gt;2019&lt;/Year&gt;&lt;Details&gt;&lt;_accessed&gt;63445972&lt;/_accessed&gt;&lt;_accession_num&gt;WOS:000474208400037_x000d__x000a_ER&lt;/_accession_num&gt;&lt;_cited_count&gt;11&lt;/_cited_count&gt;&lt;_collection_scope&gt;SCI;SCIE;EI&lt;/_collection_scope&gt;&lt;_created&gt;63444588&lt;/_created&gt;&lt;_date_display&gt;2019, SEP 2019&lt;/_date_display&gt;&lt;_db_provider&gt;ISI&lt;/_db_provider&gt;&lt;_doi&gt;10.1016/j.rser.2019.04.062&lt;/_doi&gt;&lt;_impact_factor&gt;  16.799&lt;/_impact_factor&gt;&lt;_isbn&gt;1364-0321&lt;/_isbn&gt;&lt;_journal&gt;RENEWABLE &amp;amp; SUSTAINABLE ENERGY REVIEWS&lt;/_journal&gt;&lt;_modified&gt;64498638&lt;/_modified&gt;&lt;_pages&gt;530-554&lt;/_pages&gt;&lt;_url&gt;http://gateway.isiknowledge.com/gateway/Gateway.cgi?GWVersion=2&amp;amp;SrcAuth=AegeanSoftware&amp;amp;SrcApp=NoteExpress&amp;amp;DestLinkType=FullRecord&amp;amp;DestApp=WOS&amp;amp;KeyUT=000474208400037 _x000d__x000a_https://pdf.sciencedirectassets.com/271969/1-s2.0-S1364032119X00106/1-s2.0-S1364032119302837/main.pdf?X-Amz-Security-Token=IQoJb3JpZ2luX2VjECkaCXVzLWVhc3QtMSJHMEUCIQDT%2BPUPo3cMvhzEaTfTaTG0sao5h0Kt3VmuJpQZkeqlEAIgRXxNnJT5NdcMDmlQJw2euAuTULlv7CPZRffzq3EcFtwqtAMIEhADGgwwNTkwMDM1NDY4NjUiDBYHz5noY7dOgWqZtiqRA4N8hxCfY1Dkt3XiYYNeScDxUuWPdtHEGTqGkEwFXN%2BR8fRgDAi1AfgudQA78MFsdhLqVuKvzCAQYlz%2FLfjmDt2nP3z6N7i9wOcUDk%2FTmwKY2eyUE4SpVB2vynNDRAUqnFC3sghbH8MTitJMtRebYM%2BIOK5YVhLFqgGHOrwlpgIKHkP3ROAJ9cF9H%2FXev1QWbCdK4%2BS%2BdKRnPbS65yczzjH%2B6uPuPLyFq9ytPGayHFTUrKgd5nI5Ef7Yb0sRkoPGgYiA2v2aDhEAFazoVyymb6u7L%2FFOFmUpKbg8Xkkuyc%2F32Ey%2BtBuQ%2BYZacUknKwKOiyHqJ5EGkPLmswj5CkItR10gET7MMoFPCcn2C6bshreGrrOm0ieOjbA%2Bf7HsfJ7LFge06lmvNVEJi2MVLBki0lr0nRWYi62soDeOQ7dHZXQiyGt%2FIMWIYnTDPrFPzuomVcJ4Fpdarb4q%2Fz5HqJY1j2LS7DKbxzb08lqjio4Fpk8Wbw%2FfT9JX0LX43gHa96gfK1PpeXEpUscPcd27D8dydXViMOmy7vkFOusB%2Bv%2BUVBjrwhEfs969NYQK4Xs%2Bwaaz0rf2g9gDD4qX9wBt7oZs%2BKBDNmbVuYIjzJP%2Ft6%2BJIqAlbFj3EnsOvms2cs8ZhstPwTUsPlsSxVzqVrXke9gxx%2BstEOeV40zR1UU9LGHJohsPkLdJzDyVLwrNBISOBKetHDW3TDQT4BWH7dHNfFx%2BpW%2BPuEiGUnHUCDhF56sO22XzOBwKZIveU5yv2tpqofwsUxnC8gGgpru58Vw9hsC3xZUWUHvZtMz1rn3yiwLH79DMPqFNANxrAN1kX%2BakXVw2dbWG8UMmsUFbxLTHBXPjxmgGqVLPTA%3D%3D&amp;amp;X-Amz-Algorithm=AWS4-HMAC-SHA256&amp;amp;X-Amz-Date=20200818T100411Z&amp;amp;X-Amz-SignedHeaders=host&amp;amp;X-Amz-Expires=300&amp;amp;X-Amz-Credential=ASIAQ3PHCVTYRRHIMDUZ%2F20200818%2Fus-east-1%2Fs3%2Faws4_request&amp;amp;X-Amz-Signature=a09d2552bceb874e3f4c96afe88d567821ea0aedb9a1a686b90ddbd067aa0d37&amp;amp;hash=d3aae682c1341c9a2e301d9e13cd747b859f607617ad3fe11fd9d4180b7b3118&amp;amp;host=68042c943591013ac2b2430a89b270f6af2c76d8dfd086a07176afe7c76c2c61&amp;amp;pii=S1364032119302837&amp;amp;tid=spdf-91b49cb6-5d28-4351-aa1b-f8e08b8726fd&amp;amp;sid=f52ef8d64bd7a74c2c3844a4fb751a582258gxrqa&amp;amp;type=client _x000d__x000a_&lt;/_url&gt;&lt;_volume&gt;112&lt;/_volume&gt;&lt;/Details&gt;&lt;Extra&gt;&lt;DBUID&gt;{6891F4B0-DCBA-459A-9A22-3059983243D4}&lt;/DBUID&gt;&lt;/Extra&gt;&lt;/Item&gt;&lt;/References&gt;&lt;/Group&gt;&lt;/Citation&gt;_x000a_"/>
    <w:docVar w:name="NE.Ref{EBB8FC37-3C4E-4B4E-BD18-E7C3BD78A3C3}" w:val=" ADDIN NE.Ref.{EBB8FC37-3C4E-4B4E-BD18-E7C3BD78A3C3}&lt;Citation&gt;&lt;Group&gt;&lt;References&gt;&lt;Item&gt;&lt;ID&gt;565&lt;/ID&gt;&lt;UID&gt;{5F634247-0F19-4220-908B-C510A6654ED4}&lt;/UID&gt;&lt;Title&gt;考虑直流电流变化及交流故障发生时刻影响的HVDC换相失败分析方法&lt;/Title&gt;&lt;Template&gt;Journal Article&lt;/Template&gt;&lt;Star&gt;0&lt;/Star&gt;&lt;Tag&gt;0&lt;/Tag&gt;&lt;Author&gt;徐敬友; 谭海燕; 孙海顺; 吴晋波&lt;/Author&gt;&lt;Year&gt;2015&lt;/Year&gt;&lt;Details&gt;&lt;_accessed&gt;63451440&lt;/_accessed&gt;&lt;_accession_num&gt;CSCD:5432946_x000d__x000a_ER&lt;/_accession_num&gt;&lt;_cited_count&gt;3&lt;/_cited_count&gt;&lt;_collection_scope&gt;CSCD;PKU;EI&lt;/_collection_scope&gt;&lt;_created&gt;63444588&lt;/_created&gt;&lt;_date_display&gt;2015, 2015&lt;/_date_display&gt;&lt;_db_provider&gt;ISI&lt;/_db_provider&gt;&lt;_isbn&gt;1000-3673&lt;/_isbn&gt;&lt;_issue&gt;1000-3673(2015)39:5&amp;lt;1261:KLZLDL&amp;gt;2.0.TX;2-V5&lt;/_issue&gt;&lt;_journal&gt;电网技术&lt;/_journal&gt;&lt;_modified&gt;63552604&lt;/_modified&gt;&lt;_pages&gt;1261-1267&lt;/_pages&gt;&lt;_tertiary_title&gt;Power System Technology&lt;/_tertiary_title&gt;&lt;_translated_author&gt;Xu, Jingyou; Tan, Haiyan; Sun, Haishun; Wu, Jinbo&lt;/_translated_author&gt;&lt;_translated_title&gt;Research on Method to Analyze Commutation Failure in HVDC Power Transmission System Considering the Impact of DC Current Variation and Occurrence Moment of AC Fault&lt;/_translated_title&gt;&lt;_url&gt;CSCD:5432946 _x000d__x000a_https://kns.cnki.net/kcms/download.aspx?filename=6hHMwlmSyAlTN1memlUbjlGcy8GN0R1UWRFOZNnUFZTM0Q3YQJXU5YDNa10R3NzVrYUR49mbqhGaCZEbttCaRJXNXdHVLh1ZZhHZ2AjVIRkRTF2VSpES4UXdBR3Zxc2QVRVSydjcFJURiN0bihVR5RkZhhEZ5gjV&amp;amp;tablename=CJFDLAST2015&amp;amp;dflag=pdfdown _x000d__x000a_&lt;/_url&gt;&lt;_volume&gt;39&lt;/_volume&gt;&lt;/Details&gt;&lt;Extra&gt;&lt;DBUID&gt;{6891F4B0-DCBA-459A-9A22-3059983243D4}&lt;/DBUID&gt;&lt;/Extra&gt;&lt;/Item&gt;&lt;/References&gt;&lt;/Group&gt;&lt;Group&gt;&lt;References&gt;&lt;Item&gt;&lt;ID&gt;520&lt;/ID&gt;&lt;UID&gt;{B6220A73-5654-42C6-AC86-6FA5F0F94F07}&lt;/UID&gt;&lt;Title&gt;考虑直流电流上升及交流电压下降速度的换相失败分析&lt;/Title&gt;&lt;Template&gt;Journal Article&lt;/Template&gt;&lt;Star&gt;0&lt;/Star&gt;&lt;Tag&gt;0&lt;/Tag&gt;&lt;Author&gt;王峰; 刘天琪; 李兴源; 杨稼祥&lt;/Author&gt;&lt;Year&gt;2016&lt;/Year&gt;&lt;Details&gt;&lt;_accessed&gt;63445920&lt;/_accessed&gt;&lt;_accession_num&gt;CSCD:5859063_x000d__x000a_ER&lt;/_accession_num&gt;&lt;_cited_count&gt;1&lt;/_cited_count&gt;&lt;_created&gt;63444588&lt;/_created&gt;&lt;_date_display&gt;2016, 2016&lt;/_date_display&gt;&lt;_db_provider&gt;ISI&lt;/_db_provider&gt;&lt;_isbn&gt;1000-1026&lt;/_isbn&gt;&lt;_issue&gt;1000-1026(2016)40:22&amp;lt;111:KLZLDL&amp;gt;2.0.TX;2-Q22&lt;/_issue&gt;&lt;_journal&gt;电力系统自动化 &lt;/_journal&gt;&lt;_modified&gt;63552605&lt;/_modified&gt;&lt;_pages&gt;111-117&lt;/_pages&gt;&lt;_tertiary_title&gt;Automation of Electric Power Systems&lt;/_tertiary_title&gt;&lt;_translated_author&gt;Wang, Feng; Liu, Tianqi; Li, Xingyuan; Yang, Jiaxiang&lt;/_translated_author&gt;&lt;_translated_title&gt;Commutation Failure Analysis Considering DC Current Rise and AC Voltage Drop Speed &lt;/_translated_title&gt;&lt;_url&gt;CSCD:5859063 _x000d__x000a_https://kns.cnki.net/kcms/download.aspx?filename=ZZXRY92VzVFVrckNv1GeJZETTtCRWllcYBzdUNDNtlWa6FVR6dnMWZzRnN0bzQzdwhUaYpXTWZXRIJWUMNHeYBHbHN1YBVXYChDbWtSbqdnRnd1YTpGSEd2U4YmNzcjMSpVOrVTNxN1cypWav1UQh12SyJWR14kM&amp;amp;tablename=CJFDLAST2016&amp;amp;dflag=pdfdown _x000d__x000a_&lt;/_url&gt;&lt;_volume&gt;40&lt;/_volume&gt;&lt;/Details&gt;&lt;Extra&gt;&lt;DBUID&gt;{6891F4B0-DCBA-459A-9A22-3059983243D4}&lt;/DBUID&gt;&lt;/Extra&gt;&lt;/Item&gt;&lt;/References&gt;&lt;/Group&gt;&lt;/Citation&gt;_x000a_"/>
    <w:docVar w:name="NE.Ref{EBFB507F-1D42-49A6-83A3-E56020AA2866}" w:val=" ADDIN NE.Ref.{EBFB507F-1D42-49A6-83A3-E56020AA2866}&lt;Citation&gt;&lt;Group&gt;&lt;References&gt;&lt;Item&gt;&lt;ID&gt;505&lt;/ID&gt;&lt;UID&gt;{51E94598-90E5-4F65-B6AB-4C4A309C8B01}&lt;/UID&gt;&lt;Title&gt;A Distributionally Robust Optimization Model for Real-Time Power Dispatch in Distribution Networks&lt;/Title&gt;&lt;Template&gt;Journal Article&lt;/Template&gt;&lt;Star&gt;0&lt;/Star&gt;&lt;Tag&gt;0&lt;/Tag&gt;&lt;Author&gt;Yang, Yue; Wu, Wenchuan&lt;/Author&gt;&lt;Year&gt;2019&lt;/Year&gt;&lt;Details&gt;&lt;_created&gt;63654827&lt;/_created&gt;&lt;_issue&gt;4&lt;/_issue&gt;&lt;_journal&gt;Smart Grid, IEEE Transactions on&lt;/_journal&gt;&lt;_modified&gt;63654827&lt;/_modified&gt;&lt;_pages&gt;3743-3752&lt;/_pages&gt;&lt;_volume&gt;10&lt;/_volume&gt;&lt;/Details&gt;&lt;Extra&gt;&lt;DBUID&gt;{F96A950B-833F-4880-A151-76DA2D6A2879}&lt;/DBUID&gt;&lt;/Extra&gt;&lt;/Item&gt;&lt;/References&gt;&lt;/Group&gt;&lt;/Citation&gt;_x000a_"/>
    <w:docVar w:name="NE.Ref{EC45EC25-FBE0-492B-9934-22894C838489}" w:val=" ADDIN NE.Ref.{EC45EC25-FBE0-492B-9934-22894C838489}&lt;Citation&gt;&lt;Group&gt;&lt;References&gt;&lt;Item&gt;&lt;ID&gt;599&lt;/ID&gt;&lt;UID&gt;{05A2F942-156B-4C32-BB95-FB10F8C20D54}&lt;/UID&gt;&lt;Title&gt;虚拟电厂参与大规模新能源系统的储能侧双层优化运行策略&lt;/Title&gt;&lt;Template&gt;Journal Article&lt;/Template&gt;&lt;Star&gt;0&lt;/Star&gt;&lt;Tag&gt;0&lt;/Tag&gt;&lt;Author&gt;王开科; 南东亮; 李勇; 张路; 李笑竹&lt;/Author&gt;&lt;Year&gt;2020&lt;/Year&gt;&lt;Details&gt;&lt;_author_adr&gt;国网新疆电力有限公司电力科学研究院;新疆大学可再生能源发电与并网技术教育部工程研究中心;国家电网公司华中分部;&lt;/_author_adr&gt;&lt;_created&gt;63705145&lt;/_created&gt;&lt;_db_provider&gt;CNKI&lt;/_db_provider&gt;&lt;_isbn&gt;2095-9524&lt;/_isbn&gt;&lt;_issue&gt;02&lt;/_issue&gt;&lt;_journal&gt;电气工程学报&lt;/_journal&gt;&lt;_keywords&gt;大规模新能源;虚拟电厂;储能;双层优化;多目标算法&lt;/_keywords&gt;&lt;_modified&gt;63705145&lt;/_modified&gt;&lt;_pages&gt;24-33&lt;/_pages&gt;&lt;_volume&gt;15&lt;/_volume&gt;&lt;_translated_author&gt;Wang, Kaike;Nan, Dongliang;Li, Yong;Zhang, Lu;Li, Xiaozhu&lt;/_translated_author&gt;&lt;/Details&gt;&lt;Extra&gt;&lt;DBUID&gt;{F96A950B-833F-4880-A151-76DA2D6A2879}&lt;/DBUID&gt;&lt;/Extra&gt;&lt;/Item&gt;&lt;/References&gt;&lt;/Group&gt;&lt;/Citation&gt;_x000a_"/>
    <w:docVar w:name="NE.Ref{ECBCDFBA-3751-47A1-BC8D-17A1AED2E63C}" w:val=" ADDIN NE.Ref.{ECBCDFBA-3751-47A1-BC8D-17A1AED2E63C}&lt;Citation&gt;&lt;Group&gt;&lt;References&gt;&lt;Item&gt;&lt;ID&gt;718&lt;/ID&gt;&lt;UID&gt;{BDF9AE4C-640B-411C-A0AD-46B0C47964F0}&lt;/UID&gt;&lt;Title&gt;直流闭锁引发交流联络线功率波动的机理以及峰值计算&lt;/Title&gt;&lt;Template&gt;Journal Article&lt;/Template&gt;&lt;Star&gt;0&lt;/Star&gt;&lt;Tag&gt;0&lt;/Tag&gt;&lt;Author&gt;屠竞哲; 杨莉; 黄涌; 赵红生&lt;/Author&gt;&lt;Year&gt;2013&lt;/Year&gt;&lt;Details&gt;&lt;_author_aff&gt;浙江大学电气工程学院;华中电力科学研究院;&lt;/_author_aff&gt;&lt;_date&gt;2013-01-10&lt;/_date&gt;&lt;_db_provider&gt;CNKI: 期刊&lt;/_db_provider&gt;&lt;_issue&gt;01&lt;/_issue&gt;&lt;_journal&gt;电力自动化设备&lt;/_journal&gt;&lt;_keywords&gt;直流闭锁;交流联络线;功率波动;阶跃响应;转动惯量;阻尼比&lt;/_keywords&gt;&lt;_pages&gt;12-17&lt;/_pages&gt;&lt;_url&gt;http://kns.cnki.net/KCMS/detail/detail.aspx?FileName=DLZS201301004&amp;amp;DbName=CJFQ2013&lt;/_url&gt;&lt;_volume&gt;33&lt;/_volume&gt;&lt;_created&gt;63727869&lt;/_created&gt;&lt;_modified&gt;63727869&lt;/_modified&gt;&lt;_db_updated&gt;CNKI - Reference&lt;/_db_updated&gt;&lt;_collection_scope&gt;CSCD;PKU;EI&lt;/_collection_scope&gt;&lt;_translated_author&gt;Tu, Jingzhe;Yang, Li;Huang, Yong;Zhao, Hongsheng&lt;/_translated_author&gt;&lt;/Details&gt;&lt;Extra&gt;&lt;DBUID&gt;{6891F4B0-DCBA-459A-9A22-3059983243D4}&lt;/DBUID&gt;&lt;/Extra&gt;&lt;/Item&gt;&lt;/References&gt;&lt;/Group&gt;&lt;/Citation&gt;_x000a_"/>
    <w:docVar w:name="NE.Ref{ECBFD151-6C58-4123-85A1-71B0F8A4ABFB}" w:val=" ADDIN NE.Ref.{ECBFD151-6C58-4123-85A1-71B0F8A4ABFB}&lt;Citation&gt;&lt;Group&gt;&lt;References&gt;&lt;Item&gt;&lt;ID&gt;537&lt;/ID&gt;&lt;UID&gt;{1BD72EE0-CEAC-4BD7-A75D-46FD2327F39F}&lt;/UID&gt;&lt;Title&gt;考虑动态频率约束的一次调频和二次调频联合优化模型&lt;/Title&gt;&lt;Template&gt;Journal Article&lt;/Template&gt;&lt;Star&gt;0&lt;/Star&gt;&lt;Tag&gt;0&lt;/Tag&gt;&lt;Author&gt;王霞; 应黎明; 卢少平&lt;/Author&gt;&lt;Year&gt;2020&lt;/Year&gt;&lt;Details&gt;&lt;_author_adr&gt;武汉大学电气与自动化学院;&lt;/_author_adr&gt;&lt;_collection_scope&gt;CSCD;PKU;EI&lt;/_collection_scope&gt;&lt;_created&gt;63661759&lt;/_created&gt;&lt;_db_provider&gt;CNKI&lt;/_db_provider&gt;&lt;_isbn&gt;1000-3673&lt;/_isbn&gt;&lt;_issue&gt;08&lt;/_issue&gt;&lt;_journal&gt;电网技术&lt;/_journal&gt;&lt;_keywords&gt;一次调频;辅助服务市场;混合整数线性规划;L-shape;机会成本&lt;/_keywords&gt;&lt;_modified&gt;63661759&lt;/_modified&gt;&lt;_pages&gt;2858-2867&lt;/_pages&gt;&lt;_volume&gt;44&lt;/_volume&gt;&lt;_translated_author&gt;Wang, Xia;Ying, Liming;Lu, Shaoping&lt;/_translated_author&gt;&lt;/Details&gt;&lt;Extra&gt;&lt;DBUID&gt;{F96A950B-833F-4880-A151-76DA2D6A2879}&lt;/DBUID&gt;&lt;/Extra&gt;&lt;/Item&gt;&lt;/References&gt;&lt;/Group&gt;&lt;/Citation&gt;_x000a_"/>
    <w:docVar w:name="NE.Ref{ED7B246A-31F4-4B79-B9DB-04C7B0EB2F44}" w:val=" ADDIN NE.Ref.{ED7B246A-31F4-4B79-B9DB-04C7B0EB2F44}&lt;Citation&gt;&lt;Group&gt;&lt;References&gt;&lt;Item&gt;&lt;ID&gt;107&lt;/ID&gt;&lt;UID&gt;{03E2A6D5-82BA-4D42-9E43-1D290CE92737}&lt;/UID&gt;&lt;Title&gt;含分布式电源的配电网模糊优化规划&lt;/Title&gt;&lt;Template&gt;Journal Article&lt;/Template&gt;&lt;Star&gt;0&lt;/Star&gt;&lt;Tag&gt;0&lt;/Tag&gt;&lt;Author&gt;杨毅; 韦钢; 周冰; 张鑫&lt;/Author&gt;&lt;Year&gt;2010&lt;/Year&gt;&lt;Details&gt;&lt;_accessed&gt;64303910&lt;/_accessed&gt;&lt;_author_aff&gt;上海电力学院上海市电站自动化技术重点实验室;上海浦海求实电力新技术有限公司;&lt;/_author_aff&gt;&lt;_cited_count&gt;162&lt;/_cited_count&gt;&lt;_collection_scope&gt;CSCD;PKU;EI&lt;/_collection_scope&gt;&lt;_created&gt;64303910&lt;/_created&gt;&lt;_date&gt;58128480&lt;/_date&gt;&lt;_db_updated&gt;CNKI - Reference&lt;/_db_updated&gt;&lt;_issue&gt;13&lt;/_issue&gt;&lt;_journal&gt;电力系统自动化&lt;/_journal&gt;&lt;_keywords&gt;分布式电源;配电网;模糊优化规划;可信性理论;模糊期望值模型;混合编码&lt;/_keywords&gt;&lt;_language&gt;Chinese&lt;/_language&gt;&lt;_modified&gt;64303910&lt;/_modified&gt;&lt;_pages&gt;19-23&lt;/_pages&gt;&lt;_url&gt;https://kns.cnki.net/kcms/detail/detail.aspx?FileName=DLXT201013004&amp;amp;DbName=CJFQ2010&lt;/_url&gt;&lt;_volume&gt;34&lt;/_volume&gt;&lt;_translated_author&gt;Yang, Yi;Wei, Gang;Zhou, Bing;Zhang, Xin&lt;/_translated_author&gt;&lt;/Details&gt;&lt;Extra&gt;&lt;DBUID&gt;{560D5FFD-5A46-4EB8-859B-FD657304A42E}&lt;/DBUID&gt;&lt;/Extra&gt;&lt;/Item&gt;&lt;/References&gt;&lt;/Group&gt;&lt;/Citation&gt;_x000a_"/>
    <w:docVar w:name="NE.Ref{EDBD487E-199E-4031-B6C6-39C4569F2864}" w:val=" ADDIN NE.Ref.{EDBD487E-199E-4031-B6C6-39C4569F2864}&lt;Citation&gt;&lt;Group&gt;&lt;References&gt;&lt;Item&gt;&lt;ID&gt;671&lt;/ID&gt;&lt;UID&gt;{B9B5CD33-CF6E-4817-B83F-6813BA498D4A}&lt;/UID&gt;&lt;Title&gt;Current-limit control method to prevent subsequent commutation failure of LCC-HVDC based on adaptive trigger voltage&lt;/Title&gt;&lt;Template&gt;Journal Article&lt;/Template&gt;&lt;Star&gt;0&lt;/Star&gt;&lt;Tag&gt;0&lt;/Tag&gt;&lt;Author&gt;Ouyang, J X; Zhang, Z; Pang, M Y; Ye, J J; Xiong, X F&lt;/Author&gt;&lt;Year&gt;2020&lt;/Year&gt;&lt;Details&gt;&lt;_accessed&gt;64494416&lt;/_accessed&gt;&lt;_alternate_title&gt;INTERNATIONAL JOURNAL OF ELECTRICAL POWER &amp;amp; ENERGY SYSTEMS&lt;/_alternate_title&gt;&lt;_author_adr&gt;Chongqing Univ, Sch Elect Engn, State Key Lab Power Transmiss Equipment &amp;amp; Syst Se, Chongqing 400044, Peoples R China&lt;/_author_adr&gt;&lt;_cited_count&gt;12&lt;/_cited_count&gt;&lt;_collection_scope&gt;SCIE;EI&lt;/_collection_scope&gt;&lt;_created&gt;64493985&lt;/_created&gt;&lt;_date&gt;2020-01-01&lt;/_date&gt;&lt;_date_display&gt;2020&lt;/_date_display&gt;&lt;_db_updated&gt;Web of Science-Core&lt;/_db_updated&gt;&lt;_doi&gt;10.1016/j.ijepes.2020.106190&lt;/_doi&gt;&lt;_impact_factor&gt;   5.659&lt;/_impact_factor&gt;&lt;_journal&gt;INTERNATIONAL JOURNAL OF ELECTRICAL POWER &amp;amp; ENERGY SYSTEMS&lt;/_journal&gt;&lt;_keywords&gt;HVDC transmission; Subsequent commutation failure; AC grid fault; Critical slope&lt;/_keywords&gt;&lt;_modified&gt;64494392&lt;/_modified&gt;&lt;_volume&gt;122&lt;/_volume&gt;&lt;/Details&gt;&lt;Extra&gt;&lt;DBUID&gt;{F96A950B-833F-4880-A151-76DA2D6A2879}&lt;/DBUID&gt;&lt;/Extra&gt;&lt;/Item&gt;&lt;/References&gt;&lt;/Group&gt;&lt;/Citation&gt;_x000a_"/>
    <w:docVar w:name="NE.Ref{EDD47934-81FB-4CD7-978B-835F51C3B431}" w:val=" ADDIN NE.Ref.{EDD47934-81FB-4CD7-978B-835F51C3B431}&lt;Citation&gt;&lt;Group&gt;&lt;References&gt;&lt;Item&gt;&lt;ID&gt;465&lt;/ID&gt;&lt;UID&gt;{2C73837E-3505-4E81-9AF8-7EDB1CF92E50}&lt;/UID&gt;&lt;Title&gt;特高压直流输电中直流偏磁引起的谐波对换相失败的影响研究&lt;/Title&gt;&lt;Template&gt;Journal Article&lt;/Template&gt;&lt;Star&gt;0&lt;/Star&gt;&lt;Tag&gt;0&lt;/Tag&gt;&lt;Author&gt;常鹏; 阿里木江·卡德尔; 王海云; 武家辉; 梅勇振; 李阳&lt;/Author&gt;&lt;Year&gt;2018&lt;/Year&gt;&lt;Details&gt;&lt;_accessed&gt;63445969&lt;/_accessed&gt;&lt;_accession_num&gt;CSCD:6215387_x000d__x000a_ER&lt;/_accession_num&gt;&lt;_cited_count&gt;0&lt;/_cited_count&gt;&lt;_collection_scope&gt;CSCD;PKU&lt;/_collection_scope&gt;&lt;_created&gt;63444588&lt;/_created&gt;&lt;_date_display&gt;2018, 2018&lt;/_date_display&gt;&lt;_db_provider&gt;ISI&lt;/_db_provider&gt;&lt;_isbn&gt;1001-1609&lt;/_isbn&gt;&lt;_issue&gt;1001-1609(2018)54:4&amp;lt;94:TGYZLS&amp;gt;2.0.TX;2-#4&lt;/_issue&gt;&lt;_journal&gt;高压电器&lt;/_journal&gt;&lt;_modified&gt;63445969&lt;/_modified&gt;&lt;_pages&gt;94-99&lt;/_pages&gt;&lt;_tertiary_title&gt;High Voltage Apparatus&lt;/_tertiary_title&gt;&lt;_translated_author&gt;Chang, Peng; Alimjan, Kader; Wang, Haiyun; Wu, Jiahui; Mei, Yongzhen; Li, Yang&lt;/_translated_author&gt;&lt;_translated_title&gt;Study on Effect of Harmonics Caused by DC Bias on Commutation Failure in UHVDC Transmission&lt;/_translated_title&gt;&lt;_url&gt;CSCD:6215387&lt;/_url&gt;&lt;_volume&gt;54&lt;/_volume&gt;&lt;/Details&gt;&lt;Extra&gt;&lt;DBUID&gt;{6891F4B0-DCBA-459A-9A22-3059983243D4}&lt;/DBUID&gt;&lt;/Extra&gt;&lt;/Item&gt;&lt;/References&gt;&lt;/Group&gt;&lt;Group&gt;&lt;References&gt;&lt;Item&gt;&lt;ID&gt;583&lt;/ID&gt;&lt;UID&gt;{08522C54-6CB9-4E11-ACB3-F805C405D502}&lt;/UID&gt;&lt;Title&gt;直流偏磁增大换相失败风险的机理分析及仿真&lt;/Title&gt;&lt;Template&gt;Journal Article&lt;/Template&gt;&lt;Star&gt;0&lt;/Star&gt;&lt;Tag&gt;0&lt;/Tag&gt;&lt;Author&gt;黄敏; 郭倩雯; 童重立; 孙近文&lt;/Author&gt;&lt;Year&gt;2014&lt;/Year&gt;&lt;Details&gt;&lt;_accessed&gt;63445907&lt;/_accessed&gt;&lt;_accession_num&gt;CSCD:5246934_x000d__x000a_ER&lt;/_accession_num&gt;&lt;_cited_count&gt;0&lt;/_cited_count&gt;&lt;_collection_scope&gt;CSCD;PKU;EI&lt;/_collection_scope&gt;&lt;_created&gt;63444588&lt;/_created&gt;&lt;_date_display&gt;2014, 2014&lt;/_date_display&gt;&lt;_db_provider&gt;ISI&lt;/_db_provider&gt;&lt;_isbn&gt;1671-4512&lt;/_isbn&gt;&lt;_issue&gt;1671-4512(2014)42:9&amp;lt;102:ZLPCZD&amp;gt;2.0.TX;2-E9&lt;/_issue&gt;&lt;_journal&gt;华中科技大学学报. 自然科学版&lt;/_journal&gt;&lt;_modified&gt;63445908&lt;/_modified&gt;&lt;_pages&gt;102-106&lt;/_pages&gt;&lt;_tertiary_title&gt;Journal of Huazhong University of Science and Technology. Nature Science&lt;/_tertiary_title&gt;&lt;_translated_author&gt;Huang, Min; Guo, Qianwen; Tong, Chongli; Sun, Jinwen&lt;/_translated_author&gt;&lt;_translated_title&gt;Mechanism analysis of DC-bias increasing the risk of commutation failure &lt;/_translated_title&gt;&lt;_url&gt;CSCD:5246934&lt;/_url&gt;&lt;_volume&gt;42&lt;/_volume&gt;&lt;/Details&gt;&lt;Extra&gt;&lt;DBUID&gt;{6891F4B0-DCBA-459A-9A22-3059983243D4}&lt;/DBUID&gt;&lt;/Extra&gt;&lt;/Item&gt;&lt;/References&gt;&lt;/Group&gt;&lt;/Citation&gt;_x000a_"/>
    <w:docVar w:name="NE.Ref{EE4A0824-F951-453F-B139-DE4D6BE17EDA}" w:val=" ADDIN NE.Ref.{EE4A0824-F951-453F-B139-DE4D6BE17EDA}&lt;Citation&gt;&lt;Group&gt;&lt;References&gt;&lt;Item&gt;&lt;ID&gt;601&lt;/ID&gt;&lt;UID&gt;{99E50C20-2560-42E4-9588-30CE9592F20D}&lt;/UID&gt;&lt;Title&gt;Towards a Quick Computation of Well-Spread Pareto-Optimal Solutions&lt;/Title&gt;&lt;Template&gt;Conference Proceedings&lt;/Template&gt;&lt;Star&gt;0&lt;/Star&gt;&lt;Tag&gt;0&lt;/Tag&gt;&lt;Author&gt;Deb, Kalyanmoy; Mohan, Manikanth; Mishra, Shikhar&lt;/Author&gt;&lt;Year&gt;2003&lt;/Year&gt;&lt;Details&gt;&lt;_created&gt;63705166&lt;/_created&gt;&lt;_modified&gt;63705166&lt;/_modified&gt;&lt;_secondary_title&gt;Evolutionary Multi-Criterion Optimization, Second International Conference, EMO 2003, Faro, Portugal, April 8-11, 2003, Proceedings&lt;/_secondary_title&gt;&lt;/Details&gt;&lt;Extra&gt;&lt;DBUID&gt;{F96A950B-833F-4880-A151-76DA2D6A2879}&lt;/DBUID&gt;&lt;/Extra&gt;&lt;/Item&gt;&lt;/References&gt;&lt;/Group&gt;&lt;/Citation&gt;_x000a_"/>
    <w:docVar w:name="NE.Ref{EE68C2DD-1612-47F5-9D86-32277D5D44DF}" w:val=" ADDIN NE.Ref.{EE68C2DD-1612-47F5-9D86-32277D5D44DF}&lt;Citation&gt;&lt;Group&gt;&lt;References&gt;&lt;Item&gt;&lt;ID&gt;650&lt;/ID&gt;&lt;UID&gt;{72DED99C-6D04-49C5-A8A3-358237DA538D}&lt;/UID&gt;&lt;Title&gt;A hybrid optimization-based scheduling strategy for combined cooling, heating, and power system with thermal energy storage&lt;/Title&gt;&lt;Template&gt;Journal Article&lt;/Template&gt;&lt;Star&gt;0&lt;/Star&gt;&lt;Tag&gt;0&lt;/Tag&gt;&lt;Author&gt;Li, Fan; Sun, Bo; Zhang, Chenghui; Liu, Che&lt;/Author&gt;&lt;Year&gt;2019&lt;/Year&gt;&lt;Details&gt;&lt;_journal&gt;Energy&lt;/_journal&gt;&lt;_pages&gt;115948-&lt;/_pages&gt;&lt;_volume&gt;188&lt;/_volume&gt;&lt;_created&gt;63705613&lt;/_created&gt;&lt;_modified&gt;63705613&lt;/_modified&gt;&lt;_impact_factor&gt;   6.082&lt;/_impact_factor&gt;&lt;_collection_scope&gt;SCI;SCIE;EI&lt;/_collection_scope&gt;&lt;/Details&gt;&lt;Extra&gt;&lt;DBUID&gt;{F96A950B-833F-4880-A151-76DA2D6A2879}&lt;/DBUID&gt;&lt;/Extra&gt;&lt;/Item&gt;&lt;/References&gt;&lt;/Group&gt;&lt;/Citation&gt;_x000a_"/>
    <w:docVar w:name="NE.Ref{EEA75076-7278-47EF-8AE0-067A7102AC7F}" w:val=" ADDIN NE.Ref.{EEA75076-7278-47EF-8AE0-067A7102AC7F}&lt;Citation&gt;&lt;Group&gt;&lt;References&gt;&lt;Item&gt;&lt;ID&gt;575&lt;/ID&gt;&lt;UID&gt;{CD9AD7E9-0B57-46F0-BA58-F476D192894F}&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6.074&lt;/_impact_factor&gt;&lt;_isbn&gt;0885-8950&lt;/_isbn&gt;&lt;_issue&gt;5&lt;/_issue&gt;&lt;_journal&gt;IEEE TRANSACTIONS ON POWER SYSTEMS&lt;/_journal&gt;&lt;_modified&gt;63445902&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Group&gt;&lt;References&gt;&lt;Item&gt;&lt;ID&gt;588&lt;/ID&gt;&lt;UID&gt;{518E78E1-6B30-4DCB-8DDE-D341CF7F52EC}&lt;/UID&gt;&lt;Title&gt;基于直流电流预测控制的换相失败预防方法&lt;/Title&gt;&lt;Template&gt;Journal Article&lt;/Template&gt;&lt;Star&gt;0&lt;/Star&gt;&lt;Tag&gt;0&lt;/Tag&gt;&lt;Author&gt;袁阳; 卫志农; 王华伟; 雷霄; 孙国强&lt;/Author&gt;&lt;Year&gt;2014&lt;/Year&gt;&lt;Details&gt;&lt;_accessed&gt;63459151&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电网技术&lt;/_journal&gt;&lt;_modified&gt;63459150&lt;/_modified&gt;&lt;_pages&gt;565-570&lt;/_pages&gt;&lt;_tertiary_title&gt;Power System Technology&lt;/_tertiary_title&gt;&lt;_translated_author&gt;Yuan, Yang; Wei, Zhinong; Wang, Huawei; Lei, Xiao; Sun, Guoqiang&lt;/_translated_author&gt;&lt;_translated_title&gt;A DC Current Predictive Control Based Method to Decrease Probability of Commutation Failure&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Citation&gt;_x000a_"/>
    <w:docVar w:name="NE.Ref{EEB9E6E7-F0FF-4ADE-B61D-87E078971FE6}" w:val=" ADDIN NE.Ref.{EEB9E6E7-F0FF-4ADE-B61D-87E078971FE6}&lt;Citation&gt;&lt;Group&gt;&lt;References&gt;&lt;Item&gt;&lt;ID&gt;111&lt;/ID&gt;&lt;UID&gt;{62DAE902-5A5E-403D-973D-61296B1FA61A}&lt;/UID&gt;&lt;Title&gt;考虑风电时空相关性的仿射可调鲁棒机组组合&lt;/Title&gt;&lt;Template&gt;Journal Article&lt;/Template&gt;&lt;Star&gt;0&lt;/Star&gt;&lt;Tag&gt;0&lt;/Tag&gt;&lt;Author&gt;吴巍; 汪可友; 李国杰&lt;/Author&gt;&lt;Year&gt;2017&lt;/Year&gt;&lt;Details&gt;&lt;_accessed&gt;64357575&lt;/_accessed&gt;&lt;_author_aff&gt;上海交通大学电气工程系;&lt;/_author_aff&gt;&lt;_cited_count&gt;32&lt;/_cited_count&gt;&lt;_collection_scope&gt;CSCD;PKU;EI&lt;/_collection_scope&gt;&lt;_created&gt;64357568&lt;/_created&gt;&lt;_date&gt;61603200&lt;/_date&gt;&lt;_db_updated&gt;CNKI - Reference&lt;/_db_updated&gt;&lt;_issue&gt;14&lt;/_issue&gt;&lt;_journal&gt;中国电机工程学报&lt;/_journal&gt;&lt;_keywords&gt;时空相关性;椭球不确定集合;仿射可调鲁棒优化;混合整数二阶锥规划;可行概率&lt;/_keywords&gt;&lt;_language&gt;Chinese&lt;/_language&gt;&lt;_modified&gt;64357575&lt;/_modified&gt;&lt;_pages&gt;4089-4097+4288&lt;/_pages&gt;&lt;_url&gt;https://kns.cnki.net/kcms/detail/detail.aspx?FileName=ZGDC201714017&amp;amp;DbName=CJFQ2017&lt;/_url&gt;&lt;_volume&gt;37&lt;/_volume&gt;&lt;_translated_author&gt;Wu, Wei;Wang, Keyou;Li, Guojie&lt;/_translated_author&gt;&lt;/Details&gt;&lt;Extra/&gt;&lt;/Item&gt;&lt;/References&gt;&lt;/Group&gt;&lt;/Citation&gt;_x000a_"/>
    <w:docVar w:name="NE.Ref{EF31467D-91EA-415C-9585-203BC450E547}" w:val=" ADDIN NE.Ref.{EF31467D-91EA-415C-9585-203BC450E547}&lt;Citation&gt;&lt;Group&gt;&lt;References&gt;&lt;Item&gt;&lt;ID&gt;399&lt;/ID&gt;&lt;UID&gt;{63D9549E-B444-42A4-8893-FB1F65937592}&lt;/UID&gt;&lt;Title&gt;Dynamic environmental economic dispatch of hybrid renewable energy systems based on tradable green certificates&lt;/Title&gt;&lt;Template&gt;Journal Article&lt;/Template&gt;&lt;Star&gt;0&lt;/Star&gt;&lt;Tag&gt;0&lt;/Tag&gt;&lt;Author&gt;Li, Xiaozhu; Wang, Weiqing; Wang, Haiyun; Wu, Jiahui; Fan, Xiaochao; Xu, Qidan&lt;/Author&gt;&lt;Year&gt;2020&lt;/Year&gt;&lt;Details&gt;&lt;_accession_num&gt;WOS:000518699000062_x000d__x000a_ER&lt;/_accession_num&gt;&lt;_cited_count&gt;6&lt;/_cited_count&gt;&lt;_collection_scope&gt;SCI;SCIE;EI&lt;/_collection_scope&gt;&lt;_created&gt;63640451&lt;/_created&gt;&lt;_date_display&gt;2020, FEB 15 2020&lt;/_date_display&gt;&lt;_db_provider&gt;ISI&lt;/_db_provider&gt;&lt;_doi&gt;10.1016/j.energy.2019.116699&lt;/_doi&gt;&lt;_impact_factor&gt;   6.082&lt;/_impact_factor&gt;&lt;_isbn&gt;0360-5442&lt;/_isbn&gt;&lt;_issue&gt;116699&lt;/_issue&gt;&lt;_journal&gt;ENERGY&lt;/_journal&gt;&lt;_modified&gt;63640451&lt;/_modified&gt;&lt;_pages&gt;775-792&lt;/_pages&gt;&lt;_url&gt;http://gateway.isiknowledge.com/gateway/Gateway.cgi?GWVersion=2&amp;amp;SrcAuth=AegeanSoftware&amp;amp;SrcApp=NoteExpress&amp;amp;DestLinkType=FullRecord&amp;amp;DestApp=WOS&amp;amp;KeyUT=000518699000062&lt;/_url&gt;&lt;_volume&gt;193&lt;/_volume&gt;&lt;/Details&gt;&lt;Extra&gt;&lt;DBUID&gt;{F96A950B-833F-4880-A151-76DA2D6A2879}&lt;/DBUID&gt;&lt;/Extra&gt;&lt;/Item&gt;&lt;/References&gt;&lt;/Group&gt;&lt;/Citation&gt;_x000a_"/>
    <w:docVar w:name="NE.Ref{EF36D14E-0B0C-42D9-B0AB-7AD7D8D9FA86}" w:val=" ADDIN NE.Ref.{EF36D14E-0B0C-42D9-B0AB-7AD7D8D9FA86}&lt;Citation&gt;&lt;Group&gt;&lt;References&gt;&lt;Item&gt;&lt;ID&gt;535&lt;/ID&gt;&lt;UID&gt;{60859C49-E9F8-443F-ABFD-1987770AC875}&lt;/UID&gt;&lt;Title&gt;基于CCHP耦合的电力、天然气区域综合能源系统优化规划&lt;/Title&gt;&lt;Template&gt;Journal Article&lt;/Template&gt;&lt;Star&gt;0&lt;/Star&gt;&lt;Tag&gt;0&lt;/Tag&gt;&lt;Author&gt;权超; 董晓峰; 姜彤&lt;/Author&gt;&lt;Year&gt;2018&lt;/Year&gt;&lt;Details&gt;&lt;_author_adr&gt;新能源电力系统国家重点实验室(华北电力大学);国网江苏省电力有限公司苏州供电分公司;&lt;/_author_adr&gt;&lt;_collection_scope&gt;CSCD;PKU;EI&lt;/_collection_scope&gt;&lt;_created&gt;63660533&lt;/_created&gt;&lt;_db_provider&gt;CNKI&lt;/_db_provider&gt;&lt;_isbn&gt;1000-3673&lt;/_isbn&gt;&lt;_issue&gt;08&lt;/_issue&gt;&lt;_journal&gt;电网技术&lt;/_journal&gt;&lt;_keywords&gt;配电网;燃气管网;区域综合能源系统;优化;规划&lt;/_keywords&gt;&lt;_modified&gt;63660533&lt;/_modified&gt;&lt;_pages&gt;2456-2466&lt;/_pages&gt;&lt;_volume&gt;42&lt;/_volume&gt;&lt;_translated_author&gt;Quan, Chao;Dong, Xiaofeng;Jiang, Tong&lt;/_translated_author&gt;&lt;/Details&gt;&lt;Extra&gt;&lt;DBUID&gt;{F96A950B-833F-4880-A151-76DA2D6A2879}&lt;/DBUID&gt;&lt;/Extra&gt;&lt;/Item&gt;&lt;/References&gt;&lt;/Group&gt;&lt;/Citation&gt;_x000a_"/>
    <w:docVar w:name="NE.Ref{EF757B54-9E64-4D87-9C8D-4D3215A600CE}" w:val=" ADDIN NE.Ref.{EF757B54-9E64-4D87-9C8D-4D3215A600CE}&lt;Citation&gt;&lt;Group&gt;&lt;References&gt;&lt;Item&gt;&lt;ID&gt;606&lt;/ID&gt;&lt;UID&gt;{3B9D5E75-6913-4BB3-AC42-DE0C9FD4765B}&lt;/UID&gt;&lt;Title&gt;On finding multiple Pareto-optimal solutions using classical and evolutionary generating methods&lt;/Title&gt;&lt;Template&gt;Journal Article&lt;/Template&gt;&lt;Star&gt;0&lt;/Star&gt;&lt;Tag&gt;0&lt;/Tag&gt;&lt;Author&gt;Shukla, Pradyumn Kumar; Deb, Kalyanmoy&lt;/Author&gt;&lt;Year&gt;2007&lt;/Year&gt;&lt;Details&gt;&lt;_collection_scope&gt;SCIE;EI&lt;/_collection_scope&gt;&lt;_created&gt;63705195&lt;/_created&gt;&lt;_impact_factor&gt;   4.213&lt;/_impact_factor&gt;&lt;_issue&gt;3&lt;/_issue&gt;&lt;_journal&gt;European Journal of Operational Research&lt;/_journal&gt;&lt;_modified&gt;63705195&lt;/_modified&gt;&lt;_pages&gt;1630-1652&lt;/_pages&gt;&lt;_volume&gt;181&lt;/_volume&gt;&lt;/Details&gt;&lt;Extra&gt;&lt;DBUID&gt;{F96A950B-833F-4880-A151-76DA2D6A2879}&lt;/DBUID&gt;&lt;/Extra&gt;&lt;/Item&gt;&lt;/References&gt;&lt;/Group&gt;&lt;/Citation&gt;_x000a_"/>
    <w:docVar w:name="NE.Ref{EF82692A-198C-46C8-8A37-5DB392E9CEE8}" w:val=" ADDIN NE.Ref.{EF82692A-198C-46C8-8A37-5DB392E9CEE8}&lt;Citation&gt;&lt;Group&gt;&lt;References&gt;&lt;Item&gt;&lt;ID&gt;419&lt;/ID&gt;&lt;UID&gt;{8F9CEC57-5B6D-4EB2-95C5-B5A417547C0D}&lt;/UID&gt;&lt;Title&gt;An interactive fuzzy satisfying method based on evolutionary programming technique for multiobjective short-term hydrothermal scheduling&lt;/Title&gt;&lt;Template&gt;Journal Article&lt;/Template&gt;&lt;Star&gt;0&lt;/Star&gt;&lt;Tag&gt;0&lt;/Tag&gt;&lt;Author&gt;Basu, M&lt;/Author&gt;&lt;Year&gt;2004&lt;/Year&gt;&lt;Details&gt;&lt;_collection_scope&gt;SCIE;EI&lt;/_collection_scope&gt;&lt;_created&gt;63642803&lt;/_created&gt;&lt;_impact_factor&gt;   3.211&lt;/_impact_factor&gt;&lt;_issue&gt;2/3&lt;/_issue&gt;&lt;_journal&gt;Electric Power Systems Research&lt;/_journal&gt;&lt;_modified&gt;63642803&lt;/_modified&gt;&lt;_pages&gt;277-285&lt;/_pages&gt;&lt;_volume&gt;69&lt;/_volume&gt;&lt;/Details&gt;&lt;Extra&gt;&lt;DBUID&gt;{F96A950B-833F-4880-A151-76DA2D6A2879}&lt;/DBUID&gt;&lt;/Extra&gt;&lt;/Item&gt;&lt;/References&gt;&lt;/Group&gt;&lt;/Citation&gt;_x000a_"/>
    <w:docVar w:name="NE.Ref{F01813B8-EC42-4E7A-AB4A-D4552948C4DF}" w:val=" ADDIN NE.Ref.{F01813B8-EC42-4E7A-AB4A-D4552948C4DF}&lt;Citation&gt;&lt;Group&gt;&lt;References&gt;&lt;Item&gt;&lt;ID&gt;653&lt;/ID&gt;&lt;UID&gt;{33B80E93-F120-45C3-BE3F-59E876EAF7A2}&lt;/UID&gt;&lt;Title&gt;Current order-based emergency control strategy for subsequent commutation failure elimination in HVDC&lt;/Title&gt;&lt;Template&gt;Journal Article&lt;/Template&gt;&lt;Star&gt;0&lt;/Star&gt;&lt;Tag&gt;0&lt;/Tag&gt;&lt;Author&gt;Zheng, C Y; Tang, Y; Zhang, W J; Huang, C C; Qi, W C&lt;/Author&gt;&lt;Year&gt;2021&lt;/Year&gt;&lt;Details&gt;&lt;_alternate_title&gt;INTERNATIONAL TRANSACTIONS ON ELECTRICAL ENERGY SYSTEMS&lt;/_alternate_title&gt;&lt;_author_adr&gt;Southeast Univ, Sch Elect Engn, Nanjing 210096, Peoples R China; Jiangsu Elect Power Co Ltd, Jiangsu Econ Res Inst, Nanjing, Peoples R China&lt;/_author_adr&gt;&lt;_cited_count&gt;1&lt;/_cited_count&gt;&lt;_collection_scope&gt;SCIE;EI&lt;/_collection_scope&gt;&lt;_created&gt;64493973&lt;/_created&gt;&lt;_date&gt;2021-01-01&lt;/_date&gt;&lt;_date_display&gt;2021&lt;/_date_display&gt;&lt;_db_updated&gt;Web of Science-Core&lt;/_db_updated&gt;&lt;_doi&gt;10.1002/2050-7038.13026&lt;/_doi&gt;&lt;_impact_factor&gt;   2.639&lt;/_impact_factor&gt;&lt;_issue&gt;9&lt;/_issue&gt;&lt;_journal&gt;INTERNATIONAL TRANSACTIONS ON ELECTRICAL ENERGY SYSTEMS&lt;/_journal&gt;&lt;_keywords&gt;commutation failure; control strategy; high-voltage direct current; voltage index&lt;/_keywords&gt;&lt;_modified&gt;64494001&lt;/_modified&gt;&lt;_volume&gt;31&lt;/_volume&gt;&lt;/Details&gt;&lt;Extra&gt;&lt;DBUID&gt;{F96A950B-833F-4880-A151-76DA2D6A2879}&lt;/DBUID&gt;&lt;/Extra&gt;&lt;/Item&gt;&lt;/References&gt;&lt;/Group&gt;&lt;/Citation&gt;_x000a_"/>
    <w:docVar w:name="NE.Ref{F06BE676-408A-4EE7-98BE-8F7C2A6CE224}" w:val=" ADDIN NE.Ref.{F06BE676-408A-4EE7-98BE-8F7C2A6CE224}&lt;Citation&gt;&lt;Group&gt;&lt;References&gt;&lt;Item&gt;&lt;ID&gt;520&lt;/ID&gt;&lt;UID&gt;{DC67DA3C-DECD-400E-B6DB-7F0B32516434}&lt;/UID&gt;&lt;Title&gt;考虑风电不确定性的混合储能容量优化配置及运行策略研究&lt;/Title&gt;&lt;Template&gt;Journal Article&lt;/Template&gt;&lt;Star&gt;0&lt;/Star&gt;&lt;Tag&gt;0&lt;/Tag&gt;&lt;Author&gt;陈厚合; 杜欢欢; 张儒峰; 姜涛; 李雪&lt;/Author&gt;&lt;Year&gt;2018&lt;/Year&gt;&lt;Details&gt;&lt;_author_adr&gt;东北电力大学电气工程学院;&lt;/_author_adr&gt;&lt;_collection_scope&gt;CSCD;PKU;EI&lt;/_collection_scope&gt;&lt;_created&gt;63657440&lt;/_created&gt;&lt;_db_provider&gt;CNKI&lt;/_db_provider&gt;&lt;_isbn&gt;1006-6047&lt;/_isbn&gt;&lt;_issue&gt;08&lt;/_issue&gt;&lt;_journal&gt;电力自动化设备&lt;/_journal&gt;&lt;_keywords&gt;频谱分析;混合储能系统;机会约束规划;储能运行策略;优化配置&lt;/_keywords&gt;&lt;_modified&gt;63657440&lt;/_modified&gt;&lt;_pages&gt;174-182+188&lt;/_pages&gt;&lt;_volume&gt;38&lt;/_volume&gt;&lt;_translated_author&gt;Chen, Houhe;Du, Huanhuan;Zhang, Rufeng;Jiang, Tao;Li, Xue&lt;/_translated_author&gt;&lt;/Details&gt;&lt;Extra&gt;&lt;DBUID&gt;{F96A950B-833F-4880-A151-76DA2D6A2879}&lt;/DBUID&gt;&lt;/Extra&gt;&lt;/Item&gt;&lt;/References&gt;&lt;/Group&gt;&lt;/Citation&gt;_x000a_"/>
    <w:docVar w:name="NE.Ref{F0C2F2A9-0CB7-46FE-9D4A-6353597889D4}" w:val=" ADDIN NE.Ref.{F0C2F2A9-0CB7-46FE-9D4A-6353597889D4}&lt;Citation&gt;&lt;Group&gt;&lt;References&gt;&lt;Item&gt;&lt;ID&gt;482&lt;/ID&gt;&lt;UID&gt;{ED05E054-5BFF-4C83-9933-59438D177267}&lt;/UID&gt;&lt;Title&gt;基于WCVaR模型的分布式发电系统供需互动能量管理研究&lt;/Title&gt;&lt;Template&gt;Journal Article&lt;/Template&gt;&lt;Star&gt;0&lt;/Star&gt;&lt;Tag&gt;0&lt;/Tag&gt;&lt;Author&gt;张虹; 葛得初; 侯宁; 张思雨; 于东民; 王鹤&lt;/Author&gt;&lt;Year&gt;2019&lt;/Year&gt;&lt;Details&gt;&lt;_author_adr&gt;东北电力大学电气工程学院;国网吉林省电力有限公司长春供电公司;瑞典皇家理工学院电气工程与计算机科学学院;&lt;/_author_adr&gt;&lt;_collection_scope&gt;CSCD;PKU;EI&lt;/_collection_scope&gt;&lt;_created&gt;63650256&lt;/_created&gt;&lt;_db_provider&gt;CNKI&lt;/_db_provider&gt;&lt;_isbn&gt;0258-8013&lt;/_isbn&gt;&lt;_issue&gt;15&lt;/_issue&gt;&lt;_journal&gt;中国电机工程学报&lt;/_journal&gt;&lt;_keywords&gt;分布式发电系统;供需互动;不确定性;WCVaR;能量管理;风险管理&lt;/_keywords&gt;&lt;_modified&gt;63650256&lt;/_modified&gt;&lt;_pages&gt;4468-4478&lt;/_pages&gt;&lt;_volume&gt;39&lt;/_volume&gt;&lt;_translated_author&gt;Zhang, Hong;Ge, Dechu;Hou, Ning;Zhang, Siyu;Yu, Dongmin;Wang, He&lt;/_translated_author&gt;&lt;/Details&gt;&lt;Extra&gt;&lt;DBUID&gt;{F96A950B-833F-4880-A151-76DA2D6A2879}&lt;/DBUID&gt;&lt;/Extra&gt;&lt;/Item&gt;&lt;/References&gt;&lt;/Group&gt;&lt;/Citation&gt;_x000a_"/>
    <w:docVar w:name="NE.Ref{F1025908-C8F5-4A15-A2BD-11F39EC10F8C}" w:val=" ADDIN NE.Ref.{F1025908-C8F5-4A15-A2BD-11F39EC10F8C}&lt;Citation&gt;&lt;Group&gt;&lt;References&gt;&lt;Item&gt;&lt;ID&gt;575&lt;/ID&gt;&lt;UID&gt;{CD9AD7E9-0B57-46F0-BA58-F476D192894F}&lt;/UID&gt;&lt;Title&gt;Direct-Current Predictive Control Strategy for Inhibiting Commutation Failure in HVDC Converter&lt;/Title&gt;&lt;Template&gt;Journal Article&lt;/Template&gt;&lt;Star&gt;0&lt;/Star&gt;&lt;Tag&gt;5&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6.074&lt;/_impact_factor&gt;&lt;_isbn&gt;0885-8950&lt;/_isbn&gt;&lt;_issue&gt;5&lt;/_issue&gt;&lt;_journal&gt;IEEE TRANSACTIONS ON POWER SYSTEMS&lt;/_journal&gt;&lt;_modified&gt;63502062&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Group&gt;&lt;References&gt;&lt;Item&gt;&lt;ID&gt;588&lt;/ID&gt;&lt;UID&gt;{518E78E1-6B30-4DCB-8DDE-D341CF7F52EC}&lt;/UID&gt;&lt;Title&gt;基于直流电流预测控制的换相失败预防方法&lt;/Title&gt;&lt;Template&gt;Journal Article&lt;/Template&gt;&lt;Star&gt;0&lt;/Star&gt;&lt;Tag&gt;0&lt;/Tag&gt;&lt;Author&gt;袁阳; 卫志农; 王华伟; 雷霄; 孙国强&lt;/Author&gt;&lt;Year&gt;2014&lt;/Year&gt;&lt;Details&gt;&lt;_accessed&gt;63727242&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电网技术&lt;/_journal&gt;&lt;_modified&gt;63727243&lt;/_modified&gt;&lt;_pages&gt;565-570&lt;/_pages&gt;&lt;_tertiary_title&gt;Power System Technology&lt;/_tertiary_title&gt;&lt;_translated_author&gt;Yuan, Yang; Wei, Zhinong; Wang, Huawei; Lei, Xiao; Sun, Guoqiang&lt;/_translated_author&gt;&lt;_translated_title&gt;A DC Current Predictive Control Based Method to Decrease Probability of Commutation Failure&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Citation&gt;_x000a_"/>
    <w:docVar w:name="NE.Ref{F14EBC51-547A-4E46-B157-F34C4119DABA}" w:val=" ADDIN NE.Ref.{F14EBC51-547A-4E46-B157-F34C4119DABA}&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F1B593A9-2716-4943-A8A1-136018C44880}" w:val=" ADDIN NE.Ref.{F1B593A9-2716-4943-A8A1-136018C44880}&lt;Citation&gt;&lt;Group&gt;&lt;References&gt;&lt;Item&gt;&lt;ID&gt;60&lt;/ID&gt;&lt;UID&gt;{C6E9240B-9A2A-4689-B181-19E4FA59B3E8}&lt;/UID&gt;&lt;Title&gt;Modeling of CIGRE benchmark HVDC system using PSS/E compared with PSCAD&lt;/Title&gt;&lt;Template&gt;Conference Paper&lt;/Template&gt;&lt;Star&gt;0&lt;/Star&gt;&lt;Tag&gt;0&lt;/Tag&gt;&lt;Author&gt;D. Kwon; H. Moon; R. Kim; C. Kim; S. Moon&lt;/Author&gt;&lt;Year&gt;2015&lt;/Year&gt;&lt;Details&gt;&lt;_accessed&gt;63483426&lt;/_accessed&gt;&lt;_created&gt;62974709&lt;/_created&gt;&lt;_db_updated&gt;IEEE&lt;/_db_updated&gt;&lt;_doi&gt;10.1109/IYCE.2015.7180781&lt;/_doi&gt;&lt;_keywords&gt;differential equations; HVDC power convertors; HVDC power transmission; power conversion; power system control; power system simulation; CIGRE benchmark HVDC system modeling; PSS/E; PSCAD; DC line; control mode selection; equation conversion; different equations; DC voltage; DC power; DC transmission lines; ABB control; AREVA control; converter firing control; HVDC transmission; Mathematical model; Rectifiers; Voltage control; Inverters; PSCAD; Benchmark testing; HVDC transmission; CIGRE HVDC benchmark model; modeling; PSS/E&lt;/_keywords&gt;&lt;_modified&gt;63483426&lt;/_modified&gt;&lt;_pages&gt;1-8&lt;/_pages&gt;&lt;_secondary_title&gt;2015 5th International Youth Conference on Energy (IYCE)_x000d__x000a_2015 5th International Youth Conference on Energy (IYCE)&lt;/_secondary_title&gt;&lt;_url&gt;https://dx.doi.org/10.1109/IYCE.2015.7180781&lt;/_url&gt;&lt;/Details&gt;&lt;Extra&gt;&lt;DBUID&gt;{FF6D417D-54CD-4172-94D1-F718DDCF0579}&lt;/DBUID&gt;&lt;/Extra&gt;&lt;/Item&gt;&lt;/References&gt;&lt;/Group&gt;&lt;/Citation&gt;_x000a_"/>
    <w:docVar w:name="NE.Ref{F1ED94C4-EAA0-4067-A032-0D2569065609}" w:val=" ADDIN NE.Ref.{F1ED94C4-EAA0-4067-A032-0D2569065609}&lt;Citation&gt;&lt;Group&gt;&lt;References&gt;&lt;Item&gt;&lt;ID&gt;576&lt;/ID&gt;&lt;UID&gt;{7FFB164E-959D-4FB9-B77E-50BD312CD4B3}&lt;/UID&gt;&lt;Title&gt;计及储能寿命与调频性能的风储联合投标模型及算法&lt;/Title&gt;&lt;Template&gt;Journal Article&lt;/Template&gt;&lt;Star&gt;0&lt;/Star&gt;&lt;Tag&gt;0&lt;/Tag&gt;&lt;Author&gt;王浩浩; 陈嘉俊; 朱涛; 吴明兴; 陈青; 朱建全; 刘明波&lt;/Author&gt;&lt;Year&gt;2021&lt;/Year&gt;&lt;Details&gt;&lt;_author_adr&gt;广东电力交易中心有限责任公司;华南理工大学电力学院;&lt;/_author_adr&gt;&lt;_collection_scope&gt;CSCD;PKU;EI&lt;/_collection_scope&gt;&lt;_created&gt;63685285&lt;/_created&gt;&lt;_db_provider&gt;CNKI&lt;/_db_provider&gt;&lt;_isbn&gt;1000-3673&lt;/_isbn&gt;&lt;_issue&gt;01&lt;/_issue&gt;&lt;_journal&gt;电网技术&lt;/_journal&gt;&lt;_keywords&gt;风储系统;投标策略;储能寿命;调频;改进动态规划&lt;/_keywords&gt;&lt;_modified&gt;63685285&lt;/_modified&gt;&lt;_pages&gt;208-217&lt;/_pages&gt;&lt;_volume&gt;45&lt;/_volume&gt;&lt;_translated_author&gt;Wang, Haohao;Chen, Jiajun;Zhu, Tao;Wu, Mingxing;Chen, Qing;Zhu, Jianquan;Liu, Mingbo&lt;/_translated_author&gt;&lt;/Details&gt;&lt;Extra&gt;&lt;DBUID&gt;{F96A950B-833F-4880-A151-76DA2D6A2879}&lt;/DBUID&gt;&lt;/Extra&gt;&lt;/Item&gt;&lt;/References&gt;&lt;/Group&gt;&lt;/Citation&gt;_x000a_"/>
    <w:docVar w:name="NE.Ref{F1F6D85A-CDA1-45E2-8D6A-878D6842A081}" w:val=" ADDIN NE.Ref.{F1F6D85A-CDA1-45E2-8D6A-878D6842A081}&lt;Citation&gt;&lt;Group&gt;&lt;References&gt;&lt;Item&gt;&lt;ID&gt;358&lt;/ID&gt;&lt;UID&gt;{2DC83499-E230-4819-AAC3-5B29EFD8B4BB}&lt;/UID&gt;&lt;Title&gt;An Enhanced Strategy to Inhibit Commutation Failure in Line-Commutated Converters&lt;/Title&gt;&lt;Template&gt;Journal Article&lt;/Template&gt;&lt;Star&gt;0&lt;/Star&gt;&lt;Tag&gt;0&lt;/Tag&gt;&lt;Author&gt;Mirsaeidi, Sohrab; Dong, Xinzhou&lt;/Author&gt;&lt;Year&gt;2020&lt;/Year&gt;&lt;Details&gt;&lt;_accessed&gt;63453156&lt;/_accessed&gt;&lt;_accession_num&gt;WOS:000490858500029_x000d__x000a_ER&lt;/_accession_num&gt;&lt;_cited_count&gt;2&lt;/_cited_count&gt;&lt;_collection_scope&gt;SCI;SCIE;EI&lt;/_collection_scope&gt;&lt;_created&gt;63444588&lt;/_created&gt;&lt;_date_display&gt;2020, JAN 2020&lt;/_date_display&gt;&lt;_db_provider&gt;ISI&lt;/_db_provider&gt;&lt;_doi&gt;10.1109/TIE.2019.2896328&lt;/_doi&gt;&lt;_impact_factor&gt;   7.515&lt;/_impact_factor&gt;&lt;_isbn&gt;0278-0046&lt;/_isbn&gt;&lt;_issue&gt;1&lt;/_issue&gt;&lt;_journal&gt;IEEE TRANSACTIONS ON INDUSTRIAL ELECTRONICS&lt;/_journal&gt;&lt;_modified&gt;63446016&lt;/_modified&gt;&lt;_pages&gt;340-349&lt;/_pages&gt;&lt;_url&gt;http://gateway.isiknowledge.com/gateway/Gateway.cgi?GWVersion=2&amp;amp;SrcAuth=AegeanSoftware&amp;amp;SrcApp=NoteExpress&amp;amp;DestLinkType=FullRecord&amp;amp;DestApp=WOS&amp;amp;KeyUT=000490858500029 _x000d__x000a_https://ieeexplore.ieee.org/stampPDF/getPDF.jsp?tp=&amp;amp;arnumber=8637160&amp;amp;ref=aHR0cHM6Ly9pZWVleHBsb3JlLmllZWUub3JnL3Jlc3Qvc2VhcmNo _x000d__x000a_&lt;/_url&gt;&lt;_volume&gt;67&lt;/_volume&gt;&lt;/Details&gt;&lt;Extra&gt;&lt;DBUID&gt;{6891F4B0-DCBA-459A-9A22-3059983243D4}&lt;/DBUID&gt;&lt;/Extra&gt;&lt;/Item&gt;&lt;/References&gt;&lt;/Group&gt;&lt;/Citation&gt;_x000a_"/>
    <w:docVar w:name="NE.Ref{F267A238-34D6-42CD-A7C7-177997F282F6}" w:val=" ADDIN NE.Ref.{F267A238-34D6-42CD-A7C7-177997F282F6}&lt;Citation&gt;&lt;Group&gt;&lt;References&gt;&lt;Item&gt;&lt;ID&gt;489&lt;/ID&gt;&lt;UID&gt;{92088C39-9CBD-4EC5-9DA9-361399D5EB38}&lt;/UID&gt;&lt;Title&gt;MOEA/D: A Multiobjective Evolutionary Algorithm Based on Decomposition&lt;/Title&gt;&lt;Template&gt;Journal Article&lt;/Template&gt;&lt;Star&gt;0&lt;/Star&gt;&lt;Tag&gt;0&lt;/Tag&gt;&lt;Author&gt;Zhang, Qingfu; Li, Hui&lt;/Author&gt;&lt;Year&gt;2008&lt;/Year&gt;&lt;Details&gt;&lt;_collection_scope&gt;SCI;SCIE;EI&lt;/_collection_scope&gt;&lt;_created&gt;63651733&lt;/_created&gt;&lt;_impact_factor&gt;  11.169&lt;/_impact_factor&gt;&lt;_issue&gt;6&lt;/_issue&gt;&lt;_journal&gt;IEEE Transactions on Evolutionary Computation&lt;/_journal&gt;&lt;_modified&gt;63651733&lt;/_modified&gt;&lt;_pages&gt;712-731&lt;/_pages&gt;&lt;_volume&gt;11&lt;/_volume&gt;&lt;/Details&gt;&lt;Extra&gt;&lt;DBUID&gt;{F96A950B-833F-4880-A151-76DA2D6A2879}&lt;/DBUID&gt;&lt;/Extra&gt;&lt;/Item&gt;&lt;/References&gt;&lt;/Group&gt;&lt;/Citation&gt;_x000a_"/>
    <w:docVar w:name="NE.Ref{F2CA4992-A128-4CF7-8986-C07A20F67832}" w:val=" ADDIN NE.Ref.{F2CA4992-A128-4CF7-8986-C07A20F67832}&lt;Citation&gt;&lt;Group&gt;&lt;References&gt;&lt;Item&gt;&lt;ID&gt;546&lt;/ID&gt;&lt;UID&gt;{3BEF4E8B-3154-4436-8751-6FFA1952A40B}&lt;/UID&gt;&lt;Title&gt;考虑动态频率约束的含高渗透率光伏电源的孤立电网机组组合&lt;/Title&gt;&lt;Template&gt;Journal Article&lt;/Template&gt;&lt;Star&gt;0&lt;/Star&gt;&lt;Tag&gt;0&lt;/Tag&gt;&lt;Author&gt;叶婧; 林涛; 张磊; 毕如玉; 徐遐龄&lt;/Author&gt;&lt;Year&gt;2017&lt;/Year&gt;&lt;Details&gt;&lt;_author_adr&gt;武汉大学电气工程学院;太阳能高效利用湖北省协同创新中心;华中科技大学电气与电子工程学院;华中电力调控分中心;&lt;/_author_adr&gt;&lt;_collection_scope&gt;CSCD;PKU;EI&lt;/_collection_scope&gt;&lt;_created&gt;63666096&lt;/_created&gt;&lt;_db_provider&gt;CNKI&lt;/_db_provider&gt;&lt;_isbn&gt;1000-6753&lt;/_isbn&gt;&lt;_issue&gt;13&lt;/_issue&gt;&lt;_journal&gt;电工技术学报&lt;/_journal&gt;&lt;_keywords&gt;孤立电网;机组组合;动态频率;光伏发电;Benders分解&lt;/_keywords&gt;&lt;_modified&gt;63666096&lt;/_modified&gt;&lt;_pages&gt;194-202&lt;/_pages&gt;&lt;_volume&gt;32&lt;/_volume&gt;&lt;_translated_author&gt;Ye, Jing;Lin, Tao;Zhang, Lei;Bi, Ruyu;Xu, Xialing&lt;/_translated_author&gt;&lt;/Details&gt;&lt;Extra&gt;&lt;DBUID&gt;{F96A950B-833F-4880-A151-76DA2D6A2879}&lt;/DBUID&gt;&lt;/Extra&gt;&lt;/Item&gt;&lt;/References&gt;&lt;/Group&gt;&lt;/Citation&gt;_x000a_"/>
    <w:docVar w:name="NE.Ref{F396A581-39F2-40B6-B2A4-BEAB5D011B5C}" w:val=" ADDIN NE.Ref.{F396A581-39F2-40B6-B2A4-BEAB5D011B5C}&lt;Citation&gt;&lt;Group&gt;&lt;References&gt;&lt;Item&gt;&lt;ID&gt;96&lt;/ID&gt;&lt;UID&gt;{8FD5CAD2-E0E6-45DB-826B-4BF9D081536C}&lt;/UID&gt;&lt;Title&gt;高压直流定无功功率交流故障恢复方法&lt;/Title&gt;&lt;Template&gt;Journal Article&lt;/Template&gt;&lt;Star&gt;0&lt;/Star&gt;&lt;Tag&gt;0&lt;/Tag&gt;&lt;Author&gt;黄梦华; 汪娟娟; 李瑶佳; 王子民; 李子林; 傅闯&lt;/Author&gt;&lt;Year&gt;2018&lt;/Year&gt;&lt;Details&gt;&lt;_accessed&gt;63882388&lt;/_accessed&gt;&lt;_author_adr&gt;华南理工大学电力学院;广州供电局有限公司;南方电网科学研究院有限责任公司;&lt;/_author_adr&gt;&lt;_collection_scope&gt;CSCD;PKU;EI&lt;/_collection_scope&gt;&lt;_created&gt;63731466&lt;/_created&gt;&lt;_db_provider&gt;CNKI&lt;/_db_provider&gt;&lt;_isbn&gt;1000-1026&lt;/_isbn&gt;&lt;_issue&gt;03&lt;/_issue&gt;&lt;_journal&gt;电力系统自动化&lt;/_journal&gt;&lt;_keywords&gt;高压直流;低压限流;三相故障;无功功率交换;故障恢复&lt;/_keywords&gt;&lt;_modified&gt;63758533&lt;/_modified&gt;&lt;_pages&gt;143-148&lt;/_pages&gt;&lt;_url&gt;https://kns.cnki.net/kcms/download.aspx?filename=Wp2MvIGMzFEU5kzQZR0QZhXR582N5NnRDRFe1NUULNWewNDZaBlVklld5IDVUxGOGxWN5lERwFXeL9keJZWckR0QLB1YIFGZLRGU2FWZmBFTkFUaXZkNPhkUMZGWWdlaI1kQyZDNzg3SGlFdRx2U5l3Lj9Gb010V&amp;amp;tablename=CJFDLAST2018&amp;amp;dflag=pdfdown _x000d__x000a_&lt;/_url&gt;&lt;_volume&gt;42&lt;/_volume&gt;&lt;_translated_author&gt;Huang, Menghua;Wang, Juanjuan;Li, Yaojia;Wang, Zimin;Li, Zilin;Fu, Chuang&lt;/_translated_author&gt;&lt;/Details&gt;&lt;Extra&gt;&lt;DBUID&gt;{4A382FE4-256C-492F-A2FE-C1F4C7059410}&lt;/DBUID&gt;&lt;/Extra&gt;&lt;/Item&gt;&lt;/References&gt;&lt;/Group&gt;&lt;/Citation&gt;_x000a_"/>
    <w:docVar w:name="NE.Ref{F3FD8428-0B06-4918-9C70-DF27706F1EB6}" w:val=" ADDIN NE.Ref.{F3FD8428-0B06-4918-9C70-DF27706F1EB6}&lt;Citation&gt;&lt;Group&gt;&lt;References&gt;&lt;Item&gt;&lt;ID&gt;349&lt;/ID&gt;&lt;UID&gt;{FE348816-0742-4A0C-8D78-74AD210B43AC}&lt;/UID&gt;&lt;Title&gt;基于电压波形拟合的换相失败快速预测与抑制措施&lt;/Title&gt;&lt;Template&gt;Journal Article&lt;/Template&gt;&lt;Star&gt;0&lt;/Star&gt;&lt;Tag&gt;0&lt;/Tag&gt;&lt;Author&gt;王增平; 刘席洋; 郑博文; 李永光&lt;/Author&gt;&lt;Year&gt;2020&lt;/Year&gt;&lt;Details&gt;&lt;_accessed&gt;63446010&lt;/_accessed&gt;&lt;_accession_num&gt;CSCD:6706291_x000d__x000a_ER&lt;/_accession_num&gt;&lt;_cited_count&gt;0&lt;/_cited_count&gt;&lt;_collection_scope&gt;CSCD;PKU;EI&lt;/_collection_scope&gt;&lt;_created&gt;63444588&lt;/_created&gt;&lt;_date_display&gt;2020, 2020&lt;/_date_display&gt;&lt;_db_provider&gt;ISI&lt;/_db_provider&gt;&lt;_isbn&gt;1000-6753&lt;/_isbn&gt;&lt;_issue&gt;1000-6753(2020)35:7&amp;lt;1454:JYDYBX&amp;gt;2.0.TX;2-I7&lt;/_issue&gt;&lt;_journal&gt;电工技术学报&lt;/_journal&gt;&lt;_modified&gt;63446024&lt;/_modified&gt;&lt;_pages&gt;1454-1463&lt;/_pages&gt;&lt;_tertiary_title&gt;Transactions of China Electrotechnical Society&lt;/_tertiary_title&gt;&lt;_translated_author&gt;Wang, Zengping; Liu, Xiyang; Zheng, Bowen; Li, Yongguang&lt;/_translated_author&gt;&lt;_translated_title&gt;The Research on Fast Prediction and Suppression Measures of Commutation Failure Based on Voltage Waveform Fitting&lt;/_translated_title&gt;&lt;_url&gt;CSCD:6706291 _x000d__x000a_https://kns.cnki.net _x000d__x000a_&lt;/_url&gt;&lt;_volume&gt;35&lt;/_volume&gt;&lt;/Details&gt;&lt;Extra&gt;&lt;DBUID&gt;{6891F4B0-DCBA-459A-9A22-3059983243D4}&lt;/DBUID&gt;&lt;/Extra&gt;&lt;/Item&gt;&lt;/References&gt;&lt;/Group&gt;&lt;/Citation&gt;_x000a_"/>
    <w:docVar w:name="NE.Ref{F42AB4BF-A2DE-4CF0-A7FB-BA9F1A97698B}" w:val=" ADDIN NE.Ref.{F42AB4BF-A2DE-4CF0-A7FB-BA9F1A97698B}&lt;Citation&gt;&lt;Group&gt;&lt;References&gt;&lt;Item&gt;&lt;ID&gt;517&lt;/ID&gt;&lt;UID&gt;{3FE95E6B-96CE-4F76-8A92-CAC6241F04F2}&lt;/UID&gt;&lt;Title&gt;Enhanced line commutated converter with embedded fully controlled sub-modules to mitigate commutation failures in high voltage direct current systems&lt;/Title&gt;&lt;Template&gt;Journal Article&lt;/Template&gt;&lt;Star&gt;0&lt;/Star&gt;&lt;Tag&gt;0&lt;/Tag&gt;&lt;Author&gt;Ni, Xiaojun; Zhao, Chengyong; Guo, Chunyi; Liu, Hang; Liu, Yuchao&lt;/Author&gt;&lt;Year&gt;2016&lt;/Year&gt;&lt;Details&gt;&lt;_accessed&gt;63445919&lt;/_accessed&gt;&lt;_accession_num&gt;WOS:000371334200007_x000d__x000a_ER&lt;/_accession_num&gt;&lt;_cited_count&gt;8&lt;/_cited_count&gt;&lt;_collection_scope&gt;SCIE;EI&lt;/_collection_scope&gt;&lt;_created&gt;63444588&lt;/_created&gt;&lt;_date_display&gt;2016, FEB 10 2016&lt;/_date_display&gt;&lt;_db_provider&gt;ISI&lt;/_db_provider&gt;&lt;_doi&gt;10.1049/iet-pel.2015.0421&lt;/_doi&gt;&lt;_impact_factor&gt;   2.112&lt;/_impact_factor&gt;&lt;_isbn&gt;1755-4535&lt;/_isbn&gt;&lt;_issue&gt;2SI&lt;/_issue&gt;&lt;_journal&gt;IET POWER ELECTRONICS&lt;/_journal&gt;&lt;_modified&gt;64498627&lt;/_modified&gt;&lt;_pages&gt;198-206&lt;/_pages&gt;&lt;_url&gt;http://gateway.isiknowledge.com/gateway/Gateway.cgi?GWVersion=2&amp;amp;SrcAuth=AegeanSoftware&amp;amp;SrcApp=NoteExpress&amp;amp;DestLinkType=FullRecord&amp;amp;DestApp=WOS&amp;amp;KeyUT=000371334200007 _x000d__x000a_https://ieeexplore.ieee.org/stampPDF/getPDF.jsp?tp=&amp;amp;arnumber=7413273&amp;amp;ref=aHR0cHM6Ly9pZWVleHBsb3JlLmllZWUub3JnL3Jlc3Qvc2VhcmNo _x000d__x000a_&lt;/_url&gt;&lt;_volume&gt;9&lt;/_volume&gt;&lt;/Details&gt;&lt;Extra&gt;&lt;DBUID&gt;{6891F4B0-DCBA-459A-9A22-3059983243D4}&lt;/DBUID&gt;&lt;/Extra&gt;&lt;/Item&gt;&lt;/References&gt;&lt;/Group&gt;&lt;Group&gt;&lt;References&gt;&lt;Item&gt;&lt;ID&gt;478&lt;/ID&gt;&lt;UID&gt;{B6EFA1FF-23CF-4182-9F90-568E5530C068}&lt;/UID&gt;&lt;Title&gt;An Evolutional Line-Commutated Converter Integrated With Thyristor-Based Full-Bridge Module to Mitigate the Commutation Failure&lt;/Title&gt;&lt;Template&gt;Journal Article&lt;/Template&gt;&lt;Star&gt;0&lt;/Star&gt;&lt;Tag&gt;0&lt;/Tag&gt;&lt;Author&gt;Guo, Chunyi; Li, Chunhua; Zhao, Chengyong; Ni, Xiaojun; Zha, Kunpeng; Xu, Weihua&lt;/Author&gt;&lt;Year&gt;2017&lt;/Year&gt;&lt;Details&gt;&lt;_accessed&gt;63445929&lt;/_accessed&gt;&lt;_accession_num&gt;WOS:000388867300012_x000d__x000a_ER&lt;/_accession_num&gt;&lt;_cited_count&gt;16&lt;/_cited_count&gt;&lt;_collection_scope&gt;SCI;SCIE;EI&lt;/_collection_scope&gt;&lt;_created&gt;63444588&lt;/_created&gt;&lt;_date_display&gt;2017, FEB 2017&lt;/_date_display&gt;&lt;_db_provider&gt;ISI&lt;/_db_provider&gt;&lt;_doi&gt;10.1109/TPEL.2016.2544107&lt;/_doi&gt;&lt;_impact_factor&gt;   5.967&lt;/_impact_factor&gt;&lt;_isbn&gt;0885-8993&lt;/_isbn&gt;&lt;_issue&gt;2&lt;/_issue&gt;&lt;_journal&gt;IEEE TRANSACTIONS ON POWER ELECTRONICS&lt;/_journal&gt;&lt;_modified&gt;64498635&lt;/_modified&gt;&lt;_pages&gt;967-976&lt;/_pages&gt;&lt;_url&gt;http://gateway.isiknowledge.com/gateway/Gateway.cgi?GWVersion=2&amp;amp;SrcAuth=AegeanSoftware&amp;amp;SrcApp=NoteExpress&amp;amp;DestLinkType=FullRecord&amp;amp;DestApp=WOS&amp;amp;KeyUT=000388867300012 _x000d__x000a_https://ieeexplore.ieee.org/stampPDF/getPDF.jsp?tp=&amp;amp;arnumber=7436805&amp;amp;ref=aHR0cHM6Ly9pZWVleHBsb3JlLmllZWUub3JnL3Jlc3Qvc2VhcmNo _x000d__x000a_&lt;/_url&gt;&lt;_volume&gt;32&lt;/_volume&gt;&lt;/Details&gt;&lt;Extra&gt;&lt;DBUID&gt;{6891F4B0-DCBA-459A-9A22-3059983243D4}&lt;/DBUID&gt;&lt;/Extra&gt;&lt;/Item&gt;&lt;/References&gt;&lt;/Group&gt;&lt;/Citation&gt;_x000a_"/>
    <w:docVar w:name="NE.Ref{F4331BCC-2527-4A26-A8D3-523B4A08E12C}" w:val=" ADDIN NE.Ref.{F4331BCC-2527-4A26-A8D3-523B4A08E12C}&lt;Citation&gt;&lt;Group&gt;&lt;References&gt;&lt;Item&gt;&lt;ID&gt;415&lt;/ID&gt;&lt;UID&gt;{6A97F34D-B920-4395-A5C9-30025DE9EC73}&lt;/UID&gt;&lt;Title&gt;电力系统动态环境经济调度建模与求解&lt;/Title&gt;&lt;Template&gt;Journal Article&lt;/Template&gt;&lt;Star&gt;0&lt;/Star&gt;&lt;Tag&gt;0&lt;/Tag&gt;&lt;Author&gt;江兴稳; 周建中; 王浩; 张勇传&lt;/Author&gt;&lt;Year&gt;2013&lt;/Year&gt;&lt;Details&gt;&lt;_author_adr&gt;华中科技大学水电与数字化工程学院;中国水利水电科学研究院;&lt;/_author_adr&gt;&lt;_collection_scope&gt;CSCD;PKU;EI&lt;/_collection_scope&gt;&lt;_created&gt;63642782&lt;/_created&gt;&lt;_db_provider&gt;CNKI&lt;/_db_provider&gt;&lt;_isbn&gt;1000-3673&lt;/_isbn&gt;&lt;_issue&gt;02&lt;/_issue&gt;&lt;_journal&gt;电网技术&lt;/_journal&gt;&lt;_keywords&gt;动态环境经济调度;动态经济调度;环境经济调度;多目标差分进化;动态约束处理&lt;/_keywords&gt;&lt;_modified&gt;63642782&lt;/_modified&gt;&lt;_pages&gt;385-391&lt;/_pages&gt;&lt;_volume&gt;37&lt;/_volume&gt;&lt;_translated_author&gt;Jiang, Xingwen;Zhou, Jianzhong;Wang, Hao;Zhang, Yongchuan&lt;/_translated_author&gt;&lt;/Details&gt;&lt;Extra&gt;&lt;DBUID&gt;{F96A950B-833F-4880-A151-76DA2D6A2879}&lt;/DBUID&gt;&lt;/Extra&gt;&lt;/Item&gt;&lt;/References&gt;&lt;/Group&gt;&lt;/Citation&gt;_x000a_"/>
    <w:docVar w:name="NE.Ref{F4A192B6-033F-4953-8E15-881D9854E6EC}" w:val=" ADDIN NE.Ref.{F4A192B6-033F-4953-8E15-881D9854E6EC}&lt;Citation&gt;&lt;Group&gt;&lt;References&gt;&lt;Item&gt;&lt;ID&gt;420&lt;/ID&gt;&lt;UID&gt;{0DFFF2BE-0969-4DD8-9FF6-FB7130A80F19}&lt;/UID&gt;&lt;Title&gt;Multiobjective economic-environmental power dispatch with stochastic wind-solar-small hydro power&lt;/Title&gt;&lt;Template&gt;Journal Article&lt;/Template&gt;&lt;Star&gt;0&lt;/Star&gt;&lt;Tag&gt;0&lt;/Tag&gt;&lt;Author&gt;Biswas, Partha P; Suganthan, P N; Qu, B Y; Amaratunga, Gehan A J&lt;/Author&gt;&lt;Year&gt;2018&lt;/Year&gt;&lt;Details&gt;&lt;_accession_num&gt;WOS:000431748400083_x000d__x000a_ER&lt;/_accession_num&gt;&lt;_cited_count&gt;42&lt;/_cited_count&gt;&lt;_collection_scope&gt;SCI;SCIE;EI&lt;/_collection_scope&gt;&lt;_created&gt;63643532&lt;/_created&gt;&lt;_date_display&gt;2018, MAY 1 2018&lt;/_date_display&gt;&lt;_db_provider&gt;ISI&lt;/_db_provider&gt;&lt;_doi&gt;10.1016/j.energy.2018.03.002&lt;/_doi&gt;&lt;_impact_factor&gt;   6.082&lt;/_impact_factor&gt;&lt;_isbn&gt;0360-5442&lt;/_isbn&gt;&lt;_journal&gt;ENERGY&lt;/_journal&gt;&lt;_modified&gt;63643532&lt;/_modified&gt;&lt;_pages&gt;1039-1057&lt;/_pages&gt;&lt;_url&gt;http://gateway.isiknowledge.com/gateway/Gateway.cgi?GWVersion=2&amp;amp;SrcAuth=AegeanSoftware&amp;amp;SrcApp=NoteExpress&amp;amp;DestLinkType=FullRecord&amp;amp;DestApp=WOS&amp;amp;KeyUT=000431748400083&lt;/_url&gt;&lt;_volume&gt;150&lt;/_volume&gt;&lt;/Details&gt;&lt;Extra&gt;&lt;DBUID&gt;{F96A950B-833F-4880-A151-76DA2D6A2879}&lt;/DBUID&gt;&lt;/Extra&gt;&lt;/Item&gt;&lt;/References&gt;&lt;/Group&gt;&lt;/Citation&gt;_x000a_"/>
    <w:docVar w:name="NE.Ref{F4D1A5F9-FB32-4002-9BBF-9FC5ED1D78C1}" w:val=" ADDIN NE.Ref.{F4D1A5F9-FB32-4002-9BBF-9FC5ED1D78C1}&lt;Citation&gt;&lt;Group&gt;&lt;References&gt;&lt;Item&gt;&lt;ID&gt;655&lt;/ID&gt;&lt;UID&gt;{7F5479D5-6F12-4C27-BAD0-20550CB4BB8C}&lt;/UID&gt;&lt;Title&gt;Worst-case conditional value-at-risk based bidding strategy for wind-hydro hybrid systems under probability distribution uncertainties&lt;/Title&gt;&lt;Template&gt;Journal Article&lt;/Template&gt;&lt;Star&gt;0&lt;/Star&gt;&lt;Tag&gt;0&lt;/Tag&gt;&lt;Author&gt;Liu, Yangyang; Shen, Zhongqi; Tang, Xiaowei; Lian, Hongbo; Li, Jiarui; Gong, Jinxia&lt;/Author&gt;&lt;Year&gt;2019&lt;/Year&gt;&lt;Details&gt;&lt;_author_adr&gt;Songjiang Municipal Power Supply Company, State Grid Shanghai Municipal Electric Power Company, Shanghai 201699, China;;College of Electrical Engineering, Shanghai University of Electric Power, Yangpu District, Shanghai 200082, China&lt;/_author_adr&gt;&lt;_db_provider&gt;CNKI&lt;/_db_provider&gt;&lt;_isbn&gt;0306-2619&lt;/_isbn&gt;&lt;_journal&gt;Applied Energy&lt;/_journal&gt;&lt;_keywords&gt;Bidding strategy;Distributionally robust optimization;Hybrid renewable energy system;Mixture distribution;Risk management;Worst-case conditional value-at-risk&lt;/_keywords&gt;&lt;_volume&gt;256&lt;/_volume&gt;&lt;_created&gt;63705638&lt;/_created&gt;&lt;_modified&gt;63705638&lt;/_modified&gt;&lt;_impact_factor&gt;   8.848&lt;/_impact_factor&gt;&lt;_collection_scope&gt;SCI;SCIE;EI&lt;/_collection_scope&gt;&lt;/Details&gt;&lt;Extra&gt;&lt;DBUID&gt;{F96A950B-833F-4880-A151-76DA2D6A2879}&lt;/DBUID&gt;&lt;/Extra&gt;&lt;/Item&gt;&lt;/References&gt;&lt;/Group&gt;&lt;/Citation&gt;_x000a_"/>
    <w:docVar w:name="NE.Ref{F507F008-3C94-447B-8DC6-72C0970467D8}" w:val=" ADDIN NE.Ref.{F507F008-3C94-447B-8DC6-72C0970467D8}&lt;Citation&gt;&lt;Group&gt;&lt;References&gt;&lt;Item&gt;&lt;ID&gt;407&lt;/ID&gt;&lt;UID&gt;{CA183532-7C2F-4DDA-A162-861DB837ED23}&lt;/UID&gt;&lt;Title&gt;动态差分进化算法及其应用&lt;/Title&gt;&lt;Template&gt;Book&lt;/Template&gt;&lt;Star&gt;0&lt;/Star&gt;&lt;Tag&gt;0&lt;/Tag&gt;&lt;Author&gt;吴亮红; 王耀南&lt;/Author&gt;&lt;Year&gt;2014&lt;/Year&gt;&lt;Details&gt;&lt;_created&gt;63641861&lt;/_created&gt;&lt;_modified&gt;63641861&lt;/_modified&gt;&lt;_publisher&gt;科学出版社&lt;/_publisher&gt;&lt;_translated_author&gt;Wu, Lianghong;Wang, Yaonan&lt;/_translated_author&gt;&lt;/Details&gt;&lt;Extra&gt;&lt;DBUID&gt;{F96A950B-833F-4880-A151-76DA2D6A2879}&lt;/DBUID&gt;&lt;/Extra&gt;&lt;/Item&gt;&lt;/References&gt;&lt;/Group&gt;&lt;/Citation&gt;_x000a_"/>
    <w:docVar w:name="NE.Ref{F50A4B0E-1F58-45CA-8ECE-0409D9B9CD76}" w:val=" ADDIN NE.Ref.{F50A4B0E-1F58-45CA-8ECE-0409D9B9CD76}&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F50BF083-DA25-45FE-A70D-5928E3B5E088}" w:val=" ADDIN NE.Ref.{F50BF083-DA25-45FE-A70D-5928E3B5E088}&lt;Citation&gt;&lt;Group&gt;&lt;References&gt;&lt;Item&gt;&lt;ID&gt;870&lt;/ID&gt;&lt;UID&gt;{98E3A16C-5A25-4317-88C3-6719068264C6}&lt;/UID&gt;&lt;Title&gt;风电高渗透率交直流外送系统直流闭锁稳控方案研究&lt;/Title&gt;&lt;Template&gt;Journal Article&lt;/Template&gt;&lt;Star&gt;0&lt;/Star&gt;&lt;Tag&gt;0&lt;/Tag&gt;&lt;Author&gt;尹纯亚; 李凤婷; 王丹东; 刘渊; 付林&lt;/Author&gt;&lt;Year&gt;2019&lt;/Year&gt;&lt;Details&gt;&lt;_accessed&gt;64647188&lt;/_accessed&gt;&lt;_author_aff&gt;新疆大学电气工程学院;国网运行分公司郑州管理处;国网新疆电力有限公司昌吉供电公司;国网新疆电力有限公司经济技术研究院;&lt;/_author_aff&gt;&lt;_cited_count&gt;29&lt;/_cited_count&gt;&lt;_collection_scope&gt;CSCD;PKU&lt;/_collection_scope&gt;&lt;_created&gt;64646738&lt;/_created&gt;&lt;_date&gt;2019-01-31&lt;/_date&gt;&lt;_db_updated&gt;CNKI - Reference&lt;/_db_updated&gt;&lt;_issue&gt;03&lt;/_issue&gt;&lt;_journal&gt;电力系统保护与控制&lt;/_journal&gt;&lt;_keywords&gt;特高压直流;直流闭锁;稳控方案;暂态过电压;交直流系统&lt;/_keywords&gt;&lt;_modified&gt;64647189&lt;/_modified&gt;&lt;_pages&gt;95-102&lt;/_pages&gt;&lt;_tertiary_title&gt;Power System Protection and Control&lt;/_tertiary_title&gt;&lt;_translated_author&gt;YIN, Chunya; LI, Fengting; WANG, Dandong; LIU, Yuan; FU, Lin&lt;/_translated_author&gt;&lt;_translated_title&gt;Research on stability control scheme for AC/DC hybrid transmission system with wind power high permeability under DC blocking&lt;/_translated_title&gt;&lt;_url&gt;https://kns.cnki.net/kcms/detail/detail.aspx?FileName=JDQW201903013&amp;amp;DbName=CJFQ2019 _x000d__x000a_https://bar.cnki.net/bar/download/order?id=jBGETXBNdPImvx70aLAuJPYxPoFw%2bp%2bi0fIiSrcN6lWKl0AbX9rl46KvJpm7TjbC%2bDdkDFepkUoGamH8rMrnz6ly%2bcoaUbxKfbohfVkk2oLl8E%2bCUVp5GtDTYhVF2dNUoJeGx62Ssygg68TNXJ%2b5JrigejDAar8Xqw%2f6WR22OFXUdUGh4At8VBYSvh%2fCUD5a2JU7Rhp8XbpMtZiDuuiKfSTbCaOdFuegotanDKeg8wf5LXYX1qwFXwOc1HUZT%2bTB _x000d__x000a_&lt;/_url&gt;&lt;_volume&gt;47&lt;/_volume&gt;&lt;/Details&gt;&lt;Extra&gt;&lt;DBUID&gt;{6891F4B0-DCBA-459A-9A22-3059983243D4}&lt;/DBUID&gt;&lt;/Extra&gt;&lt;/Item&gt;&lt;/References&gt;&lt;/Group&gt;&lt;/Citation&gt;_x000a_"/>
    <w:docVar w:name="NE.Ref{F5E326B1-6E0A-4719-8C17-6DF4831DF1AA}" w:val=" ADDIN NE.Ref.{F5E326B1-6E0A-4719-8C17-6DF4831DF1AA}&lt;Citation&gt;&lt;Group&gt;&lt;References&gt;&lt;Item&gt;&lt;ID&gt;402&lt;/ID&gt;&lt;UID&gt;{4F3F88E2-C2E7-40D6-90B1-307645B54429}&lt;/UID&gt;&lt;Title&gt;Moth-flame optimization algorithm: A novel nature-inspired heuristic paradigm&lt;/Title&gt;&lt;Template&gt;Journal Article&lt;/Template&gt;&lt;Star&gt;0&lt;/Star&gt;&lt;Tag&gt;0&lt;/Tag&gt;&lt;Author&gt;Mirjalili, Seyedali&lt;/Author&gt;&lt;Year&gt;2015&lt;/Year&gt;&lt;Details&gt;&lt;_accession_num&gt;WOS:000364249800017_x000d__x000a_ER&lt;/_accession_num&gt;&lt;_cited_count&gt;836&lt;/_cited_count&gt;&lt;_collection_scope&gt;SCI;SCIE;EI&lt;/_collection_scope&gt;&lt;_created&gt;63641535&lt;/_created&gt;&lt;_date_display&gt;2015, NOV 2015&lt;/_date_display&gt;&lt;_db_provider&gt;ISI&lt;/_db_provider&gt;&lt;_doi&gt;10.1016/j.knosys.2015.07.006&lt;/_doi&gt;&lt;_impact_factor&gt;   5.921&lt;/_impact_factor&gt;&lt;_isbn&gt;0950-7051&lt;/_isbn&gt;&lt;_journal&gt;KNOWLEDGE-BASED SYSTEMS&lt;/_journal&gt;&lt;_modified&gt;63641535&lt;/_modified&gt;&lt;_pages&gt;228-249&lt;/_pages&gt;&lt;_url&gt;http://gateway.isiknowledge.com/gateway/Gateway.cgi?GWVersion=2&amp;amp;SrcAuth=AegeanSoftware&amp;amp;SrcApp=NoteExpress&amp;amp;DestLinkType=FullRecord&amp;amp;DestApp=WOS&amp;amp;KeyUT=000364249800017&lt;/_url&gt;&lt;_volume&gt;89&lt;/_volume&gt;&lt;/Details&gt;&lt;Extra&gt;&lt;DBUID&gt;{F96A950B-833F-4880-A151-76DA2D6A2879}&lt;/DBUID&gt;&lt;/Extra&gt;&lt;/Item&gt;&lt;/References&gt;&lt;/Group&gt;&lt;/Citation&gt;_x000a_"/>
    <w:docVar w:name="NE.Ref{F706ECF8-B55A-4B8E-BA2D-73DF5B948E1B}" w:val=" ADDIN NE.Ref.{F706ECF8-B55A-4B8E-BA2D-73DF5B948E1B}&lt;Citation&gt;&lt;Group&gt;&lt;References&gt;&lt;Item&gt;&lt;ID&gt;403&lt;/ID&gt;&lt;UID&gt;{B50369AC-19F7-4071-9C8C-3B7831716590}&lt;/UID&gt;&lt;Title&gt;基于改进NSGA-Ⅱ的电力系统动态环境经济调度&lt;/Title&gt;&lt;Template&gt;Journal Article&lt;/Template&gt;&lt;Star&gt;0&lt;/Star&gt;&lt;Tag&gt;0&lt;/Tag&gt;&lt;Author&gt;朱志键; 王杰&lt;/Author&gt;&lt;Year&gt;2017&lt;/Year&gt;&lt;Details&gt;&lt;_author_adr&gt;上海交通大学电气工程系;&lt;/_author_adr&gt;&lt;_collection_scope&gt;CSCD;PKU;EI&lt;/_collection_scope&gt;&lt;_created&gt;63641644&lt;/_created&gt;&lt;_db_provider&gt;CNKI&lt;/_db_provider&gt;&lt;_isbn&gt;1006-6047&lt;/_isbn&gt;&lt;_issue&gt;02&lt;/_issue&gt;&lt;_journal&gt;电力自动化设备&lt;/_journal&gt;&lt;_keywords&gt;动态环境经济调度;阀点效应;改进NSGA-Ⅱ;可控精英主义;改进启发式操作;前向搜索操作&lt;/_keywords&gt;&lt;_modified&gt;63641644&lt;/_modified&gt;&lt;_pages&gt;176-183&lt;/_pages&gt;&lt;_volume&gt;37&lt;/_volume&gt;&lt;_translated_author&gt;Zhu, Zhijian;Wang, Jie&lt;/_translated_author&gt;&lt;/Details&gt;&lt;Extra&gt;&lt;DBUID&gt;{F96A950B-833F-4880-A151-76DA2D6A2879}&lt;/DBUID&gt;&lt;/Extra&gt;&lt;/Item&gt;&lt;/References&gt;&lt;/Group&gt;&lt;/Citation&gt;_x000a_"/>
    <w:docVar w:name="NE.Ref{F75E9E26-1933-46CA-A7DF-33972E53BAD1}" w:val=" ADDIN NE.Ref.{F75E9E26-1933-46CA-A7DF-33972E53BAD1}&lt;Citation&gt;&lt;Group&gt;&lt;References&gt;&lt;Item&gt;&lt;ID&gt;516&lt;/ID&gt;&lt;UID&gt;{B3566E12-5BB5-4673-9935-8E563B247BBB}&lt;/UID&gt;&lt;Title&gt;储能系统对含风电的机组组合问题影响分析&lt;/Title&gt;&lt;Template&gt;Journal Article&lt;/Template&gt;&lt;Star&gt;0&lt;/Star&gt;&lt;Tag&gt;0&lt;/Tag&gt;&lt;Author&gt;谢毓广; 江晓东&lt;/Author&gt;&lt;Year&gt;2011&lt;/Year&gt;&lt;Details&gt;&lt;_author_adr&gt;上海交通大学电子信息与电气工程学院;康奈尔大学;&lt;/_author_adr&gt;&lt;_collection_scope&gt;CSCD;PKU;EI&lt;/_collection_scope&gt;&lt;_created&gt;63657422&lt;/_created&gt;&lt;_db_provider&gt;CNKI&lt;/_db_provider&gt;&lt;_isbn&gt;1000-1026&lt;/_isbn&gt;&lt;_issue&gt;05&lt;/_issue&gt;&lt;_journal&gt;电力系统自动化&lt;/_journal&gt;&lt;_keywords&gt;储能系统;风力发电;机组组合;混合整数凸规划;内点法&lt;/_keywords&gt;&lt;_modified&gt;63657422&lt;/_modified&gt;&lt;_pages&gt;19-24&lt;/_pages&gt;&lt;_volume&gt;35&lt;/_volume&gt;&lt;_translated_author&gt;Xie, Yuguang;Jiang, Xiaodong&lt;/_translated_author&gt;&lt;/Details&gt;&lt;Extra&gt;&lt;DBUID&gt;{F96A950B-833F-4880-A151-76DA2D6A2879}&lt;/DBUID&gt;&lt;/Extra&gt;&lt;/Item&gt;&lt;/References&gt;&lt;/Group&gt;&lt;/Citation&gt;_x000a_"/>
    <w:docVar w:name="NE.Ref{F7BB4D0C-9961-4AA3-A5EA-95E1DDFD08C0}" w:val=" ADDIN NE.Ref.{F7BB4D0C-9961-4AA3-A5EA-95E1DDFD08C0}&lt;Citation&gt;&lt;Group&gt;&lt;References&gt;&lt;Item&gt;&lt;ID&gt;536&lt;/ID&gt;&lt;UID&gt;{4CC7AF0A-1202-481F-B3E5-223E3C1D6B55}&lt;/UID&gt;&lt;Title&gt;Characteristic Analysis and Operational Control of Large-Scale Hybrid UHV AC/DC Power Grids &lt;/Title&gt;&lt;Template&gt;Journal Article&lt;/Template&gt;&lt;Star&gt;0&lt;/Star&gt;&lt;Tag&gt;0&lt;/Tag&gt;&lt;Author&gt;Li, Mingjie&lt;/Author&gt;&lt;Year&gt;2016&lt;/Year&gt;&lt;Details&gt;&lt;_accessed&gt;63480656&lt;/_accessed&gt;&lt;_accession_num&gt;CSCD:5679313_x000d__x000a_ER&lt;/_accession_num&gt;&lt;_cited_count&gt;35&lt;/_cited_count&gt;&lt;_collection_scope&gt;CSCD;PKU;EI&lt;/_collection_scope&gt;&lt;_created&gt;63444588&lt;/_created&gt;&lt;_date_display&gt;2016, 2016&lt;/_date_display&gt;&lt;_db_provider&gt;ISI&lt;/_db_provider&gt;&lt;_isbn&gt;1000-3673&lt;/_isbn&gt;&lt;_issue&gt;4&lt;/_issue&gt;&lt;_journal&gt;Power System Technology&lt;/_journal&gt;&lt;_modified&gt;63480656&lt;/_modified&gt;&lt;_pages&gt;985-991&lt;/_pages&gt;&lt;_tertiary_title&gt;电网技术&lt;/_tertiary_title&gt;&lt;_translated_author&gt;李明节&lt;/_translated_author&gt;&lt;_translated_title&gt;大规模特高压交直流混联电网特性分析与运行控制&lt;/_translated_title&gt;&lt;_url&gt;CSCD:5679313&lt;/_url&gt;&lt;_volume&gt;40&lt;/_volume&gt;&lt;/Details&gt;&lt;Extra&gt;&lt;DBUID&gt;{6891F4B0-DCBA-459A-9A22-3059983243D4}&lt;/DBUID&gt;&lt;/Extra&gt;&lt;/Item&gt;&lt;/References&gt;&lt;/Group&gt;&lt;/Citation&gt;_x000a_"/>
    <w:docVar w:name="NE.Ref{F7CEEB35-8DDF-4C4F-B053-D3BC608D4C03}" w:val=" ADDIN NE.Ref.{F7CEEB35-8DDF-4C4F-B053-D3BC608D4C03}&lt;Citation&gt;&lt;Group&gt;&lt;References&gt;&lt;Item&gt;&lt;ID&gt;487&lt;/ID&gt;&lt;UID&gt;{20520144-CE74-476E-9DEE-3DCD24747211}&lt;/UID&gt;&lt;Title&gt;Optimizing connection weights in neural networks using the whale optimization algorithm&lt;/Title&gt;&lt;Template&gt;Journal Article&lt;/Template&gt;&lt;Star&gt;0&lt;/Star&gt;&lt;Tag&gt;0&lt;/Tag&gt;&lt;Author&gt;Aljarah, Ibrahim; Faris, Hossam; Mirjalili, Seyedali&lt;/Author&gt;&lt;Year&gt;2018&lt;/Year&gt;&lt;Details&gt;&lt;_collection_scope&gt;SCIE;EI&lt;/_collection_scope&gt;&lt;_created&gt;63650820&lt;/_created&gt;&lt;_impact_factor&gt;   3.050&lt;/_impact_factor&gt;&lt;_issue&gt;1&lt;/_issue&gt;&lt;_journal&gt;Soft Computing&lt;/_journal&gt;&lt;_modified&gt;63650820&lt;/_modified&gt;&lt;_pages&gt;1-15&lt;/_pages&gt;&lt;_volume&gt;22&lt;/_volume&gt;&lt;/Details&gt;&lt;Extra&gt;&lt;DBUID&gt;{F96A950B-833F-4880-A151-76DA2D6A2879}&lt;/DBUID&gt;&lt;/Extra&gt;&lt;/Item&gt;&lt;/References&gt;&lt;/Group&gt;&lt;/Citation&gt;_x000a_"/>
    <w:docVar w:name="NE.Ref{F7F98B00-B87B-409A-A5E4-24C74D39CAF3}" w:val=" ADDIN NE.Ref.{F7F98B00-B87B-409A-A5E4-24C74D39CAF3}&lt;Citation&gt;&lt;Group&gt;&lt;References&gt;&lt;Item&gt;&lt;ID&gt;584&lt;/ID&gt;&lt;UID&gt;{8DF37BB4-A0A3-4694-8B74-89E4F80D5935}&lt;/UID&gt;&lt;Title&gt;An enhanced moth-flame optimizer for solving non-smooth economic dispatch problems with emissions&lt;/Title&gt;&lt;Template&gt;Journal Article&lt;/Template&gt;&lt;Star&gt;0&lt;/Star&gt;&lt;Tag&gt;0&lt;/Tag&gt;&lt;Author&gt;Elsakaan, Asmaa A; El-Sehiemy, Ragab A; Kaddah, Sahar S; Elsaid, Mohammed I&lt;/Author&gt;&lt;Year&gt;2018&lt;/Year&gt;&lt;Details&gt;&lt;_collection_scope&gt;SCI;SCIE;EI&lt;/_collection_scope&gt;&lt;_created&gt;63704824&lt;/_created&gt;&lt;_impact_factor&gt;   6.082&lt;/_impact_factor&gt;&lt;_issue&gt;AUG.15&lt;/_issue&gt;&lt;_journal&gt;Energy&lt;/_journal&gt;&lt;_modified&gt;63704824&lt;/_modified&gt;&lt;_pages&gt;1063-1078&lt;/_pages&gt;&lt;_volume&gt;157&lt;/_volume&gt;&lt;/Details&gt;&lt;Extra&gt;&lt;DBUID&gt;{F96A950B-833F-4880-A151-76DA2D6A2879}&lt;/DBUID&gt;&lt;/Extra&gt;&lt;/Item&gt;&lt;/References&gt;&lt;/Group&gt;&lt;/Citation&gt;_x000a_"/>
    <w:docVar w:name="NE.Ref{F866CCCB-2345-4BC8-8A78-D4F07D91C7AC}" w:val=" ADDIN NE.Ref.{F866CCCB-2345-4BC8-8A78-D4F07D91C7AC}&lt;Citation&gt;&lt;Group&gt;&lt;References&gt;&lt;Item&gt;&lt;ID&gt;532&lt;/ID&gt;&lt;UID&gt;{3DEFA07E-C98A-47AE-BCBD-3C95D2FB6C60}&lt;/UID&gt;&lt;Title&gt; Optimization of Control Strategy for 1100 kV UHVDC Integrated AC System&lt;/Title&gt;&lt;Template&gt;Journal Article&lt;/Template&gt;&lt;Star&gt;0&lt;/Star&gt;&lt;Tag&gt;0&lt;/Tag&gt;&lt;Author&gt;Li, Xinnian; Lei, Xiao; Chen, Shuyong; Liu, Yao; Zhu, Jie; Wang, Jingfang; Pang, Guangheng; Yang, Peng; Lin, Shaobo; Ban, Liangeng; Wang, Huawei&lt;/Author&gt;&lt;Year&gt;2016&lt;/Year&gt;&lt;Details&gt;&lt;_accessed&gt;63459170&lt;/_accessed&gt;&lt;_accession_num&gt;CSCD:5704787_x000d__x000a_ER&lt;/_accession_num&gt;&lt;_cited_count&gt;0&lt;/_cited_count&gt;&lt;_collection_scope&gt;CSCD;PKU;EI&lt;/_collection_scope&gt;&lt;_created&gt;63444588&lt;/_created&gt;&lt;_date_display&gt;2016, 2016&lt;/_date_display&gt;&lt;_db_provider&gt;ISI&lt;/_db_provider&gt;&lt;_isbn&gt;1000-3673&lt;/_isbn&gt;&lt;_issue&gt;5&lt;/_issue&gt;&lt;_journal&gt;Power System Technology&lt;/_journal&gt;&lt;_modified&gt;63459171&lt;/_modified&gt;&lt;_pages&gt;1326-1333&lt;/_pages&gt;&lt;_tertiary_title&gt;电网技术&lt;/_tertiary_title&gt;&lt;_translated_author&gt;李新年; 雷霄; 陈树勇; 刘耀; 祝洁; 王晶芳; 庞广恒; 杨鹏; 林少伯; 班连庚&lt;/_translated_author&gt;&lt;_translated_title&gt;1100 kV特高压直流接入系统控制策略优化&lt;/_translated_title&gt;&lt;_url&gt;CSCD:5704787&lt;/_url&gt;&lt;_volume&gt;40&lt;/_volume&gt;&lt;/Details&gt;&lt;Extra&gt;&lt;DBUID&gt;{6891F4B0-DCBA-459A-9A22-3059983243D4}&lt;/DBUID&gt;&lt;/Extra&gt;&lt;/Item&gt;&lt;/References&gt;&lt;/Group&gt;&lt;/Citation&gt;_x000a_"/>
    <w:docVar w:name="NE.Ref{F8B4EAE6-ADDF-41F9-B8EA-C753F569BA74}" w:val=" ADDIN NE.Ref.{F8B4EAE6-ADDF-41F9-B8EA-C753F569BA74}&lt;Citation&gt;&lt;Group&gt;&lt;References&gt;&lt;Item&gt;&lt;ID&gt;562&lt;/ID&gt;&lt;UID&gt;{C88A26EB-9637-4962-86B1-960A3E87C15F}&lt;/UID&gt;&lt;Title&gt;多源动态最优潮流的分布鲁棒优化方法&lt;/Title&gt;&lt;Template&gt;Journal Article&lt;/Template&gt;&lt;Star&gt;0&lt;/Star&gt;&lt;Tag&gt;0&lt;/Tag&gt;&lt;Author&gt;竺如洁; 韦化; 白晓清&lt;/Author&gt;&lt;Year&gt;2020&lt;/Year&gt;&lt;Details&gt;&lt;_author_adr&gt;广西电力系统最优化与节能技术重点实验室(广西大学);&lt;/_author_adr&gt;&lt;_collection_scope&gt;CSCD;PKU;EI&lt;/_collection_scope&gt;&lt;_created&gt;63685118&lt;/_created&gt;&lt;_db_provider&gt;CNKI&lt;/_db_provider&gt;&lt;_isbn&gt;0258-8013&lt;/_isbn&gt;&lt;_issue&gt;11&lt;/_issue&gt;&lt;_journal&gt;中国电机工程学报&lt;/_journal&gt;&lt;_keywords&gt;鲁棒优化;最优潮流;数据驱动;多源电力系统;不确定性&lt;/_keywords&gt;&lt;_modified&gt;63685118&lt;/_modified&gt;&lt;_pages&gt;3489-3498&lt;/_pages&gt;&lt;_volume&gt;40&lt;/_volume&gt;&lt;_translated_author&gt;Zhu, Rujie;Wei, Hua;Bai, Xiaoqing&lt;/_translated_author&gt;&lt;/Details&gt;&lt;Extra&gt;&lt;DBUID&gt;{F96A950B-833F-4880-A151-76DA2D6A2879}&lt;/DBUID&gt;&lt;/Extra&gt;&lt;/Item&gt;&lt;/References&gt;&lt;/Group&gt;&lt;Group&gt;&lt;References&gt;&lt;Item&gt;&lt;ID&gt;557&lt;/ID&gt;&lt;UID&gt;{B91F6A20-E1F9-4D6E-88DF-96B7AAAD3EB4}&lt;/UID&gt;&lt;Title&gt;基于二阶锥最优潮流的机会约束分布鲁棒优化研究&lt;/Title&gt;&lt;Template&gt;Journal Article&lt;/Template&gt;&lt;Star&gt;0&lt;/Star&gt;&lt;Tag&gt;0&lt;/Tag&gt;&lt;Author&gt;肖遥; 别朝红; 黄格超; 李更丰; 高晓松; 刘诗雨; 贺元康; 刘瑞丰&lt;/Author&gt;&lt;Year&gt;0&lt;/Year&gt;&lt;Details&gt;&lt;_author_adr&gt;电力设备电气绝缘国家重点实验室(西安交通大学);陕西省智能电网重点实验室(西安交通大学);国家电网公司西北分部;&lt;/_author_adr&gt;&lt;_collection_scope&gt;CSCD;PKU;EI&lt;/_collection_scope&gt;&lt;_created&gt;63685118&lt;/_created&gt;&lt;_db_provider&gt;CNKI&lt;/_db_provider&gt;&lt;_isbn&gt;1000-3673&lt;/_isbn&gt;&lt;_journal&gt;电网技术&lt;/_journal&gt;&lt;_keywords&gt;新能源;二阶锥松弛;最优潮流;分布鲁棒&lt;/_keywords&gt;&lt;_modified&gt;63685118&lt;/_modified&gt;&lt;_pages&gt;1-14&lt;/_pages&gt;&lt;_translated_author&gt;Xiao, Yao;Bie, Chaohong;Huang, Gechao;Li, Gengfeng;Gao, Xiaosong;Liu, Shiyu;He, Yuankang;Liu, Ruifeng&lt;/_translated_author&gt;&lt;/Details&gt;&lt;Extra&gt;&lt;DBUID&gt;{F96A950B-833F-4880-A151-76DA2D6A2879}&lt;/DBUID&gt;&lt;/Extra&gt;&lt;/Item&gt;&lt;/References&gt;&lt;/Group&gt;&lt;/Citation&gt;_x000a_"/>
    <w:docVar w:name="NE.Ref{F90A3CC8-D68F-47C5-9C6F-C19D0DC2D91E}" w:val=" ADDIN NE.Ref.{F90A3CC8-D68F-47C5-9C6F-C19D0DC2D91E}&lt;Citation&gt;&lt;Group&gt;&lt;References&gt;&lt;Item&gt;&lt;ID&gt;550&lt;/ID&gt;&lt;UID&gt;{07159DB2-6B91-48F2-9FE6-B1164DDE2D41}&lt;/UID&gt;&lt;Title&gt;考虑跨区联络线交易计划的多区域互联系统分散调度方法&lt;/Title&gt;&lt;Template&gt;Journal Article&lt;/Template&gt;&lt;Star&gt;0&lt;/Star&gt;&lt;Tag&gt;0&lt;/Tag&gt;&lt;Author&gt;曾方迪; 李更丰; 别朝红; 程海花; 郑亚先; 耿建&lt;/Author&gt;&lt;Year&gt;2018&lt;/Year&gt;&lt;Details&gt;&lt;_author_adr&gt;陕西省智能电网重点实验室(西安交通大学);电力设备电气绝缘国家重点实验室(西安交通大学);西安交通大学电气工程学院;中国电力科学研究院有限公司(南京);&lt;/_author_adr&gt;&lt;_collection_scope&gt;CSCD;PKU;EI&lt;/_collection_scope&gt;&lt;_created&gt;63671847&lt;/_created&gt;&lt;_db_provider&gt;CNKI&lt;/_db_provider&gt;&lt;_isbn&gt;1000-1026&lt;/_isbn&gt;&lt;_issue&gt;16&lt;/_issue&gt;&lt;_journal&gt;电力系统自动化&lt;/_journal&gt;&lt;_keywords&gt;跨区交易;联络线计划;分散调度;风电消纳;机组组合&lt;/_keywords&gt;&lt;_modified&gt;63671847&lt;/_modified&gt;&lt;_pages&gt;32-40&lt;/_pages&gt;&lt;_volume&gt;42&lt;/_volume&gt;&lt;_translated_author&gt;Ceng, Fangdi;Li, Gengfeng;Bie, Chaohong;Cheng, Haihua;Zheng, Yaxian;Geng, Jian&lt;/_translated_author&gt;&lt;/Details&gt;&lt;Extra&gt;&lt;DBUID&gt;{F96A950B-833F-4880-A151-76DA2D6A2879}&lt;/DBUID&gt;&lt;/Extra&gt;&lt;/Item&gt;&lt;/References&gt;&lt;/Group&gt;&lt;/Citation&gt;_x000a_"/>
    <w:docVar w:name="NE.Ref{F97F8DDD-8CA1-4824-A7A9-48263E240E34}" w:val=" ADDIN NE.Ref.{F97F8DDD-8CA1-4824-A7A9-48263E240E34}&lt;Citation&gt;&lt;Group&gt;&lt;References&gt;&lt;Item&gt;&lt;ID&gt;400&lt;/ID&gt;&lt;UID&gt;{60B00F96-E32C-4972-901D-DE80773DFE9A}&lt;/UID&gt;&lt;Title&gt;Statistical Analysis and Suggestions on Resistance Measures for Commutation Failures of HVDC Transmission System&lt;/Title&gt;&lt;Template&gt;Journal Article&lt;/Template&gt;&lt;Star&gt;0&lt;/Star&gt;&lt;Tag&gt;0&lt;/Tag&gt;&lt;Author&gt;Ruan, Siye; Xu, Kai; Liu, Dan; Lyu, Pengfei; Wang, Delin; Wang, Huafeng&lt;/Author&gt;&lt;Year&gt;2019&lt;/Year&gt;&lt;Details&gt;&lt;_accessed&gt;63459181&lt;/_accessed&gt;&lt;_accession_num&gt;CSCD:6576304_x000d__x000a_ER&lt;/_accession_num&gt;&lt;_cited_count&gt;2&lt;/_cited_count&gt;&lt;_collection_scope&gt;CSCD;PKU;EI&lt;/_collection_scope&gt;&lt;_created&gt;63444588&lt;/_created&gt;&lt;_date_display&gt;2019, 2019&lt;/_date_display&gt;&lt;_db_provider&gt;ISI&lt;/_db_provider&gt;&lt;_isbn&gt;1000-1026&lt;/_isbn&gt;&lt;_issue&gt;18&lt;/_issue&gt;&lt;_journal&gt;Automation of Electric Power Systems&lt;/_journal&gt;&lt;_modified&gt;63459182&lt;/_modified&gt;&lt;_pages&gt;13-17,34&lt;/_pages&gt;&lt;_tertiary_title&gt;电力系统自动化&lt;/_tertiary_title&gt;&lt;_translated_author&gt;阮思烨; 徐凯; 刘丹; 吕鹏飞; 王德林; 王华锋&lt;/_translated_author&gt;&lt;_translated_title&gt;直流输电系统换相失败统计分析及抵御措施建议&lt;/_translated_title&gt;&lt;_url&gt;CSCD:6576304 _x000d__x000a_https://kns.cnki.net/kns/download.aspx?filename=3wGZ5ZjTqBHcn52dxMHM3VmaqN3RWlzQqRjdXFlekVTbDhmcGhFaoZzVBNGVaF2UmN3UQJkaCxmQRFWSpNnUiVUVBhlWudjezITNll2Yt9me5AlRyUmbzc3KRNUbPF3TuVVQntWO2oUTDZ0drQWbjV2TDJkMDpUe&amp;amp;tablename=CJFDLAST2019&amp;amp;dflag=pdfdown _x000d__x000a_&lt;/_url&gt;&lt;_volume&gt;43&lt;/_volume&gt;&lt;/Details&gt;&lt;Extra&gt;&lt;DBUID&gt;{6891F4B0-DCBA-459A-9A22-3059983243D4}&lt;/DBUID&gt;&lt;/Extra&gt;&lt;/Item&gt;&lt;/References&gt;&lt;/Group&gt;&lt;/Citation&gt;_x000a_"/>
    <w:docVar w:name="NE.Ref{F9B525A7-369B-42E4-9924-136A816CBDB0}" w:val=" ADDIN NE.Ref.{F9B525A7-369B-42E4-9924-136A816CBDB0}&lt;Citation&gt;&lt;Group&gt;&lt;References&gt;&lt;Item&gt;&lt;ID&gt;533&lt;/ID&gt;&lt;UID&gt;{B4E51D91-CB92-46A6-A596-FF772863ED7C}&lt;/UID&gt;&lt;Title&gt;面向能源互联网的新一代电力系统运行模式研究&lt;/Title&gt;&lt;Template&gt;Journal Article&lt;/Template&gt;&lt;Star&gt;0&lt;/Star&gt;&lt;Tag&gt;0&lt;/Tag&gt;&lt;Author&gt;吴克河; 王继业; 李为; 朱亚运&lt;/Author&gt;&lt;Year&gt;2019&lt;/Year&gt;&lt;Details&gt;&lt;_author_adr&gt;华北电力大学控制与计算机工程学院;国家电网公司;中国电力科学研究院有限公司;&lt;/_author_adr&gt;&lt;_collection_scope&gt;CSCD;PKU;EI&lt;/_collection_scope&gt;&lt;_created&gt;63660529&lt;/_created&gt;&lt;_db_provider&gt;CNKI&lt;/_db_provider&gt;&lt;_isbn&gt;0258-8013&lt;/_isbn&gt;&lt;_issue&gt;04&lt;/_issue&gt;&lt;_journal&gt;中国电机工程学报&lt;/_journal&gt;&lt;_keywords&gt;能源互联网;电力三次系统;电力系统运行新模式;电力信息二元网络&lt;/_keywords&gt;&lt;_modified&gt;63660529&lt;/_modified&gt;&lt;_pages&gt;966-979&lt;/_pages&gt;&lt;_volume&gt;39&lt;/_volume&gt;&lt;_translated_author&gt;Wu, Kehe;Wang, Jiye;Li, Wei;Zhu, Yayun&lt;/_translated_author&gt;&lt;/Details&gt;&lt;Extra&gt;&lt;DBUID&gt;{F96A950B-833F-4880-A151-76DA2D6A2879}&lt;/DBUID&gt;&lt;/Extra&gt;&lt;/Item&gt;&lt;/References&gt;&lt;/Group&gt;&lt;/Citation&gt;_x000a_"/>
    <w:docVar w:name="NE.Ref{F9E82CD6-DFDD-43EA-8A02-7600B4D18A0C}" w:val=" ADDIN NE.Ref.{F9E82CD6-DFDD-43EA-8A02-7600B4D18A0C}&lt;Citation&gt;&lt;Group&gt;&lt;References&gt;&lt;Item&gt;&lt;ID&gt;482&lt;/ID&gt;&lt;UID&gt;{ED05E054-5BFF-4C83-9933-59438D177267}&lt;/UID&gt;&lt;Title&gt;基于WCVaR模型的分布式发电系统供需互动能量管理研究&lt;/Title&gt;&lt;Template&gt;Journal Article&lt;/Template&gt;&lt;Star&gt;0&lt;/Star&gt;&lt;Tag&gt;0&lt;/Tag&gt;&lt;Author&gt;张虹; 葛得初; 侯宁; 张思雨; 于东民; 王鹤&lt;/Author&gt;&lt;Year&gt;2019&lt;/Year&gt;&lt;Details&gt;&lt;_author_adr&gt;东北电力大学电气工程学院;国网吉林省电力有限公司长春供电公司;瑞典皇家理工学院电气工程与计算机科学学院;&lt;/_author_adr&gt;&lt;_collection_scope&gt;CSCD;PKU;EI&lt;/_collection_scope&gt;&lt;_created&gt;63650256&lt;/_created&gt;&lt;_db_provider&gt;CNKI&lt;/_db_provider&gt;&lt;_isbn&gt;0258-8013&lt;/_isbn&gt;&lt;_issue&gt;15&lt;/_issue&gt;&lt;_journal&gt;中国电机工程学报&lt;/_journal&gt;&lt;_keywords&gt;分布式发电系统;供需互动;不确定性;WCVaR;能量管理;风险管理&lt;/_keywords&gt;&lt;_modified&gt;63650256&lt;/_modified&gt;&lt;_pages&gt;4468-4478&lt;/_pages&gt;&lt;_volume&gt;39&lt;/_volume&gt;&lt;_translated_author&gt;Zhang, Hong;Ge, Dechu;Hou, Ning;Zhang, Siyu;Yu, Dongmin;Wang, He&lt;/_translated_author&gt;&lt;/Details&gt;&lt;Extra&gt;&lt;DBUID&gt;{F96A950B-833F-4880-A151-76DA2D6A2879}&lt;/DBUID&gt;&lt;/Extra&gt;&lt;/Item&gt;&lt;/References&gt;&lt;/Group&gt;&lt;/Citation&gt;_x000a_"/>
    <w:docVar w:name="NE.Ref{FCB41E22-332C-4E48-9413-3BEF32987917}" w:val=" ADDIN NE.Ref.{FCB41E22-332C-4E48-9413-3BEF32987917}&lt;Citation&gt;&lt;Group&gt;&lt;References&gt;&lt;Item&gt;&lt;ID&gt;420&lt;/ID&gt;&lt;UID&gt;{0DFFF2BE-0969-4DD8-9FF6-FB7130A80F19}&lt;/UID&gt;&lt;Title&gt;Multiobjective economic-environmental power dispatch with stochastic wind-solar-small hydro power&lt;/Title&gt;&lt;Template&gt;Journal Article&lt;/Template&gt;&lt;Star&gt;0&lt;/Star&gt;&lt;Tag&gt;0&lt;/Tag&gt;&lt;Author&gt;Biswas, Partha P; Suganthan, P N; Qu, B Y; Amaratunga, Gehan A J&lt;/Author&gt;&lt;Year&gt;2018&lt;/Year&gt;&lt;Details&gt;&lt;_accession_num&gt;WOS:000431748400083_x000d__x000a_ER&lt;/_accession_num&gt;&lt;_cited_count&gt;42&lt;/_cited_count&gt;&lt;_collection_scope&gt;SCI;SCIE;EI&lt;/_collection_scope&gt;&lt;_created&gt;63643532&lt;/_created&gt;&lt;_date_display&gt;2018, MAY 1 2018&lt;/_date_display&gt;&lt;_db_provider&gt;ISI&lt;/_db_provider&gt;&lt;_doi&gt;10.1016/j.energy.2018.03.002&lt;/_doi&gt;&lt;_impact_factor&gt;   6.082&lt;/_impact_factor&gt;&lt;_isbn&gt;0360-5442&lt;/_isbn&gt;&lt;_journal&gt;ENERGY&lt;/_journal&gt;&lt;_modified&gt;63643532&lt;/_modified&gt;&lt;_pages&gt;1039-1057&lt;/_pages&gt;&lt;_url&gt;http://gateway.isiknowledge.com/gateway/Gateway.cgi?GWVersion=2&amp;amp;SrcAuth=AegeanSoftware&amp;amp;SrcApp=NoteExpress&amp;amp;DestLinkType=FullRecord&amp;amp;DestApp=WOS&amp;amp;KeyUT=000431748400083&lt;/_url&gt;&lt;_volume&gt;150&lt;/_volume&gt;&lt;/Details&gt;&lt;Extra&gt;&lt;DBUID&gt;{F96A950B-833F-4880-A151-76DA2D6A2879}&lt;/DBUID&gt;&lt;/Extra&gt;&lt;/Item&gt;&lt;/References&gt;&lt;/Group&gt;&lt;/Citation&gt;_x000a_"/>
    <w:docVar w:name="NE.Ref{FD3A6AE9-13EB-47BF-AF58-78DC8E2A30F2}" w:val=" ADDIN NE.Ref.{FD3A6AE9-13EB-47BF-AF58-78DC8E2A30F2}&lt;Citation&gt;&lt;Group&gt;&lt;References&gt;&lt;Item&gt;&lt;ID&gt;904&lt;/ID&gt;&lt;UID&gt;{E5A06000-EFE4-416D-8E25-1A8ABFC824DF}&lt;/UID&gt;&lt;Title&gt;Coordinated Control Strategy for Cascading Commutation Failure Mitigation Considering Reactive Power Interaction&lt;/Title&gt;&lt;Template&gt;Journal Article&lt;/Template&gt;&lt;Star&gt;0&lt;/Star&gt;&lt;Tag&gt;0&lt;/Tag&gt;&lt;Author&gt;Zheng, C Y; Tang, Y; Li, Z&lt;/Author&gt;&lt;Year&gt;2022&lt;/Year&gt;&lt;Details&gt;&lt;_alternate_title&gt;IEEE TRANSACTIONS ON POWER DELIVERY&lt;/_alternate_title&gt;&lt;_author_adr&gt;Southeast Univ, Sch Elect Engn, Nanjing 210096, Jiangsu, Peoples R China&lt;/_author_adr&gt;&lt;_cited_count&gt;0&lt;/_cited_count&gt;&lt;_collection_scope&gt;SCI;SCIE;EI&lt;/_collection_scope&gt;&lt;_created&gt;64655769&lt;/_created&gt;&lt;_date&gt;2022-01-01&lt;/_date&gt;&lt;_date_display&gt;2022&lt;/_date_display&gt;&lt;_db_updated&gt;Web of Science-Core&lt;/_db_updated&gt;&lt;_doi&gt;10.1109/TPWRD.2021.3125350&lt;/_doi&gt;&lt;_impact_factor&gt;   4.825&lt;/_impact_factor&gt;&lt;_issue&gt;4&lt;/_issue&gt;&lt;_journal&gt;IEEE TRANSACTIONS ON POWER DELIVERY&lt;/_journal&gt;&lt;_keywords&gt;HVDC transmission; Reactive power; Firing; Power system stability; Inverters; Voltage control; Valves; Multi-infeed HVDC systems; reactive power interaction; cascading commutation failure; coordinated control strategy&lt;/_keywords&gt;&lt;_modified&gt;64655772&lt;/_modified&gt;&lt;_pages&gt;3225-3234&lt;/_pages&gt;&lt;_url&gt;https://ieeexplore.ieee.org/stampPDF/getPDF.jsp?tp=&amp;amp;arnumber=9606614&amp;amp;ref=aHR0cHM6Ly9pZWVleHBsb3JlLmllZWUub3JnL3Jlc3Qvc2VhcmNo _x000d__x000a_&lt;/_url&gt;&lt;_volume&gt;37&lt;/_volume&gt;&lt;/Details&gt;&lt;Extra&gt;&lt;DBUID&gt;{6891F4B0-DCBA-459A-9A22-3059983243D4}&lt;/DBUID&gt;&lt;/Extra&gt;&lt;/Item&gt;&lt;/References&gt;&lt;/Group&gt;&lt;/Citation&gt;_x000a_"/>
    <w:docVar w:name="NE.Ref{FD788B96-C0B3-4480-91E7-38F76B68BB4B}" w:val=" ADDIN NE.Ref.{FD788B96-C0B3-4480-91E7-38F76B68BB4B}&lt;Citation&gt;&lt;Group&gt;&lt;References&gt;&lt;Item&gt;&lt;ID&gt;117&lt;/ID&gt;&lt;UID&gt;{90AA279F-1CDD-4E94-ACD0-8C9FEA67BEEC}&lt;/UID&gt;&lt;Title&gt;基于两阶段鲁棒区间优化的风储联合运行调度模型&lt;/Title&gt;&lt;Template&gt;Journal Article&lt;/Template&gt;&lt;Star&gt;0&lt;/Star&gt;&lt;Tag&gt;0&lt;/Tag&gt;&lt;Author&gt;张刘冬; 袁宇波; 孙大雁; 袁晓冬; 李强; 苏大威&lt;/Author&gt;&lt;Year&gt;2018&lt;/Year&gt;&lt;Details&gt;&lt;_accessed&gt;64308261&lt;/_accessed&gt;&lt;_author_aff&gt;国网江苏省电力有限公司电力科学研究院;河海大学能源与电气工程学院;国网江苏省电力有限公司;&lt;/_author_aff&gt;&lt;_cited_count&gt;37&lt;/_cited_count&gt;&lt;_collection_scope&gt;CSCD;PKU;EI&lt;/_collection_scope&gt;&lt;_created&gt;64308205&lt;/_created&gt;&lt;_date&gt;62556480&lt;/_date&gt;&lt;_db_updated&gt;CNKI - Reference&lt;/_db_updated&gt;&lt;_issue&gt;12&lt;/_issue&gt;&lt;_journal&gt;电力自动化设备&lt;/_journal&gt;&lt;_keywords&gt;风力发电;储能系统;鲁棒区间优化;机组组合;Benders分解&lt;/_keywords&gt;&lt;_language&gt;Chinese&lt;/_language&gt;&lt;_modified&gt;64308261&lt;/_modified&gt;&lt;_pages&gt;59-66+93&lt;/_pages&gt;&lt;_url&gt;https://kns.cnki.net/kcms/detail/detail.aspx?FileName=DLZS201812009&amp;amp;DbName=CJFQ2018&lt;/_url&gt;&lt;_volume&gt;38&lt;/_volume&gt;&lt;_translated_author&gt;Zhang, Liudong;Yuan, Yubo;Sun, Dayan;Yuan, Xiaodong;Li, Qiang;Su, Dawei&lt;/_translated_author&gt;&lt;/Details&gt;&lt;Extra&gt;&lt;DBUID&gt;{560D5FFD-5A46-4EB8-859B-FD657304A42E}&lt;/DBUID&gt;&lt;/Extra&gt;&lt;/Item&gt;&lt;/References&gt;&lt;/Group&gt;&lt;/Citation&gt;_x000a_"/>
    <w:docVar w:name="NE.Ref{FD8E7BC4-412B-4A74-8ED6-C96652DF1746}" w:val=" ADDIN NE.Ref.{FD8E7BC4-412B-4A74-8ED6-C96652DF1746}&lt;Citation&gt;&lt;Group&gt;&lt;References&gt;&lt;Item&gt;&lt;ID&gt;461&lt;/ID&gt;&lt;UID&gt;{B51647A7-3A7D-4FFB-A9B5-22E69806D1E9}&lt;/UID&gt;&lt;Title&gt;交流不对称故障类型对HVDC 换相失败的影响研究&lt;/Title&gt;&lt;Template&gt;Journal Article&lt;/Template&gt;&lt;Star&gt;0&lt;/Star&gt;&lt;Tag&gt;0&lt;/Tag&gt;&lt;Author&gt;李江涛; 顾悦; 任子媛; 曹辉; 郑敏军; 赵政; 李涛; 李征; 王琳&lt;/Author&gt;&lt;Year&gt;2018&lt;/Year&gt;&lt;Details&gt;&lt;_accessed&gt;63445968&lt;/_accessed&gt;&lt;_accession_num&gt;CSCD:6279979_x000d__x000a_ER&lt;/_accession_num&gt;&lt;_cited_count&gt;0&lt;/_cited_count&gt;&lt;_collection_scope&gt;CSCD;PKU&lt;/_collection_scope&gt;&lt;_created&gt;63444588&lt;/_created&gt;&lt;_date_display&gt;2018, 2018&lt;/_date_display&gt;&lt;_db_provider&gt;ISI&lt;/_db_provider&gt;&lt;_isbn&gt;1001-1609&lt;/_isbn&gt;&lt;_issue&gt;1001-1609(2018)54:7&amp;lt;131:JLBDCG&amp;gt;2.0.TX;2-O7&lt;/_issue&gt;&lt;_journal&gt;高压电器&lt;/_journal&gt;&lt;_modified&gt;63445968&lt;/_modified&gt;&lt;_pages&gt;131-137&lt;/_pages&gt;&lt;_tertiary_title&gt;High Voltage Apparatus&lt;/_tertiary_title&gt;&lt;_translated_author&gt;Li, Jiangtao; Gu, Yue; Ren, Ziyuan; Cao, Hui; Zheng, Minjun; Zhao, Zheng; Li, Tao; Li, Zheng; Wang, Lin&lt;/_translated_author&gt;&lt;_translated_title&gt;Influence of AC System Asymmetric Fault on the HVDC System Commutation Failure&lt;/_translated_title&gt;&lt;_url&gt;CSCD:6279979&lt;/_url&gt;&lt;_volume&gt;54&lt;/_volume&gt;&lt;/Details&gt;&lt;Extra&gt;&lt;DBUID&gt;{6891F4B0-DCBA-459A-9A22-3059983243D4}&lt;/DBUID&gt;&lt;/Extra&gt;&lt;/Item&gt;&lt;/References&gt;&lt;/Group&gt;&lt;/Citation&gt;_x000a_"/>
    <w:docVar w:name="NE.Ref{FE2E0FEC-2A44-4EBD-AFFF-9B7AB580B023}" w:val=" ADDIN NE.Ref.{FE2E0FEC-2A44-4EBD-AFFF-9B7AB580B023}&lt;Citation&gt;&lt;Group&gt;&lt;References&gt;&lt;Item&gt;&lt;ID&gt;400&lt;/ID&gt;&lt;UID&gt;{AA736F4F-7CBC-436F-AC4D-51305971DAA9}&lt;/UID&gt;&lt;Title&gt;Dynamic economic emission dispatch based on group search optimizer with multiple producers&lt;/Title&gt;&lt;Template&gt;Journal Article&lt;/Template&gt;&lt;Star&gt;0&lt;/Star&gt;&lt;Tag&gt;0&lt;/Tag&gt;&lt;Author&gt;Guo, C X; Zhan, J P; Wu, Q H&lt;/Author&gt;&lt;Year&gt;2012&lt;/Year&gt;&lt;Details&gt;&lt;_accession_num&gt;WOS:000301616500002_x000d__x000a_ER&lt;/_accession_num&gt;&lt;_cited_count&gt;75&lt;/_cited_count&gt;&lt;_collection_scope&gt;SCIE;EI&lt;/_collection_scope&gt;&lt;_created&gt;63640513&lt;/_created&gt;&lt;_date_display&gt;2012, MAY 2012&lt;/_date_display&gt;&lt;_db_provider&gt;ISI&lt;/_db_provider&gt;&lt;_doi&gt;10.1016/j.epsr.2011.11.015&lt;/_doi&gt;&lt;_impact_factor&gt;   3.211&lt;/_impact_factor&gt;&lt;_isbn&gt;0378-7796&lt;/_isbn&gt;&lt;_journal&gt;ELECTRIC POWER SYSTEMS RESEARCH&lt;/_journal&gt;&lt;_modified&gt;63640513&lt;/_modified&gt;&lt;_pages&gt;8-16&lt;/_pages&gt;&lt;_url&gt;http://gateway.isiknowledge.com/gateway/Gateway.cgi?GWVersion=2&amp;amp;SrcAuth=AegeanSoftware&amp;amp;SrcApp=NoteExpress&amp;amp;DestLinkType=FullRecord&amp;amp;DestApp=WOS&amp;amp;KeyUT=000301616500002&lt;/_url&gt;&lt;_volume&gt;86&lt;/_volume&gt;&lt;/Details&gt;&lt;Extra&gt;&lt;DBUID&gt;{F96A950B-833F-4880-A151-76DA2D6A2879}&lt;/DBUID&gt;&lt;/Extra&gt;&lt;/Item&gt;&lt;/References&gt;&lt;/Group&gt;&lt;/Citation&gt;_x000a_"/>
    <w:docVar w:name="NE.Ref{FF2AFEFE-5705-4951-BE09-BA472D5A9C52}" w:val=" ADDIN NE.Ref.{FF2AFEFE-5705-4951-BE09-BA472D5A9C52}&lt;Citation&gt;&lt;Group&gt;&lt;References&gt;&lt;Item&gt;&lt;ID&gt;831&lt;/ID&gt;&lt;UID&gt;{452AC1DD-A6A0-4F97-907D-0C2DC439FF93}&lt;/UID&gt;&lt;Title&gt;直流换相失败下双馈风电机组特性描述及暂态过电压抑制&lt;/Title&gt;&lt;Template&gt;Journal Article&lt;/Template&gt;&lt;Star&gt;0&lt;/Star&gt;&lt;Tag&gt;0&lt;/Tag&gt;&lt;Author&gt;刘其辉; 董楚然; 吴勇; 张亚灵; 逄思敏; 申杰&lt;/Author&gt;&lt;Year&gt;2022&lt;/Year&gt;&lt;Details&gt;&lt;_accessed&gt;64647180&lt;/_accessed&gt;&lt;_author_aff&gt;新能源电力系统国家重点实验室(华北电力大学);国网上海市电力公司检修公司;国网上海市电力公司松江供电公司;&lt;/_author_aff&gt;&lt;_collection_scope&gt;CSCD;PKU;EI&lt;/_collection_scope&gt;&lt;_created&gt;64646629&lt;/_created&gt;&lt;_date&gt;2021-10-28&lt;/_date&gt;&lt;_db_updated&gt;CNKI - Reference&lt;/_db_updated&gt;&lt;_issue&gt;08&lt;/_issue&gt;&lt;_journal&gt;电力系统自动化&lt;/_journal&gt;&lt;_keywords&gt;换相失败;双馈感应发电机;暂态电压;故障穿越;过电压主动抑制&lt;/_keywords&gt;&lt;_modified&gt;64647181&lt;/_modified&gt;&lt;_pages&gt;29-38&lt;/_pages&gt;&lt;_tertiary_title&gt;Automation of electric power systems&lt;/_tertiary_title&gt;&lt;_translated_author&gt;LIU, Qihui; DONG, Churan; WU, Yong; ZHANG, Yaling; PANG, Simin; SHEN, Jie&lt;/_translated_author&gt;&lt;_translated_title&gt;Characteristic Description and Transient Overvoltage Suppression of Doubly-fed Wind Turbines with LCC-HVDC Commutation Failure&lt;/_translated_title&gt;&lt;_url&gt;https://kns.cnki.net/kcms/detail/detail.aspx?FileName=DLXT202208004&amp;amp;DbName=CJFQ2022 _x000d__x000a_https://bar.cnki.net/bar/download/order?id=jBGETXBNdPImvx70aLAuJPYxPoFw%2bp%2bi0fIiSrcN6lXVlq1eBSUeJvjZrOAJvDJukSJjWy3W0i%2b8K1%2b7%2bDUhfJ0PLIIoFLYwy5BgUEfsTyzl8E%2bCUVp5GtDTYhVF2dNUoJeGx62Ssygg68TNXJ%2b5JrigejDAar8Xqw%2f6WR22OFXUdUGh4At8VBYSvh%2fCUD5aLzjwAGWyOdgr9efAeY6tPCyWI5uyZaOI7%2bN0Y06oLwj5LXYX1qwFXwOc1HUZT%2bTB _x000d__x000a_&lt;/_url&gt;&lt;_volume&gt;46&lt;/_volume&gt;&lt;/Details&gt;&lt;Extra&gt;&lt;DBUID&gt;{6891F4B0-DCBA-459A-9A22-3059983243D4}&lt;/DBUID&gt;&lt;/Extra&gt;&lt;/Item&gt;&lt;/References&gt;&lt;/Group&gt;&lt;Group&gt;&lt;References&gt;&lt;Item&gt;&lt;ID&gt;881&lt;/ID&gt;&lt;UID&gt;{083538B0-3D7B-4624-8DF1-4AA048959452}&lt;/UID&gt;&lt;Title&gt;基于动态无功支撑的全功率变流风电机组高电压穿越改进控制&lt;/Title&gt;&lt;Template&gt;Journal Article&lt;/Template&gt;&lt;Star&gt;0&lt;/Star&gt;&lt;Tag&gt;0&lt;/Tag&gt;&lt;Author&gt;王德胜; 颜湘武; 刘辉; 贾焦心; 高玉雅&lt;/Author&gt;&lt;Year&gt;2022&lt;/Year&gt;&lt;Details&gt;&lt;_accessed&gt;64647181&lt;/_accessed&gt;&lt;_author_aff&gt;新能源电力系统国家重点实验室(华北电力大学);国网冀北电力有限公司电力科学研究院;国网西安供电公司经济技术研究所;&lt;/_author_aff&gt;&lt;_cited_count&gt;1&lt;/_cited_count&gt;&lt;_collection_scope&gt;CSCD;PKU;EI&lt;/_collection_scope&gt;&lt;_created&gt;64646951&lt;/_created&gt;&lt;_date&gt;2022-02-05&lt;/_date&gt;&lt;_db_updated&gt;CNKI - Reference&lt;/_db_updated&gt;&lt;_issue&gt;03&lt;/_issue&gt;&lt;_journal&gt;中国电机工程学报&lt;/_journal&gt;&lt;_keywords&gt;高电压穿越;故障脱网;矢量控制;无功支撑;功率振荡&lt;/_keywords&gt;&lt;_modified&gt;64647181&lt;/_modified&gt;&lt;_pages&gt;957-968&lt;/_pages&gt;&lt;_tertiary_title&gt;Proceedings of the CSEE&lt;/_tertiary_title&gt;&lt;_translated_author&gt;WANG, Desheng; Xiangwu, YAN; LIU, Hui; JIA, Jiaoxin; GAO, Yuya&lt;/_translated_author&gt;&lt;_translated_title&gt;High Voltage Ride Through Improved Control of Full Power Converter Wind Turbines Based on Dynamic Reactive Power Support&lt;/_translated_title&gt;&lt;_url&gt;https://kns.cnki.net/kcms/detail/detail.aspx?FileName=ZGDC202203009&amp;amp;DbName=DKFX2022 _x000d__x000a_https://bar.cnki.net/bar/download/order?id=jBGETXBNdPImvx70aLAuJPYxPoFw%2bp%2bi0fIiSrcN6lUmL5uUyU6IHvJnocTOg%2fbjsshnTQdlzf0o9Rxczx2nOp0PLIIoFLYwy5BgUEfsTyzl8E%2bCUVp5GtDTYhVF2dNUoJeGx62Ssygg68TNXJ%2b5JrigejDAar8Xqw%2f6WR22OFXUdUGh4At8VBYSvh%2fCUD5aA2rg%2bPYu6ktCER3kEmPq40NiSK5zOkkV0VzBerLHmhH5LXYX1qwFXwOc1HUZT%2bTB _x000d__x000a_https://bar.cnki.net/bar/download/order?id=jBGETXBNdPImvx70aLAuJPYxPoFw%2bp%2bi0fIiSrcN6lUmL5uUyU6IHvJnocTOg%2fbjsshnTQdlzf0o9Rxczx2nOp0PLIIoFLYwy5BgUEfsTyzl8E%2bCUVp5GtDTYhVF2dNUoJeGx62Ssygg68TNXJ%2b5JrigejDAar8Xqw%2f6WR22OFXUdUGh4At8VBYSvh%2fCUD5a5CVhvmli0QLOFG19qIfdQgSUVLmggogtCe%2bW%2f%2bhXCQj5LXYX1qwFXwOc1HUZT%2bTB _x000d__x000a_https://bar.cnki.net/bar/download/order?id=jBGETXBNdPImvx70aLAuJPYxPoFw%2bp%2bi0fIiSrcN6lUmL5uUyU6IHvJnocTOg%2fbjsshnTQdlzf0o9Rxczx2nOp0PLIIoFLYwy5BgUEfsTyzl8E%2bCUVp5GtDTYhVF2dNUoJeGx62Ssygg68TNXJ%2b5JrigejDAar8Xqw%2f6WR22OFXUdUGh4At8VBYSvh%2fCUD5aSYvfUUxfS5t29FWadm08aYOZ0HvlvQvi2zfFMKHGBvH5LXYX1qwFXwOc1HUZT%2bTB _x000d__x000a_&lt;/_url&gt;&lt;_volume&gt;42&lt;/_volume&gt;&lt;/Details&gt;&lt;Extra&gt;&lt;DBUID&gt;{6891F4B0-DCBA-459A-9A22-3059983243D4}&lt;/DBUID&gt;&lt;/Extra&gt;&lt;/Item&gt;&lt;/References&gt;&lt;/Group&gt;&lt;Group&gt;&lt;References&gt;&lt;Item&gt;&lt;ID&gt;882&lt;/ID&gt;&lt;UID&gt;{027F788E-861A-4764-ABC8-A96CFAE4B914}&lt;/UID&gt;&lt;Title&gt;双馈风机并网系统高电压穿越控制策略稳定性分析&lt;/Title&gt;&lt;Template&gt;Journal Article&lt;/Template&gt;&lt;Star&gt;0&lt;/Star&gt;&lt;Tag&gt;0&lt;/Tag&gt;&lt;Author&gt;周昌平; 汪震; 甘德强; 袁辉; 辛焕海&lt;/Author&gt;&lt;Year&gt;2022&lt;/Year&gt;&lt;Details&gt;&lt;_accessed&gt;64647182&lt;/_accessed&gt;&lt;_author_aff&gt;浙江大学电气工程学院;&lt;/_author_aff&gt;&lt;_cited_count&gt;1&lt;/_cited_count&gt;&lt;_collection_scope&gt;CSCD;PKU;EI&lt;/_collection_scope&gt;&lt;_created&gt;64646951&lt;/_created&gt;&lt;_date&gt;2021-08-30&lt;/_date&gt;&lt;_db_updated&gt;CNKI - Reference&lt;/_db_updated&gt;&lt;_issue&gt;20&lt;/_issue&gt;&lt;_journal&gt;中国电机工程学报&lt;/_journal&gt;&lt;_keywords&gt;双馈风机;高电压穿越;暂态电压稳定;小信号建模&lt;/_keywords&gt;&lt;_modified&gt;64647183&lt;/_modified&gt;&lt;_pages&gt;7415-7426&lt;/_pages&gt;&lt;_tertiary_title&gt;Proceedings of the CSEE&lt;/_tertiary_title&gt;&lt;_translated_author&gt;ZHOU, Changping; WANG, Zhen; GAN, Deqiang; YUAN, Hui; XIN, Huanhai&lt;/_translated_author&gt;&lt;_translated_title&gt;Stability Analysis of High Voltage Ride Trough Control Strategy for DFIG Integrated System&lt;/_translated_title&gt;&lt;_url&gt;https://kns.cnki.net/kcms/detail/detail.aspx?FileName=ZGDC202220012&amp;amp;DbName=DKFXTEMP _x000d__x000a_https://bar.cnki.net/bar/download/order?id=jBGETXBNdPImvx70aLAuJPYxPoFw%2bp%2bi0fIiSrcN6lVR7dLHKFXImZjxInT3D9sPIPqgR38m15LFMAZn%2bx0j%2f8m82jDOg3yr%2bqRqj9L2CzQtqddCdidyosdSaMNWur3ZJBjdlDrNnftoR5pdZPiFRNlKM4sfpT3nRHSqBOA4sms8GQBtE8Z8mK%2fNwS15YoSE%2b76osIIwp5dpYYc5YpX2o6opkQ6JnjQzfIvFcCnka0M%3d _x000d__x000a_https://bar.cnki.net/bar/download/order?id=jBGETXBNdPImvx70aLAuJPYxPoFw%2bp%2bi0fIiSrcN6lVR7dLHKFXImZjxInT3D9sPIPqgR38m15LFMAZn%2bx0j%2f8m82jDOg3yr%2bqRqj9L2CzQtqddCdidyosdSaMNWur3ZJBjdlDrNnftoR5pdZPiFRNlKM4sfpT3nRHSqBOA4sms8GQBtE8Z8mK%2fNwS15YoSEsbsslJFtkoJb%2fIsmJwThtKopkQ6JnjQzfIvFcCnka0M%3d _x000d__x000a_https://bar.cnki.net/bar/download/order?id=jBGETXBNdPImvx70aLAuJPYxPoFw%2bp%2bi0fIiSrcN6lVR7dLHKFXImZjxInT3D9sPIPqgR38m15LFMAZn%2bx0j%2f8m82jDOg3yr%2bqRqj9L2CzQtqddCdidyosdSaMNWur3ZJBjdlDrNnftoR5pdZPiFRNlKM4sfpT3nRHSqBOA4sms8GQBtE8Z8mK%2fNwS15YoSEMRLO1%2fA5UQiUP296zqz3YqopkQ6JnjQzfIvFcCnka0M%3d _x000d__x000a_&lt;/_url&gt;&lt;_volume&gt;42&lt;/_volume&gt;&lt;/Details&gt;&lt;Extra&gt;&lt;DBUID&gt;{6891F4B0-DCBA-459A-9A22-3059983243D4}&lt;/DBUID&gt;&lt;/Extra&gt;&lt;/Item&gt;&lt;/References&gt;&lt;/Group&gt;&lt;Group&gt;&lt;References&gt;&lt;Item&gt;&lt;ID&gt;867&lt;/ID&gt;&lt;UID&gt;{9B6D9E52-9DC1-47CA-B7E3-D9B5EFFE2583}&lt;/UID&gt;&lt;Title&gt;基于虚拟电阻的高压直流换相失败期间送端电网暂态过电压抑制方法&lt;/Title&gt;&lt;Template&gt;Journal Article&lt;/Template&gt;&lt;Star&gt;0&lt;/Star&gt;&lt;Tag&gt;0&lt;/Tag&gt;&lt;Author&gt;肖超; 韩伟; 李琼林; 熊小伏; 冯志远&lt;/Author&gt;&lt;Year&gt;2021&lt;/Year&gt;&lt;Details&gt;&lt;_accessed&gt;64647183&lt;/_accessed&gt;&lt;_author_aff&gt;国网河南省电力公司电力科学研究院;重庆大学输配电装备及系统安全与新技术国家重点实验室;郑州大学电气工程学院;&lt;/_author_aff&gt;&lt;_collection_scope&gt;CSCD;PKU&lt;/_collection_scope&gt;&lt;_created&gt;64646736&lt;/_created&gt;&lt;_date&gt;2021-12-01&lt;/_date&gt;&lt;_db_updated&gt;CNKI - Reference&lt;/_db_updated&gt;&lt;_issue&gt;23&lt;/_issue&gt;&lt;_journal&gt;电力系统保护与控制&lt;/_journal&gt;&lt;_keywords&gt;高压直流;换相失败;送端电网;暂态过电压;虚拟电阻&lt;/_keywords&gt;&lt;_modified&gt;64647184&lt;/_modified&gt;&lt;_pages&gt;122-129&lt;/_pages&gt;&lt;_tertiary_title&gt;Power System Protection and Control&lt;/_tertiary_title&gt;&lt;_translated_author&gt;XIAO, Chao; HAN, Wei; LI, Qionglin; XIONG, Xiaofu; FENG, Zhiyuan&lt;/_translated_author&gt;&lt;_translated_title&gt;A suppression method for overvoltage of a sending end grid caused by commutation failure based on virtual resistance&lt;/_translated_title&gt;&lt;_url&gt;https://kns.cnki.net/kcms/detail/detail.aspx?FileName=JDQW202123015&amp;amp;DbName=CJFQ2021 _x000d__x000a_https://bar.cnki.net/bar/download/order?id=jBGETXBNdPImvx70aLAuJPYxPoFw%2bp%2bi0fIiSrcN6lVYfheTlE%2fD5wCYjBMf0tCywURBIovEZWsxpaJNu72Rsp0PLIIoFLYwy5BgUEfsTyzl8E%2bCUVp5GtDTYhVF2dNUoJeGx62Ssygg68TNXJ%2b5JrigejDAar8Xqw%2f6WR22OFXUdUGh4At8VBYSvh%2fCUD5a0R4J2h05Fi3D2%2bUSGg2PWmEsjTQSh1%2bb8hrfyDJ5K3L5LXYX1qwFXwOc1HUZT%2bTB _x000d__x000a_&lt;/_url&gt;&lt;_volume&gt;49&lt;/_volume&gt;&lt;/Details&gt;&lt;Extra&gt;&lt;DBUID&gt;{6891F4B0-DCBA-459A-9A22-3059983243D4}&lt;/DBUID&gt;&lt;/Extra&gt;&lt;/Item&gt;&lt;/References&gt;&lt;/Group&gt;&lt;Group&gt;&lt;References&gt;&lt;Item&gt;&lt;ID&gt;873&lt;/ID&gt;&lt;UID&gt;{3FFF440F-D99C-4B51-9C25-CC6113EC0F58}&lt;/UID&gt;&lt;Title&gt;抑制直流单极闭锁引起大规模风电机组脱网的直流控制策略&lt;/Title&gt;&lt;Template&gt;Journal Article&lt;/Template&gt;&lt;Star&gt;0&lt;/Star&gt;&lt;Tag&gt;0&lt;/Tag&gt;&lt;Author&gt;张起瑞; 李凤婷; 尹纯亚; 刘江山; 陈睿康&lt;/Author&gt;&lt;Year&gt;2021&lt;/Year&gt;&lt;Details&gt;&lt;_accessed&gt;64647185&lt;/_accessed&gt;&lt;_author_aff&gt;新疆大学电气工程学院;&lt;/_author_aff&gt;&lt;_cited_count&gt;1&lt;/_cited_count&gt;&lt;_collection_scope&gt;CSCD;PKU;EI&lt;/_collection_scope&gt;&lt;_created&gt;64646879&lt;/_created&gt;&lt;_date&gt;2021-07-23&lt;/_date&gt;&lt;_db_updated&gt;CNKI - Reference&lt;/_db_updated&gt;&lt;_issue&gt;10&lt;/_issue&gt;&lt;_journal&gt;高电压技术&lt;/_journal&gt;&lt;_keywords&gt;交直流混联系统;单极闭锁;暂态过电压;风机高压脱网;直流控制策略&lt;/_keywords&gt;&lt;_modified&gt;64647185&lt;/_modified&gt;&lt;_pages&gt;3528-3537&lt;/_pages&gt;&lt;_tertiary_title&gt;High Voltage Engineering&lt;/_tertiary_title&gt;&lt;_translated_author&gt;ZHANG, Qirui; LI, Fengting; YIN, Chunya; LIU, Jiangshan; CHEN, Ruikang&lt;/_translated_author&gt;&lt;_translated_title&gt;DC Control Strategy for Suppressing Large-scale WTG Tripping Caused by Mono-polar Block Fault&lt;/_translated_title&gt;&lt;_url&gt;https://kns.cnki.net/kcms/detail/detail.aspx?FileName=GDYJ202110013&amp;amp;DbName=DKFX2021 _x000d__x000a_https://bar.cnki.net/bar/download/order?id=jBGETXBNdPImvx70aLAuJPYxPoFw%2bp%2bi0fIiSrcN6lWkV1tJa%2bxWNY0JklBMe8Tf%2bDdkDFepkUoGamH8rMrnz0GxVkq8YHJNz4jV3WhknTrl8E%2bCUVp5GtDTYhVF2dNUoJeGx62Ssygg68TNXJ%2b5JrigejDAar8Xqw%2f6WR22OFXUdUGh4At8VBYSvh%2fCUD5aWwr3RLRRtYESINzUbeq%2bhAl7yL%2fXgP2XIvFCNMl9HiP5LXYX1qwFXwOc1HUZT%2bTB _x000d__x000a_&lt;/_url&gt;&lt;_volume&gt;47&lt;/_volume&gt;&lt;/Details&gt;&lt;Extra&gt;&lt;DBUID&gt;{6891F4B0-DCBA-459A-9A22-3059983243D4}&lt;/DBUID&gt;&lt;/Extra&gt;&lt;/Item&gt;&lt;/References&gt;&lt;/Group&gt;&lt;Group&gt;&lt;References&gt;&lt;Item&gt;&lt;ID&gt;398&lt;/ID&gt;&lt;UID&gt;{509479E7-6337-45C5-8E8E-4054A7932204}&lt;/UID&gt;&lt;Title&gt;直流斩波器对抑制换相失败引发的弱送端电网暂态过电压的研究&lt;/Title&gt;&lt;Template&gt;Journal Article&lt;/Template&gt;&lt;Star&gt;0&lt;/Star&gt;&lt;Tag&gt;0&lt;/Tag&gt;&lt;Author&gt;刘博; 郭春义; 赵成勇&lt;/Author&gt;&lt;Year&gt;2019&lt;/Year&gt;&lt;Details&gt;&lt;_accessed&gt;64647189&lt;/_accessed&gt;&lt;_accession_num&gt;CSCD:6586701_x000d__x000a_ER&lt;/_accession_num&gt;&lt;_cited_count&gt;0&lt;/_cited_count&gt;&lt;_collection_scope&gt;CSCD;PKU;EI&lt;/_collection_scope&gt;&lt;_created&gt;63444588&lt;/_created&gt;&lt;_date_display&gt;2019, 2019&lt;/_date_display&gt;&lt;_db_provider&gt;ISI&lt;/_db_provider&gt;&lt;_isbn&gt;1000-3673&lt;/_isbn&gt;&lt;_issue&gt;10&lt;/_issue&gt;&lt;_journal&gt;电网技术&lt;/_journal&gt;&lt;_modified&gt;64647161&lt;/_modified&gt;&lt;_pages&gt;3578-3586&lt;/_pages&gt;&lt;_tertiary_title&gt;Power System Technology&lt;/_tertiary_title&gt;&lt;_translated_author&gt;Liu, Bo; Guo, Chunyi; Zhao, Chengyong&lt;/_translated_author&gt;&lt;_translated_title&gt;Research on DC Chopper in Suppressing Transient Overvoltage of Weak Sending Terminal Caused by Commutation Failure&lt;/_translated_title&gt;&lt;_url&gt;CSCD:6586701 _x000d__x000a_https://bar.cnki.net/bar/download/order?id=jBGETXBNdPImvx70aLAuJPYxPoFw%2bp%2bi0fIiSrcN6lU1n%2bKji%2fA8Owfk3zPJPaCXwURBIovEZWsxpaJNu72Rsqly%2bcoaUbxKfbohfVkk2oLl8E%2bCUVp5GtDTYhVF2dNUoJeGx62Ssygg68TNXJ%2b5JrigejDAar8Xqw%2f6WR22OFXUdUGh4At8VBYSvh%2fCUD5a%2bs1m%2byOzM0lM47hY9dlsTN5olmWhdNu4L0AgxFgo9HP5LXYX1qwFXwOc1HUZT%2bTB _x000d__x000a_&lt;/_url&gt;&lt;_volume&gt;43&lt;/_volume&gt;&lt;/Details&gt;&lt;Extra&gt;&lt;DBUID&gt;{6891F4B0-DCBA-459A-9A22-3059983243D4}&lt;/DBUID&gt;&lt;/Extra&gt;&lt;/Item&gt;&lt;/References&gt;&lt;/Group&gt;&lt;Group&gt;&lt;References&gt;&lt;Item&gt;&lt;ID&gt;880&lt;/ID&gt;&lt;UID&gt;{6720ED1C-F1BE-4CD6-A2F7-24FB77781EC7}&lt;/UID&gt;&lt;Title&gt;大规模高压直流输电系统闭锁故障下送端风电场高电压穿越的控制策略&lt;/Title&gt;&lt;Template&gt;Journal Article&lt;/Template&gt;&lt;Star&gt;0&lt;/Star&gt;&lt;Tag&gt;0&lt;/Tag&gt;&lt;Author&gt;韩平平; 张海天; 丁明; 张炎; 陈凌琦; 李宾宾&lt;/Author&gt;&lt;Year&gt;2018&lt;/Year&gt;&lt;Details&gt;&lt;_accessed&gt;64647190&lt;/_accessed&gt;&lt;_author_aff&gt;安徽省新能源利用与节能重点实验室(合肥工业大学);国网安徽省电力有限公司电力科学研究院;&lt;/_author_aff&gt;&lt;_cited_count&gt;36&lt;/_cited_count&gt;&lt;_collection_scope&gt;CSCD;PKU;EI&lt;/_collection_scope&gt;&lt;_created&gt;64646950&lt;/_created&gt;&lt;_date&gt;2018-01-12&lt;/_date&gt;&lt;_db_updated&gt;CNKI - Reference&lt;/_db_updated&gt;&lt;_issue&gt;04&lt;/_issue&gt;&lt;_journal&gt;电网技术&lt;/_journal&gt;&lt;_keywords&gt;高压直流输电;双馈感应发电机;直流闭锁;高电压穿越;协调控制策略&lt;/_keywords&gt;&lt;_modified&gt;64647191&lt;/_modified&gt;&lt;_pages&gt;1086-1095&lt;/_pages&gt;&lt;_tertiary_title&gt;Power System Technology&lt;/_tertiary_title&gt;&lt;_translated_author&gt;HAN, Pingping; ZHANG, Haitian; DING, Ming; ZHANG, Yan; CHEN, Lingqi; LI, Binbin&lt;/_translated_author&gt;&lt;_translated_title&gt;A Coordinated HVRT Strategy of Large-Scale Wind Power Transmitted With HVDC System&lt;/_translated_title&gt;&lt;_url&gt;https://kns.cnki.net/kcms/detail/detail.aspx?FileName=DWJS201804010&amp;amp;DbName=DKFX2018 _x000d__x000a_https://bar.cnki.net/bar/download/order?id=jBGETXBNdPImvx70aLAuJPYxPoFw%2bp%2bi0fIiSrcN6lVXoWh9I51KvJY42PSOwJH8NMzCyB7hda7A48JEX9bxsvxcK7E%2b1%2bNriIb3ea%2bN9O%2fl8E%2bCUVp5GtDTYhVF2dNUoJeGx62Ssygg68TNXJ%2b5JrigejDAar8Xqw%2f6WR22OFXUdUGh4At8VBYSvh%2fCUD5aitsY2SLtumRfFV9gu4Q1HAOta7rWke4Z875Bm%2fVVU1b5LXYX1qwFXwOc1HUZT%2bTB _x000d__x000a_https://bar.cnki.net/bar/download/order?id=jBGETXBNdPImvx70aLAuJPYxPoFw%2bp%2bi0fIiSrcN6lVXoWh9I51KvJY42PSOwJH8NMzCyB7hda7A48JEX9bxsvxcK7E%2b1%2bNriIb3ea%2bN9O%2fl8E%2bCUVp5GtDTYhVF2dNUoJeGx62Ssygg68TNXJ%2b5JrigejDAar8Xqw%2f6WR22OFXUdUGh4At8VBYSvh%2fCUD5a0sLzbaiFZx5FLl2osDURdKqZHyie2Ddw94BHMoP%2f3wL5LXYX1qwFXwOc1HUZT%2bTB _x000d__x000a_https://bar.cnki.net/bar/download/order?id=jBGETXBNdPImvx70aLAuJPYxPoFw%2bp%2bi0fIiSrcN6lVXoWh9I51KvJY42PSOwJH8NMzCyB7hda7A48JEX9bxsvxcK7E%2b1%2bNriIb3ea%2bN9O%2fl8E%2bCUVp5GtDTYhVF2dNUoJeGx62Ssygg68TNXJ%2b5JrigejDAar8Xqw%2f6WR22OFXUdUGh4At8VBYSvh%2fCUD5a%2fmQ4nP0lGn7KoBDCrAGtnJKzk2nEpXpjv48eWYbtnKv5LXYX1qwFXwOc1HUZT%2bTB _x000d__x000a_https://bar.cnki.net/bar/download/order?id=jBGETXBNdPImvx70aLAuJPYxPoFw%2bp%2bi0fIiSrcN6lVXoWh9I51KvJY42PSOwJH8NMzCyB7hda7A48JEX9bxsvxcK7E%2b1%2bNriIb3ea%2bN9O%2fl8E%2bCUVp5GtDTYhVF2dNUoJeGx62Ssygg68TNXJ%2b5JrigejDAar8Xqw%2f6WR22OFXUdUGh4At8VBYSvh%2fCUD5ausKudqDWcJNkuCunUVFyzqNKCnIOoNa4blBU9bYNq175LXYX1qwFXwOc1HUZT%2bTB _x000d__x000a_&lt;/_url&gt;&lt;_volume&gt;42&lt;/_volume&gt;&lt;/Details&gt;&lt;Extra&gt;&lt;DBUID&gt;{6891F4B0-DCBA-459A-9A22-3059983243D4}&lt;/DBUID&gt;&lt;/Extra&gt;&lt;/Item&gt;&lt;/References&gt;&lt;/Group&gt;&lt;/Citation&gt;_x000a_"/>
    <w:docVar w:name="NE.Ref{FF2C7F99-E877-4229-B8DA-68881E60C033}" w:val=" ADDIN NE.Ref.{FF2C7F99-E877-4229-B8DA-68881E60C033}&lt;Citation&gt;&lt;Group&gt;&lt;References&gt;&lt;Item&gt;&lt;ID&gt;575&lt;/ID&gt;&lt;UID&gt;{CD9AD7E9-0B57-46F0-BA58-F476D192894F}&lt;/UID&gt;&lt;Title&gt;Direct-Current Predictive Control Strategy for Inhibiting Commutation Failure in HVDC Converter&lt;/Title&gt;&lt;Template&gt;Journal Article&lt;/Template&gt;&lt;Star&gt;0&lt;/Star&gt;&lt;Tag&gt;0&lt;/Tag&gt;&lt;Author&gt;Wei, Zhinong; Yuan, Yang; Lei, Xiao; Wang, Huawei; Sun, Guoqiang; Sun, Yonghui&lt;/Author&gt;&lt;Year&gt;2014&lt;/Year&gt;&lt;Details&gt;&lt;_accessed&gt;63452775&lt;/_accessed&gt;&lt;_accession_num&gt;WOS:000341190700042_x000d__x000a_ER&lt;/_accession_num&gt;&lt;_cited_count&gt;63&lt;/_cited_count&gt;&lt;_collection_scope&gt;SCI;SCIE;EI&lt;/_collection_scope&gt;&lt;_created&gt;63444588&lt;/_created&gt;&lt;_date_display&gt;2014, SEP 2014&lt;/_date_display&gt;&lt;_db_provider&gt;ISI&lt;/_db_provider&gt;&lt;_doi&gt;10.1109/TPWRS.2014.2302010&lt;/_doi&gt;&lt;_impact_factor&gt;   6.074&lt;/_impact_factor&gt;&lt;_isbn&gt;0885-8950&lt;/_isbn&gt;&lt;_issue&gt;5&lt;/_issue&gt;&lt;_journal&gt;IEEE TRANSACTIONS ON POWER SYSTEMS&lt;/_journal&gt;&lt;_modified&gt;63445902&lt;/_modified&gt;&lt;_pages&gt;2409-2417&lt;/_pages&gt;&lt;_url&gt;http://gateway.isiknowledge.com/gateway/Gateway.cgi?GWVersion=2&amp;amp;SrcAuth=AegeanSoftware&amp;amp;SrcApp=NoteExpress&amp;amp;DestLinkType=FullRecord&amp;amp;DestApp=WOS&amp;amp;KeyUT=000341190700042 _x000d__x000a_https://ieeexplore.ieee.org/stampPDF/getPDF.jsp?tp=&amp;amp;arnumber=6734730&amp;amp;ref=aHR0cHM6Ly9pZWVleHBsb3JlLmllZWUub3JnL3Jlc3Qvc2VhcmNo _x000d__x000a_&lt;/_url&gt;&lt;_volume&gt;29&lt;/_volume&gt;&lt;/Details&gt;&lt;Extra&gt;&lt;DBUID&gt;{6891F4B0-DCBA-459A-9A22-3059983243D4}&lt;/DBUID&gt;&lt;/Extra&gt;&lt;/Item&gt;&lt;/References&gt;&lt;/Group&gt;&lt;Group&gt;&lt;References&gt;&lt;Item&gt;&lt;ID&gt;588&lt;/ID&gt;&lt;UID&gt;{518E78E1-6B30-4DCB-8DDE-D341CF7F52EC}&lt;/UID&gt;&lt;Title&gt;A DC Current Predictive Control Based Method to Decrease Probability of Commutation Failure&lt;/Title&gt;&lt;Template&gt;Journal Article&lt;/Template&gt;&lt;Star&gt;0&lt;/Star&gt;&lt;Tag&gt;0&lt;/Tag&gt;&lt;Author&gt;Yuan, Yang; Wei, Zhinong; Wang, Huawei; Lei, Xiao; Sun, Guoqiang&lt;/Author&gt;&lt;Year&gt;2014&lt;/Year&gt;&lt;Details&gt;&lt;_accessed&gt;63459161&lt;/_accessed&gt;&lt;_accession_num&gt;CSCD:5093090_x000d__x000a_ER&lt;/_accession_num&gt;&lt;_cited_count&gt;5&lt;/_cited_count&gt;&lt;_collection_scope&gt;CSCD;PKU;EI&lt;/_collection_scope&gt;&lt;_created&gt;63444588&lt;/_created&gt;&lt;_date_display&gt;2014, 2014&lt;/_date_display&gt;&lt;_db_provider&gt;ISI&lt;/_db_provider&gt;&lt;_isbn&gt;1000-3673&lt;/_isbn&gt;&lt;_issue&gt;3&lt;/_issue&gt;&lt;_journal&gt;Power System Technology&lt;/_journal&gt;&lt;_modified&gt;63459162&lt;/_modified&gt;&lt;_pages&gt;565-570&lt;/_pages&gt;&lt;_tertiary_title&gt;电网技术&lt;/_tertiary_title&gt;&lt;_translated_author&gt;袁阳; 卫志农; 王华伟; 雷霄; 孙国强&lt;/_translated_author&gt;&lt;_translated_title&gt;基于直流电流预测控制的换相失败预防方法&lt;/_translated_title&gt;&lt;_url&gt;CSCD:5093090 _x000d__x000a_https://kns.cnki.net/kns/download.aspx?filename=3h0TsNnavl3TO9UWqZERzhzKZhEeYRVWvFHaRRXbhp3VwhXN2BncOp3MQB1Sm5UeIR0drhXZGRETiR0VOtkQvITQ0cFR0Y1aBZ3MrRjQHN0RxhDZmhFaklXc3cFWNhnQiN1L65GMHJEO58mMUhUM5ZVUr10VzdXU&amp;amp;tablename=CJFD2014&amp;amp;dflag=pdfdown _x000d__x000a_&lt;/_url&gt;&lt;_volume&gt;38&lt;/_volume&gt;&lt;/Details&gt;&lt;Extra&gt;&lt;DBUID&gt;{6891F4B0-DCBA-459A-9A22-3059983243D4}&lt;/DBUID&gt;&lt;/Extra&gt;&lt;/Item&gt;&lt;/References&gt;&lt;/Group&gt;&lt;/Citation&gt;_x000a_"/>
    <w:docVar w:name="NE.Ref{FF2F2FD7-AF52-4192-8C43-3225AE459765}" w:val=" ADDIN NE.Ref.{FF2F2FD7-AF52-4192-8C43-3225AE459765}&lt;Citation&gt;&lt;Group&gt;&lt;References&gt;&lt;Item&gt;&lt;ID&gt;434&lt;/ID&gt;&lt;UID&gt;{68C43995-7FA1-49E7-8DA3-1BAECF46E645}&lt;/UID&gt;&lt;Title&gt;Coordinated Energy Management of Networked Microgrids in Distribution Systems&lt;/Title&gt;&lt;Template&gt;Journal Article&lt;/Template&gt;&lt;Star&gt;0&lt;/Star&gt;&lt;Tag&gt;0&lt;/Tag&gt;&lt;Author&gt;Wang, Z; Chen, B; Wang, J; Begovic, M M; Chen, C&lt;/Author&gt;&lt;Year&gt;2015&lt;/Year&gt;&lt;Details&gt;&lt;_collection_scope&gt;SCIE;EI&lt;/_collection_scope&gt;&lt;_created&gt;63649202&lt;/_created&gt;&lt;_impact_factor&gt;   8.267&lt;/_impact_factor&gt;&lt;_issue&gt;1&lt;/_issue&gt;&lt;_journal&gt;IEEE Transactions on Smart Grid&lt;/_journal&gt;&lt;_modified&gt;63649202&lt;/_modified&gt;&lt;_pages&gt;45-53&lt;/_pages&gt;&lt;_volume&gt;6&lt;/_volume&gt;&lt;/Details&gt;&lt;Extra&gt;&lt;DBUID&gt;{F96A950B-833F-4880-A151-76DA2D6A2879}&lt;/DBUID&gt;&lt;/Extra&gt;&lt;/Item&gt;&lt;/References&gt;&lt;/Group&gt;&lt;/Citation&gt;_x000a_"/>
    <w:docVar w:name="NE.Ref{FF480043-075E-435E-B6B4-A438115F7F6E}" w:val=" ADDIN NE.Ref.{FF480043-075E-435E-B6B4-A438115F7F6E}&lt;Citation&gt;&lt;Group&gt;&lt;References&gt;&lt;Item&gt;&lt;ID&gt;502&lt;/ID&gt;&lt;UID&gt;{60E908EE-EB9F-4161-8E99-BB6DAD9C46B6}&lt;/UID&gt;&lt;Title&gt;Adjustable robust solutions of uncertain linear programs&lt;/Title&gt;&lt;Template&gt;Journal Article&lt;/Template&gt;&lt;Star&gt;0&lt;/Star&gt;&lt;Tag&gt;0&lt;/Tag&gt;&lt;Author&gt;Ben-Tal, Aharon; Goryashko, A P; Guslitzer, E; Nemirovski, Arkadi&lt;/Author&gt;&lt;Year&gt;2004&lt;/Year&gt;&lt;Details&gt;&lt;_created&gt;63654530&lt;/_created&gt;&lt;_journal&gt;Mathematical Programming: Series A and B&lt;/_journal&gt;&lt;_modified&gt;63654530&lt;/_modified&gt;&lt;/Details&gt;&lt;Extra&gt;&lt;DBUID&gt;{F96A950B-833F-4880-A151-76DA2D6A2879}&lt;/DBUID&gt;&lt;/Extra&gt;&lt;/Item&gt;&lt;/References&gt;&lt;/Group&gt;&lt;Group&gt;&lt;References&gt;&lt;Item&gt;&lt;ID&gt;596&lt;/ID&gt;&lt;UID&gt;{E6D5A5EE-B148-4D6F-B537-8083E60E351E}&lt;/UID&gt;&lt;Title&gt;A multi-objective artificial sheep algorithm&lt;/Title&gt;&lt;Template&gt;Journal Article&lt;/Template&gt;&lt;Star&gt;0&lt;/Star&gt;&lt;Tag&gt;0&lt;/Tag&gt;&lt;Author&gt;Lai, Xinjie; Li, Chaoshun; Nan, Zhang; Zhou, Jianzhong&lt;/Author&gt;&lt;Year&gt;2019&lt;/Year&gt;&lt;Details&gt;&lt;_collection_scope&gt;SCIE;EI&lt;/_collection_scope&gt;&lt;_created&gt;63705136&lt;/_created&gt;&lt;_impact_factor&gt;   4.774&lt;/_impact_factor&gt;&lt;_issue&gt;1&lt;/_issue&gt;&lt;_journal&gt;Neural Computing &amp;amp; Applications&lt;/_journal&gt;&lt;_modified&gt;63705136&lt;/_modified&gt;&lt;_pages&gt;1-35&lt;/_pages&gt;&lt;_volume&gt;31&lt;/_volume&gt;&lt;/Details&gt;&lt;Extra&gt;&lt;DBUID&gt;{F96A950B-833F-4880-A151-76DA2D6A2879}&lt;/DBUID&gt;&lt;/Extra&gt;&lt;/Item&gt;&lt;/References&gt;&lt;/Group&gt;&lt;Group&gt;&lt;References&gt;&lt;Item&gt;&lt;ID&gt;597&lt;/ID&gt;&lt;UID&gt;{8D72A38F-E4CE-44E4-9B4D-673CF8320153}&lt;/UID&gt;&lt;Title&gt;Multi-Objective Volleyball Premier League algorithm&lt;/Title&gt;&lt;Template&gt;Journal Article&lt;/Template&gt;&lt;Star&gt;0&lt;/Star&gt;&lt;Tag&gt;0&lt;/Tag&gt;&lt;Author&gt;Moghdani, Reza; Salimifard, Khodakaram; Demir, Emrah; Benyettou, Abdelkader&lt;/Author&gt;&lt;Year&gt;2020&lt;/Year&gt;&lt;Details&gt;&lt;_collection_scope&gt;SCI;SCIE;EI&lt;/_collection_scope&gt;&lt;_created&gt;63705137&lt;/_created&gt;&lt;_impact_factor&gt;   5.921&lt;/_impact_factor&gt;&lt;_journal&gt;Knowledge-Based Systems&lt;/_journal&gt;&lt;_modified&gt;63705137&lt;/_modified&gt;&lt;_pages&gt;105781&lt;/_pages&gt;&lt;_volume&gt;196&lt;/_volume&gt;&lt;/Details&gt;&lt;Extra&gt;&lt;DBUID&gt;{F96A950B-833F-4880-A151-76DA2D6A2879}&lt;/DBUID&gt;&lt;/Extra&gt;&lt;/Item&gt;&lt;/References&gt;&lt;/Group&gt;&lt;Group&gt;&lt;References&gt;&lt;Item&gt;&lt;ID&gt;598&lt;/ID&gt;&lt;UID&gt;{931E1CA3-47D2-4203-A851-EF9188460CF0}&lt;/UID&gt;&lt;Title&gt;On Multicast Routing With Network Coding: A Multiobjective Artificial Bee Colony Algorithm&lt;/Title&gt;&lt;Template&gt;Journal Article&lt;/Template&gt;&lt;Star&gt;0&lt;/Star&gt;&lt;Tag&gt;0&lt;/Tag&gt;&lt;Author&gt;Xing, Huanlai; Song, Fuhong; Yan, Lianshan; Pan, Wei&lt;/Author&gt;&lt;Year&gt;2019&lt;/Year&gt;&lt;Details&gt;&lt;_created&gt;63705137&lt;/_created&gt;&lt;_issue&gt;2&lt;/_issue&gt;&lt;_journal&gt;中国通信&lt;/_journal&gt;&lt;_modified&gt;63705137&lt;/_modified&gt;&lt;_pages&gt;170-186&lt;/_pages&gt;&lt;_volume&gt;16&lt;/_volume&gt;&lt;/Details&gt;&lt;Extra&gt;&lt;DBUID&gt;{F96A950B-833F-4880-A151-76DA2D6A2879}&lt;/DBUID&gt;&lt;/Extra&gt;&lt;/Item&gt;&lt;/References&gt;&lt;/Group&gt;&lt;/Citation&gt;_x000a_"/>
    <w:docVar w:name="NE.Ref{FF564BDA-474A-4B97-B55F-7D6911200DBF}" w:val=" ADDIN NE.Ref.{FF564BDA-474A-4B97-B55F-7D6911200DBF}&lt;Citation&gt;&lt;Group&gt;&lt;References&gt;&lt;Item&gt;&lt;ID&gt;492&lt;/ID&gt;&lt;UID&gt;{278B9380-B66D-44BC-9659-11DDD1223EEE}&lt;/UID&gt;&lt;Title&gt;直流换相失败及恢复过程暂态无功特性及控制参数影响&lt;/Title&gt;&lt;Template&gt;Journal Article&lt;/Template&gt;&lt;Star&gt;0&lt;/Star&gt;&lt;Tag&gt;0&lt;/Tag&gt;&lt;Author&gt;屠竞哲; 张健; 曾兵; 刘明松; 易俊; 卜广全&lt;/Author&gt;&lt;Year&gt;2017&lt;/Year&gt;&lt;Details&gt;&lt;_accessed&gt;63445933&lt;/_accessed&gt;&lt;_accession_num&gt;CSCD:6030739_x000d__x000a_ER&lt;/_accession_num&gt;&lt;_cited_count&gt;4&lt;/_cited_count&gt;&lt;_collection_scope&gt;CSCD;PKU;EI&lt;/_collection_scope&gt;&lt;_created&gt;63444588&lt;/_created&gt;&lt;_date_display&gt;2017, 2017&lt;/_date_display&gt;&lt;_db_provider&gt;ISI&lt;/_db_provider&gt;&lt;_isbn&gt;1003-6520&lt;/_isbn&gt;&lt;_issue&gt;1003-6520(2017)43:7&amp;lt;2131:ZLHXSB&amp;gt;2.0.TX;2-37&lt;/_issue&gt;&lt;_journal&gt;高电压技术&lt;/_journal&gt;&lt;_modified&gt;63468727&lt;/_modified&gt;&lt;_pages&gt;2131-2139&lt;/_pages&gt;&lt;_tertiary_title&gt;High Voltage Engineering&lt;/_tertiary_title&gt;&lt;_translated_author&gt;Tu, Jingzhe; Zhang, Jian; Zeng, Bing; Liu, Mingsong; Yi, Jun; Bu, Guangquan&lt;/_translated_author&gt;&lt;_translated_title&gt;HVDC Transient Reactive Power Characteristics and Impact of Control System Parameters During Commutation Failure and Recovery&lt;/_translated_title&gt;&lt;_url&gt;CSCD:6030739 _x000d__x000a_https://kns.cnki.net/kcms/download.aspx?filename=QllSSRWZhJjdkh0YVJDePlmT2NVUVlVUzoVeBNHa5hmQahVbt5GZqR0RIdTU4kDeX5WR5UVa4pHVPBldO50TaNXUFhFd6hGS5RlcNxUVRdXTKlWOhJnT3kzVWZjcxczZOFnT5skTFdzc5V0KBhDTPFzMwwGN3Rma&amp;amp;tablename=CJFDLAST2017&amp;amp;dflag=pdfdown _x000d__x000a_&lt;/_url&gt;&lt;_volume&gt;43&lt;/_volume&gt;&lt;/Details&gt;&lt;Extra&gt;&lt;DBUID&gt;{6891F4B0-DCBA-459A-9A22-3059983243D4}&lt;/DBUID&gt;&lt;/Extra&gt;&lt;/Item&gt;&lt;/References&gt;&lt;/Group&gt;&lt;/Citation&gt;_x000a_"/>
    <w:docVar w:name="NE.Ref{FFB9F385-7501-486B-ADCF-7F6B2F6983AE}" w:val=" ADDIN NE.Ref.{FFB9F385-7501-486B-ADCF-7F6B2F6983AE}&lt;Citation&gt;&lt;Group&gt;&lt;References&gt;&lt;Item&gt;&lt;ID&gt;499&lt;/ID&gt;&lt;UID&gt;{C2137746-83C1-48C4-8198-3134E6A5D371}&lt;/UID&gt;&lt;Title&gt;基于主从博弈的工业园区综合能源系统互动优化运行方法&lt;/Title&gt;&lt;Template&gt;Journal Article&lt;/Template&gt;&lt;Star&gt;0&lt;/Star&gt;&lt;Tag&gt;0&lt;/Tag&gt;&lt;Author&gt;周长城; 马溪原; 郭晓斌; 雷金勇&lt;/Author&gt;&lt;Year&gt;2019&lt;/Year&gt;&lt;Details&gt;&lt;_author_adr&gt;南方电网科学研究院有限责任公司;&lt;/_author_adr&gt;&lt;_collection_scope&gt;CSCD;PKU;EI&lt;/_collection_scope&gt;&lt;_created&gt;63652010&lt;/_created&gt;&lt;_db_provider&gt;CNKI&lt;/_db_provider&gt;&lt;_isbn&gt;1000-1026&lt;/_isbn&gt;&lt;_issue&gt;07&lt;/_issue&gt;&lt;_journal&gt;电力系统自动化&lt;/_journal&gt;&lt;_keywords&gt;综合能源系统;多参与主体;Stackelberg主从博弈;经济运行;辅助服务&lt;/_keywords&gt;&lt;_modified&gt;63652010&lt;/_modified&gt;&lt;_pages&gt;74-84&lt;/_pages&gt;&lt;_volume&gt;43&lt;/_volume&gt;&lt;_translated_author&gt;Zhou, Zhangcheng;Ma, Xiyuan;Guo, Xiaobin;Lei, Jinyong&lt;/_translated_author&gt;&lt;/Details&gt;&lt;Extra&gt;&lt;DBUID&gt;{F96A950B-833F-4880-A151-76DA2D6A2879}&lt;/DBUID&gt;&lt;/Extra&gt;&lt;/Item&gt;&lt;/References&gt;&lt;/Group&gt;&lt;Group&gt;&lt;References&gt;&lt;Item&gt;&lt;ID&gt;497&lt;/ID&gt;&lt;UID&gt;{E7F96EEC-24B7-4BE4-BE42-C70D5D384360}&lt;/UID&gt;&lt;Title&gt;基于供需双侧博弈互动的园区多能运营商能源交易优化决策&lt;/Title&gt;&lt;Template&gt;Journal Article&lt;/Template&gt;&lt;Star&gt;0&lt;/Star&gt;&lt;Tag&gt;0&lt;/Tag&gt;&lt;Author&gt;向恩民; 高红均; 刘畅; 刘友波; 刘俊勇&lt;/Author&gt;&lt;Year&gt;0&lt;/Year&gt;&lt;Details&gt;&lt;_author_adr&gt;四川大学电气工程学院;&lt;/_author_adr&gt;&lt;_collection_scope&gt;CSCD;PKU;EI&lt;/_collection_scope&gt;&lt;_created&gt;63651895&lt;/_created&gt;&lt;_db_provider&gt;CNKI&lt;/_db_provider&gt;&lt;_isbn&gt;0258-8013&lt;/_isbn&gt;&lt;_journal&gt;中国电机工程学报&lt;/_journal&gt;&lt;_keywords&gt;园区运营商;综合能源系统;Stackelberg博弈;互动交易;日前调度&lt;/_keywords&gt;&lt;_modified&gt;63651895&lt;/_modified&gt;&lt;_pages&gt;1-13&lt;/_pages&gt;&lt;_translated_author&gt;Xiang, Enmin;Gao, Hongjun;Liu, Chang;Liu, Youbo;Liu, Junyong&lt;/_translated_author&gt;&lt;/Details&gt;&lt;Extra&gt;&lt;DBUID&gt;{F96A950B-833F-4880-A151-76DA2D6A2879}&lt;/DBUID&gt;&lt;/Extra&gt;&lt;/Item&gt;&lt;/References&gt;&lt;/Group&gt;&lt;/Citation&gt;_x000a_"/>
    <w:docVar w:name="ne_docsoft" w:val="MSWord"/>
    <w:docVar w:name="ne_docversion" w:val="NoteExpress 2.0"/>
    <w:docVar w:name="ne_stylename" w:val="IEEE TRANSACTIONS ON INDUSTRIAL ELECTRONICS"/>
  </w:docVars>
  <w:rsids>
    <w:rsidRoot w:val="00CE6A98"/>
    <w:rsid w:val="000038A1"/>
    <w:rsid w:val="00010DA0"/>
    <w:rsid w:val="00017905"/>
    <w:rsid w:val="00030243"/>
    <w:rsid w:val="00031882"/>
    <w:rsid w:val="00035A9F"/>
    <w:rsid w:val="00036557"/>
    <w:rsid w:val="00053A4B"/>
    <w:rsid w:val="0006490B"/>
    <w:rsid w:val="000914C7"/>
    <w:rsid w:val="00093929"/>
    <w:rsid w:val="000B2C64"/>
    <w:rsid w:val="000C105D"/>
    <w:rsid w:val="000E1AC8"/>
    <w:rsid w:val="000E1D4B"/>
    <w:rsid w:val="000F78D0"/>
    <w:rsid w:val="001108BD"/>
    <w:rsid w:val="0017117D"/>
    <w:rsid w:val="00171857"/>
    <w:rsid w:val="001A348D"/>
    <w:rsid w:val="001A63DA"/>
    <w:rsid w:val="001B4CBD"/>
    <w:rsid w:val="00201FC2"/>
    <w:rsid w:val="002026EF"/>
    <w:rsid w:val="00204C84"/>
    <w:rsid w:val="00223E0A"/>
    <w:rsid w:val="00231173"/>
    <w:rsid w:val="00237D29"/>
    <w:rsid w:val="0024330C"/>
    <w:rsid w:val="00272786"/>
    <w:rsid w:val="00275DA4"/>
    <w:rsid w:val="0028322E"/>
    <w:rsid w:val="00293301"/>
    <w:rsid w:val="002A25D0"/>
    <w:rsid w:val="002A6759"/>
    <w:rsid w:val="002C38F6"/>
    <w:rsid w:val="002E36EB"/>
    <w:rsid w:val="002E5AF5"/>
    <w:rsid w:val="002E61AC"/>
    <w:rsid w:val="003121FB"/>
    <w:rsid w:val="00315E59"/>
    <w:rsid w:val="003279ED"/>
    <w:rsid w:val="00342975"/>
    <w:rsid w:val="0035605F"/>
    <w:rsid w:val="00384201"/>
    <w:rsid w:val="0039085B"/>
    <w:rsid w:val="003B1AA7"/>
    <w:rsid w:val="003E64CC"/>
    <w:rsid w:val="003F3EA1"/>
    <w:rsid w:val="0042306C"/>
    <w:rsid w:val="004234AB"/>
    <w:rsid w:val="00424237"/>
    <w:rsid w:val="004310B9"/>
    <w:rsid w:val="004718C6"/>
    <w:rsid w:val="004755ED"/>
    <w:rsid w:val="004918DD"/>
    <w:rsid w:val="004967BF"/>
    <w:rsid w:val="004B3B80"/>
    <w:rsid w:val="004B6E95"/>
    <w:rsid w:val="004C6B4E"/>
    <w:rsid w:val="004D636F"/>
    <w:rsid w:val="004E017B"/>
    <w:rsid w:val="004E7762"/>
    <w:rsid w:val="00503BDA"/>
    <w:rsid w:val="00503DE8"/>
    <w:rsid w:val="0052681E"/>
    <w:rsid w:val="00544BA5"/>
    <w:rsid w:val="005722D1"/>
    <w:rsid w:val="0057455B"/>
    <w:rsid w:val="00583A24"/>
    <w:rsid w:val="005A0504"/>
    <w:rsid w:val="005A7AF1"/>
    <w:rsid w:val="005C2DE9"/>
    <w:rsid w:val="005C5B5F"/>
    <w:rsid w:val="005E5696"/>
    <w:rsid w:val="005F3E6A"/>
    <w:rsid w:val="005F6769"/>
    <w:rsid w:val="00606F6B"/>
    <w:rsid w:val="00610CE6"/>
    <w:rsid w:val="006475EC"/>
    <w:rsid w:val="00664C76"/>
    <w:rsid w:val="00671D87"/>
    <w:rsid w:val="00673964"/>
    <w:rsid w:val="0068180C"/>
    <w:rsid w:val="006A0443"/>
    <w:rsid w:val="006A2C07"/>
    <w:rsid w:val="006C7275"/>
    <w:rsid w:val="006E6E8A"/>
    <w:rsid w:val="006F17E5"/>
    <w:rsid w:val="00724FCC"/>
    <w:rsid w:val="007269A0"/>
    <w:rsid w:val="00735E5B"/>
    <w:rsid w:val="00737199"/>
    <w:rsid w:val="00746189"/>
    <w:rsid w:val="00746EA7"/>
    <w:rsid w:val="00766ECE"/>
    <w:rsid w:val="007A03D1"/>
    <w:rsid w:val="007A1C11"/>
    <w:rsid w:val="007A2FD0"/>
    <w:rsid w:val="007B2FDC"/>
    <w:rsid w:val="007C6D9F"/>
    <w:rsid w:val="007D5393"/>
    <w:rsid w:val="007F77B8"/>
    <w:rsid w:val="00816C25"/>
    <w:rsid w:val="008171F5"/>
    <w:rsid w:val="0082647D"/>
    <w:rsid w:val="008268F8"/>
    <w:rsid w:val="00826E06"/>
    <w:rsid w:val="00832590"/>
    <w:rsid w:val="00844329"/>
    <w:rsid w:val="008455EE"/>
    <w:rsid w:val="00851E15"/>
    <w:rsid w:val="00857720"/>
    <w:rsid w:val="008677B0"/>
    <w:rsid w:val="00880F74"/>
    <w:rsid w:val="008847AC"/>
    <w:rsid w:val="008A4079"/>
    <w:rsid w:val="008B0258"/>
    <w:rsid w:val="008C62B4"/>
    <w:rsid w:val="008D7F54"/>
    <w:rsid w:val="008E79B9"/>
    <w:rsid w:val="008F2A44"/>
    <w:rsid w:val="008F3C97"/>
    <w:rsid w:val="008F6578"/>
    <w:rsid w:val="00911544"/>
    <w:rsid w:val="00934207"/>
    <w:rsid w:val="00943DAE"/>
    <w:rsid w:val="00943F47"/>
    <w:rsid w:val="00960A46"/>
    <w:rsid w:val="00964DB4"/>
    <w:rsid w:val="009940C5"/>
    <w:rsid w:val="00994426"/>
    <w:rsid w:val="009C3D1B"/>
    <w:rsid w:val="009C71F1"/>
    <w:rsid w:val="009D0C72"/>
    <w:rsid w:val="009D70F7"/>
    <w:rsid w:val="00A15A8D"/>
    <w:rsid w:val="00A1706D"/>
    <w:rsid w:val="00A30483"/>
    <w:rsid w:val="00A37E9B"/>
    <w:rsid w:val="00A45DD3"/>
    <w:rsid w:val="00A54739"/>
    <w:rsid w:val="00A75FF4"/>
    <w:rsid w:val="00A777A4"/>
    <w:rsid w:val="00A835E6"/>
    <w:rsid w:val="00A876DE"/>
    <w:rsid w:val="00AA083F"/>
    <w:rsid w:val="00AB6ED7"/>
    <w:rsid w:val="00AC443D"/>
    <w:rsid w:val="00AC4AB6"/>
    <w:rsid w:val="00B02581"/>
    <w:rsid w:val="00B03E21"/>
    <w:rsid w:val="00B34DB5"/>
    <w:rsid w:val="00B408E6"/>
    <w:rsid w:val="00B420F7"/>
    <w:rsid w:val="00B54C3D"/>
    <w:rsid w:val="00B62785"/>
    <w:rsid w:val="00B62C66"/>
    <w:rsid w:val="00B66209"/>
    <w:rsid w:val="00B74C2B"/>
    <w:rsid w:val="00B84725"/>
    <w:rsid w:val="00B862D1"/>
    <w:rsid w:val="00B93722"/>
    <w:rsid w:val="00B96816"/>
    <w:rsid w:val="00BB21C3"/>
    <w:rsid w:val="00BB36E5"/>
    <w:rsid w:val="00BC53A1"/>
    <w:rsid w:val="00BC71E9"/>
    <w:rsid w:val="00BD30FF"/>
    <w:rsid w:val="00BD3737"/>
    <w:rsid w:val="00BE3342"/>
    <w:rsid w:val="00BF6939"/>
    <w:rsid w:val="00BF75B8"/>
    <w:rsid w:val="00C009BB"/>
    <w:rsid w:val="00C20B5A"/>
    <w:rsid w:val="00C43A76"/>
    <w:rsid w:val="00C5136A"/>
    <w:rsid w:val="00C52DF8"/>
    <w:rsid w:val="00C534C3"/>
    <w:rsid w:val="00C80FFF"/>
    <w:rsid w:val="00C92589"/>
    <w:rsid w:val="00CA4824"/>
    <w:rsid w:val="00CA7256"/>
    <w:rsid w:val="00CC1448"/>
    <w:rsid w:val="00CC295D"/>
    <w:rsid w:val="00CD7BC3"/>
    <w:rsid w:val="00CE6A98"/>
    <w:rsid w:val="00CF4A57"/>
    <w:rsid w:val="00D04A5C"/>
    <w:rsid w:val="00D16C65"/>
    <w:rsid w:val="00D41395"/>
    <w:rsid w:val="00D92021"/>
    <w:rsid w:val="00D934D3"/>
    <w:rsid w:val="00DA5515"/>
    <w:rsid w:val="00DB312C"/>
    <w:rsid w:val="00DB3710"/>
    <w:rsid w:val="00DB4D1C"/>
    <w:rsid w:val="00DC0DA8"/>
    <w:rsid w:val="00DC714C"/>
    <w:rsid w:val="00DE390A"/>
    <w:rsid w:val="00DF7494"/>
    <w:rsid w:val="00E117A2"/>
    <w:rsid w:val="00E14C7E"/>
    <w:rsid w:val="00E40216"/>
    <w:rsid w:val="00E6190E"/>
    <w:rsid w:val="00E704B8"/>
    <w:rsid w:val="00E7200D"/>
    <w:rsid w:val="00E91C59"/>
    <w:rsid w:val="00EB535C"/>
    <w:rsid w:val="00EC26A9"/>
    <w:rsid w:val="00ED79D7"/>
    <w:rsid w:val="00F30D26"/>
    <w:rsid w:val="00F3127C"/>
    <w:rsid w:val="00F46604"/>
    <w:rsid w:val="00F46A1E"/>
    <w:rsid w:val="00F51EEE"/>
    <w:rsid w:val="00F62059"/>
    <w:rsid w:val="00F734E9"/>
    <w:rsid w:val="00F7415F"/>
    <w:rsid w:val="00F806F6"/>
    <w:rsid w:val="00F965C5"/>
    <w:rsid w:val="00FA6705"/>
    <w:rsid w:val="00FD0538"/>
    <w:rsid w:val="00FD4BA8"/>
    <w:rsid w:val="016E364A"/>
    <w:rsid w:val="0208294E"/>
    <w:rsid w:val="05591C6E"/>
    <w:rsid w:val="056D304A"/>
    <w:rsid w:val="05F80DBF"/>
    <w:rsid w:val="06D01FD2"/>
    <w:rsid w:val="07045BFF"/>
    <w:rsid w:val="071C3F9C"/>
    <w:rsid w:val="073C4082"/>
    <w:rsid w:val="079F3080"/>
    <w:rsid w:val="080F78F9"/>
    <w:rsid w:val="081D52ED"/>
    <w:rsid w:val="089C5FB6"/>
    <w:rsid w:val="0A12645E"/>
    <w:rsid w:val="0A7E66D9"/>
    <w:rsid w:val="0BF845B8"/>
    <w:rsid w:val="0C18297A"/>
    <w:rsid w:val="0C925A75"/>
    <w:rsid w:val="0CD62CB5"/>
    <w:rsid w:val="0D5E7824"/>
    <w:rsid w:val="0DD26630"/>
    <w:rsid w:val="0E3C619F"/>
    <w:rsid w:val="0F2A788A"/>
    <w:rsid w:val="0F30580C"/>
    <w:rsid w:val="0F88261D"/>
    <w:rsid w:val="0FC3143A"/>
    <w:rsid w:val="0FC95811"/>
    <w:rsid w:val="11143791"/>
    <w:rsid w:val="12AE1FE2"/>
    <w:rsid w:val="131E7C21"/>
    <w:rsid w:val="14841FFE"/>
    <w:rsid w:val="14CD2523"/>
    <w:rsid w:val="15127432"/>
    <w:rsid w:val="15FE0523"/>
    <w:rsid w:val="160C46A9"/>
    <w:rsid w:val="16383B80"/>
    <w:rsid w:val="16C81114"/>
    <w:rsid w:val="176C050A"/>
    <w:rsid w:val="17D0693C"/>
    <w:rsid w:val="19645017"/>
    <w:rsid w:val="199D1AA9"/>
    <w:rsid w:val="19AD41BB"/>
    <w:rsid w:val="1A1A3F6A"/>
    <w:rsid w:val="1A8A566B"/>
    <w:rsid w:val="1B1437F8"/>
    <w:rsid w:val="1B4C29E2"/>
    <w:rsid w:val="1B6C00C4"/>
    <w:rsid w:val="1CC72A08"/>
    <w:rsid w:val="1D022EAF"/>
    <w:rsid w:val="1D3A0D0E"/>
    <w:rsid w:val="1DE3628D"/>
    <w:rsid w:val="1E325377"/>
    <w:rsid w:val="1E52115F"/>
    <w:rsid w:val="1EBF529E"/>
    <w:rsid w:val="1F4D3D26"/>
    <w:rsid w:val="1FAB3C7D"/>
    <w:rsid w:val="20444254"/>
    <w:rsid w:val="20D83B19"/>
    <w:rsid w:val="220C4B9F"/>
    <w:rsid w:val="22BC2B0B"/>
    <w:rsid w:val="24190C44"/>
    <w:rsid w:val="24673368"/>
    <w:rsid w:val="253D487F"/>
    <w:rsid w:val="25A31FEC"/>
    <w:rsid w:val="26EB02E7"/>
    <w:rsid w:val="2732129A"/>
    <w:rsid w:val="27A65A0D"/>
    <w:rsid w:val="289C18BC"/>
    <w:rsid w:val="28A173CD"/>
    <w:rsid w:val="28B44BB3"/>
    <w:rsid w:val="28DD5B9B"/>
    <w:rsid w:val="28FC0D5D"/>
    <w:rsid w:val="299327C4"/>
    <w:rsid w:val="29DA6B40"/>
    <w:rsid w:val="2A093DE1"/>
    <w:rsid w:val="2A3A7293"/>
    <w:rsid w:val="2BFF381A"/>
    <w:rsid w:val="2C4B3138"/>
    <w:rsid w:val="2CCD003B"/>
    <w:rsid w:val="2CD51841"/>
    <w:rsid w:val="2D1C594E"/>
    <w:rsid w:val="2D452246"/>
    <w:rsid w:val="2DA11B54"/>
    <w:rsid w:val="2E137AF6"/>
    <w:rsid w:val="2EBA7539"/>
    <w:rsid w:val="2EF1666C"/>
    <w:rsid w:val="2F9C15F4"/>
    <w:rsid w:val="30CE431A"/>
    <w:rsid w:val="312C5FD1"/>
    <w:rsid w:val="3161613E"/>
    <w:rsid w:val="31F64E24"/>
    <w:rsid w:val="32A93F66"/>
    <w:rsid w:val="33301251"/>
    <w:rsid w:val="338E3DCB"/>
    <w:rsid w:val="33B76D3A"/>
    <w:rsid w:val="34364B99"/>
    <w:rsid w:val="346314F8"/>
    <w:rsid w:val="349A4A14"/>
    <w:rsid w:val="34D11BBA"/>
    <w:rsid w:val="36877185"/>
    <w:rsid w:val="37931012"/>
    <w:rsid w:val="38E74AF1"/>
    <w:rsid w:val="39D013C6"/>
    <w:rsid w:val="3AB3452E"/>
    <w:rsid w:val="3B144D0E"/>
    <w:rsid w:val="3BF43905"/>
    <w:rsid w:val="3C3022CE"/>
    <w:rsid w:val="3C7725A0"/>
    <w:rsid w:val="3E692402"/>
    <w:rsid w:val="3EA87B21"/>
    <w:rsid w:val="3EB254C0"/>
    <w:rsid w:val="3F10197B"/>
    <w:rsid w:val="40E1089D"/>
    <w:rsid w:val="410B4283"/>
    <w:rsid w:val="41B61282"/>
    <w:rsid w:val="42091F7A"/>
    <w:rsid w:val="428F0ADA"/>
    <w:rsid w:val="42A3418F"/>
    <w:rsid w:val="44045764"/>
    <w:rsid w:val="4410417E"/>
    <w:rsid w:val="443C7BDA"/>
    <w:rsid w:val="44A74802"/>
    <w:rsid w:val="44BC6BB1"/>
    <w:rsid w:val="451608A7"/>
    <w:rsid w:val="45492DFC"/>
    <w:rsid w:val="45E21764"/>
    <w:rsid w:val="466B7347"/>
    <w:rsid w:val="467429D4"/>
    <w:rsid w:val="46D21700"/>
    <w:rsid w:val="46D73EE2"/>
    <w:rsid w:val="48E221A4"/>
    <w:rsid w:val="48E55FAA"/>
    <w:rsid w:val="49DF52EF"/>
    <w:rsid w:val="4A521A63"/>
    <w:rsid w:val="4B8A1B12"/>
    <w:rsid w:val="4BD83B8E"/>
    <w:rsid w:val="4C152974"/>
    <w:rsid w:val="4CD11285"/>
    <w:rsid w:val="4DDF75E4"/>
    <w:rsid w:val="4EE84B09"/>
    <w:rsid w:val="4F5B7566"/>
    <w:rsid w:val="50675E7E"/>
    <w:rsid w:val="52007A66"/>
    <w:rsid w:val="52996963"/>
    <w:rsid w:val="53C1166D"/>
    <w:rsid w:val="55402F1C"/>
    <w:rsid w:val="5607553E"/>
    <w:rsid w:val="56827865"/>
    <w:rsid w:val="568E2BBF"/>
    <w:rsid w:val="56BD6FA2"/>
    <w:rsid w:val="56FD10D0"/>
    <w:rsid w:val="5767110B"/>
    <w:rsid w:val="578D303B"/>
    <w:rsid w:val="57F92CA5"/>
    <w:rsid w:val="58874450"/>
    <w:rsid w:val="58D11441"/>
    <w:rsid w:val="58D26B99"/>
    <w:rsid w:val="58E05B04"/>
    <w:rsid w:val="5A3538C2"/>
    <w:rsid w:val="5A871B1D"/>
    <w:rsid w:val="5A8A2D1C"/>
    <w:rsid w:val="5B524D39"/>
    <w:rsid w:val="5B891493"/>
    <w:rsid w:val="5C6E4062"/>
    <w:rsid w:val="5CA14F59"/>
    <w:rsid w:val="5D431DEC"/>
    <w:rsid w:val="5D435378"/>
    <w:rsid w:val="5D7D7FA3"/>
    <w:rsid w:val="5D9E0743"/>
    <w:rsid w:val="5DB46D11"/>
    <w:rsid w:val="5DC7164D"/>
    <w:rsid w:val="5DFB390A"/>
    <w:rsid w:val="5E115065"/>
    <w:rsid w:val="5EB62D9F"/>
    <w:rsid w:val="5EF754E1"/>
    <w:rsid w:val="5F383213"/>
    <w:rsid w:val="602B200B"/>
    <w:rsid w:val="604F208F"/>
    <w:rsid w:val="607A3CF8"/>
    <w:rsid w:val="60A52CFD"/>
    <w:rsid w:val="60AA4662"/>
    <w:rsid w:val="61420AEC"/>
    <w:rsid w:val="614F7059"/>
    <w:rsid w:val="616C0229"/>
    <w:rsid w:val="62562501"/>
    <w:rsid w:val="63551F68"/>
    <w:rsid w:val="635B6484"/>
    <w:rsid w:val="63763D0A"/>
    <w:rsid w:val="63E020A7"/>
    <w:rsid w:val="643B404E"/>
    <w:rsid w:val="659409C5"/>
    <w:rsid w:val="65BD6EBF"/>
    <w:rsid w:val="65C120CD"/>
    <w:rsid w:val="65C763DD"/>
    <w:rsid w:val="66F03F68"/>
    <w:rsid w:val="67273A35"/>
    <w:rsid w:val="69326925"/>
    <w:rsid w:val="694824C8"/>
    <w:rsid w:val="6A5D6751"/>
    <w:rsid w:val="6A8959C7"/>
    <w:rsid w:val="6B065627"/>
    <w:rsid w:val="6B23167C"/>
    <w:rsid w:val="6B301493"/>
    <w:rsid w:val="6BC21BAA"/>
    <w:rsid w:val="6BD35FF0"/>
    <w:rsid w:val="6C2C4E9F"/>
    <w:rsid w:val="6CBF49A8"/>
    <w:rsid w:val="6CF7730C"/>
    <w:rsid w:val="6D5A6D83"/>
    <w:rsid w:val="6D9479C8"/>
    <w:rsid w:val="6D956DF0"/>
    <w:rsid w:val="6DA31913"/>
    <w:rsid w:val="6DA52425"/>
    <w:rsid w:val="6E855A4F"/>
    <w:rsid w:val="6EE67C90"/>
    <w:rsid w:val="6F3F50FF"/>
    <w:rsid w:val="6FCF38F2"/>
    <w:rsid w:val="70FA32CB"/>
    <w:rsid w:val="71440E53"/>
    <w:rsid w:val="72175630"/>
    <w:rsid w:val="727E528C"/>
    <w:rsid w:val="72A4049A"/>
    <w:rsid w:val="72F07C93"/>
    <w:rsid w:val="736B1B84"/>
    <w:rsid w:val="73D83DFA"/>
    <w:rsid w:val="73F718FB"/>
    <w:rsid w:val="752D5343"/>
    <w:rsid w:val="77546FC8"/>
    <w:rsid w:val="78231AD8"/>
    <w:rsid w:val="785F0CA4"/>
    <w:rsid w:val="78643617"/>
    <w:rsid w:val="79170808"/>
    <w:rsid w:val="79A00D76"/>
    <w:rsid w:val="79C8388C"/>
    <w:rsid w:val="79DE4E5E"/>
    <w:rsid w:val="7A394AA1"/>
    <w:rsid w:val="7A7E2662"/>
    <w:rsid w:val="7A907CEC"/>
    <w:rsid w:val="7B553AC0"/>
    <w:rsid w:val="7BEB370E"/>
    <w:rsid w:val="7C2B0D47"/>
    <w:rsid w:val="7C8B2109"/>
    <w:rsid w:val="7C915D1A"/>
    <w:rsid w:val="7CAE5385"/>
    <w:rsid w:val="7CDC1533"/>
    <w:rsid w:val="7D487C71"/>
    <w:rsid w:val="7D9962F8"/>
    <w:rsid w:val="7E622212"/>
    <w:rsid w:val="7EF969D1"/>
    <w:rsid w:val="7F0A029B"/>
    <w:rsid w:val="7FC249FE"/>
    <w:rsid w:val="7FC330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0" w:semiHidden="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uiPriority="0" w:name="toc 3"/>
    <w:lsdException w:uiPriority="0" w:name="toc 4"/>
    <w:lsdException w:uiPriority="0" w:name="toc 5"/>
    <w:lsdException w:qFormat="1" w:uiPriority="39" w:semiHidden="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qFormat="1" w:uiPriority="0" w:semiHidden="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iPriority="99" w:semiHidden="0" w:name="Date"/>
    <w:lsdException w:qFormat="1" w:uiPriority="99" w:semiHidden="0" w:name="Body Text First Indent"/>
    <w:lsdException w:qFormat="1" w:uiPriority="99" w:semiHidden="0" w:name="Body Text First Indent 2"/>
    <w:lsdException w:qFormat="1" w:unhideWhenUsed="0" w:uiPriority="0" w:semiHidden="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qFormat="1" w:unhideWhenUsed="0" w:uiPriority="99" w:semiHidden="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link w:val="40"/>
    <w:qFormat/>
    <w:uiPriority w:val="0"/>
    <w:pPr>
      <w:keepNext/>
      <w:keepLines/>
      <w:snapToGrid w:val="0"/>
      <w:spacing w:before="40" w:after="40" w:line="576" w:lineRule="auto"/>
      <w:jc w:val="center"/>
      <w:outlineLvl w:val="0"/>
    </w:pPr>
    <w:rPr>
      <w:rFonts w:ascii="Times New Roman" w:hAnsi="Times New Roman" w:cs="Times New Roman"/>
      <w:b/>
      <w:kern w:val="44"/>
      <w:sz w:val="32"/>
      <w:szCs w:val="22"/>
    </w:rPr>
  </w:style>
  <w:style w:type="paragraph" w:styleId="3">
    <w:name w:val="heading 2"/>
    <w:basedOn w:val="1"/>
    <w:next w:val="1"/>
    <w:link w:val="41"/>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42"/>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link w:val="43"/>
    <w:qFormat/>
    <w:uiPriority w:val="9"/>
    <w:pPr>
      <w:ind w:left="116"/>
      <w:outlineLvl w:val="3"/>
    </w:pPr>
    <w:rPr>
      <w:rFonts w:ascii="宋体" w:hAnsi="宋体"/>
      <w:sz w:val="24"/>
    </w:rPr>
  </w:style>
  <w:style w:type="paragraph" w:styleId="6">
    <w:name w:val="heading 5"/>
    <w:basedOn w:val="1"/>
    <w:next w:val="1"/>
    <w:link w:val="44"/>
    <w:qFormat/>
    <w:uiPriority w:val="1"/>
    <w:pPr>
      <w:ind w:right="158"/>
      <w:jc w:val="center"/>
      <w:outlineLvl w:val="4"/>
    </w:pPr>
    <w:rPr>
      <w:rFonts w:ascii="仿宋" w:hAnsi="仿宋" w:eastAsia="仿宋" w:cs="仿宋"/>
      <w:b/>
      <w:bCs/>
      <w:sz w:val="28"/>
      <w:szCs w:val="28"/>
      <w:lang w:val="zh-CN" w:bidi="zh-CN"/>
    </w:rPr>
  </w:style>
  <w:style w:type="paragraph" w:styleId="7">
    <w:name w:val="heading 6"/>
    <w:basedOn w:val="1"/>
    <w:next w:val="1"/>
    <w:link w:val="45"/>
    <w:qFormat/>
    <w:uiPriority w:val="1"/>
    <w:pPr>
      <w:spacing w:before="61"/>
      <w:outlineLvl w:val="5"/>
    </w:pPr>
    <w:rPr>
      <w:rFonts w:ascii="仿宋" w:hAnsi="仿宋" w:eastAsia="仿宋" w:cs="仿宋"/>
      <w:sz w:val="28"/>
      <w:szCs w:val="28"/>
      <w:lang w:val="zh-CN" w:bidi="zh-CN"/>
    </w:rPr>
  </w:style>
  <w:style w:type="paragraph" w:styleId="8">
    <w:name w:val="heading 7"/>
    <w:basedOn w:val="1"/>
    <w:next w:val="1"/>
    <w:link w:val="46"/>
    <w:qFormat/>
    <w:uiPriority w:val="1"/>
    <w:pPr>
      <w:ind w:left="360"/>
      <w:outlineLvl w:val="6"/>
    </w:pPr>
    <w:rPr>
      <w:rFonts w:ascii="仿宋" w:hAnsi="仿宋" w:eastAsia="仿宋" w:cs="仿宋"/>
      <w:b/>
      <w:bCs/>
      <w:sz w:val="24"/>
      <w:lang w:val="zh-CN" w:bidi="zh-CN"/>
    </w:rPr>
  </w:style>
  <w:style w:type="paragraph" w:styleId="9">
    <w:name w:val="heading 8"/>
    <w:basedOn w:val="1"/>
    <w:next w:val="1"/>
    <w:link w:val="47"/>
    <w:qFormat/>
    <w:uiPriority w:val="0"/>
    <w:pPr>
      <w:keepNext/>
      <w:keepLines/>
      <w:spacing w:before="240" w:after="64" w:line="320" w:lineRule="auto"/>
      <w:outlineLvl w:val="7"/>
    </w:pPr>
    <w:rPr>
      <w:rFonts w:ascii="Calibri Light" w:hAnsi="Calibri Light"/>
      <w:sz w:val="24"/>
    </w:rPr>
  </w:style>
  <w:style w:type="character" w:default="1" w:styleId="33">
    <w:name w:val="Default Paragraph Font"/>
    <w:unhideWhenUsed/>
    <w:qFormat/>
    <w:uiPriority w:val="1"/>
  </w:style>
  <w:style w:type="table" w:default="1" w:styleId="31">
    <w:name w:val="Normal Table"/>
    <w:unhideWhenUsed/>
    <w:qFormat/>
    <w:uiPriority w:val="99"/>
    <w:tblPr>
      <w:tblCellMar>
        <w:top w:w="0" w:type="dxa"/>
        <w:left w:w="108" w:type="dxa"/>
        <w:bottom w:w="0" w:type="dxa"/>
        <w:right w:w="108" w:type="dxa"/>
      </w:tblCellMar>
    </w:tblPr>
  </w:style>
  <w:style w:type="paragraph" w:styleId="10">
    <w:name w:val="Note Heading"/>
    <w:basedOn w:val="1"/>
    <w:next w:val="1"/>
    <w:link w:val="48"/>
    <w:qFormat/>
    <w:uiPriority w:val="0"/>
    <w:pPr>
      <w:jc w:val="center"/>
    </w:pPr>
    <w:rPr>
      <w:rFonts w:ascii="Times New Roman" w:hAnsi="Times New Roman" w:cs="Times New Roman"/>
    </w:rPr>
  </w:style>
  <w:style w:type="paragraph" w:styleId="11">
    <w:name w:val="Normal Indent"/>
    <w:basedOn w:val="1"/>
    <w:qFormat/>
    <w:uiPriority w:val="99"/>
    <w:pPr>
      <w:autoSpaceDE w:val="0"/>
      <w:autoSpaceDN w:val="0"/>
      <w:adjustRightInd w:val="0"/>
      <w:ind w:firstLine="420"/>
      <w:jc w:val="left"/>
    </w:pPr>
    <w:rPr>
      <w:rFonts w:ascii="宋体"/>
      <w:kern w:val="0"/>
      <w:sz w:val="24"/>
      <w:szCs w:val="20"/>
    </w:rPr>
  </w:style>
  <w:style w:type="paragraph" w:styleId="12">
    <w:name w:val="caption"/>
    <w:basedOn w:val="1"/>
    <w:next w:val="1"/>
    <w:unhideWhenUsed/>
    <w:qFormat/>
    <w:uiPriority w:val="35"/>
    <w:rPr>
      <w:rFonts w:ascii="Cambria" w:hAnsi="Cambria" w:eastAsia="黑体" w:cs="Times New Roman"/>
      <w:sz w:val="20"/>
      <w:szCs w:val="20"/>
    </w:rPr>
  </w:style>
  <w:style w:type="paragraph" w:styleId="13">
    <w:name w:val="annotation text"/>
    <w:basedOn w:val="1"/>
    <w:link w:val="49"/>
    <w:qFormat/>
    <w:uiPriority w:val="0"/>
    <w:pPr>
      <w:jc w:val="left"/>
    </w:pPr>
  </w:style>
  <w:style w:type="paragraph" w:styleId="14">
    <w:name w:val="Body Text"/>
    <w:basedOn w:val="1"/>
    <w:link w:val="50"/>
    <w:qFormat/>
    <w:uiPriority w:val="0"/>
    <w:rPr>
      <w:rFonts w:ascii="楷体" w:hAnsi="楷体" w:eastAsia="楷体" w:cs="楷体"/>
      <w:sz w:val="24"/>
      <w:lang w:val="zh-CN" w:bidi="zh-CN"/>
    </w:rPr>
  </w:style>
  <w:style w:type="paragraph" w:styleId="15">
    <w:name w:val="Body Text Indent"/>
    <w:basedOn w:val="1"/>
    <w:next w:val="1"/>
    <w:link w:val="51"/>
    <w:qFormat/>
    <w:uiPriority w:val="0"/>
    <w:pPr>
      <w:tabs>
        <w:tab w:val="left" w:pos="3075"/>
      </w:tabs>
      <w:adjustRightInd w:val="0"/>
      <w:snapToGrid w:val="0"/>
      <w:spacing w:line="420" w:lineRule="exact"/>
      <w:ind w:firstLine="538" w:firstLineChars="207"/>
    </w:pPr>
    <w:rPr>
      <w:rFonts w:ascii="仿宋_GB2312" w:hAnsi="华文中宋" w:eastAsia="仿宋_GB2312"/>
      <w:bCs/>
      <w:color w:val="000000"/>
      <w:spacing w:val="-10"/>
      <w:sz w:val="24"/>
    </w:rPr>
  </w:style>
  <w:style w:type="paragraph" w:styleId="16">
    <w:name w:val="Plain Text"/>
    <w:basedOn w:val="1"/>
    <w:next w:val="17"/>
    <w:link w:val="52"/>
    <w:qFormat/>
    <w:uiPriority w:val="0"/>
    <w:rPr>
      <w:rFonts w:ascii="宋体" w:hAnsi="Courier New"/>
      <w:szCs w:val="22"/>
    </w:rPr>
  </w:style>
  <w:style w:type="paragraph" w:styleId="17">
    <w:name w:val="List Number 5"/>
    <w:basedOn w:val="1"/>
    <w:next w:val="1"/>
    <w:unhideWhenUsed/>
    <w:qFormat/>
    <w:uiPriority w:val="0"/>
    <w:pPr>
      <w:numPr>
        <w:ilvl w:val="0"/>
        <w:numId w:val="1"/>
      </w:numPr>
    </w:pPr>
  </w:style>
  <w:style w:type="paragraph" w:styleId="18">
    <w:name w:val="Date"/>
    <w:basedOn w:val="1"/>
    <w:next w:val="1"/>
    <w:link w:val="53"/>
    <w:unhideWhenUsed/>
    <w:qFormat/>
    <w:uiPriority w:val="99"/>
    <w:pPr>
      <w:ind w:left="100" w:leftChars="2500"/>
    </w:pPr>
    <w:rPr>
      <w:rFonts w:ascii="Times New Roman" w:hAnsi="Times New Roman" w:cs="Times New Roman"/>
    </w:rPr>
  </w:style>
  <w:style w:type="paragraph" w:styleId="19">
    <w:name w:val="Body Text Indent 2"/>
    <w:basedOn w:val="1"/>
    <w:link w:val="54"/>
    <w:qFormat/>
    <w:uiPriority w:val="0"/>
    <w:pPr>
      <w:ind w:firstLine="480"/>
    </w:pPr>
    <w:rPr>
      <w:rFonts w:ascii="宋体" w:hAnsi="宋体" w:cs="Times New Roman"/>
      <w:sz w:val="30"/>
    </w:rPr>
  </w:style>
  <w:style w:type="paragraph" w:styleId="20">
    <w:name w:val="Balloon Text"/>
    <w:basedOn w:val="1"/>
    <w:link w:val="55"/>
    <w:qFormat/>
    <w:uiPriority w:val="0"/>
    <w:rPr>
      <w:sz w:val="18"/>
      <w:szCs w:val="18"/>
    </w:rPr>
  </w:style>
  <w:style w:type="paragraph" w:styleId="21">
    <w:name w:val="footer"/>
    <w:basedOn w:val="1"/>
    <w:link w:val="56"/>
    <w:qFormat/>
    <w:uiPriority w:val="99"/>
    <w:pPr>
      <w:tabs>
        <w:tab w:val="center" w:pos="4153"/>
        <w:tab w:val="right" w:pos="8306"/>
      </w:tabs>
      <w:snapToGrid w:val="0"/>
      <w:jc w:val="left"/>
    </w:pPr>
    <w:rPr>
      <w:sz w:val="18"/>
      <w:szCs w:val="18"/>
    </w:rPr>
  </w:style>
  <w:style w:type="paragraph" w:styleId="22">
    <w:name w:val="header"/>
    <w:basedOn w:val="1"/>
    <w:link w:val="5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toc 1"/>
    <w:basedOn w:val="1"/>
    <w:next w:val="1"/>
    <w:qFormat/>
    <w:uiPriority w:val="39"/>
  </w:style>
  <w:style w:type="paragraph" w:styleId="24">
    <w:name w:val="Subtitle"/>
    <w:basedOn w:val="1"/>
    <w:next w:val="1"/>
    <w:link w:val="58"/>
    <w:qFormat/>
    <w:uiPriority w:val="0"/>
    <w:pPr>
      <w:spacing w:before="240" w:after="60" w:line="312" w:lineRule="auto"/>
      <w:jc w:val="center"/>
      <w:outlineLvl w:val="1"/>
    </w:pPr>
    <w:rPr>
      <w:rFonts w:ascii="Calibri Light" w:hAnsi="Calibri Light"/>
      <w:b/>
      <w:bCs/>
      <w:kern w:val="28"/>
      <w:sz w:val="32"/>
      <w:szCs w:val="32"/>
    </w:rPr>
  </w:style>
  <w:style w:type="paragraph" w:styleId="25">
    <w:name w:val="toc 6"/>
    <w:next w:val="1"/>
    <w:unhideWhenUsed/>
    <w:qFormat/>
    <w:uiPriority w:val="39"/>
    <w:pPr>
      <w:widowControl w:val="0"/>
      <w:ind w:left="2100" w:leftChars="1000"/>
      <w:jc w:val="both"/>
    </w:pPr>
    <w:rPr>
      <w:rFonts w:ascii="Calibri" w:hAnsi="Calibri" w:eastAsia="宋体" w:cs="Times New Roman"/>
      <w:kern w:val="2"/>
      <w:sz w:val="21"/>
      <w:szCs w:val="22"/>
      <w:lang w:val="en-US" w:eastAsia="zh-CN" w:bidi="ar-SA"/>
    </w:rPr>
  </w:style>
  <w:style w:type="paragraph" w:styleId="26">
    <w:name w:val="Normal (Web)"/>
    <w:basedOn w:val="1"/>
    <w:qFormat/>
    <w:uiPriority w:val="99"/>
    <w:pPr>
      <w:spacing w:before="100" w:beforeAutospacing="1" w:after="100" w:afterAutospacing="1"/>
      <w:jc w:val="left"/>
    </w:pPr>
    <w:rPr>
      <w:rFonts w:ascii="Times New Roman" w:hAnsi="Times New Roman" w:cs="Times New Roman"/>
      <w:kern w:val="0"/>
      <w:sz w:val="24"/>
    </w:rPr>
  </w:style>
  <w:style w:type="paragraph" w:styleId="27">
    <w:name w:val="Title"/>
    <w:basedOn w:val="1"/>
    <w:next w:val="1"/>
    <w:link w:val="59"/>
    <w:qFormat/>
    <w:uiPriority w:val="0"/>
    <w:pPr>
      <w:spacing w:before="240" w:after="60"/>
      <w:jc w:val="center"/>
      <w:outlineLvl w:val="0"/>
    </w:pPr>
    <w:rPr>
      <w:rFonts w:ascii="等线 Light" w:hAnsi="等线 Light" w:cs="Times New Roman"/>
      <w:b/>
      <w:bCs/>
      <w:sz w:val="32"/>
      <w:szCs w:val="32"/>
    </w:rPr>
  </w:style>
  <w:style w:type="paragraph" w:styleId="28">
    <w:name w:val="annotation subject"/>
    <w:basedOn w:val="13"/>
    <w:next w:val="13"/>
    <w:link w:val="60"/>
    <w:qFormat/>
    <w:uiPriority w:val="0"/>
    <w:rPr>
      <w:b/>
      <w:bCs/>
    </w:rPr>
  </w:style>
  <w:style w:type="paragraph" w:styleId="29">
    <w:name w:val="Body Text First Indent"/>
    <w:basedOn w:val="14"/>
    <w:next w:val="25"/>
    <w:unhideWhenUsed/>
    <w:qFormat/>
    <w:uiPriority w:val="99"/>
    <w:pPr>
      <w:ind w:firstLine="420" w:firstLineChars="100"/>
    </w:pPr>
    <w:rPr>
      <w:rFonts w:ascii="Calibri" w:hAnsi="Calibri" w:eastAsia="宋体" w:cs="Times New Roman"/>
      <w:kern w:val="2"/>
      <w:sz w:val="21"/>
      <w:szCs w:val="22"/>
    </w:rPr>
  </w:style>
  <w:style w:type="paragraph" w:styleId="30">
    <w:name w:val="Body Text First Indent 2"/>
    <w:basedOn w:val="15"/>
    <w:next w:val="29"/>
    <w:unhideWhenUsed/>
    <w:qFormat/>
    <w:uiPriority w:val="99"/>
    <w:pPr>
      <w:ind w:firstLine="420" w:firstLineChars="200"/>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rPr>
  </w:style>
  <w:style w:type="character" w:styleId="35">
    <w:name w:val="page number"/>
    <w:basedOn w:val="33"/>
    <w:qFormat/>
    <w:uiPriority w:val="0"/>
  </w:style>
  <w:style w:type="character" w:styleId="36">
    <w:name w:val="Emphasis"/>
    <w:basedOn w:val="33"/>
    <w:qFormat/>
    <w:uiPriority w:val="0"/>
    <w:rPr>
      <w:i/>
    </w:rPr>
  </w:style>
  <w:style w:type="character" w:styleId="37">
    <w:name w:val="Hyperlink"/>
    <w:basedOn w:val="33"/>
    <w:qFormat/>
    <w:uiPriority w:val="99"/>
    <w:rPr>
      <w:color w:val="0563C1"/>
      <w:u w:val="single"/>
    </w:rPr>
  </w:style>
  <w:style w:type="character" w:styleId="38">
    <w:name w:val="annotation reference"/>
    <w:basedOn w:val="33"/>
    <w:qFormat/>
    <w:uiPriority w:val="0"/>
    <w:rPr>
      <w:sz w:val="21"/>
      <w:szCs w:val="21"/>
    </w:rPr>
  </w:style>
  <w:style w:type="character" w:styleId="39">
    <w:name w:val="HTML Sample"/>
    <w:basedOn w:val="33"/>
    <w:qFormat/>
    <w:uiPriority w:val="99"/>
    <w:rPr>
      <w:rFonts w:ascii="宋体" w:hAnsi="宋体" w:eastAsia="宋体" w:cs="宋体"/>
    </w:rPr>
  </w:style>
  <w:style w:type="character" w:customStyle="1" w:styleId="40">
    <w:name w:val="标题 1 字符"/>
    <w:basedOn w:val="33"/>
    <w:link w:val="2"/>
    <w:qFormat/>
    <w:uiPriority w:val="0"/>
    <w:rPr>
      <w:b/>
      <w:kern w:val="44"/>
      <w:sz w:val="32"/>
      <w:szCs w:val="22"/>
    </w:rPr>
  </w:style>
  <w:style w:type="character" w:customStyle="1" w:styleId="41">
    <w:name w:val="标题 2 字符"/>
    <w:basedOn w:val="33"/>
    <w:link w:val="3"/>
    <w:qFormat/>
    <w:uiPriority w:val="0"/>
    <w:rPr>
      <w:rFonts w:ascii="Arial" w:hAnsi="Arial" w:eastAsia="黑体" w:cs="Arial"/>
      <w:b/>
      <w:bCs/>
      <w:kern w:val="2"/>
      <w:sz w:val="32"/>
      <w:szCs w:val="32"/>
    </w:rPr>
  </w:style>
  <w:style w:type="character" w:customStyle="1" w:styleId="42">
    <w:name w:val="标题 3 字符1"/>
    <w:basedOn w:val="33"/>
    <w:link w:val="4"/>
    <w:qFormat/>
    <w:uiPriority w:val="0"/>
    <w:rPr>
      <w:b/>
      <w:bCs/>
      <w:kern w:val="2"/>
      <w:sz w:val="32"/>
      <w:szCs w:val="32"/>
    </w:rPr>
  </w:style>
  <w:style w:type="character" w:customStyle="1" w:styleId="43">
    <w:name w:val="标题 4 字符1"/>
    <w:basedOn w:val="33"/>
    <w:link w:val="5"/>
    <w:qFormat/>
    <w:uiPriority w:val="0"/>
    <w:rPr>
      <w:rFonts w:hint="default" w:ascii="Arial" w:hAnsi="Arial" w:cs="Arial"/>
      <w:b/>
      <w:bCs/>
      <w:kern w:val="2"/>
      <w:sz w:val="28"/>
      <w:szCs w:val="28"/>
    </w:rPr>
  </w:style>
  <w:style w:type="character" w:customStyle="1" w:styleId="44">
    <w:name w:val="标题 5 字符"/>
    <w:basedOn w:val="33"/>
    <w:link w:val="6"/>
    <w:qFormat/>
    <w:uiPriority w:val="1"/>
    <w:rPr>
      <w:rFonts w:ascii="仿宋" w:hAnsi="仿宋" w:eastAsia="仿宋" w:cs="仿宋"/>
      <w:b/>
      <w:bCs/>
      <w:kern w:val="2"/>
      <w:sz w:val="28"/>
      <w:szCs w:val="28"/>
      <w:lang w:val="zh-CN" w:bidi="zh-CN"/>
    </w:rPr>
  </w:style>
  <w:style w:type="character" w:customStyle="1" w:styleId="45">
    <w:name w:val="标题 6 字符"/>
    <w:basedOn w:val="33"/>
    <w:link w:val="7"/>
    <w:qFormat/>
    <w:uiPriority w:val="1"/>
    <w:rPr>
      <w:rFonts w:ascii="仿宋" w:hAnsi="仿宋" w:eastAsia="仿宋" w:cs="仿宋"/>
      <w:kern w:val="2"/>
      <w:sz w:val="28"/>
      <w:szCs w:val="28"/>
      <w:lang w:val="zh-CN" w:bidi="zh-CN"/>
    </w:rPr>
  </w:style>
  <w:style w:type="character" w:customStyle="1" w:styleId="46">
    <w:name w:val="标题 7 字符"/>
    <w:basedOn w:val="33"/>
    <w:link w:val="8"/>
    <w:qFormat/>
    <w:uiPriority w:val="1"/>
    <w:rPr>
      <w:rFonts w:ascii="仿宋" w:hAnsi="仿宋" w:eastAsia="仿宋" w:cs="仿宋"/>
      <w:b/>
      <w:bCs/>
      <w:kern w:val="2"/>
      <w:sz w:val="24"/>
      <w:szCs w:val="24"/>
      <w:lang w:val="zh-CN" w:bidi="zh-CN"/>
    </w:rPr>
  </w:style>
  <w:style w:type="character" w:customStyle="1" w:styleId="47">
    <w:name w:val="标题 8 字符"/>
    <w:basedOn w:val="33"/>
    <w:link w:val="9"/>
    <w:qFormat/>
    <w:uiPriority w:val="0"/>
    <w:rPr>
      <w:rFonts w:ascii="Calibri Light" w:hAnsi="Calibri Light" w:eastAsia="宋体" w:cs="宋体"/>
      <w:kern w:val="2"/>
      <w:sz w:val="24"/>
      <w:szCs w:val="24"/>
    </w:rPr>
  </w:style>
  <w:style w:type="character" w:customStyle="1" w:styleId="48">
    <w:name w:val="注释标题 字符"/>
    <w:basedOn w:val="33"/>
    <w:link w:val="10"/>
    <w:qFormat/>
    <w:uiPriority w:val="0"/>
    <w:rPr>
      <w:kern w:val="2"/>
      <w:sz w:val="21"/>
      <w:szCs w:val="24"/>
    </w:rPr>
  </w:style>
  <w:style w:type="character" w:customStyle="1" w:styleId="49">
    <w:name w:val="批注文字 字符1"/>
    <w:basedOn w:val="33"/>
    <w:link w:val="13"/>
    <w:qFormat/>
    <w:uiPriority w:val="0"/>
    <w:rPr>
      <w:kern w:val="2"/>
      <w:sz w:val="21"/>
      <w:szCs w:val="24"/>
    </w:rPr>
  </w:style>
  <w:style w:type="character" w:customStyle="1" w:styleId="50">
    <w:name w:val="正文文本 字符1"/>
    <w:basedOn w:val="33"/>
    <w:link w:val="14"/>
    <w:qFormat/>
    <w:uiPriority w:val="0"/>
    <w:rPr>
      <w:kern w:val="2"/>
      <w:sz w:val="21"/>
      <w:szCs w:val="24"/>
    </w:rPr>
  </w:style>
  <w:style w:type="character" w:customStyle="1" w:styleId="51">
    <w:name w:val="正文文本缩进 字符"/>
    <w:link w:val="15"/>
    <w:qFormat/>
    <w:uiPriority w:val="0"/>
    <w:rPr>
      <w:rFonts w:ascii="仿宋_GB2312" w:hAnsi="华文中宋" w:eastAsia="仿宋_GB2312" w:cs="宋体"/>
      <w:bCs/>
      <w:color w:val="000000"/>
      <w:spacing w:val="-10"/>
      <w:kern w:val="2"/>
      <w:sz w:val="24"/>
      <w:szCs w:val="24"/>
    </w:rPr>
  </w:style>
  <w:style w:type="character" w:customStyle="1" w:styleId="52">
    <w:name w:val="纯文本 字符"/>
    <w:basedOn w:val="33"/>
    <w:link w:val="16"/>
    <w:qFormat/>
    <w:uiPriority w:val="0"/>
    <w:rPr>
      <w:rFonts w:ascii="宋体" w:hAnsi="Courier New" w:eastAsia="宋体" w:cs="宋体"/>
      <w:kern w:val="2"/>
      <w:sz w:val="21"/>
      <w:szCs w:val="22"/>
    </w:rPr>
  </w:style>
  <w:style w:type="character" w:customStyle="1" w:styleId="53">
    <w:name w:val="日期 字符"/>
    <w:basedOn w:val="33"/>
    <w:link w:val="18"/>
    <w:semiHidden/>
    <w:qFormat/>
    <w:uiPriority w:val="99"/>
    <w:rPr>
      <w:rFonts w:ascii="Times New Roman" w:hAnsi="Times New Roman" w:cs="Times New Roman"/>
      <w:kern w:val="2"/>
      <w:sz w:val="21"/>
      <w:szCs w:val="24"/>
    </w:rPr>
  </w:style>
  <w:style w:type="character" w:customStyle="1" w:styleId="54">
    <w:name w:val="正文文本缩进 2 字符1"/>
    <w:basedOn w:val="33"/>
    <w:link w:val="19"/>
    <w:qFormat/>
    <w:uiPriority w:val="0"/>
    <w:rPr>
      <w:rFonts w:hint="eastAsia" w:ascii="宋体" w:hAnsi="宋体" w:eastAsia="宋体" w:cs="宋体"/>
      <w:kern w:val="2"/>
      <w:sz w:val="30"/>
      <w:szCs w:val="24"/>
    </w:rPr>
  </w:style>
  <w:style w:type="character" w:customStyle="1" w:styleId="55">
    <w:name w:val="批注框文本 字符"/>
    <w:basedOn w:val="33"/>
    <w:link w:val="20"/>
    <w:qFormat/>
    <w:uiPriority w:val="0"/>
    <w:rPr>
      <w:rFonts w:ascii="Calibri" w:hAnsi="Calibri" w:eastAsia="宋体" w:cs="宋体"/>
      <w:kern w:val="2"/>
      <w:sz w:val="18"/>
      <w:szCs w:val="18"/>
    </w:rPr>
  </w:style>
  <w:style w:type="character" w:customStyle="1" w:styleId="56">
    <w:name w:val="页脚 字符2"/>
    <w:basedOn w:val="33"/>
    <w:link w:val="21"/>
    <w:qFormat/>
    <w:uiPriority w:val="0"/>
    <w:rPr>
      <w:kern w:val="2"/>
      <w:sz w:val="18"/>
      <w:szCs w:val="18"/>
    </w:rPr>
  </w:style>
  <w:style w:type="character" w:customStyle="1" w:styleId="57">
    <w:name w:val="页眉 字符1"/>
    <w:basedOn w:val="33"/>
    <w:link w:val="22"/>
    <w:qFormat/>
    <w:uiPriority w:val="0"/>
    <w:rPr>
      <w:kern w:val="2"/>
      <w:sz w:val="18"/>
      <w:szCs w:val="18"/>
    </w:rPr>
  </w:style>
  <w:style w:type="character" w:customStyle="1" w:styleId="58">
    <w:name w:val="副标题 字符"/>
    <w:basedOn w:val="33"/>
    <w:link w:val="24"/>
    <w:qFormat/>
    <w:uiPriority w:val="0"/>
    <w:rPr>
      <w:rFonts w:ascii="Calibri Light" w:hAnsi="Calibri Light" w:cs="宋体"/>
      <w:b/>
      <w:bCs/>
      <w:kern w:val="28"/>
      <w:sz w:val="32"/>
      <w:szCs w:val="32"/>
    </w:rPr>
  </w:style>
  <w:style w:type="character" w:customStyle="1" w:styleId="59">
    <w:name w:val="标题 字符"/>
    <w:basedOn w:val="33"/>
    <w:link w:val="27"/>
    <w:qFormat/>
    <w:uiPriority w:val="0"/>
    <w:rPr>
      <w:rFonts w:ascii="等线 Light" w:hAnsi="等线 Light"/>
      <w:b/>
      <w:bCs/>
      <w:kern w:val="2"/>
      <w:sz w:val="32"/>
      <w:szCs w:val="32"/>
    </w:rPr>
  </w:style>
  <w:style w:type="character" w:customStyle="1" w:styleId="60">
    <w:name w:val="批注主题 字符1"/>
    <w:basedOn w:val="49"/>
    <w:link w:val="28"/>
    <w:qFormat/>
    <w:uiPriority w:val="0"/>
    <w:rPr>
      <w:b/>
      <w:bCs/>
      <w:kern w:val="2"/>
      <w:sz w:val="21"/>
      <w:szCs w:val="24"/>
    </w:rPr>
  </w:style>
  <w:style w:type="character" w:customStyle="1" w:styleId="61">
    <w:name w:val="页脚 字符1"/>
    <w:basedOn w:val="33"/>
    <w:qFormat/>
    <w:uiPriority w:val="99"/>
    <w:rPr>
      <w:rFonts w:ascii="Calibri" w:hAnsi="Calibri" w:eastAsia="宋体" w:cs="宋体"/>
      <w:kern w:val="2"/>
      <w:sz w:val="18"/>
      <w:szCs w:val="18"/>
    </w:rPr>
  </w:style>
  <w:style w:type="character" w:customStyle="1" w:styleId="62">
    <w:name w:val="标题 3 字符"/>
    <w:basedOn w:val="33"/>
    <w:qFormat/>
    <w:uiPriority w:val="0"/>
    <w:rPr>
      <w:rFonts w:ascii="宋体" w:hAnsi="Calibri" w:eastAsia="宋体" w:cs="宋体"/>
      <w:b/>
      <w:sz w:val="24"/>
      <w:u w:val="single"/>
    </w:rPr>
  </w:style>
  <w:style w:type="character" w:customStyle="1" w:styleId="63">
    <w:name w:val="正文文本 字符"/>
    <w:basedOn w:val="33"/>
    <w:qFormat/>
    <w:uiPriority w:val="0"/>
    <w:rPr>
      <w:rFonts w:ascii="楷体" w:hAnsi="楷体" w:eastAsia="楷体" w:cs="楷体"/>
      <w:kern w:val="2"/>
      <w:sz w:val="24"/>
      <w:szCs w:val="24"/>
      <w:lang w:val="zh-CN" w:bidi="zh-CN"/>
    </w:rPr>
  </w:style>
  <w:style w:type="character" w:customStyle="1" w:styleId="64">
    <w:name w:val="页眉 字符"/>
    <w:basedOn w:val="33"/>
    <w:qFormat/>
    <w:uiPriority w:val="99"/>
    <w:rPr>
      <w:rFonts w:ascii="Calibri" w:hAnsi="Calibri" w:eastAsia="宋体" w:cs="宋体"/>
      <w:kern w:val="2"/>
      <w:sz w:val="18"/>
      <w:szCs w:val="24"/>
    </w:rPr>
  </w:style>
  <w:style w:type="paragraph" w:customStyle="1" w:styleId="65">
    <w:name w:val="表格文字2"/>
    <w:basedOn w:val="66"/>
    <w:qFormat/>
    <w:uiPriority w:val="99"/>
    <w:pPr>
      <w:spacing w:before="25" w:after="25"/>
      <w:jc w:val="left"/>
    </w:pPr>
    <w:rPr>
      <w:bCs/>
      <w:spacing w:val="10"/>
      <w:kern w:val="0"/>
    </w:rPr>
  </w:style>
  <w:style w:type="paragraph" w:customStyle="1" w:styleId="66">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67">
    <w:name w:val="列出段落1"/>
    <w:basedOn w:val="1"/>
    <w:qFormat/>
    <w:uiPriority w:val="34"/>
    <w:pPr>
      <w:ind w:firstLine="420" w:firstLineChars="200"/>
    </w:pPr>
  </w:style>
  <w:style w:type="paragraph" w:customStyle="1" w:styleId="68">
    <w:name w:val="正文_3_0"/>
    <w:basedOn w:val="69"/>
    <w:next w:val="70"/>
    <w:qFormat/>
    <w:uiPriority w:val="0"/>
    <w:rPr>
      <w:rFonts w:ascii="Calibri" w:hAnsi="Calibri" w:cs="Calibri"/>
      <w:szCs w:val="21"/>
    </w:rPr>
  </w:style>
  <w:style w:type="paragraph" w:customStyle="1" w:styleId="69">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
    <w:name w:val="页脚_2"/>
    <w:basedOn w:val="71"/>
    <w:qFormat/>
    <w:uiPriority w:val="0"/>
    <w:pPr>
      <w:tabs>
        <w:tab w:val="center" w:pos="4153"/>
        <w:tab w:val="right" w:pos="8306"/>
      </w:tabs>
      <w:snapToGrid w:val="0"/>
      <w:jc w:val="left"/>
    </w:pPr>
    <w:rPr>
      <w:sz w:val="18"/>
      <w:szCs w:val="18"/>
    </w:rPr>
  </w:style>
  <w:style w:type="paragraph" w:customStyle="1" w:styleId="71">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
    <w:name w:val="页脚_0"/>
    <w:basedOn w:val="69"/>
    <w:qFormat/>
    <w:uiPriority w:val="99"/>
    <w:pPr>
      <w:tabs>
        <w:tab w:val="center" w:pos="4153"/>
        <w:tab w:val="right" w:pos="8306"/>
      </w:tabs>
      <w:snapToGrid w:val="0"/>
      <w:jc w:val="left"/>
    </w:pPr>
    <w:rPr>
      <w:rFonts w:ascii="Calibri" w:hAnsi="Calibri"/>
      <w:sz w:val="18"/>
      <w:szCs w:val="18"/>
    </w:rPr>
  </w:style>
  <w:style w:type="paragraph" w:customStyle="1" w:styleId="73">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4">
    <w:name w:val="正文_0_1"/>
    <w:basedOn w:val="75"/>
    <w:next w:val="75"/>
    <w:qFormat/>
    <w:uiPriority w:val="0"/>
    <w:rPr>
      <w:szCs w:val="21"/>
    </w:rPr>
  </w:style>
  <w:style w:type="paragraph" w:customStyle="1" w:styleId="75">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6">
    <w:name w:val="Table Paragraph"/>
    <w:basedOn w:val="1"/>
    <w:qFormat/>
    <w:uiPriority w:val="1"/>
    <w:rPr>
      <w:rFonts w:ascii="楷体" w:hAnsi="楷体" w:eastAsia="楷体" w:cs="楷体"/>
      <w:lang w:val="zh-CN" w:bidi="zh-CN"/>
    </w:rPr>
  </w:style>
  <w:style w:type="paragraph" w:customStyle="1" w:styleId="77">
    <w:name w:val="WPSOffice手动目录 1"/>
    <w:qFormat/>
    <w:uiPriority w:val="0"/>
    <w:rPr>
      <w:rFonts w:ascii="Times New Roman" w:hAnsi="Times New Roman" w:eastAsia="宋体" w:cs="Times New Roman"/>
      <w:lang w:val="en-US" w:eastAsia="zh-CN" w:bidi="ar-SA"/>
    </w:rPr>
  </w:style>
  <w:style w:type="paragraph" w:customStyle="1" w:styleId="78">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0">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1">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2">
    <w:name w:val="正文_1_0_0"/>
    <w:next w:val="8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页脚_1_0"/>
    <w:basedOn w:val="82"/>
    <w:qFormat/>
    <w:uiPriority w:val="0"/>
    <w:pPr>
      <w:tabs>
        <w:tab w:val="center" w:pos="4153"/>
        <w:tab w:val="right" w:pos="8306"/>
      </w:tabs>
      <w:snapToGrid w:val="0"/>
      <w:jc w:val="left"/>
    </w:pPr>
    <w:rPr>
      <w:rFonts w:ascii="Calibri" w:hAnsi="Calibri"/>
      <w:sz w:val="18"/>
      <w:szCs w:val="18"/>
    </w:rPr>
  </w:style>
  <w:style w:type="paragraph" w:customStyle="1" w:styleId="84">
    <w:name w:val="reader-word-layer reader-word-s1-14"/>
    <w:basedOn w:val="1"/>
    <w:qFormat/>
    <w:uiPriority w:val="0"/>
    <w:pPr>
      <w:widowControl/>
      <w:spacing w:before="100" w:beforeAutospacing="1" w:after="100" w:afterAutospacing="1"/>
      <w:jc w:val="left"/>
    </w:pPr>
    <w:rPr>
      <w:rFonts w:ascii="宋体" w:hAnsi="宋体"/>
      <w:kern w:val="0"/>
      <w:sz w:val="24"/>
    </w:rPr>
  </w:style>
  <w:style w:type="paragraph" w:customStyle="1" w:styleId="85">
    <w:name w:val="_Style 30"/>
    <w:basedOn w:val="1"/>
    <w:next w:val="86"/>
    <w:qFormat/>
    <w:uiPriority w:val="34"/>
    <w:pPr>
      <w:ind w:firstLine="420" w:firstLineChars="200"/>
    </w:pPr>
    <w:rPr>
      <w:rFonts w:ascii="Times New Roman" w:hAnsi="Times New Roman" w:cs="Times New Roman"/>
    </w:rPr>
  </w:style>
  <w:style w:type="paragraph" w:styleId="86">
    <w:name w:val="List Paragraph"/>
    <w:basedOn w:val="1"/>
    <w:qFormat/>
    <w:uiPriority w:val="34"/>
    <w:pPr>
      <w:ind w:firstLine="420" w:firstLineChars="200"/>
    </w:pPr>
  </w:style>
  <w:style w:type="character" w:customStyle="1" w:styleId="87">
    <w:name w:val="正文文本缩进 Char"/>
    <w:basedOn w:val="33"/>
    <w:qFormat/>
    <w:uiPriority w:val="99"/>
    <w:rPr>
      <w:rFonts w:ascii="Calibri" w:hAnsi="Calibri" w:eastAsia="宋体" w:cs="宋体"/>
      <w:kern w:val="2"/>
      <w:sz w:val="21"/>
      <w:szCs w:val="24"/>
    </w:rPr>
  </w:style>
  <w:style w:type="character" w:customStyle="1" w:styleId="88">
    <w:name w:val="正文文本缩进 2 字符"/>
    <w:basedOn w:val="33"/>
    <w:qFormat/>
    <w:uiPriority w:val="0"/>
    <w:rPr>
      <w:rFonts w:ascii="宋体" w:hAnsi="宋体"/>
      <w:kern w:val="2"/>
      <w:sz w:val="30"/>
      <w:szCs w:val="24"/>
    </w:rPr>
  </w:style>
  <w:style w:type="character" w:customStyle="1" w:styleId="89">
    <w:name w:val="NormalPrix Char"/>
    <w:link w:val="90"/>
    <w:qFormat/>
    <w:uiPriority w:val="0"/>
    <w:rPr>
      <w:lang w:val="fr-FR" w:eastAsia="en-US"/>
    </w:rPr>
  </w:style>
  <w:style w:type="paragraph" w:customStyle="1" w:styleId="90">
    <w:name w:val="NormalPrix"/>
    <w:basedOn w:val="1"/>
    <w:link w:val="89"/>
    <w:qFormat/>
    <w:uiPriority w:val="0"/>
    <w:pPr>
      <w:widowControl/>
      <w:tabs>
        <w:tab w:val="decimal" w:pos="924"/>
      </w:tabs>
      <w:autoSpaceDE w:val="0"/>
      <w:autoSpaceDN w:val="0"/>
      <w:jc w:val="left"/>
    </w:pPr>
    <w:rPr>
      <w:rFonts w:ascii="Times New Roman" w:hAnsi="Times New Roman" w:cs="Times New Roman"/>
      <w:kern w:val="0"/>
      <w:sz w:val="20"/>
      <w:szCs w:val="20"/>
      <w:lang w:val="fr-FR" w:eastAsia="en-US"/>
    </w:rPr>
  </w:style>
  <w:style w:type="paragraph" w:customStyle="1" w:styleId="91">
    <w:name w:val="reader-word-layer reader-word-s1-0 reader-word-s1-1 reader-word-s1-3"/>
    <w:basedOn w:val="1"/>
    <w:qFormat/>
    <w:uiPriority w:val="0"/>
    <w:pPr>
      <w:widowControl/>
      <w:spacing w:before="100" w:beforeAutospacing="1" w:after="100" w:afterAutospacing="1"/>
      <w:jc w:val="left"/>
    </w:pPr>
    <w:rPr>
      <w:rFonts w:ascii="宋体" w:hAnsi="宋体"/>
      <w:kern w:val="0"/>
      <w:sz w:val="24"/>
    </w:rPr>
  </w:style>
  <w:style w:type="character" w:customStyle="1" w:styleId="92">
    <w:name w:val="font61"/>
    <w:basedOn w:val="33"/>
    <w:qFormat/>
    <w:uiPriority w:val="0"/>
    <w:rPr>
      <w:rFonts w:hint="eastAsia" w:ascii="仿宋" w:hAnsi="仿宋" w:eastAsia="仿宋" w:cs="仿宋"/>
      <w:color w:val="000000"/>
      <w:sz w:val="21"/>
      <w:szCs w:val="21"/>
      <w:u w:val="none"/>
    </w:rPr>
  </w:style>
  <w:style w:type="character" w:customStyle="1" w:styleId="93">
    <w:name w:val="font151"/>
    <w:basedOn w:val="33"/>
    <w:qFormat/>
    <w:uiPriority w:val="0"/>
    <w:rPr>
      <w:rFonts w:hint="default" w:ascii="Calibri" w:hAnsi="Calibri" w:cs="Calibri"/>
      <w:color w:val="000000"/>
      <w:sz w:val="21"/>
      <w:szCs w:val="21"/>
      <w:u w:val="none"/>
    </w:rPr>
  </w:style>
  <w:style w:type="character" w:customStyle="1" w:styleId="94">
    <w:name w:val="font21"/>
    <w:basedOn w:val="33"/>
    <w:qFormat/>
    <w:uiPriority w:val="0"/>
    <w:rPr>
      <w:rFonts w:hint="default" w:ascii="Calibri" w:hAnsi="Calibri" w:cs="Calibri"/>
      <w:color w:val="000000"/>
      <w:sz w:val="24"/>
      <w:szCs w:val="24"/>
      <w:u w:val="single"/>
    </w:rPr>
  </w:style>
  <w:style w:type="character" w:customStyle="1" w:styleId="95">
    <w:name w:val="font131"/>
    <w:basedOn w:val="33"/>
    <w:qFormat/>
    <w:uiPriority w:val="0"/>
    <w:rPr>
      <w:rFonts w:hint="default" w:ascii="Calibri" w:hAnsi="Calibri" w:cs="Calibri"/>
      <w:color w:val="000000"/>
      <w:sz w:val="21"/>
      <w:szCs w:val="21"/>
      <w:u w:val="none"/>
    </w:rPr>
  </w:style>
  <w:style w:type="character" w:customStyle="1" w:styleId="96">
    <w:name w:val="font91"/>
    <w:basedOn w:val="33"/>
    <w:qFormat/>
    <w:uiPriority w:val="0"/>
    <w:rPr>
      <w:rFonts w:hint="eastAsia" w:ascii="宋体" w:hAnsi="宋体" w:eastAsia="宋体" w:cs="宋体"/>
      <w:color w:val="000000"/>
      <w:sz w:val="24"/>
      <w:szCs w:val="24"/>
      <w:u w:val="single"/>
    </w:rPr>
  </w:style>
  <w:style w:type="character" w:customStyle="1" w:styleId="97">
    <w:name w:val="font71"/>
    <w:basedOn w:val="33"/>
    <w:qFormat/>
    <w:uiPriority w:val="0"/>
    <w:rPr>
      <w:rFonts w:hint="eastAsia" w:ascii="仿宋" w:hAnsi="仿宋" w:eastAsia="仿宋" w:cs="仿宋"/>
      <w:color w:val="000000"/>
      <w:sz w:val="21"/>
      <w:szCs w:val="21"/>
      <w:u w:val="none"/>
    </w:rPr>
  </w:style>
  <w:style w:type="character" w:customStyle="1" w:styleId="98">
    <w:name w:val="font101"/>
    <w:basedOn w:val="33"/>
    <w:qFormat/>
    <w:uiPriority w:val="0"/>
    <w:rPr>
      <w:rFonts w:hint="eastAsia" w:ascii="楷体_GB2312" w:eastAsia="楷体_GB2312" w:cs="楷体_GB2312"/>
      <w:color w:val="000000"/>
      <w:sz w:val="24"/>
      <w:szCs w:val="24"/>
      <w:u w:val="single"/>
    </w:rPr>
  </w:style>
  <w:style w:type="character" w:customStyle="1" w:styleId="99">
    <w:name w:val="font121"/>
    <w:basedOn w:val="33"/>
    <w:qFormat/>
    <w:uiPriority w:val="0"/>
    <w:rPr>
      <w:rFonts w:hint="eastAsia" w:ascii="宋体" w:hAnsi="宋体" w:eastAsia="宋体" w:cs="宋体"/>
      <w:color w:val="000000"/>
      <w:sz w:val="21"/>
      <w:szCs w:val="21"/>
      <w:u w:val="none"/>
    </w:rPr>
  </w:style>
  <w:style w:type="character" w:customStyle="1" w:styleId="100">
    <w:name w:val="font112"/>
    <w:basedOn w:val="33"/>
    <w:qFormat/>
    <w:uiPriority w:val="0"/>
    <w:rPr>
      <w:rFonts w:hint="eastAsia" w:ascii="宋体" w:hAnsi="宋体" w:eastAsia="宋体" w:cs="宋体"/>
      <w:color w:val="000000"/>
      <w:sz w:val="21"/>
      <w:szCs w:val="21"/>
      <w:u w:val="none"/>
    </w:rPr>
  </w:style>
  <w:style w:type="character" w:customStyle="1" w:styleId="101">
    <w:name w:val="font11"/>
    <w:basedOn w:val="33"/>
    <w:qFormat/>
    <w:uiPriority w:val="0"/>
    <w:rPr>
      <w:rFonts w:ascii="Arial" w:hAnsi="Arial" w:cs="Arial"/>
      <w:color w:val="000000"/>
      <w:sz w:val="24"/>
      <w:szCs w:val="24"/>
      <w:u w:val="single"/>
    </w:rPr>
  </w:style>
  <w:style w:type="character" w:customStyle="1" w:styleId="102">
    <w:name w:val="font41"/>
    <w:basedOn w:val="33"/>
    <w:qFormat/>
    <w:uiPriority w:val="0"/>
    <w:rPr>
      <w:rFonts w:hint="eastAsia" w:ascii="宋体" w:hAnsi="宋体" w:eastAsia="宋体" w:cs="宋体"/>
      <w:color w:val="000000"/>
      <w:sz w:val="24"/>
      <w:szCs w:val="24"/>
      <w:u w:val="none"/>
    </w:rPr>
  </w:style>
  <w:style w:type="character" w:customStyle="1" w:styleId="103">
    <w:name w:val="font31"/>
    <w:basedOn w:val="33"/>
    <w:qFormat/>
    <w:uiPriority w:val="0"/>
    <w:rPr>
      <w:rFonts w:hint="default" w:ascii="Calibri" w:hAnsi="Calibri" w:cs="Calibri"/>
      <w:color w:val="000000"/>
      <w:sz w:val="24"/>
      <w:szCs w:val="24"/>
      <w:u w:val="none"/>
    </w:rPr>
  </w:style>
  <w:style w:type="character" w:customStyle="1" w:styleId="104">
    <w:name w:val="font81"/>
    <w:basedOn w:val="33"/>
    <w:qFormat/>
    <w:uiPriority w:val="0"/>
    <w:rPr>
      <w:rFonts w:hint="default" w:ascii="Times New Roman" w:hAnsi="Times New Roman" w:cs="Times New Roman"/>
      <w:color w:val="000000"/>
      <w:sz w:val="21"/>
      <w:szCs w:val="21"/>
      <w:u w:val="none"/>
    </w:rPr>
  </w:style>
  <w:style w:type="paragraph" w:customStyle="1" w:styleId="105">
    <w:name w:val="reader-word-layer reader-word-s1-3"/>
    <w:basedOn w:val="1"/>
    <w:qFormat/>
    <w:uiPriority w:val="0"/>
    <w:pPr>
      <w:widowControl/>
      <w:spacing w:before="100" w:beforeAutospacing="1" w:after="100" w:afterAutospacing="1"/>
      <w:jc w:val="left"/>
    </w:pPr>
    <w:rPr>
      <w:rFonts w:ascii="宋体" w:hAnsi="宋体"/>
      <w:kern w:val="0"/>
      <w:sz w:val="24"/>
    </w:rPr>
  </w:style>
  <w:style w:type="paragraph" w:customStyle="1" w:styleId="106">
    <w:name w:val="reader-word-layer reader-word-s2-6"/>
    <w:basedOn w:val="1"/>
    <w:qFormat/>
    <w:uiPriority w:val="0"/>
    <w:pPr>
      <w:widowControl/>
      <w:spacing w:before="100" w:beforeAutospacing="1" w:after="100" w:afterAutospacing="1"/>
      <w:jc w:val="left"/>
    </w:pPr>
    <w:rPr>
      <w:rFonts w:ascii="宋体" w:hAnsi="宋体"/>
      <w:kern w:val="0"/>
      <w:sz w:val="24"/>
    </w:rPr>
  </w:style>
  <w:style w:type="paragraph" w:customStyle="1" w:styleId="107">
    <w:name w:val="reader-word-layer reader-word-s2-2"/>
    <w:basedOn w:val="1"/>
    <w:qFormat/>
    <w:uiPriority w:val="0"/>
    <w:pPr>
      <w:widowControl/>
      <w:spacing w:before="100" w:beforeAutospacing="1" w:after="100" w:afterAutospacing="1"/>
      <w:jc w:val="left"/>
    </w:pPr>
    <w:rPr>
      <w:rFonts w:ascii="宋体" w:hAnsi="宋体"/>
      <w:kern w:val="0"/>
      <w:sz w:val="24"/>
    </w:rPr>
  </w:style>
  <w:style w:type="paragraph" w:customStyle="1" w:styleId="108">
    <w:name w:val="reader-word-layer reader-word-s2-8"/>
    <w:basedOn w:val="1"/>
    <w:qFormat/>
    <w:uiPriority w:val="0"/>
    <w:pPr>
      <w:widowControl/>
      <w:spacing w:before="100" w:beforeAutospacing="1" w:after="100" w:afterAutospacing="1"/>
      <w:jc w:val="left"/>
    </w:pPr>
    <w:rPr>
      <w:rFonts w:ascii="宋体" w:hAnsi="宋体"/>
      <w:kern w:val="0"/>
      <w:sz w:val="24"/>
    </w:rPr>
  </w:style>
  <w:style w:type="paragraph" w:customStyle="1" w:styleId="109">
    <w:name w:val="reader-word-layer reader-word-s1-10 reader-word-s1-16"/>
    <w:basedOn w:val="1"/>
    <w:qFormat/>
    <w:uiPriority w:val="0"/>
    <w:pPr>
      <w:widowControl/>
      <w:spacing w:before="100" w:beforeAutospacing="1" w:after="100" w:afterAutospacing="1"/>
      <w:jc w:val="left"/>
    </w:pPr>
    <w:rPr>
      <w:rFonts w:ascii="宋体" w:hAnsi="宋体"/>
      <w:kern w:val="0"/>
      <w:sz w:val="24"/>
    </w:rPr>
  </w:style>
  <w:style w:type="paragraph" w:customStyle="1" w:styleId="110">
    <w:name w:val="_Style 33"/>
    <w:basedOn w:val="1"/>
    <w:next w:val="86"/>
    <w:qFormat/>
    <w:uiPriority w:val="0"/>
    <w:pPr>
      <w:widowControl/>
      <w:ind w:firstLine="420" w:firstLineChars="200"/>
      <w:jc w:val="left"/>
    </w:pPr>
    <w:rPr>
      <w:rFonts w:ascii="Times" w:hAnsi="Times" w:cs="Times New Roman"/>
      <w:kern w:val="0"/>
      <w:sz w:val="20"/>
      <w:szCs w:val="20"/>
    </w:rPr>
  </w:style>
  <w:style w:type="character" w:customStyle="1" w:styleId="111">
    <w:name w:val="dbvalue"/>
    <w:basedOn w:val="33"/>
    <w:qFormat/>
    <w:uiPriority w:val="0"/>
  </w:style>
  <w:style w:type="character" w:customStyle="1" w:styleId="112">
    <w:name w:val="不明显参考1"/>
    <w:qFormat/>
    <w:uiPriority w:val="31"/>
    <w:rPr>
      <w:smallCaps/>
      <w:color w:val="5A5A5A"/>
    </w:rPr>
  </w:style>
  <w:style w:type="character" w:customStyle="1" w:styleId="113">
    <w:name w:val="页脚 字符"/>
    <w:qFormat/>
    <w:uiPriority w:val="99"/>
    <w:rPr>
      <w:kern w:val="2"/>
      <w:sz w:val="18"/>
      <w:szCs w:val="18"/>
    </w:rPr>
  </w:style>
  <w:style w:type="character" w:customStyle="1" w:styleId="114">
    <w:name w:val="fgray1"/>
    <w:qFormat/>
    <w:uiPriority w:val="0"/>
    <w:rPr>
      <w:color w:val="666666"/>
    </w:rPr>
  </w:style>
  <w:style w:type="character" w:customStyle="1" w:styleId="115">
    <w:name w:val="font51"/>
    <w:qFormat/>
    <w:uiPriority w:val="0"/>
    <w:rPr>
      <w:rFonts w:hint="default" w:ascii="Times New Roman" w:hAnsi="Times New Roman" w:cs="Times New Roman"/>
      <w:color w:val="000000"/>
      <w:sz w:val="18"/>
      <w:szCs w:val="18"/>
      <w:u w:val="none"/>
    </w:rPr>
  </w:style>
  <w:style w:type="paragraph" w:customStyle="1" w:styleId="116">
    <w:name w:val="表格"/>
    <w:qFormat/>
    <w:uiPriority w:val="0"/>
    <w:pPr>
      <w:jc w:val="center"/>
    </w:pPr>
    <w:rPr>
      <w:rFonts w:ascii="Times New Roman" w:hAnsi="Times New Roman" w:eastAsia="宋体" w:cs="Tahoma"/>
      <w:color w:val="000000"/>
      <w:sz w:val="21"/>
      <w:szCs w:val="24"/>
      <w:lang w:val="en-US" w:eastAsia="zh-CN" w:bidi="ar-SA"/>
    </w:rPr>
  </w:style>
  <w:style w:type="paragraph" w:customStyle="1" w:styleId="117">
    <w:name w:val="五号字体"/>
    <w:basedOn w:val="1"/>
    <w:qFormat/>
    <w:uiPriority w:val="0"/>
    <w:pPr>
      <w:spacing w:line="400" w:lineRule="exact"/>
      <w:jc w:val="center"/>
    </w:pPr>
    <w:rPr>
      <w:rFonts w:ascii="Times New Roman" w:hAnsi="Times New Roman" w:cs="Times New Roman"/>
      <w:kern w:val="0"/>
      <w:szCs w:val="21"/>
    </w:rPr>
  </w:style>
  <w:style w:type="paragraph" w:customStyle="1" w:styleId="118">
    <w:name w:val="列表段落1"/>
    <w:basedOn w:val="1"/>
    <w:qFormat/>
    <w:uiPriority w:val="34"/>
    <w:pPr>
      <w:ind w:firstLine="420" w:firstLineChars="200"/>
    </w:pPr>
    <w:rPr>
      <w:rFonts w:cs="Times New Roman"/>
      <w:szCs w:val="22"/>
    </w:rPr>
  </w:style>
  <w:style w:type="paragraph" w:customStyle="1" w:styleId="119">
    <w:name w:val="List Paragraph1"/>
    <w:basedOn w:val="1"/>
    <w:qFormat/>
    <w:uiPriority w:val="0"/>
    <w:pPr>
      <w:ind w:firstLine="420" w:firstLineChars="200"/>
    </w:pPr>
    <w:rPr>
      <w:rFonts w:ascii="等线" w:hAnsi="等线" w:eastAsia="等线" w:cs="Times New Roman"/>
      <w:szCs w:val="22"/>
    </w:rPr>
  </w:style>
  <w:style w:type="paragraph" w:customStyle="1" w:styleId="120">
    <w:name w:val="正文 New New New"/>
    <w:qFormat/>
    <w:uiPriority w:val="0"/>
    <w:pPr>
      <w:spacing w:line="560" w:lineRule="exact"/>
      <w:ind w:firstLine="200" w:firstLineChars="200"/>
    </w:pPr>
    <w:rPr>
      <w:rFonts w:ascii="Calibri" w:hAnsi="Calibri" w:eastAsia="仿宋_GB2312" w:cs="Times New Roman"/>
      <w:sz w:val="32"/>
      <w:szCs w:val="24"/>
      <w:lang w:val="en-US" w:eastAsia="en-US" w:bidi="en-US"/>
    </w:rPr>
  </w:style>
  <w:style w:type="paragraph" w:customStyle="1" w:styleId="121">
    <w:name w:val="Char Char Char Char Char1 Char Char Char Char"/>
    <w:basedOn w:val="1"/>
    <w:qFormat/>
    <w:uiPriority w:val="0"/>
    <w:pPr>
      <w:tabs>
        <w:tab w:val="left" w:pos="1360"/>
      </w:tabs>
      <w:ind w:left="1360" w:hanging="720"/>
    </w:pPr>
    <w:rPr>
      <w:rFonts w:ascii="Times New Roman" w:hAnsi="Times New Roman" w:cs="Times New Roman"/>
      <w:szCs w:val="20"/>
    </w:rPr>
  </w:style>
  <w:style w:type="paragraph" w:customStyle="1" w:styleId="122">
    <w:name w:val="_Style 65"/>
    <w:basedOn w:val="1"/>
    <w:next w:val="86"/>
    <w:qFormat/>
    <w:uiPriority w:val="34"/>
    <w:pPr>
      <w:ind w:firstLine="420" w:firstLineChars="200"/>
    </w:pPr>
    <w:rPr>
      <w:rFonts w:ascii="Times New Roman" w:hAnsi="Times New Roman" w:cs="Times New Roman"/>
    </w:rPr>
  </w:style>
  <w:style w:type="character" w:customStyle="1" w:styleId="123">
    <w:name w:val="批注文字 字符"/>
    <w:basedOn w:val="33"/>
    <w:qFormat/>
    <w:uiPriority w:val="0"/>
    <w:rPr>
      <w:rFonts w:ascii="Calibri" w:hAnsi="Calibri" w:eastAsia="宋体" w:cs="宋体"/>
      <w:kern w:val="2"/>
      <w:sz w:val="21"/>
      <w:szCs w:val="24"/>
    </w:rPr>
  </w:style>
  <w:style w:type="character" w:customStyle="1" w:styleId="124">
    <w:name w:val="批注主题 字符"/>
    <w:basedOn w:val="123"/>
    <w:qFormat/>
    <w:uiPriority w:val="0"/>
    <w:rPr>
      <w:rFonts w:ascii="Calibri" w:hAnsi="Calibri" w:eastAsia="宋体" w:cs="宋体"/>
      <w:b/>
      <w:bCs/>
      <w:kern w:val="2"/>
      <w:sz w:val="21"/>
      <w:szCs w:val="24"/>
    </w:rPr>
  </w:style>
  <w:style w:type="character" w:customStyle="1" w:styleId="125">
    <w:name w:val="bookmark-item"/>
    <w:basedOn w:val="33"/>
    <w:qFormat/>
    <w:uiPriority w:val="0"/>
  </w:style>
  <w:style w:type="character" w:customStyle="1" w:styleId="126">
    <w:name w:val="标题 4 字符"/>
    <w:basedOn w:val="33"/>
    <w:qFormat/>
    <w:uiPriority w:val="9"/>
    <w:rPr>
      <w:rFonts w:ascii="宋体" w:hAnsi="宋体"/>
      <w:kern w:val="2"/>
      <w:sz w:val="24"/>
      <w:szCs w:val="24"/>
    </w:rPr>
  </w:style>
  <w:style w:type="paragraph" w:customStyle="1" w:styleId="127">
    <w:name w:val="表格文字"/>
    <w:basedOn w:val="1"/>
    <w:next w:val="14"/>
    <w:qFormat/>
    <w:uiPriority w:val="0"/>
    <w:pPr>
      <w:adjustRightInd w:val="0"/>
      <w:spacing w:line="420" w:lineRule="atLeast"/>
      <w:jc w:val="left"/>
    </w:pPr>
    <w:rPr>
      <w:rFonts w:ascii="Times New Roman" w:hAnsi="Times New Roman" w:cs="Times New Roman"/>
      <w:kern w:val="0"/>
      <w:szCs w:val="20"/>
    </w:rPr>
  </w:style>
  <w:style w:type="paragraph" w:customStyle="1" w:styleId="128">
    <w:name w:val="编号"/>
    <w:basedOn w:val="1"/>
    <w:qFormat/>
    <w:uiPriority w:val="0"/>
    <w:pPr>
      <w:tabs>
        <w:tab w:val="left" w:pos="840"/>
      </w:tabs>
      <w:ind w:left="360" w:hanging="360"/>
    </w:pPr>
    <w:rPr>
      <w:rFonts w:cs="Times New Roman"/>
    </w:rPr>
  </w:style>
  <w:style w:type="paragraph" w:customStyle="1" w:styleId="129">
    <w:name w:val="msolistparagraph"/>
    <w:basedOn w:val="1"/>
    <w:qFormat/>
    <w:uiPriority w:val="0"/>
    <w:pPr>
      <w:ind w:firstLine="420" w:firstLineChars="200"/>
    </w:pPr>
    <w:rPr>
      <w:rFonts w:ascii="Times New Roman" w:hAnsi="Times New Roman" w:cs="Times New Roman"/>
    </w:rPr>
  </w:style>
  <w:style w:type="paragraph" w:customStyle="1" w:styleId="130">
    <w:name w:val="修订1"/>
    <w:unhideWhenUsed/>
    <w:qFormat/>
    <w:uiPriority w:val="99"/>
    <w:rPr>
      <w:rFonts w:ascii="Calibri" w:hAnsi="Calibri" w:eastAsia="宋体" w:cs="宋体"/>
      <w:kern w:val="2"/>
      <w:sz w:val="21"/>
      <w:szCs w:val="24"/>
      <w:lang w:val="en-US" w:eastAsia="zh-CN" w:bidi="ar-SA"/>
    </w:rPr>
  </w:style>
  <w:style w:type="paragraph" w:customStyle="1" w:styleId="131">
    <w:name w:val="Body text (3)"/>
    <w:basedOn w:val="1"/>
    <w:qFormat/>
    <w:uiPriority w:val="0"/>
    <w:pPr>
      <w:shd w:val="clear" w:color="auto" w:fill="FFFFFF"/>
      <w:spacing w:line="563" w:lineRule="exact"/>
      <w:ind w:firstLine="760"/>
      <w:jc w:val="distribute"/>
    </w:pPr>
    <w:rPr>
      <w:rFonts w:ascii="宋体" w:hAnsi="宋体" w:eastAsia="宋体"/>
      <w:sz w:val="32"/>
      <w:szCs w:val="32"/>
    </w:rPr>
  </w:style>
  <w:style w:type="paragraph" w:customStyle="1" w:styleId="132">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115</Pages>
  <Words>21663</Words>
  <Characters>23018</Characters>
  <Lines>335</Lines>
  <Paragraphs>94</Paragraphs>
  <TotalTime>109</TotalTime>
  <ScaleCrop>false</ScaleCrop>
  <LinksUpToDate>false</LinksUpToDate>
  <CharactersWithSpaces>24002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2024-08-09T09:58:00Z</dcterms:created>
  <dc:creator>李航</dc:creator>
  <cp:lastModifiedBy>Admin</cp:lastModifiedBy>
  <cp:lastPrinted>2024-01-24T09:12:00Z</cp:lastPrinted>
  <dcterms:modified xsi:type="dcterms:W3CDTF">2026-05-15T08:23:42Z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839FFB31D6EA458481FE3B94E3709932_13</vt:lpwstr>
  </property>
  <property fmtid="{D5CDD505-2E9C-101B-9397-08002B2CF9AE}" pid="4" name="KSOSaveFontToCloudKey">
    <vt:lpwstr>340659104_cloud</vt:lpwstr>
  </property>
  <property fmtid="{D5CDD505-2E9C-101B-9397-08002B2CF9AE}" pid="5" name="KSOTemplateDocerSaveRecord">
    <vt:lpwstr>eyJoZGlkIjoiMzVmZDExZWMyMTMwN2U2MWE5MzI4Y2VhZGEwYjAxYzUiLCJ1c2VySWQiOiI0Mjc3MjYyNjAifQ==</vt:lpwstr>
  </property>
</Properties>
</file>