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default" w:ascii="宋体" w:hAnsi="宋体" w:eastAsia="宋体" w:cs="宋体"/>
          <w:color w:val="auto"/>
          <w:sz w:val="22"/>
          <w:szCs w:val="28"/>
          <w:highlight w:val="none"/>
          <w:lang w:val="en-US"/>
        </w:rPr>
      </w:pPr>
      <w:r>
        <w:rPr>
          <w:rFonts w:hint="eastAsia" w:ascii="宋体" w:hAnsi="宋体" w:cs="宋体"/>
          <w:b/>
          <w:color w:val="auto"/>
          <w:sz w:val="44"/>
          <w:szCs w:val="44"/>
          <w:highlight w:val="none"/>
          <w:lang w:eastAsia="zh-CN"/>
        </w:rPr>
        <w:t>喀什地区泽普县紧密型县域医共体资源共享中心、中心药房及次中心建设项目</w:t>
      </w:r>
      <w:r>
        <w:rPr>
          <w:rFonts w:hint="eastAsia" w:ascii="宋体" w:hAnsi="宋体" w:cs="宋体"/>
          <w:b/>
          <w:color w:val="auto"/>
          <w:sz w:val="44"/>
          <w:szCs w:val="44"/>
          <w:highlight w:val="none"/>
          <w:lang w:val="en-US" w:eastAsia="zh-CN"/>
        </w:rPr>
        <w:t>四标段</w:t>
      </w:r>
    </w:p>
    <w:p w14:paraId="0780C90F">
      <w:pPr>
        <w:pStyle w:val="25"/>
        <w:rPr>
          <w:rFonts w:hint="eastAsia" w:ascii="宋体" w:hAnsi="宋体" w:eastAsia="宋体" w:cs="宋体"/>
          <w:color w:val="auto"/>
          <w:sz w:val="21"/>
          <w:szCs w:val="32"/>
          <w:highlight w:val="none"/>
        </w:rPr>
      </w:pPr>
    </w:p>
    <w:p w14:paraId="7E01BAEC">
      <w:pPr>
        <w:spacing w:line="240" w:lineRule="atLeast"/>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4"/>
          <w:szCs w:val="44"/>
          <w:highlight w:val="none"/>
          <w:lang w:eastAsia="zh-CN"/>
        </w:rPr>
        <w:t>项目编号：</w:t>
      </w:r>
      <w:r>
        <w:rPr>
          <w:rFonts w:hint="eastAsia" w:ascii="宋体" w:hAnsi="宋体" w:cs="宋体"/>
          <w:b/>
          <w:color w:val="auto"/>
          <w:sz w:val="44"/>
          <w:szCs w:val="44"/>
          <w:highlight w:val="none"/>
          <w:lang w:eastAsia="zh-CN"/>
        </w:rPr>
        <w:t>ZPDL（2026）052-4</w:t>
      </w:r>
    </w:p>
    <w:p w14:paraId="60F70994">
      <w:pPr>
        <w:pStyle w:val="33"/>
        <w:ind w:left="0" w:leftChars="0" w:firstLine="0" w:firstLineChars="0"/>
        <w:rPr>
          <w:rFonts w:hint="eastAsia"/>
          <w:color w:val="auto"/>
          <w:highlight w:val="none"/>
        </w:rPr>
      </w:pPr>
    </w:p>
    <w:p w14:paraId="344FE9F9">
      <w:pPr>
        <w:pStyle w:val="5"/>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3885772B">
      <w:pPr>
        <w:pStyle w:val="5"/>
        <w:spacing w:line="720" w:lineRule="auto"/>
        <w:jc w:val="center"/>
        <w:rPr>
          <w:rFonts w:hint="eastAsia" w:ascii="宋体" w:hAnsi="宋体" w:eastAsia="宋体" w:cs="宋体"/>
          <w:b/>
          <w:color w:val="auto"/>
          <w:sz w:val="56"/>
          <w:szCs w:val="56"/>
          <w:highlight w:val="none"/>
        </w:rPr>
      </w:pPr>
    </w:p>
    <w:p w14:paraId="2AF8EF39">
      <w:pPr>
        <w:spacing w:line="240" w:lineRule="atLeast"/>
        <w:ind w:left="1079" w:leftChars="257" w:hanging="540"/>
        <w:jc w:val="center"/>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泽普县人民医院</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新疆昊泽工程管理有限公司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新疆喀什地区泽普县塞尚江南小区53幢16号门面房</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谷超超</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15276061261</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月</w:t>
      </w:r>
    </w:p>
    <w:p w14:paraId="47D53FCE">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2"/>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38</w:t>
      </w:r>
    </w:p>
    <w:p w14:paraId="09A9BA7D">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47</w:t>
      </w:r>
    </w:p>
    <w:p w14:paraId="3A4CF9C8">
      <w:pPr>
        <w:pStyle w:val="22"/>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2"/>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16582804"/>
      <w:bookmarkStart w:id="1" w:name="_Toc22782"/>
      <w:bookmarkStart w:id="2" w:name="_Toc17230"/>
      <w:bookmarkStart w:id="3" w:name="_Toc25817"/>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spacing w:before="0" w:line="240" w:lineRule="atLeast"/>
        <w:ind w:left="1079" w:leftChars="257" w:hanging="540"/>
        <w:rPr>
          <w:rFonts w:hint="eastAsia" w:ascii="宋体" w:hAnsi="宋体" w:eastAsia="宋体" w:cs="宋体"/>
          <w:color w:val="auto"/>
          <w:highlight w:val="none"/>
        </w:rPr>
      </w:pPr>
      <w:bookmarkStart w:id="5" w:name="_Toc515647757"/>
      <w:bookmarkStart w:id="6" w:name="_Toc216582805"/>
      <w:bookmarkStart w:id="7" w:name="_Toc520356143"/>
      <w:bookmarkStart w:id="8" w:name="_Toc21215"/>
      <w:bookmarkStart w:id="9" w:name="_Toc210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spacing w:before="0" w:after="0" w:line="240" w:lineRule="atLeast"/>
        <w:rPr>
          <w:rFonts w:hint="eastAsia" w:ascii="宋体" w:hAnsi="宋体" w:eastAsia="宋体" w:cs="宋体"/>
          <w:color w:val="auto"/>
          <w:highlight w:val="none"/>
          <w:u w:val="none"/>
        </w:rPr>
      </w:pPr>
      <w:bookmarkStart w:id="11" w:name="_Toc520356144"/>
      <w:bookmarkStart w:id="12" w:name="_Toc5999"/>
      <w:bookmarkStart w:id="13" w:name="_Toc32623"/>
      <w:bookmarkStart w:id="14" w:name="_Toc515647758"/>
      <w:bookmarkStart w:id="15" w:name="_Toc32189"/>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4"/>
        <w:spacing w:before="0" w:after="0" w:line="240" w:lineRule="atLeast"/>
        <w:rPr>
          <w:rFonts w:hint="eastAsia" w:ascii="宋体" w:hAnsi="宋体" w:eastAsia="宋体" w:cs="宋体"/>
          <w:color w:val="auto"/>
          <w:highlight w:val="none"/>
          <w:u w:val="none"/>
        </w:rPr>
      </w:pPr>
      <w:bookmarkStart w:id="16" w:name="_Toc4322"/>
      <w:bookmarkStart w:id="17" w:name="_Toc5286"/>
      <w:bookmarkStart w:id="18" w:name="_Toc12139"/>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4"/>
        <w:spacing w:before="0" w:after="0" w:line="240" w:lineRule="atLeast"/>
        <w:rPr>
          <w:rFonts w:hint="eastAsia" w:ascii="宋体" w:hAnsi="宋体" w:eastAsia="宋体" w:cs="宋体"/>
          <w:color w:val="auto"/>
          <w:highlight w:val="none"/>
          <w:u w:val="none"/>
        </w:rPr>
      </w:pPr>
      <w:bookmarkStart w:id="20" w:name="_Toc20526"/>
      <w:bookmarkStart w:id="21" w:name="_Toc520356145"/>
      <w:bookmarkStart w:id="22" w:name="_Toc15936"/>
      <w:bookmarkStart w:id="23" w:name="_Toc515647760"/>
      <w:bookmarkStart w:id="24" w:name="_Toc13828"/>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4"/>
        <w:spacing w:before="0" w:after="0" w:line="240" w:lineRule="atLeast"/>
        <w:rPr>
          <w:rFonts w:hint="eastAsia" w:ascii="宋体" w:hAnsi="宋体" w:eastAsia="宋体" w:cs="宋体"/>
          <w:color w:val="auto"/>
          <w:highlight w:val="none"/>
          <w:u w:val="none"/>
        </w:rPr>
      </w:pPr>
      <w:bookmarkStart w:id="25" w:name="_Toc4463"/>
      <w:bookmarkStart w:id="26" w:name="_Toc6116"/>
      <w:bookmarkStart w:id="27" w:name="_Toc32665"/>
      <w:bookmarkStart w:id="28" w:name="_Toc515647761"/>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中华人民共和国财政部令第87号《政府采购货物和服务招标投标管理办法》及本项目本级和上级财政部门政府采购有关规定的约束，其权利受到上述法律法规的保护。</w:t>
      </w:r>
    </w:p>
    <w:p w14:paraId="7EE702DE">
      <w:pPr>
        <w:pStyle w:val="3"/>
        <w:spacing w:before="0" w:line="240" w:lineRule="atLeast"/>
        <w:ind w:left="1079" w:leftChars="257" w:hanging="540"/>
        <w:rPr>
          <w:rFonts w:hint="eastAsia" w:ascii="宋体" w:hAnsi="宋体" w:eastAsia="宋体" w:cs="宋体"/>
          <w:color w:val="auto"/>
          <w:sz w:val="28"/>
          <w:highlight w:val="none"/>
        </w:rPr>
      </w:pPr>
      <w:bookmarkStart w:id="29" w:name="_Toc21566"/>
      <w:bookmarkStart w:id="30" w:name="_Toc520356146"/>
      <w:bookmarkStart w:id="31" w:name="_Toc515647762"/>
      <w:bookmarkStart w:id="32" w:name="_Toc28572"/>
      <w:bookmarkStart w:id="33" w:name="_Toc4365"/>
      <w:bookmarkStart w:id="34" w:name="_Toc216582806"/>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4"/>
        <w:spacing w:before="0" w:after="0" w:line="240" w:lineRule="atLeast"/>
        <w:rPr>
          <w:rFonts w:hint="eastAsia" w:ascii="宋体" w:hAnsi="宋体" w:eastAsia="宋体" w:cs="宋体"/>
          <w:color w:val="auto"/>
          <w:highlight w:val="none"/>
          <w:u w:val="none"/>
        </w:rPr>
      </w:pPr>
      <w:bookmarkStart w:id="35" w:name="_Toc4671"/>
      <w:bookmarkStart w:id="36" w:name="_Toc14084"/>
      <w:bookmarkStart w:id="37" w:name="_Toc520356147"/>
      <w:bookmarkStart w:id="38" w:name="_Toc515647763"/>
      <w:bookmarkStart w:id="39" w:name="_Toc25743"/>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4"/>
        <w:spacing w:before="0" w:after="0" w:line="240" w:lineRule="atLeast"/>
        <w:rPr>
          <w:rFonts w:hint="eastAsia" w:ascii="宋体" w:hAnsi="宋体" w:eastAsia="宋体" w:cs="宋体"/>
          <w:color w:val="auto"/>
          <w:sz w:val="24"/>
          <w:szCs w:val="20"/>
          <w:highlight w:val="none"/>
          <w:u w:val="none"/>
        </w:rPr>
      </w:pPr>
      <w:bookmarkStart w:id="40" w:name="_Toc520356148"/>
      <w:bookmarkStart w:id="41" w:name="_Toc515904805"/>
      <w:bookmarkStart w:id="42" w:name="_Toc26044"/>
      <w:bookmarkStart w:id="43" w:name="_Toc9232"/>
      <w:bookmarkStart w:id="44" w:name="_Toc192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Toc520356149"/>
      <w:bookmarkStart w:id="46" w:name="_Toc515904806"/>
      <w:bookmarkStart w:id="47"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4"/>
        <w:tabs>
          <w:tab w:val="left" w:pos="900"/>
        </w:tabs>
        <w:spacing w:before="0" w:after="0" w:line="240" w:lineRule="atLeast"/>
        <w:rPr>
          <w:rFonts w:hint="eastAsia" w:ascii="宋体" w:hAnsi="宋体" w:eastAsia="宋体" w:cs="宋体"/>
          <w:color w:val="auto"/>
          <w:sz w:val="24"/>
          <w:szCs w:val="20"/>
          <w:highlight w:val="none"/>
          <w:u w:val="none"/>
        </w:rPr>
      </w:pPr>
      <w:bookmarkStart w:id="48" w:name="_Toc25635"/>
      <w:bookmarkStart w:id="49" w:name="_Toc14569"/>
      <w:bookmarkStart w:id="50" w:name="_Toc12448"/>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3"/>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31039"/>
      <w:bookmarkStart w:id="53" w:name="_Toc515647766"/>
      <w:bookmarkStart w:id="54" w:name="_Toc216582807"/>
      <w:bookmarkStart w:id="55" w:name="_Toc30808"/>
      <w:bookmarkStart w:id="56" w:name="_Toc520356150"/>
      <w:bookmarkStart w:id="57" w:name="_Toc7636"/>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7786"/>
      <w:bookmarkStart w:id="59" w:name="_Toc520356151"/>
      <w:bookmarkStart w:id="60" w:name="_Toc3553"/>
      <w:bookmarkStart w:id="61" w:name="_Toc30570"/>
      <w:bookmarkStart w:id="62" w:name="_Toc516367021"/>
      <w:bookmarkStart w:id="63" w:name="_Toc515647767"/>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4"/>
        <w:tabs>
          <w:tab w:val="left" w:pos="900"/>
        </w:tabs>
        <w:spacing w:before="0" w:after="0" w:line="240" w:lineRule="atLeast"/>
        <w:rPr>
          <w:rFonts w:hint="eastAsia" w:ascii="宋体" w:hAnsi="宋体" w:eastAsia="宋体" w:cs="宋体"/>
          <w:color w:val="auto"/>
          <w:highlight w:val="none"/>
          <w:u w:val="none"/>
        </w:rPr>
      </w:pPr>
      <w:bookmarkStart w:id="64" w:name="_Toc516367022"/>
      <w:bookmarkStart w:id="65" w:name="_Ref467306195"/>
      <w:bookmarkStart w:id="66" w:name="_Ref467306676"/>
      <w:bookmarkStart w:id="67" w:name="_Toc515647768"/>
      <w:bookmarkStart w:id="68" w:name="_Toc520356152"/>
      <w:bookmarkStart w:id="69" w:name="_Toc10364"/>
      <w:bookmarkStart w:id="70" w:name="_Toc18692"/>
      <w:bookmarkStart w:id="71" w:name="_Toc28307"/>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CD874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10379"/>
      <w:bookmarkStart w:id="74" w:name="_Toc515647769"/>
      <w:bookmarkStart w:id="75" w:name="_Toc13143"/>
      <w:bookmarkStart w:id="76" w:name="_Toc520356153"/>
      <w:bookmarkStart w:id="77" w:name="_Toc516367023"/>
      <w:bookmarkStart w:id="78" w:name="_Toc4601"/>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投标人须在投标截止时间前在新疆政府采购网系统上传电子投标文件。投标人的电子投标文件是经过CA证书加密后上传的，任何单位或个人均无法在投标截止时间(即开标时间)之前查看或篡改，不存在泄密风险。</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4"/>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spacing w:before="0" w:after="0" w:line="240" w:lineRule="atLeast"/>
        <w:rPr>
          <w:rFonts w:hint="eastAsia" w:ascii="宋体" w:hAnsi="宋体" w:eastAsia="宋体" w:cs="宋体"/>
          <w:color w:val="auto"/>
          <w:highlight w:val="none"/>
          <w:u w:val="none"/>
        </w:rPr>
      </w:pPr>
      <w:bookmarkStart w:id="80" w:name="_Toc19624"/>
      <w:bookmarkStart w:id="81" w:name="_Toc2248"/>
      <w:bookmarkStart w:id="82" w:name="_Toc23231"/>
      <w:bookmarkStart w:id="83" w:name="_Toc515647770"/>
      <w:bookmarkStart w:id="84" w:name="_Toc520356155"/>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F8A13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11514"/>
      <w:bookmarkStart w:id="86" w:name="_Ref467306513"/>
      <w:bookmarkStart w:id="87" w:name="_Toc22212"/>
      <w:bookmarkStart w:id="88" w:name="_Toc17788"/>
      <w:bookmarkStart w:id="89" w:name="_Toc520356156"/>
      <w:bookmarkStart w:id="90" w:name="_Toc515647771"/>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4"/>
        <w:spacing w:before="0" w:after="0" w:line="240" w:lineRule="atLeast"/>
        <w:rPr>
          <w:rFonts w:hint="eastAsia" w:ascii="宋体" w:hAnsi="宋体" w:eastAsia="宋体" w:cs="宋体"/>
          <w:color w:val="auto"/>
          <w:highlight w:val="none"/>
          <w:u w:val="none"/>
        </w:rPr>
      </w:pPr>
      <w:bookmarkStart w:id="93" w:name="_Toc23590"/>
      <w:bookmarkStart w:id="94" w:name="_Toc22901"/>
      <w:bookmarkStart w:id="95" w:name="_Toc515647772"/>
      <w:bookmarkStart w:id="96" w:name="_Toc32569"/>
      <w:bookmarkStart w:id="97" w:name="_Toc520356157"/>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17074"/>
      <w:bookmarkStart w:id="100" w:name="_Toc493"/>
      <w:bookmarkStart w:id="101" w:name="_Toc17609"/>
      <w:bookmarkStart w:id="102" w:name="_Toc515647773"/>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11179"/>
      <w:bookmarkStart w:id="104" w:name="_Toc216582808"/>
      <w:bookmarkStart w:id="105" w:name="_Toc25925"/>
      <w:bookmarkStart w:id="106" w:name="_Toc16865"/>
      <w:bookmarkStart w:id="107" w:name="_Toc515647774"/>
      <w:bookmarkStart w:id="108" w:name="_Toc52035615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3"/>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1645"/>
      <w:bookmarkStart w:id="110" w:name="_Toc520356160"/>
      <w:bookmarkStart w:id="111" w:name="_Toc26195"/>
      <w:bookmarkStart w:id="112" w:name="_Toc32337"/>
      <w:bookmarkStart w:id="113" w:name="_Toc515647775"/>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14" w:name="_Toc12751"/>
      <w:bookmarkStart w:id="115" w:name="_Toc520356161"/>
      <w:bookmarkStart w:id="116" w:name="_Toc9840"/>
      <w:bookmarkStart w:id="117" w:name="_Toc24017"/>
      <w:bookmarkStart w:id="118" w:name="_Toc515647776"/>
      <w:r>
        <w:rPr>
          <w:rFonts w:hint="eastAsia" w:ascii="宋体" w:hAnsi="宋体" w:eastAsia="宋体" w:cs="宋体"/>
          <w:b/>
          <w:bCs/>
          <w:color w:val="000000" w:themeColor="text1"/>
          <w:sz w:val="24"/>
          <w:highlight w:val="none"/>
          <w14:textFill>
            <w14:solidFill>
              <w14:schemeClr w14:val="tx1"/>
            </w14:solidFill>
          </w14:textFill>
        </w:rPr>
        <w:t xml:space="preserve">15.1  </w:t>
      </w:r>
      <w:r>
        <w:rPr>
          <w:rFonts w:hint="eastAsia" w:ascii="宋体" w:hAnsi="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投标人</w:t>
      </w:r>
      <w:r>
        <w:rPr>
          <w:rFonts w:hint="eastAsia" w:ascii="宋体" w:hAnsi="宋体" w:eastAsia="宋体" w:cs="宋体"/>
          <w:b/>
          <w:bCs/>
          <w:color w:val="000000" w:themeColor="text1"/>
          <w:sz w:val="24"/>
          <w:highlight w:val="none"/>
          <w14:textFill>
            <w14:solidFill>
              <w14:schemeClr w14:val="tx1"/>
            </w14:solidFill>
          </w14:textFill>
        </w:rPr>
        <w:t>应完整地按</w:t>
      </w:r>
      <w:r>
        <w:rPr>
          <w:rFonts w:hint="eastAsia" w:ascii="宋体" w:hAnsi="宋体" w:eastAsia="宋体" w:cs="宋体"/>
          <w:b/>
          <w:bCs/>
          <w:color w:val="000000" w:themeColor="text1"/>
          <w:sz w:val="24"/>
          <w:highlight w:val="none"/>
          <w:lang w:val="en-US" w:eastAsia="zh-CN"/>
          <w14:textFill>
            <w14:solidFill>
              <w14:schemeClr w14:val="tx1"/>
            </w14:solidFill>
          </w14:textFill>
        </w:rPr>
        <w:t>招标</w:t>
      </w:r>
      <w:r>
        <w:rPr>
          <w:rFonts w:hint="eastAsia" w:ascii="宋体" w:hAnsi="宋体" w:eastAsia="宋体" w:cs="宋体"/>
          <w:b/>
          <w:bCs/>
          <w:color w:val="000000" w:themeColor="text1"/>
          <w:sz w:val="24"/>
          <w:highlight w:val="none"/>
          <w:lang w:eastAsia="zh-CN"/>
          <w14:textFill>
            <w14:solidFill>
              <w14:schemeClr w14:val="tx1"/>
            </w14:solidFill>
          </w14:textFill>
        </w:rPr>
        <w:t>文件</w:t>
      </w:r>
      <w:r>
        <w:rPr>
          <w:rFonts w:hint="eastAsia" w:ascii="宋体" w:hAnsi="宋体" w:eastAsia="宋体" w:cs="宋体"/>
          <w:b/>
          <w:bCs/>
          <w:color w:val="000000" w:themeColor="text1"/>
          <w:sz w:val="24"/>
          <w:highlight w:val="none"/>
          <w14:textFill>
            <w14:solidFill>
              <w14:schemeClr w14:val="tx1"/>
            </w14:solidFill>
          </w14:textFill>
        </w:rPr>
        <w:t>提供的</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14:textFill>
            <w14:solidFill>
              <w14:schemeClr w14:val="tx1"/>
            </w14:solidFill>
          </w14:textFill>
        </w:rPr>
        <w:t>格式及要求编写</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cs="宋体"/>
          <w:b/>
          <w:bCs/>
          <w:color w:val="000000" w:themeColor="text1"/>
          <w:sz w:val="24"/>
          <w:highlight w:val="none"/>
          <w:lang w:val="en-US" w:eastAsia="zh-CN"/>
          <w14:textFill>
            <w14:solidFill>
              <w14:schemeClr w14:val="tx1"/>
            </w14:solidFill>
          </w14:textFill>
        </w:rPr>
        <w:t>，需带有投标文件格式要求的封皮）</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。投标人的电子投标文件是经过CA证书加密后上传提交的，任何单位或个人均无法在投标截止时间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即开标时间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之前查看或篡改，不存在泄密风险。</w:t>
      </w:r>
    </w:p>
    <w:p w14:paraId="1E20DED8">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515647777"/>
      <w:bookmarkStart w:id="120" w:name="_Toc24275"/>
      <w:bookmarkStart w:id="121" w:name="_Toc24785"/>
      <w:bookmarkStart w:id="122" w:name="_Toc520356162"/>
      <w:bookmarkStart w:id="123" w:name="_Toc18537"/>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20246"/>
      <w:bookmarkStart w:id="125" w:name="_Toc515647778"/>
      <w:bookmarkStart w:id="126" w:name="_Toc12436"/>
      <w:bookmarkStart w:id="127" w:name="_Toc216582809"/>
      <w:bookmarkStart w:id="128" w:name="_Toc28398"/>
      <w:bookmarkStart w:id="129" w:name="_Toc520356163"/>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3"/>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520356164"/>
      <w:bookmarkStart w:id="131" w:name="_Toc515647779"/>
      <w:bookmarkStart w:id="132" w:name="_Toc25345"/>
      <w:bookmarkStart w:id="133" w:name="_Toc17257"/>
      <w:bookmarkStart w:id="134" w:name="_Toc7186"/>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21372"/>
      <w:bookmarkStart w:id="137" w:name="_Toc31290"/>
      <w:bookmarkStart w:id="138" w:name="_Toc515647780"/>
      <w:bookmarkStart w:id="139" w:name="_Toc19296"/>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w:t>
      </w:r>
      <w:r>
        <w:rPr>
          <w:rFonts w:hint="eastAsia" w:ascii="宋体" w:hAnsi="宋体" w:cs="宋体"/>
          <w:color w:val="auto"/>
          <w:sz w:val="24"/>
          <w:highlight w:val="none"/>
          <w:lang w:val="en-US" w:eastAsia="zh-CN"/>
        </w:rPr>
        <w:t>标段</w:t>
      </w:r>
      <w:r>
        <w:rPr>
          <w:rFonts w:hint="eastAsia" w:ascii="宋体" w:hAnsi="宋体" w:eastAsia="宋体" w:cs="宋体"/>
          <w:color w:val="auto"/>
          <w:sz w:val="24"/>
          <w:highlight w:val="none"/>
          <w:lang w:val="en-US" w:eastAsia="zh-CN"/>
        </w:rPr>
        <w:t>）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r>
        <w:rPr>
          <w:rFonts w:hint="eastAsia" w:ascii="宋体" w:hAnsi="宋体" w:cs="宋体"/>
          <w:color w:val="auto"/>
          <w:sz w:val="24"/>
          <w:highlight w:val="none"/>
          <w:lang w:val="en-US" w:eastAsia="zh-CN"/>
        </w:rPr>
        <w:t>，其中业主代表一名，</w:t>
      </w:r>
      <w:r>
        <w:rPr>
          <w:rFonts w:hint="eastAsia" w:ascii="宋体" w:hAnsi="宋体" w:eastAsia="宋体" w:cs="宋体"/>
          <w:color w:val="auto"/>
          <w:sz w:val="24"/>
          <w:highlight w:val="none"/>
        </w:rPr>
        <w:t>政采云平台随机抽取专家</w:t>
      </w:r>
      <w:r>
        <w:rPr>
          <w:rFonts w:hint="eastAsia" w:ascii="宋体" w:hAnsi="宋体" w:cs="宋体"/>
          <w:color w:val="auto"/>
          <w:sz w:val="24"/>
          <w:highlight w:val="none"/>
          <w:lang w:val="en-US" w:eastAsia="zh-CN"/>
        </w:rPr>
        <w:t>4名</w:t>
      </w:r>
      <w:r>
        <w:rPr>
          <w:rFonts w:hint="eastAsia" w:ascii="宋体" w:hAnsi="宋体" w:eastAsia="宋体" w:cs="宋体"/>
          <w:color w:val="auto"/>
          <w:sz w:val="24"/>
          <w:highlight w:val="none"/>
        </w:rPr>
        <w:t>。</w:t>
      </w:r>
    </w:p>
    <w:p w14:paraId="16F7BC6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26332"/>
      <w:bookmarkStart w:id="142" w:name="_Toc515647781"/>
      <w:bookmarkStart w:id="143" w:name="_Toc19949"/>
      <w:bookmarkStart w:id="144" w:name="_Toc28479"/>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E67697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20.5    如一个分包内包含多种产品的，采购人或采购代理机构将在投标人须知资料表中载明核心产品，多家投标人提供的核心产品品牌相同的，按第20.4条规定处理。</w:t>
      </w:r>
    </w:p>
    <w:p w14:paraId="690F5D1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18529"/>
      <w:bookmarkStart w:id="148" w:name="_Toc9469"/>
      <w:bookmarkStart w:id="149" w:name="_Toc515647782"/>
      <w:bookmarkStart w:id="150" w:name="_Toc6364"/>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23936"/>
      <w:bookmarkStart w:id="153" w:name="_Toc4950"/>
      <w:bookmarkStart w:id="154" w:name="_Toc6092"/>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22941"/>
      <w:bookmarkStart w:id="156" w:name="_Toc8521"/>
      <w:bookmarkStart w:id="157" w:name="_Toc515647784"/>
      <w:bookmarkStart w:id="158" w:name="_Toc13652"/>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9378"/>
      <w:bookmarkStart w:id="161" w:name="_Toc515647785"/>
      <w:bookmarkStart w:id="162" w:name="_Toc20227"/>
      <w:bookmarkStart w:id="163" w:name="_Toc3172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24972"/>
      <w:bookmarkStart w:id="165" w:name="_Toc11175"/>
      <w:bookmarkStart w:id="166" w:name="_Toc31289"/>
      <w:bookmarkStart w:id="167" w:name="_Toc515647786"/>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3"/>
        <w:spacing w:before="0" w:line="240" w:lineRule="atLeast"/>
        <w:ind w:left="1079" w:leftChars="257" w:hanging="540"/>
        <w:rPr>
          <w:rFonts w:hint="eastAsia" w:ascii="宋体" w:hAnsi="宋体" w:eastAsia="宋体" w:cs="宋体"/>
          <w:color w:val="auto"/>
          <w:sz w:val="28"/>
          <w:szCs w:val="28"/>
          <w:highlight w:val="none"/>
        </w:rPr>
      </w:pPr>
      <w:bookmarkStart w:id="169" w:name="_Toc23904"/>
      <w:bookmarkStart w:id="170" w:name="_Toc2153"/>
      <w:bookmarkStart w:id="171" w:name="_Toc216582810"/>
      <w:bookmarkStart w:id="172" w:name="_Toc12143"/>
      <w:bookmarkStart w:id="173" w:name="_Toc515647787"/>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Ref467307010"/>
      <w:bookmarkStart w:id="175" w:name="_Toc23617"/>
      <w:bookmarkStart w:id="176" w:name="_Toc520356170"/>
      <w:bookmarkStart w:id="177" w:name="_Toc28066"/>
      <w:bookmarkStart w:id="178" w:name="_Toc23762"/>
      <w:bookmarkStart w:id="179" w:name="_Toc515647788"/>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19950"/>
      <w:bookmarkStart w:id="183" w:name="_Toc9653"/>
      <w:bookmarkStart w:id="184" w:name="_Toc23951"/>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Ref467306874"/>
      <w:bookmarkStart w:id="186" w:name="_Toc520356173"/>
      <w:bookmarkStart w:id="187" w:name="_Toc8389"/>
      <w:bookmarkStart w:id="188" w:name="_Toc28562"/>
      <w:bookmarkStart w:id="189" w:name="_Toc515647790"/>
      <w:bookmarkStart w:id="190" w:name="_Toc13782"/>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515647791"/>
      <w:bookmarkStart w:id="193" w:name="_Toc31142"/>
      <w:bookmarkStart w:id="194" w:name="_Toc31099"/>
      <w:bookmarkStart w:id="195" w:name="_Toc30170"/>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Toc7779"/>
      <w:bookmarkStart w:id="197" w:name="_Toc520356175"/>
      <w:bookmarkStart w:id="198" w:name="_Ref467307062"/>
      <w:bookmarkStart w:id="199" w:name="_Ref467306377"/>
      <w:bookmarkStart w:id="200" w:name="_Ref467307204"/>
      <w:bookmarkStart w:id="201" w:name="_Toc14795"/>
      <w:bookmarkStart w:id="202" w:name="_Toc790"/>
      <w:bookmarkStart w:id="203" w:name="_Toc515647792"/>
      <w:bookmarkStart w:id="204" w:name="_Ref467306978"/>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Toc520356176"/>
      <w:bookmarkStart w:id="206" w:name="_Ref467306425"/>
      <w:bookmarkStart w:id="207" w:name="_Ref467307090"/>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22555"/>
      <w:bookmarkStart w:id="209" w:name="_Toc515647793"/>
      <w:bookmarkStart w:id="210" w:name="_Toc7188"/>
      <w:bookmarkStart w:id="211" w:name="_Toc14080"/>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515647794"/>
      <w:bookmarkStart w:id="213" w:name="_Toc3090"/>
      <w:bookmarkStart w:id="214" w:name="_Toc31936"/>
      <w:bookmarkStart w:id="215" w:name="_Toc29408"/>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6923"/>
      <w:bookmarkStart w:id="217" w:name="_Toc515647795"/>
      <w:bookmarkStart w:id="218" w:name="_Toc13588"/>
      <w:bookmarkStart w:id="219" w:name="_Toc7049"/>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23999"/>
      <w:bookmarkStart w:id="221" w:name="_Toc515647796"/>
      <w:bookmarkStart w:id="222" w:name="_Toc27198"/>
      <w:bookmarkStart w:id="223" w:name="_Toc2133"/>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11586"/>
      <w:bookmarkStart w:id="225" w:name="_Toc25480"/>
      <w:bookmarkStart w:id="226" w:name="_Toc515647797"/>
      <w:bookmarkStart w:id="227" w:name="_Toc10437"/>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11115"/>
      <w:bookmarkStart w:id="229" w:name="_Toc10700"/>
      <w:bookmarkStart w:id="230" w:name="_Toc1148"/>
      <w:bookmarkStart w:id="231" w:name="_Toc515647798"/>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27096"/>
      <w:bookmarkStart w:id="233" w:name="_Toc2072"/>
      <w:bookmarkStart w:id="234" w:name="_Toc16553"/>
      <w:bookmarkStart w:id="235" w:name="_Toc12088"/>
      <w:bookmarkStart w:id="236" w:name="_Toc4981"/>
      <w:bookmarkStart w:id="237" w:name="_Toc22908"/>
      <w:bookmarkStart w:id="238" w:name="_Toc30512"/>
      <w:bookmarkStart w:id="239" w:name="_Toc16652"/>
      <w:bookmarkStart w:id="240" w:name="_Toc23411"/>
      <w:bookmarkStart w:id="241" w:name="_Toc6493"/>
      <w:bookmarkStart w:id="242" w:name="_Toc5602"/>
      <w:bookmarkStart w:id="243" w:name="_Toc3696"/>
      <w:bookmarkStart w:id="244" w:name="_Toc14742"/>
      <w:bookmarkStart w:id="245" w:name="_Toc30093"/>
      <w:bookmarkStart w:id="246" w:name="_Toc24946"/>
      <w:bookmarkStart w:id="247" w:name="_Toc11973"/>
      <w:bookmarkStart w:id="248" w:name="_Toc1819"/>
      <w:bookmarkStart w:id="249" w:name="_Toc27146"/>
      <w:bookmarkStart w:id="250" w:name="_Toc1369"/>
      <w:bookmarkStart w:id="251" w:name="_Toc11297"/>
      <w:bookmarkStart w:id="252" w:name="_Toc18518"/>
      <w:bookmarkStart w:id="253" w:name="_Toc9437"/>
      <w:bookmarkStart w:id="254" w:name="_Toc2799"/>
      <w:bookmarkStart w:id="255" w:name="_Toc2500"/>
      <w:bookmarkStart w:id="256" w:name="_Toc27601"/>
      <w:bookmarkStart w:id="257" w:name="_Toc13021"/>
      <w:bookmarkStart w:id="258" w:name="_Toc25636"/>
      <w:bookmarkStart w:id="259" w:name="_Toc8353"/>
      <w:bookmarkStart w:id="260" w:name="_Toc30855"/>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A25167">
      <w:pPr>
        <w:pStyle w:val="7"/>
        <w:rPr>
          <w:rFonts w:hint="eastAsia" w:ascii="宋体" w:hAnsi="宋体" w:eastAsia="宋体" w:cs="宋体"/>
          <w:b/>
          <w:bCs/>
          <w:color w:val="auto"/>
          <w:sz w:val="24"/>
          <w:szCs w:val="24"/>
          <w:highlight w:val="none"/>
        </w:rPr>
      </w:pPr>
    </w:p>
    <w:p w14:paraId="3AC2B12B">
      <w:pPr>
        <w:rPr>
          <w:rFonts w:hint="eastAsia" w:ascii="宋体" w:hAnsi="宋体" w:eastAsia="宋体" w:cs="宋体"/>
          <w:b/>
          <w:bCs/>
          <w:color w:val="auto"/>
          <w:sz w:val="24"/>
          <w:szCs w:val="24"/>
          <w:highlight w:val="none"/>
        </w:rPr>
      </w:pPr>
    </w:p>
    <w:p w14:paraId="51E07DC6">
      <w:pPr>
        <w:pStyle w:val="7"/>
        <w:rPr>
          <w:rFonts w:hint="eastAsia" w:ascii="宋体" w:hAnsi="宋体" w:eastAsia="宋体" w:cs="宋体"/>
          <w:b/>
          <w:bCs/>
          <w:color w:val="auto"/>
          <w:sz w:val="24"/>
          <w:szCs w:val="24"/>
          <w:highlight w:val="none"/>
        </w:rPr>
      </w:pPr>
    </w:p>
    <w:p w14:paraId="4D89D403">
      <w:pPr>
        <w:rPr>
          <w:rFonts w:hint="eastAsia" w:ascii="宋体" w:hAnsi="宋体" w:eastAsia="宋体" w:cs="宋体"/>
          <w:b/>
          <w:bCs/>
          <w:color w:val="auto"/>
          <w:sz w:val="24"/>
          <w:szCs w:val="24"/>
          <w:highlight w:val="none"/>
        </w:rPr>
      </w:pPr>
    </w:p>
    <w:p w14:paraId="476B8522">
      <w:pPr>
        <w:pStyle w:val="7"/>
        <w:rPr>
          <w:rFonts w:hint="eastAsia"/>
        </w:rPr>
      </w:pPr>
    </w:p>
    <w:p w14:paraId="7F14FCB3">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515647799"/>
      <w:bookmarkStart w:id="262" w:name="_Toc21748"/>
      <w:bookmarkStart w:id="263" w:name="_Toc16186"/>
      <w:bookmarkStart w:id="264" w:name="_Toc11469"/>
    </w:p>
    <w:p w14:paraId="698A0470">
      <w:pPr>
        <w:pStyle w:val="3"/>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4"/>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4"/>
        <w:spacing w:line="240" w:lineRule="atLeast"/>
        <w:ind w:left="1079" w:leftChars="257" w:hanging="540"/>
        <w:rPr>
          <w:rFonts w:hint="eastAsia" w:ascii="宋体" w:hAnsi="宋体" w:eastAsia="宋体" w:cs="宋体"/>
          <w:b/>
          <w:color w:val="auto"/>
          <w:sz w:val="24"/>
          <w:highlight w:val="none"/>
        </w:rPr>
      </w:pPr>
    </w:p>
    <w:p w14:paraId="5D1939CE">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4"/>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4"/>
        <w:spacing w:line="240" w:lineRule="atLeast"/>
        <w:ind w:left="1079" w:leftChars="257" w:hanging="540"/>
        <w:jc w:val="center"/>
        <w:rPr>
          <w:rFonts w:hint="eastAsia" w:ascii="宋体" w:hAnsi="宋体" w:eastAsia="宋体" w:cs="宋体"/>
          <w:color w:val="auto"/>
          <w:sz w:val="24"/>
          <w:highlight w:val="none"/>
        </w:rPr>
      </w:pPr>
    </w:p>
    <w:p w14:paraId="62787488">
      <w:pPr>
        <w:pStyle w:val="14"/>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4"/>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4"/>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4"/>
        <w:spacing w:line="240" w:lineRule="atLeast"/>
        <w:ind w:left="1079" w:leftChars="257" w:hanging="540"/>
        <w:rPr>
          <w:rFonts w:hint="eastAsia" w:ascii="宋体" w:hAnsi="宋体" w:eastAsia="宋体" w:cs="宋体"/>
          <w:color w:val="auto"/>
          <w:sz w:val="24"/>
          <w:highlight w:val="none"/>
        </w:rPr>
      </w:pPr>
    </w:p>
    <w:p w14:paraId="06C3C17E">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3"/>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10951"/>
      <w:bookmarkStart w:id="266" w:name="_Toc515647800"/>
      <w:bookmarkStart w:id="267" w:name="_Toc6548"/>
      <w:bookmarkStart w:id="268" w:name="_Toc7612"/>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3"/>
        <w:spacing w:before="0" w:line="240" w:lineRule="atLeast"/>
        <w:ind w:left="1079" w:leftChars="257" w:hanging="540"/>
        <w:rPr>
          <w:rFonts w:hint="eastAsia" w:ascii="宋体" w:hAnsi="宋体" w:eastAsia="宋体" w:cs="宋体"/>
          <w:b w:val="0"/>
          <w:color w:val="auto"/>
          <w:sz w:val="28"/>
          <w:szCs w:val="18"/>
          <w:highlight w:val="none"/>
        </w:rPr>
      </w:pPr>
      <w:bookmarkStart w:id="269" w:name="_Toc30861"/>
      <w:bookmarkStart w:id="270" w:name="_Toc162"/>
      <w:bookmarkStart w:id="271" w:name="_Toc515647801"/>
      <w:bookmarkStart w:id="272" w:name="_Toc13962"/>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5"/>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2"/>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19692"/>
      <w:bookmarkStart w:id="274" w:name="_Toc728"/>
      <w:bookmarkStart w:id="275" w:name="_Toc515647802"/>
      <w:bookmarkStart w:id="276" w:name="_Toc216582812"/>
      <w:bookmarkStart w:id="277" w:name="_Toc702"/>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3"/>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6220"/>
      <w:bookmarkStart w:id="279" w:name="_Toc515647803"/>
      <w:bookmarkStart w:id="280" w:name="_Toc18694"/>
      <w:bookmarkStart w:id="281" w:name="_Toc18974"/>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单位三证合一营业执照</w:t>
      </w:r>
      <w:r>
        <w:rPr>
          <w:rFonts w:hint="eastAsia" w:ascii="宋体" w:hAnsi="宋体" w:cs="宋体"/>
          <w:color w:val="auto"/>
          <w:sz w:val="24"/>
          <w:highlight w:val="none"/>
          <w:lang w:eastAsia="zh-CN"/>
        </w:rPr>
        <w:t>；</w:t>
      </w:r>
    </w:p>
    <w:p w14:paraId="7CF38BF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所投产品为</w:t>
      </w:r>
      <w:r>
        <w:rPr>
          <w:rFonts w:hint="eastAsia" w:ascii="宋体" w:hAnsi="宋体" w:cs="宋体"/>
          <w:color w:val="auto"/>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p>
    <w:p w14:paraId="3BB94FF8">
      <w:pPr>
        <w:pStyle w:val="84"/>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cs="宋体"/>
          <w:color w:val="auto"/>
          <w:sz w:val="24"/>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）供应商需具备有效的《辐射安全许可证》；</w:t>
      </w:r>
    </w:p>
    <w:p w14:paraId="747A0D6F">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、法定代表人身份证明书；法定代表人授权委托书；</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2024年度或2025年度经会计师事务所出具财务审计报告（2026年新成立的公司须提供近三个月任意一个月的银行资信证明）；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5"/>
        <w:ind w:firstLine="0"/>
        <w:rPr>
          <w:rFonts w:hint="eastAsia" w:ascii="宋体" w:hAnsi="宋体" w:eastAsia="宋体" w:cs="宋体"/>
          <w:color w:val="auto"/>
          <w:highlight w:val="none"/>
        </w:rPr>
      </w:pPr>
      <w:r>
        <w:rPr>
          <w:rFonts w:hint="eastAsia" w:hAnsi="宋体" w:cs="宋体"/>
          <w:color w:val="auto"/>
          <w:szCs w:val="24"/>
          <w:highlight w:val="none"/>
          <w:lang w:val="en-US" w:eastAsia="zh-CN"/>
        </w:rPr>
        <w:t>8</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、投标人须知资料表要求的其他证明文件；</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3"/>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16568"/>
      <w:bookmarkStart w:id="283" w:name="_Toc30524"/>
      <w:bookmarkStart w:id="284" w:name="_Toc14309"/>
      <w:bookmarkStart w:id="285" w:name="_Toc515647804"/>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4"/>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5"/>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Ref467988698"/>
      <w:bookmarkStart w:id="288" w:name="_Toc480942349"/>
      <w:bookmarkStart w:id="289" w:name="_Toc216582813"/>
      <w:bookmarkStart w:id="290" w:name="_Toc520356217"/>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4"/>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4"/>
        <w:tabs>
          <w:tab w:val="left" w:pos="5580"/>
        </w:tabs>
        <w:spacing w:line="240" w:lineRule="atLeast"/>
        <w:ind w:left="1079" w:leftChars="257" w:hanging="540"/>
        <w:rPr>
          <w:rFonts w:hint="eastAsia" w:hAnsi="宋体" w:cs="宋体"/>
          <w:color w:val="auto"/>
          <w:sz w:val="24"/>
          <w:highlight w:val="none"/>
        </w:rPr>
      </w:pPr>
    </w:p>
    <w:p w14:paraId="76645441">
      <w:pPr>
        <w:pStyle w:val="14"/>
        <w:tabs>
          <w:tab w:val="left" w:pos="5580"/>
        </w:tabs>
        <w:spacing w:line="240" w:lineRule="atLeast"/>
        <w:ind w:left="1079" w:leftChars="257" w:hanging="540"/>
        <w:rPr>
          <w:rFonts w:hint="eastAsia" w:hAnsi="宋体" w:cs="宋体"/>
          <w:color w:val="auto"/>
          <w:sz w:val="24"/>
          <w:highlight w:val="none"/>
          <w:u w:val="single"/>
        </w:rPr>
      </w:pPr>
    </w:p>
    <w:p w14:paraId="1394D369">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4"/>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（签字或盖章）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4"/>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4"/>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4"/>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5"/>
        <w:rPr>
          <w:rFonts w:hint="eastAsia" w:ascii="宋体" w:hAnsi="宋体" w:eastAsia="宋体" w:cs="宋体"/>
          <w:b/>
          <w:color w:val="auto"/>
          <w:sz w:val="24"/>
          <w:highlight w:val="none"/>
        </w:rPr>
      </w:pPr>
    </w:p>
    <w:p w14:paraId="2C9718B7">
      <w:pPr>
        <w:pStyle w:val="9"/>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1"/>
        <w:rPr>
          <w:rFonts w:hint="eastAsia" w:ascii="宋体" w:hAnsi="宋体" w:eastAsia="宋体" w:cs="宋体"/>
          <w:b/>
          <w:color w:val="auto"/>
          <w:sz w:val="24"/>
          <w:highlight w:val="none"/>
        </w:rPr>
      </w:pPr>
    </w:p>
    <w:p w14:paraId="79DFB60D">
      <w:pPr>
        <w:pStyle w:val="41"/>
        <w:rPr>
          <w:rFonts w:hint="eastAsia" w:ascii="宋体" w:hAnsi="宋体" w:eastAsia="宋体" w:cs="宋体"/>
          <w:b/>
          <w:color w:val="auto"/>
          <w:sz w:val="24"/>
          <w:highlight w:val="none"/>
        </w:rPr>
      </w:pPr>
    </w:p>
    <w:p w14:paraId="7A235330">
      <w:pPr>
        <w:pStyle w:val="25"/>
        <w:rPr>
          <w:rFonts w:hint="eastAsia" w:ascii="宋体" w:hAnsi="宋体" w:eastAsia="宋体" w:cs="宋体"/>
          <w:color w:val="auto"/>
          <w:highlight w:val="none"/>
        </w:rPr>
      </w:pPr>
    </w:p>
    <w:p w14:paraId="31E2C67A">
      <w:pPr>
        <w:pStyle w:val="9"/>
        <w:rPr>
          <w:rFonts w:hint="eastAsia" w:ascii="宋体" w:hAnsi="宋体" w:eastAsia="宋体" w:cs="宋体"/>
          <w:color w:val="auto"/>
          <w:highlight w:val="none"/>
        </w:rPr>
      </w:pPr>
    </w:p>
    <w:p w14:paraId="729E4098">
      <w:pPr>
        <w:pStyle w:val="33"/>
        <w:rPr>
          <w:rFonts w:hint="eastAsia"/>
          <w:color w:val="auto"/>
          <w:highlight w:val="none"/>
        </w:rPr>
      </w:pPr>
    </w:p>
    <w:p w14:paraId="6F22FC43">
      <w:pPr>
        <w:pStyle w:val="33"/>
        <w:rPr>
          <w:rFonts w:hint="eastAsia"/>
          <w:color w:val="auto"/>
          <w:highlight w:val="none"/>
        </w:rPr>
      </w:pPr>
    </w:p>
    <w:p w14:paraId="05DEB3DF">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2DD20DB4">
      <w:pPr>
        <w:numPr>
          <w:ilvl w:val="0"/>
          <w:numId w:val="0"/>
        </w:numPr>
        <w:adjustRightInd w:val="0"/>
        <w:snapToGrid w:val="0"/>
        <w:spacing w:before="312" w:beforeLines="100" w:after="312" w:afterLines="100" w:line="3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highlight w:val="none"/>
        </w:rPr>
        <w:br w:type="page"/>
      </w:r>
      <w:bookmarkStart w:id="291" w:name="_Toc28445"/>
      <w:bookmarkStart w:id="292" w:name="_Toc31238"/>
      <w:bookmarkStart w:id="293" w:name="_Toc515647809"/>
      <w:bookmarkStart w:id="294" w:name="_Toc11047"/>
      <w:r>
        <w:rPr>
          <w:rFonts w:hint="eastAsia" w:ascii="宋体" w:hAnsi="宋体" w:eastAsia="宋体" w:cs="宋体"/>
          <w:b/>
          <w:bCs/>
          <w:color w:val="auto"/>
          <w:sz w:val="28"/>
          <w:szCs w:val="28"/>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）供应商需具备有效的《辐射安全许可证》；</w:t>
      </w:r>
    </w:p>
    <w:p w14:paraId="1333243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5F2AEFB">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CD40D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C88DBC7">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328B9ED">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7FEBDD1">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F1A78C3">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23BE3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A4EBEC">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83A168F">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5E544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E64DC76">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73E4448">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7E9C7628">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0555A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5"/>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4"/>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4"/>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515647807"/>
      <w:bookmarkStart w:id="296" w:name="_Toc22472"/>
      <w:bookmarkStart w:id="297" w:name="_Toc1083"/>
      <w:bookmarkStart w:id="298" w:name="_Toc23503"/>
      <w:r>
        <w:rPr>
          <w:rFonts w:hint="eastAsia" w:asciiTheme="minorEastAsia" w:hAnsiTheme="minorEastAsia" w:eastAsiaTheme="minorEastAsia" w:cstheme="minorEastAsia"/>
          <w:color w:val="auto"/>
          <w:sz w:val="24"/>
          <w:szCs w:val="24"/>
          <w:highlight w:val="none"/>
        </w:rPr>
        <w:t xml:space="preserve"> </w:t>
      </w:r>
      <w:bookmarkStart w:id="299" w:name="_Toc29028"/>
      <w:bookmarkStart w:id="300" w:name="_Toc23386"/>
      <w:bookmarkStart w:id="301" w:name="_Toc1846"/>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3"/>
        <w:tabs>
          <w:tab w:val="left" w:pos="540"/>
        </w:tabs>
        <w:jc w:val="both"/>
        <w:rPr>
          <w:rFonts w:hint="eastAsia" w:ascii="宋体" w:hAnsi="宋体" w:cs="宋体"/>
          <w:color w:val="auto"/>
          <w:sz w:val="24"/>
          <w:highlight w:val="none"/>
        </w:rPr>
      </w:pPr>
      <w:bookmarkStart w:id="302" w:name="_Toc30228"/>
      <w:bookmarkStart w:id="303" w:name="_Toc5232"/>
      <w:bookmarkStart w:id="304" w:name="_Toc659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4"/>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4"/>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4"/>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4"/>
        <w:tabs>
          <w:tab w:val="left" w:pos="5580"/>
        </w:tabs>
        <w:spacing w:line="240" w:lineRule="atLeast"/>
        <w:rPr>
          <w:rFonts w:hint="eastAsia" w:hAnsi="宋体" w:cs="宋体"/>
          <w:color w:val="auto"/>
          <w:sz w:val="24"/>
          <w:highlight w:val="none"/>
        </w:rPr>
      </w:pPr>
    </w:p>
    <w:p w14:paraId="48C4BFA8">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4"/>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4"/>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28"/>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 w:val="28"/>
          <w:szCs w:val="28"/>
          <w:highlight w:val="none"/>
          <w:lang w:val="en-US" w:eastAsia="zh-CN"/>
        </w:rPr>
        <w:t>；</w:t>
      </w:r>
    </w:p>
    <w:p w14:paraId="10A37D66">
      <w:pPr>
        <w:pStyle w:val="5"/>
        <w:ind w:firstLine="0"/>
        <w:rPr>
          <w:rFonts w:hint="eastAsia" w:ascii="宋体" w:hAnsi="宋体" w:eastAsia="宋体" w:cs="宋体"/>
          <w:color w:val="auto"/>
          <w:highlight w:val="none"/>
        </w:rPr>
      </w:pPr>
    </w:p>
    <w:p w14:paraId="0E0B8882">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5"/>
        <w:ind w:firstLine="0"/>
        <w:rPr>
          <w:rFonts w:hint="eastAsia" w:ascii="宋体" w:hAnsi="宋体" w:eastAsia="宋体" w:cs="宋体"/>
          <w:color w:val="auto"/>
          <w:highlight w:val="none"/>
        </w:rPr>
      </w:pPr>
    </w:p>
    <w:p w14:paraId="33530C11">
      <w:pPr>
        <w:pStyle w:val="5"/>
        <w:ind w:firstLine="0"/>
        <w:rPr>
          <w:rFonts w:hint="eastAsia" w:ascii="宋体" w:hAnsi="宋体" w:eastAsia="宋体" w:cs="宋体"/>
          <w:color w:val="auto"/>
          <w:highlight w:val="none"/>
        </w:rPr>
      </w:pPr>
    </w:p>
    <w:p w14:paraId="429F0DF5">
      <w:pPr>
        <w:pStyle w:val="5"/>
        <w:ind w:firstLine="0"/>
        <w:rPr>
          <w:rFonts w:hint="eastAsia" w:ascii="宋体" w:hAnsi="宋体" w:eastAsia="宋体" w:cs="宋体"/>
          <w:color w:val="auto"/>
          <w:highlight w:val="none"/>
        </w:rPr>
      </w:pPr>
    </w:p>
    <w:p w14:paraId="3F049324">
      <w:pPr>
        <w:pStyle w:val="5"/>
        <w:ind w:firstLine="0"/>
        <w:rPr>
          <w:rFonts w:hint="eastAsia" w:ascii="宋体" w:hAnsi="宋体" w:eastAsia="宋体" w:cs="宋体"/>
          <w:color w:val="auto"/>
          <w:highlight w:val="none"/>
        </w:rPr>
      </w:pPr>
    </w:p>
    <w:p w14:paraId="6217261F">
      <w:pPr>
        <w:pStyle w:val="7"/>
        <w:rPr>
          <w:rFonts w:hint="eastAsia" w:ascii="宋体" w:hAnsi="宋体" w:eastAsia="宋体" w:cs="宋体"/>
          <w:color w:val="auto"/>
          <w:highlight w:val="none"/>
        </w:rPr>
      </w:pPr>
    </w:p>
    <w:p w14:paraId="5DF808AB">
      <w:pPr>
        <w:rPr>
          <w:rFonts w:hint="eastAsia" w:ascii="宋体" w:hAnsi="宋体" w:eastAsia="宋体" w:cs="宋体"/>
          <w:color w:val="auto"/>
          <w:highlight w:val="none"/>
        </w:rPr>
      </w:pPr>
    </w:p>
    <w:p w14:paraId="49F90867">
      <w:pPr>
        <w:pStyle w:val="25"/>
        <w:rPr>
          <w:rFonts w:hint="eastAsia" w:ascii="宋体" w:hAnsi="宋体" w:eastAsia="宋体" w:cs="宋体"/>
          <w:color w:val="auto"/>
          <w:highlight w:val="none"/>
        </w:rPr>
      </w:pPr>
    </w:p>
    <w:p w14:paraId="70448452">
      <w:pPr>
        <w:pStyle w:val="5"/>
        <w:ind w:firstLine="0"/>
        <w:rPr>
          <w:rFonts w:hint="eastAsia" w:ascii="宋体" w:hAnsi="宋体" w:eastAsia="宋体" w:cs="宋体"/>
          <w:color w:val="auto"/>
          <w:highlight w:val="none"/>
        </w:rPr>
      </w:pPr>
    </w:p>
    <w:p w14:paraId="6650CC71">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7"/>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5"/>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w:t>
      </w:r>
      <w:r>
        <w:rPr>
          <w:rFonts w:hint="eastAsia" w:hAnsi="宋体" w:cs="宋体"/>
          <w:color w:val="auto"/>
          <w:highlight w:val="none"/>
          <w:lang w:val="en-US" w:eastAsia="zh-CN"/>
        </w:rPr>
        <w:t>提供近三个月任意一个月</w:t>
      </w:r>
      <w:r>
        <w:rPr>
          <w:rFonts w:hint="eastAsia" w:ascii="宋体" w:hAnsi="宋体" w:eastAsia="宋体" w:cs="宋体"/>
          <w:color w:val="auto"/>
          <w:highlight w:val="none"/>
          <w:lang w:val="en-US" w:eastAsia="zh-CN"/>
        </w:rPr>
        <w:t>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5"/>
        <w:ind w:firstLine="0"/>
        <w:rPr>
          <w:rFonts w:hint="eastAsia" w:ascii="宋体" w:hAnsi="宋体" w:eastAsia="宋体" w:cs="宋体"/>
          <w:color w:val="auto"/>
          <w:highlight w:val="none"/>
        </w:rPr>
      </w:pPr>
    </w:p>
    <w:p w14:paraId="7BB743CE">
      <w:pPr>
        <w:pStyle w:val="5"/>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151C1BD2">
      <w:pPr>
        <w:pStyle w:val="25"/>
        <w:rPr>
          <w:rFonts w:hint="eastAsia" w:ascii="宋体" w:hAnsi="宋体" w:eastAsia="宋体" w:cs="宋体"/>
          <w:color w:val="auto"/>
          <w:highlight w:val="none"/>
        </w:rPr>
      </w:pPr>
    </w:p>
    <w:p w14:paraId="73651E86">
      <w:pPr>
        <w:numPr>
          <w:ilvl w:val="0"/>
          <w:numId w:val="0"/>
        </w:numPr>
        <w:tabs>
          <w:tab w:val="left" w:pos="5580"/>
        </w:tabs>
        <w:spacing w:line="240" w:lineRule="atLeast"/>
        <w:ind w:left="539"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5"/>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9"/>
        <w:rPr>
          <w:rFonts w:hint="eastAsia" w:ascii="宋体" w:hAnsi="宋体" w:eastAsia="宋体" w:cs="宋体"/>
          <w:color w:val="auto"/>
          <w:highlight w:val="none"/>
          <w:lang w:val="en-US" w:eastAsia="zh-CN"/>
        </w:rPr>
      </w:pPr>
    </w:p>
    <w:p w14:paraId="30D29FF2">
      <w:pPr>
        <w:pStyle w:val="33"/>
        <w:rPr>
          <w:rFonts w:hint="eastAsia" w:ascii="宋体" w:hAnsi="宋体" w:eastAsia="宋体" w:cs="宋体"/>
          <w:color w:val="auto"/>
          <w:highlight w:val="none"/>
          <w:lang w:val="en-US" w:eastAsia="zh-CN"/>
        </w:rPr>
      </w:pPr>
    </w:p>
    <w:p w14:paraId="79690A9D">
      <w:pPr>
        <w:pStyle w:val="33"/>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numPr>
          <w:ilvl w:val="0"/>
          <w:numId w:val="0"/>
        </w:numPr>
        <w:tabs>
          <w:tab w:val="left" w:pos="5580"/>
        </w:tabs>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8、投标单位提供针对本次项目《反商业贿赂承诺书》；</w:t>
      </w:r>
    </w:p>
    <w:p w14:paraId="755DA994">
      <w:pPr>
        <w:pStyle w:val="14"/>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5"/>
        <w:ind w:firstLine="0"/>
        <w:rPr>
          <w:rFonts w:hint="eastAsia" w:ascii="宋体" w:hAnsi="宋体" w:eastAsia="宋体" w:cs="宋体"/>
          <w:color w:val="auto"/>
          <w:highlight w:val="none"/>
        </w:rPr>
      </w:pPr>
    </w:p>
    <w:p w14:paraId="61A456C3">
      <w:pPr>
        <w:pStyle w:val="5"/>
        <w:numPr>
          <w:ilvl w:val="0"/>
          <w:numId w:val="0"/>
        </w:numP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5"/>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5"/>
        <w:rPr>
          <w:rFonts w:hint="eastAsia" w:ascii="宋体" w:hAnsi="宋体" w:eastAsia="宋体" w:cs="宋体"/>
          <w:color w:val="auto"/>
          <w:highlight w:val="none"/>
        </w:rPr>
      </w:pPr>
    </w:p>
    <w:p w14:paraId="1A7E0E1C">
      <w:pPr>
        <w:pStyle w:val="9"/>
        <w:rPr>
          <w:rFonts w:hint="eastAsia" w:ascii="宋体" w:hAnsi="宋体" w:eastAsia="宋体" w:cs="宋体"/>
          <w:color w:val="auto"/>
          <w:highlight w:val="none"/>
        </w:rPr>
      </w:pPr>
    </w:p>
    <w:p w14:paraId="76A9865E">
      <w:pPr>
        <w:pStyle w:val="33"/>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5"/>
        <w:rPr>
          <w:rFonts w:hint="eastAsia" w:ascii="宋体" w:hAnsi="宋体" w:eastAsia="宋体" w:cs="宋体"/>
          <w:color w:val="auto"/>
          <w:highlight w:val="none"/>
        </w:rPr>
      </w:pPr>
    </w:p>
    <w:p w14:paraId="211CBB6B">
      <w:pPr>
        <w:pStyle w:val="9"/>
        <w:rPr>
          <w:rFonts w:hint="eastAsia" w:ascii="宋体" w:hAnsi="宋体" w:eastAsia="宋体" w:cs="宋体"/>
          <w:color w:val="auto"/>
          <w:highlight w:val="none"/>
        </w:rPr>
      </w:pPr>
    </w:p>
    <w:p w14:paraId="757A38B0">
      <w:pPr>
        <w:pStyle w:val="33"/>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5"/>
        <w:rPr>
          <w:rFonts w:hint="eastAsia" w:ascii="宋体" w:hAnsi="宋体" w:eastAsia="宋体" w:cs="宋体"/>
          <w:color w:val="auto"/>
          <w:highlight w:val="none"/>
        </w:rPr>
      </w:pPr>
    </w:p>
    <w:p w14:paraId="4777D89C">
      <w:pPr>
        <w:pStyle w:val="9"/>
        <w:rPr>
          <w:rFonts w:hint="eastAsia" w:ascii="宋体" w:hAnsi="宋体" w:eastAsia="宋体" w:cs="宋体"/>
          <w:color w:val="auto"/>
          <w:highlight w:val="none"/>
        </w:rPr>
      </w:pPr>
    </w:p>
    <w:p w14:paraId="2336BFCF">
      <w:pPr>
        <w:pStyle w:val="33"/>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5"/>
        <w:rPr>
          <w:rFonts w:hint="eastAsia" w:ascii="宋体" w:hAnsi="宋体" w:eastAsia="宋体" w:cs="宋体"/>
          <w:color w:val="auto"/>
          <w:highlight w:val="none"/>
        </w:rPr>
      </w:pPr>
    </w:p>
    <w:p w14:paraId="5B44DD04">
      <w:pPr>
        <w:pStyle w:val="9"/>
        <w:rPr>
          <w:rFonts w:hint="eastAsia" w:ascii="宋体" w:hAnsi="宋体" w:eastAsia="宋体" w:cs="宋体"/>
          <w:color w:val="auto"/>
          <w:highlight w:val="none"/>
        </w:rPr>
      </w:pPr>
    </w:p>
    <w:p w14:paraId="21032270">
      <w:pPr>
        <w:pStyle w:val="33"/>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5"/>
        <w:rPr>
          <w:rFonts w:hint="eastAsia" w:ascii="宋体" w:hAnsi="宋体" w:eastAsia="宋体" w:cs="宋体"/>
          <w:color w:val="auto"/>
          <w:highlight w:val="none"/>
        </w:rPr>
      </w:pPr>
    </w:p>
    <w:p w14:paraId="2FD3FCB5">
      <w:pPr>
        <w:pStyle w:val="9"/>
        <w:rPr>
          <w:rFonts w:hint="eastAsia" w:ascii="宋体" w:hAnsi="宋体" w:eastAsia="宋体" w:cs="宋体"/>
          <w:color w:val="auto"/>
          <w:highlight w:val="none"/>
        </w:rPr>
      </w:pPr>
    </w:p>
    <w:p w14:paraId="083E1C94">
      <w:pPr>
        <w:pStyle w:val="33"/>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3"/>
        <w:rPr>
          <w:rFonts w:hint="eastAsia" w:ascii="宋体" w:hAnsi="宋体" w:eastAsia="宋体" w:cs="宋体"/>
          <w:color w:val="auto"/>
          <w:highlight w:val="none"/>
        </w:rPr>
      </w:pPr>
    </w:p>
    <w:p w14:paraId="0F029D2A">
      <w:pPr>
        <w:pStyle w:val="33"/>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5"/>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5"/>
        <w:rPr>
          <w:rFonts w:hint="eastAsia" w:ascii="宋体" w:hAnsi="宋体" w:eastAsia="宋体" w:cs="宋体"/>
          <w:color w:val="auto"/>
          <w:highlight w:val="none"/>
        </w:rPr>
      </w:pPr>
    </w:p>
    <w:p w14:paraId="60D61ABC">
      <w:pPr>
        <w:pStyle w:val="9"/>
        <w:rPr>
          <w:rFonts w:hint="eastAsia" w:ascii="宋体" w:hAnsi="宋体" w:eastAsia="宋体" w:cs="宋体"/>
          <w:color w:val="auto"/>
          <w:highlight w:val="none"/>
        </w:rPr>
      </w:pPr>
    </w:p>
    <w:p w14:paraId="2FEBFE44">
      <w:pPr>
        <w:pStyle w:val="33"/>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、投标保证金缴纳凭证或投标担保函</w:t>
      </w:r>
    </w:p>
    <w:p w14:paraId="1EA3DA72">
      <w:pPr>
        <w:pStyle w:val="25"/>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、投标人须知资料表要求的其他资格证明文件</w:t>
      </w:r>
    </w:p>
    <w:p w14:paraId="6F6A275B">
      <w:pPr>
        <w:pStyle w:val="5"/>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3"/>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3"/>
        <w:tabs>
          <w:tab w:val="left" w:pos="540"/>
        </w:tabs>
        <w:rPr>
          <w:rFonts w:hint="eastAsia" w:ascii="宋体" w:hAnsi="宋体" w:eastAsia="宋体" w:cs="宋体"/>
          <w:color w:val="auto"/>
          <w:sz w:val="24"/>
          <w:szCs w:val="24"/>
          <w:highlight w:val="none"/>
        </w:rPr>
      </w:pPr>
    </w:p>
    <w:bookmarkEnd w:id="291"/>
    <w:bookmarkEnd w:id="292"/>
    <w:bookmarkEnd w:id="293"/>
    <w:bookmarkEnd w:id="294"/>
    <w:p w14:paraId="0DA423A4">
      <w:pPr>
        <w:rPr>
          <w:rFonts w:hint="eastAsia" w:ascii="宋体" w:hAnsi="宋体" w:eastAsia="宋体" w:cs="宋体"/>
          <w:color w:val="auto"/>
          <w:sz w:val="24"/>
          <w:highlight w:val="none"/>
        </w:rPr>
      </w:pPr>
    </w:p>
    <w:p w14:paraId="2EF59B0C">
      <w:pPr>
        <w:pStyle w:val="14"/>
        <w:tabs>
          <w:tab w:val="left" w:pos="5580"/>
        </w:tabs>
        <w:spacing w:line="240" w:lineRule="atLeast"/>
        <w:rPr>
          <w:rFonts w:hint="eastAsia" w:ascii="宋体" w:hAnsi="宋体" w:eastAsia="宋体" w:cs="宋体"/>
          <w:color w:val="auto"/>
          <w:sz w:val="24"/>
          <w:highlight w:val="none"/>
          <w:u w:val="single"/>
        </w:rPr>
      </w:pPr>
    </w:p>
    <w:p w14:paraId="3EB49ECE">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3"/>
        <w:numPr>
          <w:ilvl w:val="0"/>
          <w:numId w:val="2"/>
        </w:numPr>
        <w:spacing w:before="0" w:line="240" w:lineRule="atLeast"/>
        <w:ind w:left="1079" w:leftChars="257" w:hanging="540"/>
        <w:rPr>
          <w:rFonts w:hint="eastAsia" w:ascii="宋体" w:hAnsi="宋体" w:eastAsia="宋体" w:cs="宋体"/>
          <w:color w:val="auto"/>
          <w:sz w:val="28"/>
          <w:szCs w:val="21"/>
          <w:highlight w:val="none"/>
        </w:rPr>
      </w:pPr>
      <w:bookmarkStart w:id="305" w:name="_Toc515647816"/>
      <w:bookmarkStart w:id="306" w:name="_Toc22967"/>
      <w:bookmarkStart w:id="307" w:name="_Toc11180"/>
      <w:bookmarkStart w:id="308" w:name="_Toc3031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5"/>
      <w:bookmarkEnd w:id="306"/>
      <w:bookmarkEnd w:id="307"/>
      <w:bookmarkEnd w:id="308"/>
    </w:p>
    <w:p w14:paraId="75C0688A">
      <w:pPr>
        <w:pStyle w:val="5"/>
        <w:numPr>
          <w:ilvl w:val="0"/>
          <w:numId w:val="0"/>
        </w:numPr>
        <w:rPr>
          <w:rFonts w:hint="eastAsia" w:ascii="宋体" w:hAnsi="宋体" w:eastAsia="宋体" w:cs="宋体"/>
          <w:color w:val="auto"/>
          <w:highlight w:val="none"/>
        </w:rPr>
      </w:pPr>
    </w:p>
    <w:p w14:paraId="7506C545">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5F39D359">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7、投标人关联单位的说明（格式自拟）</w:t>
      </w:r>
    </w:p>
    <w:p w14:paraId="2577CBBC">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8、投标文件还应包括投标人其它技术文件</w:t>
      </w:r>
    </w:p>
    <w:p w14:paraId="37219434">
      <w:pPr>
        <w:pStyle w:val="14"/>
        <w:ind w:left="1079" w:leftChars="257" w:hanging="540"/>
        <w:rPr>
          <w:rFonts w:hint="eastAsia" w:ascii="宋体" w:hAnsi="宋体" w:eastAsia="宋体" w:cs="宋体"/>
          <w:color w:val="auto"/>
          <w:sz w:val="24"/>
          <w:highlight w:val="none"/>
          <w:lang w:val="en-US" w:eastAsia="zh-CN"/>
        </w:rPr>
      </w:pPr>
    </w:p>
    <w:p w14:paraId="55802BA2">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3"/>
        <w:spacing w:before="0" w:line="240" w:lineRule="atLeast"/>
        <w:ind w:left="1079" w:leftChars="257" w:hanging="540"/>
        <w:rPr>
          <w:rFonts w:hint="eastAsia" w:ascii="宋体" w:hAnsi="宋体" w:eastAsia="宋体" w:cs="宋体"/>
          <w:color w:val="auto"/>
          <w:sz w:val="24"/>
          <w:highlight w:val="none"/>
        </w:rPr>
      </w:pPr>
      <w:bookmarkStart w:id="309" w:name="_Toc14915"/>
      <w:bookmarkStart w:id="310" w:name="_Toc515647817"/>
      <w:bookmarkStart w:id="311" w:name="_Toc2041"/>
      <w:bookmarkStart w:id="312" w:name="_Toc8525"/>
      <w:r>
        <w:rPr>
          <w:rFonts w:hint="eastAsia" w:ascii="宋体" w:hAnsi="宋体" w:eastAsia="宋体" w:cs="宋体"/>
          <w:color w:val="auto"/>
          <w:sz w:val="24"/>
          <w:highlight w:val="none"/>
        </w:rPr>
        <w:t xml:space="preserve">1   </w:t>
      </w:r>
      <w:bookmarkStart w:id="313" w:name="_Hlt520355504"/>
      <w:bookmarkEnd w:id="313"/>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bookmarkEnd w:id="290"/>
      <w:bookmarkEnd w:id="309"/>
      <w:bookmarkEnd w:id="310"/>
      <w:bookmarkEnd w:id="311"/>
      <w:bookmarkEnd w:id="312"/>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4"/>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4"/>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hAnsi="宋体" w:cs="宋体"/>
          <w:color w:val="auto"/>
          <w:sz w:val="24"/>
          <w:highlight w:val="none"/>
          <w:lang w:val="en-US" w:eastAsia="zh-CN"/>
        </w:rPr>
        <w:t>投标总价</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（用文字和数字表示）</w:t>
      </w:r>
      <w:r>
        <w:rPr>
          <w:rFonts w:hint="eastAsia" w:ascii="宋体" w:hAnsi="宋体" w:eastAsia="宋体" w:cs="宋体"/>
          <w:color w:val="auto"/>
          <w:sz w:val="24"/>
          <w:highlight w:val="none"/>
        </w:rPr>
        <w:t>。</w:t>
      </w:r>
    </w:p>
    <w:p w14:paraId="0FC5202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4"/>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4"/>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rPr>
        <w:t>）-----------------</w:t>
      </w:r>
    </w:p>
    <w:p w14:paraId="1E7642A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4"/>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3"/>
        <w:spacing w:before="0" w:line="240" w:lineRule="atLeast"/>
        <w:jc w:val="center"/>
        <w:rPr>
          <w:rFonts w:hint="eastAsia" w:ascii="宋体" w:hAnsi="宋体" w:eastAsia="宋体" w:cs="宋体"/>
          <w:color w:val="auto"/>
          <w:sz w:val="24"/>
          <w:highlight w:val="none"/>
        </w:rPr>
      </w:pPr>
      <w:bookmarkStart w:id="314" w:name="_Toc515647818"/>
      <w:bookmarkStart w:id="315" w:name="_Toc20897"/>
      <w:bookmarkStart w:id="316" w:name="_Toc216582815"/>
      <w:bookmarkStart w:id="317" w:name="_Toc10388"/>
      <w:bookmarkStart w:id="318" w:name="_Toc1881"/>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4"/>
      <w:bookmarkEnd w:id="315"/>
      <w:bookmarkEnd w:id="316"/>
      <w:bookmarkEnd w:id="317"/>
      <w:bookmarkEnd w:id="318"/>
    </w:p>
    <w:p w14:paraId="37A0BE3A">
      <w:pPr>
        <w:pStyle w:val="14"/>
        <w:spacing w:line="240" w:lineRule="atLeast"/>
        <w:ind w:left="1080" w:leftChars="257" w:hanging="540"/>
        <w:rPr>
          <w:rFonts w:hint="eastAsia" w:ascii="宋体" w:hAnsi="宋体" w:eastAsia="宋体" w:cs="宋体"/>
          <w:color w:val="auto"/>
          <w:sz w:val="24"/>
          <w:highlight w:val="none"/>
        </w:rPr>
      </w:pPr>
    </w:p>
    <w:p w14:paraId="5BBBF7C8">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13"/>
        <w:gridCol w:w="1844"/>
        <w:gridCol w:w="2310"/>
        <w:gridCol w:w="2029"/>
        <w:gridCol w:w="1591"/>
        <w:gridCol w:w="1377"/>
        <w:gridCol w:w="1453"/>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7" w:type="dxa"/>
            <w:noWrap w:val="0"/>
            <w:vAlign w:val="center"/>
          </w:tcPr>
          <w:p w14:paraId="6B99061C">
            <w:pPr>
              <w:pStyle w:val="14"/>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457" w:type="dxa"/>
            <w:gridSpan w:val="2"/>
            <w:noWrap w:val="0"/>
            <w:vAlign w:val="center"/>
          </w:tcPr>
          <w:p w14:paraId="55485280">
            <w:pPr>
              <w:pStyle w:val="14"/>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129E7246">
            <w:pPr>
              <w:pStyle w:val="14"/>
              <w:spacing w:line="240" w:lineRule="atLeast"/>
              <w:jc w:val="center"/>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品牌</w:t>
            </w:r>
          </w:p>
        </w:tc>
        <w:tc>
          <w:tcPr>
            <w:tcW w:w="2029" w:type="dxa"/>
            <w:noWrap w:val="0"/>
            <w:vAlign w:val="center"/>
          </w:tcPr>
          <w:p w14:paraId="729BAA16">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w:t>
            </w:r>
          </w:p>
        </w:tc>
        <w:tc>
          <w:tcPr>
            <w:tcW w:w="1591" w:type="dxa"/>
            <w:noWrap w:val="0"/>
            <w:vAlign w:val="center"/>
          </w:tcPr>
          <w:p w14:paraId="4C36659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377" w:type="dxa"/>
            <w:noWrap w:val="0"/>
            <w:vAlign w:val="center"/>
          </w:tcPr>
          <w:p w14:paraId="6FF1F7EE">
            <w:pPr>
              <w:pStyle w:val="14"/>
              <w:tabs>
                <w:tab w:val="left" w:pos="248"/>
              </w:tabs>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453" w:type="dxa"/>
            <w:noWrap w:val="0"/>
            <w:vAlign w:val="center"/>
          </w:tcPr>
          <w:p w14:paraId="6B47887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7" w:type="dxa"/>
            <w:noWrap w:val="0"/>
            <w:vAlign w:val="center"/>
          </w:tcPr>
          <w:p w14:paraId="0774F1F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457" w:type="dxa"/>
            <w:gridSpan w:val="2"/>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1859643">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3BB836E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E3ED007">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4"/>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7" w:type="dxa"/>
            <w:noWrap w:val="0"/>
            <w:vAlign w:val="center"/>
          </w:tcPr>
          <w:p w14:paraId="0279C78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457" w:type="dxa"/>
            <w:gridSpan w:val="2"/>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4EA4A69A">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1ED77011">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C44D004">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4"/>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1520E5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457" w:type="dxa"/>
            <w:gridSpan w:val="2"/>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7DCA76E8">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CB29BE3">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7CEFB9D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4"/>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60BEE4D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457" w:type="dxa"/>
            <w:gridSpan w:val="2"/>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2D7311A6">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8D3BD44">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A6531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4"/>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noWrap w:val="0"/>
            <w:vAlign w:val="center"/>
          </w:tcPr>
          <w:p w14:paraId="7A1D492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457" w:type="dxa"/>
            <w:gridSpan w:val="2"/>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9743EB0">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CDF908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DBFCFC5">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4"/>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noWrap w:val="0"/>
            <w:vAlign w:val="center"/>
          </w:tcPr>
          <w:p w14:paraId="4B9B4D5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457" w:type="dxa"/>
            <w:gridSpan w:val="2"/>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6894E71D">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559120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D32E6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4"/>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7" w:type="dxa"/>
            <w:noWrap w:val="0"/>
            <w:vAlign w:val="center"/>
          </w:tcPr>
          <w:p w14:paraId="4BF2334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457" w:type="dxa"/>
            <w:gridSpan w:val="2"/>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5029EF8C">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2F70970A">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41EF39C0">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4"/>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dxa"/>
            <w:noWrap w:val="0"/>
            <w:vAlign w:val="center"/>
          </w:tcPr>
          <w:p w14:paraId="7EFBCA2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3457" w:type="dxa"/>
            <w:gridSpan w:val="2"/>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D708634">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7D97F71E">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5C51B7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4"/>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10" w:type="dxa"/>
            <w:gridSpan w:val="2"/>
            <w:noWrap w:val="0"/>
            <w:vAlign w:val="center"/>
          </w:tcPr>
          <w:p w14:paraId="7F5AFF47">
            <w:pPr>
              <w:widowControl/>
              <w:jc w:val="center"/>
              <w:textAlignment w:val="center"/>
              <w:rPr>
                <w:rFonts w:hint="eastAsia" w:ascii="宋体" w:hAnsi="宋体" w:eastAsia="宋体" w:cs="宋体"/>
                <w:color w:val="auto"/>
                <w:kern w:val="0"/>
                <w:sz w:val="22"/>
                <w:szCs w:val="22"/>
                <w:highlight w:val="none"/>
                <w:lang w:bidi="ar"/>
              </w:rPr>
            </w:pPr>
          </w:p>
        </w:tc>
        <w:tc>
          <w:tcPr>
            <w:tcW w:w="6183"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441" w:type="dxa"/>
            <w:gridSpan w:val="4"/>
            <w:noWrap w:val="0"/>
            <w:vAlign w:val="center"/>
          </w:tcPr>
          <w:p w14:paraId="26AB6D62">
            <w:pPr>
              <w:pStyle w:val="14"/>
              <w:spacing w:line="240" w:lineRule="atLeast"/>
              <w:jc w:val="center"/>
              <w:rPr>
                <w:rFonts w:hint="eastAsia" w:ascii="宋体" w:hAnsi="宋体" w:eastAsia="宋体" w:cs="宋体"/>
                <w:color w:val="auto"/>
                <w:sz w:val="24"/>
                <w:highlight w:val="none"/>
                <w:lang w:val="en-US" w:eastAsia="zh-CN"/>
              </w:rPr>
            </w:pPr>
          </w:p>
        </w:tc>
      </w:tr>
    </w:tbl>
    <w:p w14:paraId="7C3C19E2">
      <w:pPr>
        <w:pStyle w:val="14"/>
        <w:spacing w:line="240" w:lineRule="atLeast"/>
        <w:jc w:val="center"/>
        <w:rPr>
          <w:rFonts w:hint="eastAsia" w:ascii="宋体" w:hAnsi="宋体" w:eastAsia="宋体" w:cs="宋体"/>
          <w:color w:val="auto"/>
          <w:sz w:val="24"/>
          <w:highlight w:val="none"/>
        </w:rPr>
      </w:pPr>
    </w:p>
    <w:p w14:paraId="71F7A88A">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4"/>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4"/>
        <w:spacing w:line="240" w:lineRule="atLeast"/>
        <w:ind w:left="1155" w:leftChars="371" w:hanging="376" w:hangingChars="157"/>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3.如果不提供详细分项报价将视为没有实质性响应招标文件。</w:t>
      </w:r>
    </w:p>
    <w:p w14:paraId="3FECC3D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4"/>
        <w:spacing w:line="240" w:lineRule="atLeast"/>
        <w:rPr>
          <w:rFonts w:hint="eastAsia" w:ascii="宋体" w:hAnsi="宋体" w:eastAsia="宋体" w:cs="宋体"/>
          <w:color w:val="auto"/>
          <w:sz w:val="24"/>
          <w:highlight w:val="none"/>
        </w:rPr>
      </w:pPr>
    </w:p>
    <w:p w14:paraId="26A03F97">
      <w:pPr>
        <w:pStyle w:val="3"/>
        <w:spacing w:before="0" w:line="240" w:lineRule="atLeast"/>
        <w:ind w:left="1080" w:leftChars="257" w:hanging="540"/>
        <w:rPr>
          <w:rFonts w:hint="eastAsia" w:ascii="宋体" w:hAnsi="宋体" w:eastAsia="宋体" w:cs="宋体"/>
          <w:color w:val="auto"/>
          <w:sz w:val="24"/>
          <w:highlight w:val="none"/>
        </w:rPr>
      </w:pPr>
      <w:bookmarkStart w:id="319" w:name="_Toc14037"/>
      <w:bookmarkStart w:id="320" w:name="_Toc216582816"/>
      <w:bookmarkStart w:id="321" w:name="_Toc32398"/>
      <w:bookmarkStart w:id="322" w:name="_Toc515647819"/>
      <w:bookmarkStart w:id="323" w:name="_Toc18267"/>
    </w:p>
    <w:p w14:paraId="78822A63">
      <w:pPr>
        <w:pStyle w:val="5"/>
        <w:rPr>
          <w:rFonts w:hint="eastAsia" w:ascii="宋体" w:hAnsi="宋体" w:eastAsia="宋体" w:cs="宋体"/>
          <w:color w:val="auto"/>
          <w:highlight w:val="none"/>
        </w:rPr>
      </w:pPr>
    </w:p>
    <w:p w14:paraId="7B4BC375">
      <w:pPr>
        <w:pStyle w:val="5"/>
        <w:rPr>
          <w:rFonts w:hint="eastAsia" w:ascii="宋体" w:hAnsi="宋体" w:eastAsia="宋体" w:cs="宋体"/>
          <w:color w:val="auto"/>
          <w:highlight w:val="none"/>
        </w:rPr>
      </w:pPr>
    </w:p>
    <w:p w14:paraId="764CC499">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19"/>
      <w:bookmarkEnd w:id="320"/>
      <w:bookmarkEnd w:id="321"/>
      <w:bookmarkEnd w:id="322"/>
      <w:bookmarkEnd w:id="323"/>
    </w:p>
    <w:p w14:paraId="153FA6F5">
      <w:pPr>
        <w:pStyle w:val="14"/>
        <w:spacing w:line="240" w:lineRule="atLeast"/>
        <w:ind w:left="1080" w:leftChars="257" w:hanging="540"/>
        <w:rPr>
          <w:rFonts w:hint="eastAsia" w:ascii="宋体" w:hAnsi="宋体" w:eastAsia="宋体" w:cs="宋体"/>
          <w:color w:val="auto"/>
          <w:sz w:val="24"/>
          <w:highlight w:val="none"/>
        </w:rPr>
      </w:pPr>
    </w:p>
    <w:p w14:paraId="6E8D612C">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4"/>
        <w:spacing w:line="240" w:lineRule="atLeast"/>
        <w:ind w:left="1080" w:leftChars="257" w:hanging="540"/>
        <w:rPr>
          <w:rFonts w:hint="eastAsia" w:ascii="宋体" w:hAnsi="宋体" w:eastAsia="宋体" w:cs="宋体"/>
          <w:color w:val="auto"/>
          <w:sz w:val="24"/>
          <w:highlight w:val="none"/>
        </w:rPr>
      </w:pP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75"/>
        <w:gridCol w:w="2000"/>
        <w:gridCol w:w="2081"/>
        <w:gridCol w:w="1435"/>
        <w:gridCol w:w="1807"/>
        <w:gridCol w:w="2129"/>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875" w:type="dxa"/>
            <w:noWrap w:val="0"/>
            <w:vAlign w:val="top"/>
          </w:tcPr>
          <w:p w14:paraId="03315EAA">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000" w:type="dxa"/>
            <w:noWrap w:val="0"/>
            <w:vAlign w:val="top"/>
          </w:tcPr>
          <w:p w14:paraId="4546AAA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2081" w:type="dxa"/>
            <w:noWrap w:val="0"/>
            <w:vAlign w:val="top"/>
          </w:tcPr>
          <w:p w14:paraId="2698B8F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35" w:type="dxa"/>
            <w:noWrap w:val="0"/>
            <w:vAlign w:val="top"/>
          </w:tcPr>
          <w:p w14:paraId="60AC9E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807" w:type="dxa"/>
            <w:noWrap w:val="0"/>
            <w:vAlign w:val="top"/>
          </w:tcPr>
          <w:p w14:paraId="18A8CD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2129" w:type="dxa"/>
            <w:noWrap w:val="0"/>
            <w:vAlign w:val="top"/>
          </w:tcPr>
          <w:p w14:paraId="6B44C8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40" w:type="dxa"/>
            <w:noWrap w:val="0"/>
            <w:vAlign w:val="top"/>
          </w:tcPr>
          <w:p w14:paraId="099FA00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9E2ADE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E6B89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BF3D1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3E069DFF">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0E207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89E49D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C7E856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D3901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84D78D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62ECF0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1E88C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FF7AD3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144D63A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46282C3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DA543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846319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5771D2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443A33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54C5515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EA45D1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FF887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9777F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FE0A6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7329912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2E80D81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05725B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CEA366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1869EBF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73244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A49771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13B002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6D9E966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ACB5C4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66F5B15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2FCE8C3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8F803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98B00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32DE4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671E1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73B6D4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28BBC6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4D3CA1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0B6714B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23257FC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2EFDE1B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0237924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12D1E1E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73D2B1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bl>
    <w:p w14:paraId="42918AC5">
      <w:pPr>
        <w:pStyle w:val="14"/>
        <w:spacing w:line="240" w:lineRule="atLeast"/>
        <w:ind w:left="1080" w:leftChars="257" w:hanging="540"/>
        <w:rPr>
          <w:rFonts w:hint="eastAsia" w:ascii="宋体" w:hAnsi="宋体" w:eastAsia="宋体" w:cs="宋体"/>
          <w:color w:val="auto"/>
          <w:sz w:val="24"/>
          <w:highlight w:val="none"/>
        </w:rPr>
      </w:pPr>
    </w:p>
    <w:p w14:paraId="0EAC1B94">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4"/>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4"/>
        <w:spacing w:line="240" w:lineRule="atLeast"/>
        <w:ind w:left="1080" w:leftChars="257" w:hanging="540"/>
        <w:rPr>
          <w:rFonts w:hint="eastAsia" w:ascii="宋体" w:hAnsi="宋体" w:eastAsia="宋体" w:cs="宋体"/>
          <w:color w:val="auto"/>
          <w:sz w:val="24"/>
          <w:highlight w:val="none"/>
        </w:rPr>
      </w:pPr>
    </w:p>
    <w:p w14:paraId="2708E20A">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4"/>
        <w:spacing w:line="240" w:lineRule="atLeast"/>
        <w:ind w:left="1080" w:leftChars="257" w:hanging="540"/>
        <w:jc w:val="center"/>
        <w:rPr>
          <w:rFonts w:hint="eastAsia" w:ascii="宋体" w:hAnsi="宋体" w:eastAsia="宋体" w:cs="宋体"/>
          <w:color w:val="auto"/>
          <w:sz w:val="24"/>
          <w:highlight w:val="none"/>
        </w:rPr>
      </w:pPr>
    </w:p>
    <w:p w14:paraId="106172CC">
      <w:pPr>
        <w:pStyle w:val="14"/>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3"/>
        <w:spacing w:before="0" w:line="240" w:lineRule="atLeast"/>
        <w:ind w:left="1079" w:leftChars="257" w:hanging="540"/>
        <w:rPr>
          <w:rFonts w:hint="eastAsia" w:ascii="宋体" w:hAnsi="宋体" w:eastAsia="宋体" w:cs="宋体"/>
          <w:color w:val="auto"/>
          <w:sz w:val="24"/>
          <w:highlight w:val="none"/>
        </w:rPr>
      </w:pPr>
      <w:bookmarkStart w:id="324" w:name="_Toc22563"/>
      <w:bookmarkStart w:id="325" w:name="_Toc29780"/>
      <w:bookmarkStart w:id="326" w:name="_Toc515647820"/>
      <w:bookmarkStart w:id="327" w:name="_Toc28959"/>
      <w:bookmarkStart w:id="328" w:name="_Toc216582817"/>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4"/>
      <w:bookmarkEnd w:id="325"/>
      <w:bookmarkEnd w:id="326"/>
      <w:bookmarkEnd w:id="327"/>
      <w:bookmarkEnd w:id="328"/>
    </w:p>
    <w:p w14:paraId="3F9D1867">
      <w:pPr>
        <w:pStyle w:val="14"/>
        <w:spacing w:line="240" w:lineRule="atLeast"/>
        <w:ind w:left="1079" w:leftChars="257" w:hanging="540"/>
        <w:rPr>
          <w:rFonts w:hint="eastAsia" w:ascii="宋体" w:hAnsi="宋体" w:eastAsia="宋体" w:cs="宋体"/>
          <w:color w:val="auto"/>
          <w:sz w:val="24"/>
          <w:highlight w:val="none"/>
        </w:rPr>
      </w:pPr>
    </w:p>
    <w:p w14:paraId="0327A1C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0BED719">
      <w:pPr>
        <w:pStyle w:val="14"/>
        <w:spacing w:line="240" w:lineRule="atLeast"/>
        <w:ind w:left="1079" w:leftChars="257" w:hanging="540"/>
        <w:rPr>
          <w:rFonts w:hint="eastAsia" w:ascii="宋体" w:hAnsi="宋体" w:eastAsia="宋体" w:cs="宋体"/>
          <w:color w:val="auto"/>
          <w:sz w:val="24"/>
          <w:highlight w:val="none"/>
        </w:rPr>
      </w:pPr>
    </w:p>
    <w:tbl>
      <w:tblPr>
        <w:tblStyle w:val="3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4"/>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4"/>
        <w:spacing w:line="240" w:lineRule="atLeast"/>
        <w:ind w:left="1079" w:leftChars="257" w:hanging="540"/>
        <w:rPr>
          <w:rFonts w:hint="eastAsia" w:ascii="宋体" w:hAnsi="宋体" w:eastAsia="宋体" w:cs="宋体"/>
          <w:color w:val="auto"/>
          <w:sz w:val="24"/>
          <w:highlight w:val="none"/>
        </w:rPr>
      </w:pPr>
    </w:p>
    <w:p w14:paraId="4F850FE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5DF809E">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1.技术要求不限于参数规格（如材料、尺寸、结构）或者服务内容和标准等；投标人要将投标文件和招标文件在参数规格部分汇集成表。</w:t>
      </w:r>
    </w:p>
    <w:p w14:paraId="227BD7D9">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2.投标人应根据投标产品的性能指标、对照招标文件要求在“偏离情况”栏注明“正偏离”、“负偏离”或“无偏离”。</w:t>
      </w:r>
    </w:p>
    <w:p w14:paraId="7E4F830C">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3.请投标人根据投标文件技术偏离表响应情况将印证资料放置页码具体详细的填写在说明栏中。</w:t>
      </w:r>
    </w:p>
    <w:p w14:paraId="37524B0B">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3"/>
        <w:spacing w:before="0" w:line="240" w:lineRule="atLeast"/>
        <w:jc w:val="center"/>
        <w:rPr>
          <w:rFonts w:hint="eastAsia" w:ascii="宋体" w:hAnsi="宋体" w:eastAsia="宋体" w:cs="宋体"/>
          <w:color w:val="auto"/>
          <w:sz w:val="24"/>
          <w:highlight w:val="none"/>
        </w:rPr>
      </w:pPr>
      <w:bookmarkStart w:id="329" w:name="_Toc216582818"/>
      <w:bookmarkStart w:id="330" w:name="_Toc23"/>
      <w:bookmarkStart w:id="331" w:name="_Toc28374"/>
      <w:bookmarkStart w:id="332" w:name="_Toc515647821"/>
      <w:bookmarkStart w:id="333" w:name="_Toc1980"/>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29"/>
      <w:bookmarkEnd w:id="330"/>
      <w:bookmarkEnd w:id="331"/>
      <w:bookmarkEnd w:id="332"/>
      <w:bookmarkEnd w:id="333"/>
    </w:p>
    <w:p w14:paraId="15487A0D">
      <w:pPr>
        <w:pStyle w:val="14"/>
        <w:spacing w:line="240" w:lineRule="atLeast"/>
        <w:ind w:left="1079" w:leftChars="257" w:hanging="540"/>
        <w:rPr>
          <w:rFonts w:hint="eastAsia" w:ascii="宋体" w:hAnsi="宋体" w:eastAsia="宋体" w:cs="宋体"/>
          <w:color w:val="auto"/>
          <w:sz w:val="24"/>
          <w:highlight w:val="none"/>
        </w:rPr>
      </w:pPr>
    </w:p>
    <w:p w14:paraId="629101F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包号:</w:t>
      </w:r>
    </w:p>
    <w:p w14:paraId="65A24A84">
      <w:pPr>
        <w:pStyle w:val="14"/>
        <w:spacing w:line="240" w:lineRule="atLeast"/>
        <w:ind w:left="1079" w:leftChars="257" w:hanging="540"/>
        <w:rPr>
          <w:rFonts w:hint="eastAsia" w:ascii="宋体" w:hAnsi="宋体" w:eastAsia="宋体" w:cs="宋体"/>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4"/>
        <w:spacing w:line="240" w:lineRule="atLeast"/>
        <w:ind w:left="1079" w:leftChars="257" w:hanging="540"/>
        <w:rPr>
          <w:rFonts w:hint="eastAsia" w:ascii="宋体" w:hAnsi="宋体" w:eastAsia="宋体" w:cs="宋体"/>
          <w:color w:val="auto"/>
          <w:sz w:val="24"/>
          <w:highlight w:val="none"/>
        </w:rPr>
      </w:pPr>
    </w:p>
    <w:p w14:paraId="480F68D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注：商务要求不限于交付（实施）的时间（期限）和地点（范围），付款条件（进度和方式），包装和运输，售后服务，保险等；投标人要将投标文件和招标文件在商务部分汇集成表。</w:t>
      </w:r>
    </w:p>
    <w:p w14:paraId="67CABFAC">
      <w:pPr>
        <w:pStyle w:val="14"/>
        <w:spacing w:line="240" w:lineRule="atLeast"/>
        <w:ind w:left="1079" w:leftChars="257" w:hanging="540"/>
        <w:rPr>
          <w:rFonts w:hint="eastAsia" w:ascii="宋体" w:hAnsi="宋体" w:eastAsia="宋体" w:cs="宋体"/>
          <w:color w:val="auto"/>
          <w:sz w:val="24"/>
          <w:highlight w:val="none"/>
        </w:rPr>
      </w:pPr>
    </w:p>
    <w:p w14:paraId="0393D621">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3"/>
        <w:spacing w:before="0" w:line="240" w:lineRule="atLeast"/>
        <w:jc w:val="center"/>
        <w:rPr>
          <w:rFonts w:hint="eastAsia" w:ascii="宋体" w:hAnsi="宋体" w:eastAsia="宋体" w:cs="宋体"/>
          <w:b w:val="0"/>
          <w:color w:val="auto"/>
          <w:sz w:val="24"/>
          <w:highlight w:val="none"/>
          <w:lang w:val="en-US" w:eastAsia="zh-CN"/>
        </w:rPr>
      </w:pPr>
      <w:bookmarkStart w:id="334" w:name="_Hlt520274911"/>
      <w:bookmarkEnd w:id="334"/>
      <w:bookmarkStart w:id="335" w:name="_Hlt520274407"/>
      <w:bookmarkEnd w:id="335"/>
      <w:bookmarkStart w:id="336" w:name="_Hlt520343392"/>
      <w:bookmarkEnd w:id="336"/>
      <w:bookmarkStart w:id="337" w:name="_Hlt520274393"/>
      <w:bookmarkEnd w:id="337"/>
      <w:bookmarkStart w:id="338" w:name="_Hlt520350957"/>
      <w:bookmarkEnd w:id="338"/>
      <w:bookmarkStart w:id="339" w:name="_Hlt520273711"/>
      <w:bookmarkEnd w:id="339"/>
      <w:bookmarkStart w:id="340" w:name="_Hlt520274065"/>
      <w:bookmarkEnd w:id="340"/>
      <w:bookmarkStart w:id="341" w:name="_Hlt520350918"/>
      <w:bookmarkEnd w:id="341"/>
      <w:bookmarkStart w:id="342" w:name="_Hlt520273973"/>
      <w:bookmarkEnd w:id="342"/>
      <w:bookmarkStart w:id="343" w:name="_Hlt520271212"/>
      <w:bookmarkEnd w:id="343"/>
      <w:bookmarkStart w:id="344" w:name="_Hlt520343000"/>
      <w:bookmarkEnd w:id="344"/>
      <w:bookmarkStart w:id="345" w:name="_Toc515647823"/>
      <w:bookmarkStart w:id="346" w:name="_Toc21312"/>
      <w:bookmarkStart w:id="347" w:name="_Toc25347"/>
      <w:bookmarkStart w:id="348" w:name="_Toc10725"/>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w:t>
      </w:r>
      <w:bookmarkEnd w:id="345"/>
      <w:bookmarkEnd w:id="346"/>
      <w:bookmarkEnd w:id="347"/>
      <w:bookmarkEnd w:id="348"/>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7"/>
        <w:numPr>
          <w:ilvl w:val="0"/>
          <w:numId w:val="0"/>
        </w:numPr>
        <w:tabs>
          <w:tab w:val="left" w:pos="980"/>
          <w:tab w:val="left" w:pos="981"/>
        </w:tabs>
        <w:spacing w:before="71" w:after="0" w:line="240" w:lineRule="auto"/>
        <w:ind w:right="0" w:rightChars="0"/>
        <w:jc w:val="center"/>
        <w:outlineLvl w:val="1"/>
        <w:rPr>
          <w:rFonts w:hint="eastAsia" w:ascii="宋体" w:hAnsi="宋体" w:eastAsia="宋体" w:cs="宋体"/>
          <w:b/>
          <w:color w:val="auto"/>
          <w:highlight w:val="none"/>
        </w:rPr>
      </w:pPr>
      <w:bookmarkStart w:id="349" w:name="_Toc10166"/>
      <w:r>
        <w:rPr>
          <w:rFonts w:hint="eastAsia" w:ascii="宋体" w:hAnsi="宋体" w:eastAsia="宋体" w:cs="宋体"/>
          <w:b/>
          <w:bCs w:val="0"/>
          <w:color w:val="auto"/>
          <w:highlight w:val="none"/>
        </w:rPr>
        <w:t>中小企业声明函(货物)</w:t>
      </w:r>
      <w:bookmarkEnd w:id="349"/>
    </w:p>
    <w:p w14:paraId="08DC968E">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5"/>
        <w:ind w:left="0" w:leftChars="0" w:firstLine="0" w:firstLineChars="0"/>
        <w:rPr>
          <w:rFonts w:hint="eastAsia" w:ascii="宋体" w:hAnsi="宋体" w:eastAsia="宋体" w:cs="宋体"/>
          <w:b w:val="0"/>
          <w:bCs/>
          <w:color w:val="auto"/>
          <w:highlight w:val="none"/>
        </w:rPr>
      </w:pPr>
    </w:p>
    <w:p w14:paraId="2BB4F958">
      <w:pPr>
        <w:pStyle w:val="5"/>
        <w:ind w:left="0" w:leftChars="0" w:firstLine="0" w:firstLineChars="0"/>
        <w:rPr>
          <w:rFonts w:hint="eastAsia" w:ascii="宋体" w:hAnsi="宋体" w:eastAsia="宋体" w:cs="宋体"/>
          <w:b w:val="0"/>
          <w:bCs/>
          <w:color w:val="auto"/>
          <w:highlight w:val="none"/>
        </w:rPr>
      </w:pPr>
    </w:p>
    <w:p w14:paraId="6A5EE1EE">
      <w:pPr>
        <w:pStyle w:val="5"/>
        <w:ind w:left="0" w:leftChars="0" w:firstLine="0" w:firstLineChars="0"/>
        <w:rPr>
          <w:rFonts w:hint="eastAsia" w:ascii="宋体" w:hAnsi="宋体" w:eastAsia="宋体" w:cs="宋体"/>
          <w:b w:val="0"/>
          <w:bCs/>
          <w:color w:val="auto"/>
          <w:highlight w:val="none"/>
        </w:rPr>
      </w:pPr>
    </w:p>
    <w:p w14:paraId="7C67C4AF">
      <w:pPr>
        <w:pStyle w:val="30"/>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7"/>
          <w:rFonts w:hint="eastAsia" w:ascii="Times New Roman" w:hAnsi="Times New Roman" w:cs="Times New Roman"/>
          <w:i w:val="0"/>
          <w:iCs w:val="0"/>
          <w:caps w:val="0"/>
          <w:color w:val="auto"/>
          <w:spacing w:val="0"/>
          <w:sz w:val="24"/>
          <w:szCs w:val="24"/>
          <w:highlight w:val="none"/>
          <w:lang w:val="en-US" w:eastAsia="zh-CN"/>
        </w:rPr>
        <w:t>6-1</w:t>
      </w:r>
      <w:r>
        <w:rPr>
          <w:rStyle w:val="37"/>
          <w:rFonts w:hint="default" w:ascii="Times New Roman" w:hAnsi="Times New Roman" w:cs="Times New Roman"/>
          <w:i w:val="0"/>
          <w:iCs w:val="0"/>
          <w:caps w:val="0"/>
          <w:color w:val="auto"/>
          <w:spacing w:val="0"/>
          <w:sz w:val="24"/>
          <w:szCs w:val="24"/>
          <w:highlight w:val="none"/>
        </w:rPr>
        <w:t>中小企业声明函</w:t>
      </w:r>
      <w:r>
        <w:rPr>
          <w:rStyle w:val="37"/>
          <w:rFonts w:hint="eastAsia" w:ascii="Times New Roman" w:hAnsi="Times New Roman" w:cs="Times New Roman"/>
          <w:i w:val="0"/>
          <w:iCs w:val="0"/>
          <w:caps w:val="0"/>
          <w:color w:val="auto"/>
          <w:spacing w:val="0"/>
          <w:sz w:val="24"/>
          <w:szCs w:val="24"/>
          <w:highlight w:val="none"/>
          <w:lang w:eastAsia="zh-CN"/>
        </w:rPr>
        <w:t>（</w:t>
      </w:r>
      <w:r>
        <w:rPr>
          <w:rStyle w:val="37"/>
          <w:rFonts w:hint="eastAsia" w:ascii="Times New Roman" w:hAnsi="Times New Roman" w:cs="Times New Roman"/>
          <w:i w:val="0"/>
          <w:iCs w:val="0"/>
          <w:caps w:val="0"/>
          <w:color w:val="auto"/>
          <w:spacing w:val="0"/>
          <w:sz w:val="24"/>
          <w:szCs w:val="24"/>
          <w:highlight w:val="none"/>
          <w:lang w:val="en-US" w:eastAsia="zh-CN"/>
        </w:rPr>
        <w:t>货物</w:t>
      </w:r>
      <w:r>
        <w:rPr>
          <w:rStyle w:val="37"/>
          <w:rFonts w:hint="eastAsia" w:ascii="Times New Roman" w:hAnsi="Times New Roman" w:cs="Times New Roman"/>
          <w:i w:val="0"/>
          <w:iCs w:val="0"/>
          <w:caps w:val="0"/>
          <w:color w:val="auto"/>
          <w:spacing w:val="0"/>
          <w:sz w:val="24"/>
          <w:szCs w:val="24"/>
          <w:highlight w:val="none"/>
          <w:lang w:eastAsia="zh-CN"/>
        </w:rPr>
        <w:t>）</w:t>
      </w:r>
    </w:p>
    <w:p w14:paraId="2856F5EF">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7ABF49A4">
      <w:pPr>
        <w:rPr>
          <w:rFonts w:hint="eastAsia" w:ascii="微软雅黑" w:hAnsi="微软雅黑" w:eastAsia="微软雅黑" w:cs="微软雅黑"/>
          <w:b/>
          <w:bCs/>
          <w:color w:val="auto"/>
          <w:kern w:val="0"/>
          <w:sz w:val="32"/>
          <w:szCs w:val="32"/>
          <w:highlight w:val="none"/>
          <w:lang w:val="en-US" w:eastAsia="zh-CN"/>
        </w:rPr>
      </w:pPr>
    </w:p>
    <w:p w14:paraId="2099B30A">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38C92652">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4"/>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5"/>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70B57E17">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bookmarkStart w:id="350" w:name="_Toc30231"/>
      <w:bookmarkStart w:id="351" w:name="_Toc28076"/>
      <w:bookmarkStart w:id="352" w:name="_Toc518923122"/>
      <w:r>
        <w:rPr>
          <w:rStyle w:val="37"/>
          <w:rFonts w:hint="eastAsia" w:ascii="Times New Roman" w:hAnsi="Times New Roman" w:eastAsia="宋体" w:cs="Times New Roman"/>
          <w:i w:val="0"/>
          <w:iCs w:val="0"/>
          <w:caps w:val="0"/>
          <w:color w:val="auto"/>
          <w:spacing w:val="0"/>
          <w:sz w:val="24"/>
          <w:szCs w:val="24"/>
          <w:highlight w:val="none"/>
          <w:lang w:val="en-US" w:eastAsia="zh-CN"/>
        </w:rPr>
        <w:t>7、投标人关联单位的说明</w:t>
      </w:r>
      <w:bookmarkEnd w:id="350"/>
      <w:bookmarkEnd w:id="351"/>
      <w:bookmarkEnd w:id="352"/>
    </w:p>
    <w:p w14:paraId="0AACD53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（内容自拟）</w:t>
      </w:r>
    </w:p>
    <w:p w14:paraId="7F3683BF">
      <w:pPr>
        <w:keepNext w:val="0"/>
        <w:keepLines w:val="0"/>
        <w:widowControl/>
        <w:suppressLineNumbers w:val="0"/>
        <w:jc w:val="left"/>
        <w:rPr>
          <w:rFonts w:hint="eastAsia" w:ascii="宋体" w:hAnsi="宋体" w:eastAsia="宋体" w:cs="宋体"/>
          <w:color w:val="auto"/>
          <w:sz w:val="24"/>
          <w:szCs w:val="24"/>
          <w:highlight w:val="none"/>
          <w:lang w:val="en-US" w:eastAsia="zh-CN"/>
        </w:rPr>
      </w:pPr>
    </w:p>
    <w:p w14:paraId="281C100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说明：投标人应当如实披露与本单位存在下列关联关系的单位名称</w:t>
      </w:r>
    </w:p>
    <w:p w14:paraId="29B98AFB">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（1）与投标人单位负责人为同一人的其他单位；</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（2）与投标人存在直接控股、管理关系的其他单位。</w:t>
      </w:r>
    </w:p>
    <w:p w14:paraId="31AC6940">
      <w:pPr>
        <w:pStyle w:val="5"/>
        <w:spacing w:line="340" w:lineRule="exact"/>
        <w:ind w:firstLine="0"/>
        <w:rPr>
          <w:rFonts w:hint="eastAsia" w:ascii="微软雅黑 Light" w:hAnsi="微软雅黑 Light" w:eastAsia="微软雅黑 Light" w:cs="微软雅黑 Light"/>
          <w:color w:val="auto"/>
          <w:szCs w:val="24"/>
          <w:highlight w:val="none"/>
        </w:rPr>
      </w:pPr>
    </w:p>
    <w:p w14:paraId="10A1D441">
      <w:pPr>
        <w:pStyle w:val="5"/>
        <w:spacing w:line="340" w:lineRule="exact"/>
        <w:ind w:firstLine="0"/>
        <w:rPr>
          <w:rFonts w:hint="eastAsia" w:ascii="微软雅黑 Light" w:hAnsi="微软雅黑 Light" w:eastAsia="微软雅黑 Light" w:cs="微软雅黑 Light"/>
          <w:color w:val="auto"/>
          <w:szCs w:val="24"/>
          <w:highlight w:val="none"/>
        </w:rPr>
      </w:pPr>
    </w:p>
    <w:p w14:paraId="490F616F">
      <w:pPr>
        <w:widowControl/>
        <w:spacing w:before="100" w:after="100" w:line="340" w:lineRule="exact"/>
        <w:ind w:firstLine="3960" w:firstLineChars="1650"/>
        <w:jc w:val="left"/>
        <w:rPr>
          <w:rFonts w:hint="eastAsia" w:ascii="微软雅黑 Light" w:hAnsi="微软雅黑 Light" w:eastAsia="微软雅黑 Light" w:cs="微软雅黑 Light"/>
          <w:color w:val="auto"/>
          <w:kern w:val="0"/>
          <w:sz w:val="24"/>
          <w:highlight w:val="none"/>
        </w:rPr>
      </w:pPr>
    </w:p>
    <w:p w14:paraId="6EBEF60F">
      <w:pPr>
        <w:widowControl/>
        <w:spacing w:before="100" w:after="100" w:line="340" w:lineRule="exact"/>
        <w:ind w:firstLine="3960" w:firstLineChars="1650"/>
        <w:jc w:val="both"/>
        <w:rPr>
          <w:rFonts w:hint="eastAsia" w:ascii="微软雅黑 Light" w:hAnsi="微软雅黑 Light" w:eastAsia="微软雅黑 Light" w:cs="微软雅黑 Light"/>
          <w:color w:val="auto"/>
          <w:kern w:val="0"/>
          <w:sz w:val="24"/>
          <w:highlight w:val="none"/>
        </w:rPr>
      </w:pPr>
      <w:r>
        <w:rPr>
          <w:rFonts w:hint="eastAsia" w:ascii="宋体" w:hAnsi="宋体" w:eastAsia="宋体" w:cs="宋体"/>
          <w:color w:val="auto"/>
          <w:sz w:val="24"/>
          <w:szCs w:val="24"/>
          <w:highlight w:val="none"/>
          <w:lang w:val="en-US" w:eastAsia="zh-CN"/>
        </w:rPr>
        <w:t>投标人名称（盖章）：</w:t>
      </w:r>
      <w:r>
        <w:rPr>
          <w:rFonts w:hint="eastAsia" w:ascii="微软雅黑 Light" w:hAnsi="微软雅黑 Light" w:eastAsia="微软雅黑 Light" w:cs="微软雅黑 Light"/>
          <w:color w:val="auto"/>
          <w:kern w:val="0"/>
          <w:sz w:val="24"/>
          <w:highlight w:val="none"/>
          <w:u w:val="single"/>
        </w:rPr>
        <w:t xml:space="preserve">             </w:t>
      </w:r>
    </w:p>
    <w:p w14:paraId="44E010F8">
      <w:pPr>
        <w:pStyle w:val="14"/>
        <w:spacing w:line="360" w:lineRule="exact"/>
        <w:ind w:firstLine="480"/>
        <w:jc w:val="center"/>
        <w:outlineLvl w:val="2"/>
        <w:rPr>
          <w:rFonts w:hint="eastAsia" w:ascii="微软雅黑 Light" w:hAnsi="微软雅黑 Light" w:eastAsia="微软雅黑 Light" w:cs="微软雅黑 Light"/>
          <w:color w:val="auto"/>
          <w:kern w:val="0"/>
          <w:sz w:val="24"/>
          <w:highlight w:val="none"/>
          <w:u w:val="single"/>
        </w:rPr>
      </w:pPr>
      <w:r>
        <w:rPr>
          <w:rFonts w:hint="eastAsia" w:ascii="宋体" w:hAnsi="宋体" w:eastAsia="宋体" w:cs="宋体"/>
          <w:color w:val="auto"/>
          <w:kern w:val="2"/>
          <w:sz w:val="24"/>
          <w:szCs w:val="24"/>
          <w:highlight w:val="none"/>
          <w:lang w:val="en-US" w:eastAsia="zh-CN" w:bidi="ar-SA"/>
        </w:rPr>
        <w:t>日　期：</w:t>
      </w:r>
      <w:r>
        <w:rPr>
          <w:rFonts w:hint="eastAsia" w:ascii="微软雅黑 Light" w:hAnsi="微软雅黑 Light" w:eastAsia="微软雅黑 Light" w:cs="微软雅黑 Light"/>
          <w:color w:val="auto"/>
          <w:kern w:val="0"/>
          <w:sz w:val="24"/>
          <w:highlight w:val="none"/>
          <w:u w:val="single"/>
        </w:rPr>
        <w:t xml:space="preserve">            </w:t>
      </w:r>
    </w:p>
    <w:p w14:paraId="5B7932F5">
      <w:pPr>
        <w:pStyle w:val="14"/>
        <w:spacing w:line="360" w:lineRule="exact"/>
        <w:ind w:firstLine="480"/>
        <w:jc w:val="center"/>
        <w:outlineLvl w:val="2"/>
        <w:rPr>
          <w:rFonts w:hint="eastAsia" w:ascii="宋体" w:hAnsi="宋体" w:eastAsia="宋体" w:cs="宋体"/>
          <w:color w:val="auto"/>
          <w:sz w:val="24"/>
          <w:highlight w:val="none"/>
        </w:rPr>
      </w:pPr>
    </w:p>
    <w:p w14:paraId="4D2208BC">
      <w:pPr>
        <w:pStyle w:val="14"/>
        <w:spacing w:line="360" w:lineRule="exact"/>
        <w:ind w:firstLine="480"/>
        <w:jc w:val="center"/>
        <w:outlineLvl w:val="2"/>
        <w:rPr>
          <w:rFonts w:hint="eastAsia" w:ascii="宋体" w:hAnsi="宋体" w:eastAsia="宋体" w:cs="宋体"/>
          <w:color w:val="auto"/>
          <w:sz w:val="24"/>
          <w:highlight w:val="none"/>
        </w:rPr>
      </w:pPr>
    </w:p>
    <w:p w14:paraId="3C49772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8、投标文件还应包括投标人其它技术文件</w:t>
      </w:r>
    </w:p>
    <w:p w14:paraId="4FA94695">
      <w:pPr>
        <w:pStyle w:val="30"/>
        <w:keepNext w:val="0"/>
        <w:keepLines w:val="0"/>
        <w:widowControl/>
        <w:suppressLineNumbers w:val="0"/>
        <w:spacing w:line="420" w:lineRule="atLeast"/>
        <w:ind w:left="0" w:firstLine="420"/>
        <w:jc w:val="center"/>
        <w:rPr>
          <w:rFonts w:hint="eastAsia" w:ascii="宋体" w:hAnsi="宋体" w:eastAsia="宋体" w:cs="宋体"/>
          <w:color w:val="auto"/>
          <w:sz w:val="24"/>
          <w:highlight w:val="none"/>
        </w:rPr>
      </w:pPr>
      <w:r>
        <w:rPr>
          <w:rStyle w:val="37"/>
          <w:rFonts w:hint="eastAsia" w:ascii="Times New Roman" w:hAnsi="Times New Roman" w:eastAsia="宋体" w:cs="Times New Roman"/>
          <w:i w:val="0"/>
          <w:iCs w:val="0"/>
          <w:caps w:val="0"/>
          <w:color w:val="auto"/>
          <w:spacing w:val="0"/>
          <w:sz w:val="24"/>
          <w:szCs w:val="24"/>
          <w:highlight w:val="none"/>
          <w:lang w:val="en-US" w:eastAsia="zh-CN"/>
        </w:rPr>
        <w:t>（包括其他技术资料、评分方案等内容）</w:t>
      </w: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4"/>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9"/>
              <w:jc w:val="right"/>
              <w:rPr>
                <w:rFonts w:hint="eastAsia" w:ascii="宋体" w:hAnsi="宋体" w:eastAsia="宋体" w:cs="宋体"/>
                <w:b/>
                <w:bCs/>
                <w:color w:val="auto"/>
                <w:sz w:val="28"/>
                <w:szCs w:val="28"/>
                <w:highlight w:val="none"/>
              </w:rPr>
            </w:pPr>
          </w:p>
          <w:p w14:paraId="6997EE8D">
            <w:pPr>
              <w:pStyle w:val="9"/>
              <w:ind w:firstLine="4216" w:firstLineChars="1500"/>
              <w:rPr>
                <w:rFonts w:hint="eastAsia" w:ascii="宋体" w:hAnsi="宋体" w:eastAsia="宋体" w:cs="宋体"/>
                <w:b/>
                <w:bCs/>
                <w:color w:val="auto"/>
                <w:sz w:val="28"/>
                <w:szCs w:val="28"/>
                <w:highlight w:val="none"/>
              </w:rPr>
            </w:pPr>
          </w:p>
          <w:p w14:paraId="52C1165D">
            <w:pPr>
              <w:pStyle w:val="9"/>
              <w:ind w:firstLine="4216" w:firstLineChars="1500"/>
              <w:rPr>
                <w:rFonts w:hint="eastAsia" w:ascii="宋体" w:hAnsi="宋体" w:eastAsia="宋体" w:cs="宋体"/>
                <w:b/>
                <w:bCs/>
                <w:color w:val="auto"/>
                <w:sz w:val="28"/>
                <w:szCs w:val="28"/>
                <w:highlight w:val="none"/>
              </w:rPr>
            </w:pPr>
          </w:p>
          <w:p w14:paraId="139D4535">
            <w:pPr>
              <w:pStyle w:val="9"/>
              <w:rPr>
                <w:rFonts w:hint="eastAsia" w:ascii="宋体" w:hAnsi="宋体" w:eastAsia="宋体" w:cs="宋体"/>
                <w:b/>
                <w:bCs/>
                <w:color w:val="auto"/>
                <w:sz w:val="28"/>
                <w:szCs w:val="28"/>
                <w:highlight w:val="none"/>
              </w:rPr>
            </w:pPr>
          </w:p>
          <w:p w14:paraId="1062F614">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9"/>
              <w:jc w:val="center"/>
              <w:rPr>
                <w:rFonts w:hint="eastAsia" w:ascii="宋体" w:hAnsi="宋体" w:eastAsia="宋体" w:cs="宋体"/>
                <w:b/>
                <w:bCs/>
                <w:color w:val="auto"/>
                <w:sz w:val="21"/>
                <w:szCs w:val="21"/>
                <w:highlight w:val="none"/>
              </w:rPr>
            </w:pPr>
          </w:p>
          <w:p w14:paraId="7D8F6F80">
            <w:pPr>
              <w:pStyle w:val="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9"/>
              <w:ind w:firstLine="3162" w:firstLineChars="1500"/>
              <w:rPr>
                <w:rFonts w:hint="eastAsia" w:ascii="宋体" w:hAnsi="宋体" w:eastAsia="宋体" w:cs="宋体"/>
                <w:b/>
                <w:bCs/>
                <w:color w:val="auto"/>
                <w:sz w:val="21"/>
                <w:szCs w:val="21"/>
                <w:highlight w:val="none"/>
                <w:lang w:val="en-US" w:eastAsia="zh-CN"/>
              </w:rPr>
            </w:pPr>
          </w:p>
          <w:p w14:paraId="17F268D5">
            <w:pPr>
              <w:pStyle w:val="9"/>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9"/>
              <w:jc w:val="center"/>
              <w:rPr>
                <w:rFonts w:hint="eastAsia" w:ascii="宋体" w:hAnsi="宋体" w:eastAsia="宋体" w:cs="宋体"/>
                <w:b/>
                <w:bCs/>
                <w:color w:val="auto"/>
                <w:sz w:val="48"/>
                <w:highlight w:val="none"/>
              </w:rPr>
            </w:pPr>
          </w:p>
          <w:p w14:paraId="477A59C2">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5"/>
              <w:rPr>
                <w:rFonts w:hint="eastAsia" w:ascii="宋体" w:hAnsi="宋体" w:eastAsia="宋体" w:cs="宋体"/>
                <w:b/>
                <w:color w:val="auto"/>
                <w:sz w:val="32"/>
                <w:highlight w:val="none"/>
              </w:rPr>
            </w:pPr>
          </w:p>
          <w:p w14:paraId="20D4F736">
            <w:pPr>
              <w:pStyle w:val="5"/>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5"/>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27D2AC4C">
      <w:pPr>
        <w:pStyle w:val="2"/>
        <w:numPr>
          <w:ilvl w:val="0"/>
          <w:numId w:val="1"/>
        </w:numPr>
        <w:tabs>
          <w:tab w:val="left" w:pos="0"/>
          <w:tab w:val="clear" w:pos="3134"/>
        </w:tabs>
        <w:spacing w:before="0" w:after="0" w:line="240" w:lineRule="atLeast"/>
        <w:ind w:left="3810" w:leftChars="0" w:hanging="1290" w:firstLineChars="0"/>
        <w:jc w:val="left"/>
        <w:rPr>
          <w:rFonts w:hint="eastAsia" w:ascii="宋体" w:hAnsi="宋体" w:eastAsia="宋体" w:cs="宋体"/>
          <w:color w:val="auto"/>
          <w:sz w:val="28"/>
          <w:szCs w:val="18"/>
          <w:highlight w:val="none"/>
          <w:lang w:val="en-US" w:eastAsia="zh-CN"/>
        </w:rPr>
      </w:pPr>
      <w:r>
        <w:rPr>
          <w:rFonts w:hint="eastAsia" w:ascii="宋体" w:hAnsi="宋体" w:eastAsia="宋体" w:cs="宋体"/>
          <w:color w:val="auto"/>
          <w:sz w:val="28"/>
          <w:szCs w:val="18"/>
          <w:highlight w:val="none"/>
          <w:lang w:val="en-US" w:eastAsia="zh-CN"/>
        </w:rPr>
        <w:t xml:space="preserve"> 招标公告</w:t>
      </w:r>
    </w:p>
    <w:p w14:paraId="08A23D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lang w:eastAsia="zh-CN"/>
        </w:rPr>
        <w:t>：</w:t>
      </w:r>
    </w:p>
    <w:p w14:paraId="19E649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四</w:t>
      </w:r>
      <w:r>
        <w:rPr>
          <w:rFonts w:hint="eastAsia" w:ascii="宋体" w:hAnsi="宋体" w:cs="宋体"/>
          <w:color w:val="auto"/>
          <w:highlight w:val="none"/>
          <w:lang w:eastAsia="zh-CN"/>
        </w:rPr>
        <w:t>标段</w:t>
      </w:r>
      <w:r>
        <w:rPr>
          <w:rFonts w:hint="eastAsia" w:ascii="宋体" w:hAnsi="宋体" w:eastAsia="宋体" w:cs="宋体"/>
          <w:color w:val="auto"/>
          <w:sz w:val="24"/>
          <w:szCs w:val="24"/>
          <w:highlight w:val="none"/>
          <w:u w:val="none"/>
          <w:lang w:eastAsia="zh-CN"/>
        </w:rPr>
        <w:t>招标项目的潜在供应商应在政采云平台线上获取采购文件，并于</w:t>
      </w:r>
      <w:r>
        <w:rPr>
          <w:rFonts w:hint="eastAsia" w:ascii="宋体" w:hAnsi="宋体" w:eastAsia="宋体" w:cs="宋体"/>
          <w:color w:val="auto"/>
          <w:sz w:val="24"/>
          <w:szCs w:val="24"/>
          <w:highlight w:val="none"/>
          <w:u w:val="none"/>
          <w:lang w:val="en-US" w:eastAsia="zh-CN"/>
        </w:rPr>
        <w:t>2026年0</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日11:00</w:t>
      </w:r>
      <w:r>
        <w:rPr>
          <w:rFonts w:hint="eastAsia" w:ascii="宋体" w:hAnsi="宋体" w:eastAsia="宋体" w:cs="宋体"/>
          <w:color w:val="auto"/>
          <w:sz w:val="24"/>
          <w:szCs w:val="24"/>
          <w:highlight w:val="none"/>
          <w:u w:val="none"/>
          <w:lang w:eastAsia="zh-CN"/>
        </w:rPr>
        <w:t>（北京时间）前提交响应文件。</w:t>
      </w:r>
    </w:p>
    <w:p w14:paraId="479F4451">
      <w:pPr>
        <w:numPr>
          <w:ilvl w:val="0"/>
          <w:numId w:val="0"/>
        </w:numPr>
        <w:ind w:left="2520" w:leftChars="0"/>
        <w:rPr>
          <w:rFonts w:hint="eastAsia"/>
          <w:lang w:eastAsia="zh-CN"/>
        </w:rPr>
      </w:pPr>
    </w:p>
    <w:p w14:paraId="37DDA064">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4AA63C7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ZPDL（2026）052-4</w:t>
      </w:r>
    </w:p>
    <w:p w14:paraId="790CD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四</w:t>
      </w:r>
      <w:r>
        <w:rPr>
          <w:rFonts w:hint="eastAsia" w:ascii="宋体" w:hAnsi="宋体" w:cs="宋体"/>
          <w:color w:val="auto"/>
          <w:highlight w:val="none"/>
          <w:lang w:eastAsia="zh-CN"/>
        </w:rPr>
        <w:t>标段</w:t>
      </w:r>
      <w:r>
        <w:rPr>
          <w:rFonts w:hint="eastAsia" w:ascii="宋体" w:hAnsi="宋体" w:eastAsia="宋体" w:cs="宋体"/>
          <w:color w:val="auto"/>
          <w:highlight w:val="none"/>
          <w:lang w:eastAsia="zh-CN"/>
        </w:rPr>
        <w:t> </w:t>
      </w:r>
    </w:p>
    <w:p w14:paraId="141B178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FD15CC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9580000.00</w:t>
      </w:r>
      <w:r>
        <w:rPr>
          <w:rFonts w:hint="eastAsia" w:ascii="宋体" w:hAnsi="宋体" w:eastAsia="宋体" w:cs="宋体"/>
          <w:color w:val="auto"/>
          <w:highlight w:val="none"/>
        </w:rPr>
        <w:t>  </w:t>
      </w:r>
    </w:p>
    <w:p w14:paraId="40BAC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9580000.00</w:t>
      </w:r>
    </w:p>
    <w:p w14:paraId="2CAD7F0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采购需求：</w:t>
      </w:r>
    </w:p>
    <w:p w14:paraId="6E9215B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四</w:t>
      </w:r>
      <w:r>
        <w:rPr>
          <w:rFonts w:hint="eastAsia" w:ascii="宋体" w:hAnsi="宋体" w:cs="宋体"/>
          <w:color w:val="auto"/>
          <w:highlight w:val="none"/>
          <w:lang w:eastAsia="zh-CN"/>
        </w:rPr>
        <w:t>标段</w:t>
      </w:r>
      <w:r>
        <w:rPr>
          <w:rFonts w:hint="eastAsia" w:ascii="宋体" w:hAnsi="宋体" w:eastAsia="宋体" w:cs="宋体"/>
          <w:color w:val="auto"/>
          <w:highlight w:val="none"/>
        </w:rPr>
        <w:t> </w:t>
      </w:r>
    </w:p>
    <w:p w14:paraId="6B51843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45225F4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9580000.00</w:t>
      </w:r>
    </w:p>
    <w:p w14:paraId="7D40C0FF">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6E23AF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49A0A927">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ascii="宋体" w:hAnsi="宋体" w:eastAsia="宋体" w:cs="宋体"/>
          <w:color w:val="auto"/>
          <w:highlight w:val="none"/>
          <w:lang w:val="en-US" w:eastAsia="zh-CN"/>
        </w:rPr>
        <w:t>详见招标文件</w:t>
      </w:r>
    </w:p>
    <w:p w14:paraId="05D741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2AE92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5EF86B8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C8127B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w:t>
      </w:r>
      <w:r>
        <w:rPr>
          <w:rFonts w:hint="eastAsia" w:ascii="宋体" w:hAnsi="宋体" w:cs="宋体"/>
          <w:color w:val="auto"/>
          <w:highlight w:val="none"/>
          <w:lang w:val="en-US" w:eastAsia="zh-CN"/>
        </w:rPr>
        <w:t>本项目不专门面向中小微企业；</w:t>
      </w:r>
    </w:p>
    <w:p w14:paraId="47A1B091">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cs="宋体"/>
          <w:color w:val="auto"/>
          <w:highlight w:val="none"/>
          <w:lang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所投产品为</w:t>
      </w:r>
      <w:r>
        <w:rPr>
          <w:rFonts w:hint="eastAsia" w:ascii="宋体" w:hAnsi="宋体" w:cs="宋体"/>
          <w:color w:val="auto"/>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）供应商需具备有效的《辐射安全许可证》；</w:t>
      </w:r>
    </w:p>
    <w:p w14:paraId="55C32A8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0B3001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w:t>
      </w:r>
      <w:r>
        <w:rPr>
          <w:rFonts w:hint="eastAsia" w:ascii="宋体" w:hAnsi="宋体" w:cs="宋体"/>
          <w:color w:val="auto"/>
          <w:highlight w:val="none"/>
          <w:lang w:val="en-US" w:eastAsia="zh-CN"/>
        </w:rPr>
        <w:t xml:space="preserve">05 </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18 </w:t>
      </w:r>
      <w:r>
        <w:rPr>
          <w:rFonts w:hint="eastAsia" w:ascii="宋体" w:hAnsi="宋体" w:eastAsia="宋体" w:cs="宋体"/>
          <w:color w:val="auto"/>
          <w:highlight w:val="none"/>
          <w:lang w:val="en-US" w:eastAsia="zh-CN"/>
        </w:rPr>
        <w:t>日至2026年</w:t>
      </w:r>
      <w:r>
        <w:rPr>
          <w:rFonts w:hint="eastAsia" w:ascii="宋体" w:hAnsi="宋体" w:cs="宋体"/>
          <w:color w:val="auto"/>
          <w:highlight w:val="none"/>
          <w:lang w:val="en-US" w:eastAsia="zh-CN"/>
        </w:rPr>
        <w:t xml:space="preserve"> 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 25</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31FFEAF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5B212E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6D94B0C0">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02D3251">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59C84D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2026年06 月 11日11:00</w:t>
      </w:r>
      <w:r>
        <w:rPr>
          <w:rFonts w:hint="eastAsia" w:ascii="宋体" w:hAnsi="宋体" w:eastAsia="宋体" w:cs="宋体"/>
          <w:color w:val="auto"/>
          <w:highlight w:val="none"/>
          <w:lang w:val="en-US" w:eastAsia="zh-CN"/>
        </w:rPr>
        <w:t>（北京时间）</w:t>
      </w:r>
    </w:p>
    <w:p w14:paraId="4490562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2EED4FB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 06月11 日11:00</w:t>
      </w:r>
      <w:r>
        <w:rPr>
          <w:rFonts w:hint="eastAsia" w:ascii="宋体" w:hAnsi="宋体" w:eastAsia="宋体" w:cs="宋体"/>
          <w:color w:val="auto"/>
          <w:highlight w:val="none"/>
          <w:lang w:val="en-US" w:eastAsia="zh-CN"/>
        </w:rPr>
        <w:t>（北京时间）</w:t>
      </w:r>
    </w:p>
    <w:p w14:paraId="6D9C4AE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2AD7A1F8">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076131D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0304FD0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71BE118C">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4732B6C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498F7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A47DB02">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598EA81C">
      <w:pPr>
        <w:pStyle w:val="8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740A69E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ECCFC0D">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bookmarkStart w:id="353" w:name="_Toc28359009"/>
      <w:bookmarkStart w:id="354" w:name="_Toc28359086"/>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泽普县人民医院</w:t>
      </w:r>
    </w:p>
    <w:p w14:paraId="0B3DB7B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址：泽普县团结西路13号</w:t>
      </w:r>
    </w:p>
    <w:p w14:paraId="55D3374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联系方式：泽普县人民医院0998-8241735</w:t>
      </w:r>
    </w:p>
    <w:bookmarkEnd w:id="353"/>
    <w:bookmarkEnd w:id="354"/>
    <w:p w14:paraId="6331FF9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3FD60B0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新疆昊泽工程管理有限公司</w:t>
      </w:r>
      <w:r>
        <w:rPr>
          <w:rFonts w:hint="eastAsia" w:ascii="宋体" w:hAnsi="宋体" w:eastAsia="宋体" w:cs="宋体"/>
          <w:color w:val="auto"/>
          <w:highlight w:val="none"/>
          <w:lang w:val="en-US" w:eastAsia="zh-CN"/>
        </w:rPr>
        <w:t>　</w:t>
      </w:r>
    </w:p>
    <w:p w14:paraId="40876C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新疆喀什地区泽普县塞尚江南小区53幢16号门面房</w:t>
      </w:r>
      <w:r>
        <w:rPr>
          <w:rFonts w:hint="eastAsia" w:ascii="宋体" w:hAnsi="宋体" w:eastAsia="宋体" w:cs="宋体"/>
          <w:color w:val="auto"/>
          <w:highlight w:val="none"/>
          <w:lang w:val="en-US" w:eastAsia="zh-CN"/>
        </w:rPr>
        <w:t>　</w:t>
      </w:r>
    </w:p>
    <w:p w14:paraId="366E52D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15276061261</w:t>
      </w:r>
      <w:r>
        <w:rPr>
          <w:rFonts w:hint="eastAsia" w:ascii="宋体" w:hAnsi="宋体" w:eastAsia="宋体" w:cs="宋体"/>
          <w:color w:val="auto"/>
          <w:highlight w:val="none"/>
          <w:lang w:val="en-US" w:eastAsia="zh-CN"/>
        </w:rPr>
        <w:t xml:space="preserve"> 　</w:t>
      </w:r>
    </w:p>
    <w:p w14:paraId="6DD0FE1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681FB5F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谷超超</w:t>
      </w:r>
    </w:p>
    <w:p w14:paraId="3BE970A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15276061261</w:t>
      </w:r>
    </w:p>
    <w:p w14:paraId="6CEE2DC1">
      <w:pPr>
        <w:pStyle w:val="2"/>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216582823"/>
      <w:bookmarkStart w:id="356" w:name="_Toc20439"/>
      <w:bookmarkStart w:id="357" w:name="_Toc10488"/>
      <w:bookmarkStart w:id="358" w:name="_Toc515647830"/>
      <w:bookmarkStart w:id="359" w:name="_Toc507399903"/>
      <w:bookmarkStart w:id="360" w:name="_Toc31583"/>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7207"/>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727911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207"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101" w:type="dxa"/>
            <w:noWrap w:val="0"/>
            <w:vAlign w:val="center"/>
          </w:tcPr>
          <w:p w14:paraId="2DFB69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207"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泽普县人民医院</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联系方式：泽普县人民医院0998-8241735</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124079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207"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新疆昊泽工程管理有限公司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新疆喀什地区泽普县塞尚江南小区53幢16号门面房</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谷超超</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15276061261</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8" w:hRule="atLeast"/>
        </w:trPr>
        <w:tc>
          <w:tcPr>
            <w:tcW w:w="1101" w:type="dxa"/>
            <w:noWrap w:val="0"/>
            <w:vAlign w:val="center"/>
          </w:tcPr>
          <w:p w14:paraId="75541AA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207"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09B9FD20">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6D323D24">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4）供应商需具备有效的《辐射安全许可证》；</w:t>
            </w:r>
          </w:p>
          <w:p w14:paraId="2C587E06">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eastAsia="zh-CN"/>
              </w:rPr>
              <w:t>、法定代表人身份证明书；法定代表人授权委托书；</w:t>
            </w:r>
          </w:p>
          <w:p w14:paraId="3B5F71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432A1278">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eastAsia="zh-CN"/>
              </w:rPr>
              <w:t>2024年度或2025年度经会计师事务所出具财务审计报告（2026年新成立的公司须</w:t>
            </w:r>
            <w:r>
              <w:rPr>
                <w:rFonts w:hint="eastAsia" w:hAnsi="宋体" w:cs="宋体"/>
                <w:b/>
                <w:bCs/>
                <w:color w:val="auto"/>
                <w:szCs w:val="24"/>
                <w:highlight w:val="none"/>
                <w:lang w:eastAsia="zh-CN"/>
              </w:rPr>
              <w:t>提供近三个月任意一个月</w:t>
            </w:r>
            <w:r>
              <w:rPr>
                <w:rFonts w:hint="eastAsia" w:ascii="宋体" w:hAnsi="宋体" w:eastAsia="宋体" w:cs="宋体"/>
                <w:b/>
                <w:bCs/>
                <w:color w:val="auto"/>
                <w:szCs w:val="24"/>
                <w:highlight w:val="none"/>
                <w:lang w:eastAsia="zh-CN"/>
              </w:rPr>
              <w:t>的银行资信证明）；</w:t>
            </w:r>
          </w:p>
          <w:p w14:paraId="4ABD9FF4">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7</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，附网站截图或报告。</w:t>
            </w:r>
          </w:p>
          <w:p w14:paraId="2B21788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8</w:t>
            </w:r>
            <w:r>
              <w:rPr>
                <w:rFonts w:hint="eastAsia" w:ascii="宋体" w:hAnsi="宋体" w:eastAsia="宋体" w:cs="宋体"/>
                <w:b/>
                <w:bCs/>
                <w:color w:val="auto"/>
                <w:szCs w:val="24"/>
                <w:highlight w:val="none"/>
              </w:rPr>
              <w:t>、投标单位（供应商）提供针对本次项目《反商业贿赂承诺书》</w:t>
            </w:r>
          </w:p>
          <w:p w14:paraId="3670DB8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9</w:t>
            </w:r>
            <w:r>
              <w:rPr>
                <w:rFonts w:hint="eastAsia" w:ascii="宋体" w:hAnsi="宋体" w:eastAsia="宋体" w:cs="宋体"/>
                <w:b/>
                <w:bCs/>
                <w:color w:val="auto"/>
                <w:szCs w:val="24"/>
                <w:highlight w:val="none"/>
              </w:rPr>
              <w:t>、参加政府采购活动近3年内，在经营活动中没有重大违法记录的书面声明；</w:t>
            </w:r>
          </w:p>
          <w:p w14:paraId="11AAB233">
            <w:pPr>
              <w:pStyle w:val="5"/>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10</w:t>
            </w:r>
            <w:r>
              <w:rPr>
                <w:rFonts w:hint="eastAsia" w:ascii="宋体" w:hAnsi="宋体" w:eastAsia="宋体" w:cs="宋体"/>
                <w:b/>
                <w:bCs/>
                <w:color w:val="auto"/>
                <w:szCs w:val="24"/>
                <w:highlight w:val="none"/>
              </w:rPr>
              <w:t>、投标保证金缴纳凭证或投标担保函；</w:t>
            </w:r>
            <w:r>
              <w:rPr>
                <w:rFonts w:hint="eastAsia" w:ascii="宋体" w:hAnsi="宋体" w:eastAsia="宋体" w:cs="宋体"/>
                <w:b/>
                <w:bCs/>
                <w:color w:val="auto"/>
                <w:szCs w:val="24"/>
                <w:highlight w:val="none"/>
                <w:lang w:val="en-US" w:eastAsia="zh-CN"/>
              </w:rPr>
              <w:t xml:space="preserve">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1101" w:type="dxa"/>
            <w:noWrap w:val="0"/>
            <w:vAlign w:val="center"/>
          </w:tcPr>
          <w:p w14:paraId="4C9066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w:t>
            </w:r>
          </w:p>
        </w:tc>
        <w:tc>
          <w:tcPr>
            <w:tcW w:w="7207"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101" w:type="dxa"/>
            <w:noWrap w:val="0"/>
            <w:vAlign w:val="center"/>
          </w:tcPr>
          <w:p w14:paraId="3CEC652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207"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01" w:type="dxa"/>
            <w:noWrap w:val="0"/>
            <w:vAlign w:val="center"/>
          </w:tcPr>
          <w:p w14:paraId="4E5B8AF4">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207"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56586C7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207" w:type="dxa"/>
            <w:noWrap w:val="0"/>
            <w:vAlign w:val="center"/>
          </w:tcPr>
          <w:p w14:paraId="236106F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预算价：</w:t>
            </w:r>
            <w:r>
              <w:rPr>
                <w:rFonts w:hint="eastAsia" w:ascii="宋体" w:hAnsi="宋体" w:cs="宋体"/>
                <w:color w:val="auto"/>
                <w:sz w:val="24"/>
                <w:highlight w:val="none"/>
                <w:lang w:val="en-US" w:eastAsia="zh-CN"/>
              </w:rPr>
              <w:t>958</w:t>
            </w:r>
            <w:r>
              <w:rPr>
                <w:rFonts w:hint="eastAsia" w:ascii="宋体" w:hAnsi="宋体" w:eastAsia="宋体" w:cs="宋体"/>
                <w:color w:val="auto"/>
                <w:sz w:val="24"/>
                <w:highlight w:val="none"/>
                <w:lang w:val="en-US" w:eastAsia="zh-CN"/>
              </w:rPr>
              <w:t>0000.00元；</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最高限价：</w:t>
            </w:r>
            <w:r>
              <w:rPr>
                <w:rFonts w:hint="eastAsia" w:ascii="宋体" w:hAnsi="宋体" w:cs="宋体"/>
                <w:color w:val="auto"/>
                <w:sz w:val="24"/>
                <w:highlight w:val="none"/>
                <w:lang w:val="en-US" w:eastAsia="zh-CN"/>
              </w:rPr>
              <w:t>958</w:t>
            </w:r>
            <w:r>
              <w:rPr>
                <w:rFonts w:hint="eastAsia" w:ascii="宋体" w:hAnsi="宋体" w:eastAsia="宋体" w:cs="宋体"/>
                <w:color w:val="auto"/>
                <w:sz w:val="24"/>
                <w:highlight w:val="none"/>
                <w:lang w:val="en-US" w:eastAsia="zh-CN"/>
              </w:rPr>
              <w:t>0000.00元；</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101" w:type="dxa"/>
            <w:noWrap w:val="0"/>
            <w:vAlign w:val="center"/>
          </w:tcPr>
          <w:p w14:paraId="62E33F4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7207"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6ABFB2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207"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22046E64">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保证金数额：</w:t>
            </w:r>
            <w:r>
              <w:rPr>
                <w:rFonts w:hint="eastAsia" w:ascii="宋体" w:hAnsi="宋体" w:cs="宋体"/>
                <w:color w:val="auto"/>
                <w:sz w:val="24"/>
                <w:highlight w:val="none"/>
                <w:lang w:val="en-US" w:eastAsia="zh-CN"/>
              </w:rPr>
              <w:t>100000.00（壹拾万元整）</w:t>
            </w:r>
          </w:p>
          <w:p w14:paraId="0FD090A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w:t>
            </w:r>
            <w:r>
              <w:rPr>
                <w:rFonts w:hint="eastAsia" w:ascii="宋体" w:hAnsi="宋体" w:cs="宋体"/>
                <w:color w:val="auto"/>
                <w:sz w:val="24"/>
                <w:highlight w:val="none"/>
                <w:lang w:eastAsia="zh-CN"/>
              </w:rPr>
              <w:t>新疆昊泽工程管理有限公司</w:t>
            </w:r>
          </w:p>
          <w:p w14:paraId="62AE50ED">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3012350009200106913</w:t>
            </w:r>
          </w:p>
          <w:p w14:paraId="5502C06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w:t>
            </w:r>
            <w:r>
              <w:rPr>
                <w:rFonts w:hint="eastAsia" w:ascii="宋体" w:hAnsi="宋体" w:eastAsia="宋体" w:cs="宋体"/>
                <w:color w:val="auto"/>
                <w:sz w:val="24"/>
                <w:highlight w:val="none"/>
                <w:lang w:val="en-US" w:eastAsia="zh-CN"/>
              </w:rPr>
              <w:t>中国工商银行股份有限公司泽普支行</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2026年06 月11 日11:00（北京时间）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01" w:type="dxa"/>
            <w:noWrap w:val="0"/>
            <w:vAlign w:val="center"/>
          </w:tcPr>
          <w:p w14:paraId="577F5A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207"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01" w:type="dxa"/>
            <w:noWrap w:val="0"/>
            <w:vAlign w:val="center"/>
          </w:tcPr>
          <w:p w14:paraId="4B2A965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7207"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22F543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207"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 06月 11 日11:00（北京时间）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D3217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207"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 xml:space="preserve">11 </w:t>
            </w:r>
            <w:r>
              <w:rPr>
                <w:rFonts w:hint="eastAsia" w:ascii="宋体" w:hAnsi="宋体" w:cs="宋体"/>
                <w:color w:val="auto"/>
                <w:sz w:val="24"/>
                <w:szCs w:val="32"/>
                <w:highlight w:val="none"/>
                <w:lang w:eastAsia="zh-CN"/>
              </w:rPr>
              <w:t>日</w:t>
            </w:r>
            <w:r>
              <w:rPr>
                <w:rFonts w:hint="eastAsia" w:ascii="宋体" w:hAnsi="宋体" w:cs="宋体"/>
                <w:b w:val="0"/>
                <w:bCs w:val="0"/>
                <w:color w:val="auto"/>
                <w:sz w:val="24"/>
                <w:highlight w:val="none"/>
                <w:u w:val="none"/>
                <w:lang w:val="en-US" w:eastAsia="zh-CN"/>
              </w:rPr>
              <w:t>11:00（北京时间）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01" w:type="dxa"/>
            <w:noWrap w:val="0"/>
            <w:vAlign w:val="center"/>
          </w:tcPr>
          <w:p w14:paraId="12DF7BF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7207" w:type="dxa"/>
            <w:noWrap w:val="0"/>
            <w:vAlign w:val="center"/>
          </w:tcPr>
          <w:p w14:paraId="2FF257DD">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r>
              <w:rPr>
                <w:rFonts w:hint="eastAsia" w:ascii="宋体" w:hAnsi="宋体" w:eastAsia="宋体" w:cs="宋体"/>
                <w:b/>
                <w:bCs/>
                <w:i w:val="0"/>
                <w:caps w:val="0"/>
                <w:color w:val="auto"/>
                <w:spacing w:val="0"/>
                <w:w w:val="100"/>
                <w:kern w:val="2"/>
                <w:sz w:val="24"/>
                <w:szCs w:val="24"/>
                <w:highlight w:val="none"/>
                <w:lang w:val="en-US" w:eastAsia="zh-CN" w:bidi="ar-SA"/>
              </w:rPr>
              <w:t>带“★”号的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w:t>
            </w:r>
            <w:r>
              <w:rPr>
                <w:rFonts w:hint="eastAsia" w:ascii="宋体" w:hAnsi="宋体" w:eastAsia="宋体" w:cs="宋体"/>
                <w:color w:val="auto"/>
                <w:sz w:val="24"/>
                <w:highlight w:val="none"/>
              </w:rPr>
              <w:t xml:space="preserve">（详细产品要求详见招标文件第5章 货物需求一览表及技术规格） </w:t>
            </w:r>
          </w:p>
          <w:p w14:paraId="4A7247D7">
            <w:pPr>
              <w:spacing w:line="240" w:lineRule="atLeas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核心产品：</w:t>
            </w:r>
            <w:r>
              <w:rPr>
                <w:rFonts w:hint="eastAsia" w:ascii="宋体" w:hAnsi="宋体" w:eastAsia="宋体" w:cs="宋体"/>
                <w:b/>
                <w:bCs/>
                <w:color w:val="auto"/>
                <w:sz w:val="24"/>
                <w:highlight w:val="none"/>
              </w:rPr>
              <w:t xml:space="preserve"> </w:t>
            </w:r>
            <w:r>
              <w:rPr>
                <w:rFonts w:hint="eastAsia" w:ascii="宋体" w:hAnsi="宋体" w:eastAsia="宋体" w:cs="宋体"/>
                <w:b/>
                <w:bCs/>
                <w:sz w:val="24"/>
                <w:szCs w:val="24"/>
                <w:vertAlign w:val="baseline"/>
              </w:rPr>
              <w:t>X线计算机断层扫描仪</w:t>
            </w:r>
            <w:r>
              <w:rPr>
                <w:rFonts w:hint="eastAsia" w:ascii="宋体" w:hAnsi="宋体" w:cs="宋体"/>
                <w:b/>
                <w:bCs/>
                <w:sz w:val="24"/>
                <w:szCs w:val="24"/>
                <w:vertAlign w:val="baseline"/>
                <w:lang w:eastAsia="zh-CN"/>
              </w:rPr>
              <w:t>、</w:t>
            </w:r>
            <w:r>
              <w:rPr>
                <w:rFonts w:hint="eastAsia" w:ascii="宋体" w:hAnsi="宋体" w:eastAsia="宋体" w:cs="宋体"/>
                <w:b/>
                <w:bCs/>
                <w:sz w:val="24"/>
                <w:szCs w:val="24"/>
                <w:vertAlign w:val="baseline"/>
              </w:rPr>
              <w:t>DR加透视机器</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 xml:space="preserve">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01" w:type="dxa"/>
            <w:noWrap w:val="0"/>
            <w:vAlign w:val="center"/>
          </w:tcPr>
          <w:p w14:paraId="5CCEAA1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207"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1AB1F4A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0824AAF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86BB9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207"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01" w:type="dxa"/>
            <w:noWrap w:val="0"/>
            <w:vAlign w:val="center"/>
          </w:tcPr>
          <w:p w14:paraId="16326C0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207"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招标代理服务费：根据发改价格【</w:t>
            </w:r>
            <w:r>
              <w:rPr>
                <w:rFonts w:hint="eastAsia" w:ascii="宋体" w:hAnsi="宋体" w:cs="宋体"/>
                <w:color w:val="auto"/>
                <w:sz w:val="24"/>
                <w:highlight w:val="none"/>
                <w:lang w:val="en-US" w:eastAsia="zh-CN"/>
              </w:rPr>
              <w:t>2002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1980</w:t>
            </w:r>
            <w:r>
              <w:rPr>
                <w:rFonts w:hint="eastAsia" w:ascii="宋体" w:hAnsi="宋体" w:eastAsia="宋体" w:cs="宋体"/>
                <w:color w:val="auto"/>
                <w:sz w:val="24"/>
                <w:highlight w:val="none"/>
                <w:lang w:val="en-US" w:eastAsia="zh-CN"/>
              </w:rPr>
              <w:t>号文件</w:t>
            </w:r>
            <w:r>
              <w:rPr>
                <w:rFonts w:hint="eastAsia" w:ascii="宋体" w:hAnsi="宋体" w:cs="宋体"/>
                <w:color w:val="auto"/>
                <w:sz w:val="24"/>
                <w:highlight w:val="none"/>
                <w:lang w:val="en-US" w:eastAsia="zh-CN"/>
              </w:rPr>
              <w:t>下浮20%计取</w:t>
            </w:r>
            <w:r>
              <w:rPr>
                <w:rFonts w:hint="eastAsia" w:ascii="宋体" w:hAnsi="宋体" w:eastAsia="宋体" w:cs="宋体"/>
                <w:color w:val="auto"/>
                <w:sz w:val="24"/>
                <w:highlight w:val="none"/>
                <w:lang w:val="en-US" w:eastAsia="zh-CN"/>
              </w:rPr>
              <w:t>，由中标单位支付，</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noWrap w:val="0"/>
            <w:vAlign w:val="center"/>
          </w:tcPr>
          <w:p w14:paraId="00E35D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207"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r w14:paraId="5256A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0B73CEE6">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3B7F10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于推动解决政府采购异常低价问题的通知》财库〔2026〕2号、《财政部令第87号》第六十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3ECA5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271F6D75">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0258366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强化政府采购异常低价审查</w:t>
            </w:r>
          </w:p>
          <w:p w14:paraId="0DD3CAF3">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（一）采购人应当在采购文件中明确，政府采购评审中出现下列情形之一的，评审委员会应当启动异常低价投标（响应）审查程序： </w:t>
            </w:r>
          </w:p>
          <w:p w14:paraId="3BC9F2F1">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1.投标（响应）报价低于全部通过符合性审查供应商投标（响应）报价平均值50%的，即投标（响应）报价&lt;全部通过符合性审查供应商投标（响应）报价平均值×50%； </w:t>
            </w:r>
          </w:p>
          <w:p w14:paraId="7AA903E4">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2.投标（响应）报价低于通过符合性审查的次低报价供应商投标（响应）报价50%的，即投标（响应）报价&lt;通过符合性审查的次低报价供应商投标（响应）报价×50%； </w:t>
            </w:r>
          </w:p>
          <w:p w14:paraId="61650029">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3.投标（响应）报价低于采购项目最高限价45%的，即投标（响应）报价&lt;采购项目最高限价×45%； </w:t>
            </w:r>
          </w:p>
          <w:p w14:paraId="3F4898B7">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4.评审委员会基于专业判断，认为供应商报价过低，有可能影响产品质量或者不能诚信履约的其他情形。 </w:t>
            </w:r>
          </w:p>
          <w:p w14:paraId="6C111ACE">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采购人可以结合具体项目实际情况，提高上述第1项至第3项中启动异常低价投标（响应）审查的数值标准，但是最高不得超过65%。 </w:t>
            </w:r>
          </w:p>
          <w:p w14:paraId="7309E12B">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相关法律法规对供应商报价有规定的，从其规定。 </w:t>
            </w:r>
          </w:p>
          <w:p w14:paraId="1A77BD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A9B3C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E89924C">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2F393AA">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bl>
    <w:p w14:paraId="4FBDFD3F">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2"/>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2" w:name="_Toc216582825"/>
      <w:bookmarkStart w:id="363" w:name="_Toc9887"/>
      <w:bookmarkStart w:id="364" w:name="_Toc22779"/>
      <w:bookmarkStart w:id="365" w:name="_Toc515647831"/>
      <w:bookmarkStart w:id="366" w:name="_Toc219175638"/>
      <w:bookmarkStart w:id="367" w:name="_Toc507399906"/>
      <w:bookmarkStart w:id="368" w:name="_Toc218935354"/>
      <w:bookmarkStart w:id="369" w:name="_Toc9032"/>
      <w:bookmarkStart w:id="370"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bookmarkEnd w:id="370"/>
    <w:p w14:paraId="17F811F4">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仿宋" w:hAnsi="仿宋" w:eastAsia="仿宋" w:cs="仿宋"/>
          <w:b/>
          <w:bCs w:val="0"/>
          <w:sz w:val="28"/>
          <w:szCs w:val="28"/>
          <w:lang w:val="en-US" w:eastAsia="zh-CN"/>
        </w:rPr>
      </w:pPr>
    </w:p>
    <w:tbl>
      <w:tblPr>
        <w:tblStyle w:val="35"/>
        <w:tblpPr w:leftFromText="180" w:rightFromText="180" w:vertAnchor="text" w:horzAnchor="page" w:tblpX="1801" w:tblpY="457"/>
        <w:tblOverlap w:val="never"/>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062"/>
        <w:gridCol w:w="1062"/>
        <w:gridCol w:w="1062"/>
        <w:gridCol w:w="1062"/>
        <w:gridCol w:w="1062"/>
        <w:gridCol w:w="1062"/>
        <w:gridCol w:w="1528"/>
      </w:tblGrid>
      <w:tr w14:paraId="33F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7F3D79A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62" w:type="dxa"/>
          </w:tcPr>
          <w:p w14:paraId="49723C1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062" w:type="dxa"/>
          </w:tcPr>
          <w:p w14:paraId="146EBFA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062" w:type="dxa"/>
          </w:tcPr>
          <w:p w14:paraId="2E7A2BE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62" w:type="dxa"/>
          </w:tcPr>
          <w:p w14:paraId="0A9DFAF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62" w:type="dxa"/>
          </w:tcPr>
          <w:p w14:paraId="7CAF4F53">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单价（万元）</w:t>
            </w:r>
          </w:p>
        </w:tc>
        <w:tc>
          <w:tcPr>
            <w:tcW w:w="1062" w:type="dxa"/>
          </w:tcPr>
          <w:p w14:paraId="32058DE4">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总价（万元）</w:t>
            </w:r>
          </w:p>
        </w:tc>
        <w:tc>
          <w:tcPr>
            <w:tcW w:w="1528" w:type="dxa"/>
          </w:tcPr>
          <w:p w14:paraId="5FB4FFE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4727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6199488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tcPr>
          <w:p w14:paraId="6D94FA02">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X线计算机断层扫描仪</w:t>
            </w:r>
          </w:p>
        </w:tc>
        <w:tc>
          <w:tcPr>
            <w:tcW w:w="1062" w:type="dxa"/>
          </w:tcPr>
          <w:p w14:paraId="0574605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062" w:type="dxa"/>
          </w:tcPr>
          <w:p w14:paraId="04AD2F5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5EC9E36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vAlign w:val="center"/>
          </w:tcPr>
          <w:p w14:paraId="2BF1B7B2">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678</w:t>
            </w:r>
          </w:p>
        </w:tc>
        <w:tc>
          <w:tcPr>
            <w:tcW w:w="1062" w:type="dxa"/>
            <w:vAlign w:val="center"/>
          </w:tcPr>
          <w:p w14:paraId="3847C875">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678</w:t>
            </w:r>
          </w:p>
        </w:tc>
        <w:tc>
          <w:tcPr>
            <w:tcW w:w="1528" w:type="dxa"/>
            <w:vMerge w:val="restart"/>
          </w:tcPr>
          <w:p w14:paraId="7EA59148">
            <w:pPr>
              <w:numPr>
                <w:ilvl w:val="0"/>
                <w:numId w:val="0"/>
              </w:numPr>
              <w:jc w:val="center"/>
              <w:rPr>
                <w:rFonts w:hint="eastAsia" w:ascii="宋体" w:hAnsi="宋体" w:cs="宋体"/>
                <w:sz w:val="24"/>
                <w:szCs w:val="24"/>
                <w:vertAlign w:val="baseline"/>
                <w:lang w:val="en-US" w:eastAsia="zh-CN"/>
              </w:rPr>
            </w:pPr>
          </w:p>
          <w:p w14:paraId="5E8B185F">
            <w:pPr>
              <w:numPr>
                <w:ilvl w:val="0"/>
                <w:numId w:val="0"/>
              </w:numPr>
              <w:jc w:val="center"/>
              <w:rPr>
                <w:rFonts w:hint="eastAsia" w:ascii="宋体" w:hAnsi="宋体" w:cs="宋体"/>
                <w:sz w:val="24"/>
                <w:szCs w:val="24"/>
                <w:vertAlign w:val="baseline"/>
                <w:lang w:val="en-US" w:eastAsia="zh-CN"/>
              </w:rPr>
            </w:pPr>
          </w:p>
          <w:p w14:paraId="434917F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最高限价：9580000元</w:t>
            </w:r>
          </w:p>
        </w:tc>
      </w:tr>
      <w:tr w14:paraId="42BA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310237A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62" w:type="dxa"/>
          </w:tcPr>
          <w:p w14:paraId="5C84FEC0">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DR加透视机器</w:t>
            </w:r>
          </w:p>
        </w:tc>
        <w:tc>
          <w:tcPr>
            <w:tcW w:w="1062" w:type="dxa"/>
          </w:tcPr>
          <w:p w14:paraId="0B141CB6">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另页描述</w:t>
            </w:r>
          </w:p>
        </w:tc>
        <w:tc>
          <w:tcPr>
            <w:tcW w:w="1062" w:type="dxa"/>
          </w:tcPr>
          <w:p w14:paraId="19609983">
            <w:pPr>
              <w:numPr>
                <w:ilvl w:val="0"/>
                <w:numId w:val="0"/>
              </w:num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台（套）</w:t>
            </w:r>
          </w:p>
        </w:tc>
        <w:tc>
          <w:tcPr>
            <w:tcW w:w="1062" w:type="dxa"/>
          </w:tcPr>
          <w:p w14:paraId="53CE556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62" w:type="dxa"/>
            <w:vAlign w:val="center"/>
          </w:tcPr>
          <w:p w14:paraId="3D1A0D38">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280</w:t>
            </w:r>
          </w:p>
        </w:tc>
        <w:tc>
          <w:tcPr>
            <w:tcW w:w="1062" w:type="dxa"/>
            <w:vAlign w:val="center"/>
          </w:tcPr>
          <w:p w14:paraId="247CC36B">
            <w:pPr>
              <w:keepNext w:val="0"/>
              <w:keepLines w:val="0"/>
              <w:widowControl/>
              <w:suppressLineNumbers w:val="0"/>
              <w:jc w:val="center"/>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280</w:t>
            </w:r>
          </w:p>
        </w:tc>
        <w:tc>
          <w:tcPr>
            <w:tcW w:w="1528" w:type="dxa"/>
            <w:vMerge w:val="continue"/>
          </w:tcPr>
          <w:p w14:paraId="55E618BF">
            <w:pPr>
              <w:numPr>
                <w:ilvl w:val="0"/>
                <w:numId w:val="0"/>
              </w:numPr>
              <w:jc w:val="center"/>
              <w:rPr>
                <w:rFonts w:hint="eastAsia" w:ascii="宋体" w:hAnsi="宋体" w:eastAsia="宋体" w:cs="宋体"/>
                <w:sz w:val="24"/>
                <w:szCs w:val="24"/>
                <w:vertAlign w:val="baseline"/>
              </w:rPr>
            </w:pPr>
          </w:p>
        </w:tc>
      </w:tr>
      <w:tr w14:paraId="748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1" w:type="dxa"/>
            <w:gridSpan w:val="8"/>
          </w:tcPr>
          <w:p w14:paraId="0AC26EF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337D3CF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p>
    <w:p w14:paraId="3EDB8E1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p>
    <w:p w14:paraId="01E3D8E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jc w:val="left"/>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371" w:name="_Toc14722"/>
      <w:r>
        <w:rPr>
          <w:rFonts w:hint="eastAsia" w:ascii="宋体" w:hAnsi="宋体" w:eastAsia="宋体" w:cs="宋体"/>
          <w:b/>
          <w:bCs/>
          <w:color w:val="auto"/>
          <w:kern w:val="2"/>
          <w:sz w:val="24"/>
          <w:szCs w:val="24"/>
          <w:highlight w:val="none"/>
          <w:u w:val="none"/>
          <w:lang w:val="en-US" w:eastAsia="zh-CN" w:bidi="ar-SA"/>
        </w:rPr>
        <w:t>（一）X线计算机断层扫描仪 技术参数</w:t>
      </w:r>
      <w:bookmarkEnd w:id="371"/>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233"/>
      </w:tblGrid>
      <w:tr w14:paraId="203F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3" w:type="pct"/>
            <w:vAlign w:val="center"/>
          </w:tcPr>
          <w:p w14:paraId="7B270BC9">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序号</w:t>
            </w:r>
          </w:p>
        </w:tc>
        <w:tc>
          <w:tcPr>
            <w:tcW w:w="4256" w:type="pct"/>
          </w:tcPr>
          <w:p w14:paraId="431B121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要求</w:t>
            </w:r>
          </w:p>
        </w:tc>
      </w:tr>
      <w:tr w14:paraId="2F9C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center"/>
          </w:tcPr>
          <w:p w14:paraId="625907CA">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363CEAE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数据采集系统</w:t>
            </w:r>
          </w:p>
        </w:tc>
      </w:tr>
      <w:tr w14:paraId="1FF8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7CC9944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A4CFA5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探测器类型：光子探测器、或宝石探测器、或微平板探测器、或时空探测器、其他品牌提供同档次的探测器</w:t>
            </w:r>
          </w:p>
        </w:tc>
      </w:tr>
      <w:tr w14:paraId="4563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1BCEAD4B">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118D630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lang w:val="en-US" w:eastAsia="zh-CN"/>
              </w:rPr>
              <w:t>★</w:t>
            </w:r>
            <w:r>
              <w:rPr>
                <w:rFonts w:hint="eastAsia" w:ascii="宋体" w:hAnsi="宋体" w:eastAsia="宋体" w:cs="宋体"/>
                <w:kern w:val="0"/>
                <w:sz w:val="24"/>
                <w:szCs w:val="24"/>
                <w:highlight w:val="none"/>
              </w:rPr>
              <w:t>探测器物理排数：单套采集系统，探测器Z轴方向物理排数≥128排</w:t>
            </w:r>
          </w:p>
        </w:tc>
      </w:tr>
      <w:tr w14:paraId="3665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29337F9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88C0B4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单圈扫描最大层数≥256层</w:t>
            </w:r>
          </w:p>
        </w:tc>
      </w:tr>
      <w:tr w14:paraId="0F6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43" w:type="pct"/>
            <w:vAlign w:val="center"/>
          </w:tcPr>
          <w:p w14:paraId="58C5958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60535F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▲探测器Z轴总覆盖宽度（等中心处）</w:t>
            </w:r>
            <w:r>
              <w:rPr>
                <w:rFonts w:hint="eastAsia" w:ascii="宋体" w:hAnsi="宋体" w:eastAsia="宋体" w:cs="宋体"/>
                <w:kern w:val="0"/>
                <w:sz w:val="24"/>
                <w:szCs w:val="24"/>
                <w:highlight w:val="none"/>
              </w:rPr>
              <w:t>≥</w:t>
            </w:r>
            <w:r>
              <w:rPr>
                <w:rFonts w:hint="eastAsia" w:ascii="宋体" w:hAnsi="宋体" w:eastAsia="宋体" w:cs="宋体"/>
                <w:b/>
                <w:bCs/>
                <w:kern w:val="0"/>
                <w:sz w:val="24"/>
                <w:szCs w:val="24"/>
                <w:highlight w:val="none"/>
                <w:lang w:val="en-US" w:eastAsia="zh-CN"/>
              </w:rPr>
              <w:t>76mm</w:t>
            </w:r>
          </w:p>
        </w:tc>
      </w:tr>
      <w:tr w14:paraId="7175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26B2BC5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DA70B2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▲探测器每排物理单元</w:t>
            </w:r>
            <w:r>
              <w:rPr>
                <w:rFonts w:hint="eastAsia" w:ascii="宋体" w:hAnsi="宋体" w:eastAsia="宋体" w:cs="宋体"/>
                <w:kern w:val="0"/>
                <w:sz w:val="24"/>
                <w:szCs w:val="24"/>
                <w:highlight w:val="none"/>
              </w:rPr>
              <w:t>数≥8</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0</w:t>
            </w:r>
          </w:p>
        </w:tc>
      </w:tr>
      <w:tr w14:paraId="2B3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7BDCA03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91674D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▲探测器Z轴单元最小物理尺寸≤0.6mm</w:t>
            </w:r>
          </w:p>
        </w:tc>
      </w:tr>
      <w:tr w14:paraId="2151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center"/>
          </w:tcPr>
          <w:p w14:paraId="030E1F9F">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3A80194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球管和高压</w:t>
            </w:r>
          </w:p>
        </w:tc>
      </w:tr>
      <w:tr w14:paraId="7EA0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749E9617">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314D88F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▲球管阳极等效热容量≥30MHU</w:t>
            </w:r>
          </w:p>
        </w:tc>
      </w:tr>
      <w:tr w14:paraId="75B3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214DA89B">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0C55F17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lang w:val="en-US" w:eastAsia="zh-CN"/>
              </w:rPr>
              <w:t>▲</w:t>
            </w:r>
            <w:r>
              <w:rPr>
                <w:rFonts w:hint="eastAsia" w:ascii="宋体" w:hAnsi="宋体" w:eastAsia="宋体" w:cs="宋体"/>
                <w:kern w:val="0"/>
                <w:sz w:val="24"/>
                <w:szCs w:val="24"/>
                <w:highlight w:val="none"/>
              </w:rPr>
              <w:t>球管阳极散热率≥1600kHU/min</w:t>
            </w:r>
          </w:p>
        </w:tc>
      </w:tr>
      <w:tr w14:paraId="727A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28C59DF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9FD477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小焦点尺寸≤0.4mm x 0.7mm</w:t>
            </w:r>
          </w:p>
        </w:tc>
      </w:tr>
      <w:tr w14:paraId="1546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41EF9DA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2A3DAF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大焦点尺寸≤1.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mm x </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2mm</w:t>
            </w:r>
          </w:p>
        </w:tc>
      </w:tr>
      <w:tr w14:paraId="166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47C10661">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6C5DBC1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高压发生器最大功率≥100kW</w:t>
            </w:r>
          </w:p>
        </w:tc>
      </w:tr>
      <w:tr w14:paraId="0D22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7486F2D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C28386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最低输出管电流≤10mA</w:t>
            </w:r>
          </w:p>
        </w:tc>
      </w:tr>
      <w:tr w14:paraId="0AC2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09399E60">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7025363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最高输出管电流（不含等效概念）≥</w:t>
            </w:r>
            <w:r>
              <w:rPr>
                <w:rFonts w:hint="eastAsia" w:ascii="宋体" w:hAnsi="宋体" w:eastAsia="宋体" w:cs="宋体"/>
                <w:b/>
                <w:bCs/>
                <w:kern w:val="0"/>
                <w:sz w:val="24"/>
                <w:szCs w:val="24"/>
                <w:highlight w:val="none"/>
                <w:lang w:val="en-US" w:eastAsia="zh-CN"/>
              </w:rPr>
              <w:t>800mA</w:t>
            </w:r>
          </w:p>
        </w:tc>
      </w:tr>
      <w:tr w14:paraId="256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4AAFE7E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7C0464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管电流步进≤1mA</w:t>
            </w:r>
          </w:p>
        </w:tc>
      </w:tr>
      <w:tr w14:paraId="42A5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6A80483F">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A046BA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最长连续曝光时间≥100s</w:t>
            </w:r>
          </w:p>
        </w:tc>
      </w:tr>
      <w:tr w14:paraId="5964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285166E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5EE4CE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最低管电压≤70kV</w:t>
            </w:r>
          </w:p>
        </w:tc>
      </w:tr>
      <w:tr w14:paraId="5852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766BDB4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75E89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最高管电压≥140kV</w:t>
            </w:r>
          </w:p>
        </w:tc>
      </w:tr>
      <w:tr w14:paraId="05E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center"/>
          </w:tcPr>
          <w:p w14:paraId="500D804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720B6B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管电压可选档数≥5档</w:t>
            </w:r>
          </w:p>
        </w:tc>
      </w:tr>
      <w:tr w14:paraId="3D56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0CE38498">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3B14DC9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扫描机架</w:t>
            </w:r>
          </w:p>
        </w:tc>
      </w:tr>
      <w:tr w14:paraId="5303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5C578C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05C9E7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机架物理最快转速（非等效）≤0.28s/圈</w:t>
            </w:r>
          </w:p>
        </w:tc>
      </w:tr>
      <w:tr w14:paraId="077A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pct"/>
            <w:vAlign w:val="top"/>
          </w:tcPr>
          <w:p w14:paraId="20BC208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55960E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▲机架孔径≥80cm</w:t>
            </w:r>
          </w:p>
        </w:tc>
      </w:tr>
      <w:tr w14:paraId="5601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AC6CFC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62E603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机架物理倾斜角度（非数字倾斜）≥±30°</w:t>
            </w:r>
          </w:p>
        </w:tc>
      </w:tr>
      <w:tr w14:paraId="7EE3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0BA35D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7C2C9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焦点到探测器距离≥110cm</w:t>
            </w:r>
          </w:p>
        </w:tc>
      </w:tr>
      <w:tr w14:paraId="6D81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23190A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6226B1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焦点到等中心点距离≥60cm</w:t>
            </w:r>
          </w:p>
        </w:tc>
      </w:tr>
      <w:tr w14:paraId="1CC3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05015A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8156FA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低压滑环：具备</w:t>
            </w:r>
          </w:p>
        </w:tc>
      </w:tr>
      <w:tr w14:paraId="5A0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40145B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0ED772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机架冷却方式：风冷或水冷</w:t>
            </w:r>
          </w:p>
        </w:tc>
      </w:tr>
      <w:tr w14:paraId="4A0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0E3379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801104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床旁提供患者信息、扫描床位置、扫描时间的显示</w:t>
            </w:r>
          </w:p>
        </w:tc>
      </w:tr>
      <w:tr w14:paraId="46AF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24CE4F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D8E562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机架控制面板：具备</w:t>
            </w:r>
          </w:p>
        </w:tc>
      </w:tr>
      <w:tr w14:paraId="3E22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1C8022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CD269B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语音呼吸导航系统：具备</w:t>
            </w:r>
          </w:p>
        </w:tc>
      </w:tr>
      <w:tr w14:paraId="5460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89A839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563254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视觉呼吸导航系统：具备</w:t>
            </w:r>
          </w:p>
        </w:tc>
      </w:tr>
      <w:tr w14:paraId="4899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94B307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EFE48C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内外激光定位灯：具备</w:t>
            </w:r>
          </w:p>
        </w:tc>
      </w:tr>
      <w:tr w14:paraId="7E6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12872438">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67E305D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扫描床</w:t>
            </w:r>
          </w:p>
        </w:tc>
      </w:tr>
      <w:tr w14:paraId="46DF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42C8BB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0F7848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最大水平移动范围≥200cm</w:t>
            </w:r>
          </w:p>
        </w:tc>
      </w:tr>
      <w:tr w14:paraId="732D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2D4E96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606344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最大螺旋可扫描范围≥200cm</w:t>
            </w:r>
          </w:p>
        </w:tc>
      </w:tr>
      <w:tr w14:paraId="0434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55EA61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012BD7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最大水平移床速度≥300mm/s</w:t>
            </w:r>
          </w:p>
        </w:tc>
      </w:tr>
      <w:tr w14:paraId="786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4E6E49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FDE4CA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垂直升降最低位置≤50cm</w:t>
            </w:r>
          </w:p>
        </w:tc>
      </w:tr>
      <w:tr w14:paraId="37AC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226B0CF">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C0D01A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垂直升降最高位置≥95cm</w:t>
            </w:r>
          </w:p>
        </w:tc>
      </w:tr>
      <w:tr w14:paraId="17B6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C3B0C4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29A2E0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水平定位精度≤±0.25mm</w:t>
            </w:r>
          </w:p>
        </w:tc>
      </w:tr>
      <w:tr w14:paraId="6E5E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2D168B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83149D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最大承重≥220kg</w:t>
            </w:r>
          </w:p>
        </w:tc>
      </w:tr>
      <w:tr w14:paraId="73B2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0A0B4A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C69335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扫描床控制脚踏开关：提供</w:t>
            </w:r>
          </w:p>
        </w:tc>
      </w:tr>
      <w:tr w14:paraId="2FF2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A947E3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E5F04A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一体化扫描床点滴架：提供</w:t>
            </w:r>
          </w:p>
        </w:tc>
      </w:tr>
      <w:tr w14:paraId="08E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813354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43A96C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一体化扫描床托盘架：提供</w:t>
            </w:r>
          </w:p>
        </w:tc>
      </w:tr>
      <w:tr w14:paraId="0F0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509525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82AAB7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一体化扫描床纸床单架：提供</w:t>
            </w:r>
          </w:p>
        </w:tc>
      </w:tr>
      <w:tr w14:paraId="6D03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BE6E8C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3952F3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一体化集成生理信号门控单元：提供</w:t>
            </w:r>
          </w:p>
        </w:tc>
      </w:tr>
      <w:tr w14:paraId="414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44222B77">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234CD57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主控制台及重建计算机系统</w:t>
            </w:r>
          </w:p>
        </w:tc>
      </w:tr>
      <w:tr w14:paraId="31E6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829BCB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A3B169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主控台计算机CPU≥4核</w:t>
            </w:r>
          </w:p>
        </w:tc>
      </w:tr>
      <w:tr w14:paraId="1C9B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0D8125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FE6FE5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主控台计算机内存≥24GB</w:t>
            </w:r>
          </w:p>
        </w:tc>
      </w:tr>
      <w:tr w14:paraId="608E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3D0745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49B9F6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主控台硬盘容量≥2TB</w:t>
            </w:r>
          </w:p>
        </w:tc>
      </w:tr>
      <w:tr w14:paraId="253F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285C5E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A1DE2F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主控台图像存储量（512x512矩阵，非压缩图像）≥3,000,000幅</w:t>
            </w:r>
          </w:p>
        </w:tc>
      </w:tr>
      <w:tr w14:paraId="3A9C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AD453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2FECF5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主控台计算机操作系统：Windows 7或Windows 10</w:t>
            </w:r>
          </w:p>
        </w:tc>
      </w:tr>
      <w:tr w14:paraId="55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BA0925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734549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重建计算机CPU≥8核</w:t>
            </w:r>
          </w:p>
        </w:tc>
      </w:tr>
      <w:tr w14:paraId="3BD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7581F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7B65B8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重建计算机内存≥32GB</w:t>
            </w:r>
          </w:p>
        </w:tc>
      </w:tr>
      <w:tr w14:paraId="5303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644041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E10DFA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重建计算机硬盘容量≥4TB</w:t>
            </w:r>
          </w:p>
        </w:tc>
      </w:tr>
      <w:tr w14:paraId="72F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94A011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5047A9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显示器尺寸≥24英寸</w:t>
            </w:r>
          </w:p>
        </w:tc>
      </w:tr>
      <w:tr w14:paraId="57E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9F318F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932193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显示器分辨率≥1920x1200</w:t>
            </w:r>
          </w:p>
        </w:tc>
      </w:tr>
      <w:tr w14:paraId="69EF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E78237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281974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支持CD/DVD读取和刻录</w:t>
            </w:r>
          </w:p>
        </w:tc>
      </w:tr>
      <w:tr w14:paraId="482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2C372A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6EC9BD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具备USB外置硬盘接口</w:t>
            </w:r>
          </w:p>
        </w:tc>
      </w:tr>
      <w:tr w14:paraId="684D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21B77D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AA117E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提供DICOM 3.0接口，支持DICOM 格式数据的传输、接收、打印、归档、查询</w:t>
            </w:r>
          </w:p>
        </w:tc>
      </w:tr>
      <w:tr w14:paraId="2034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64509E62">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48F21F5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扫描和重建参数</w:t>
            </w:r>
          </w:p>
        </w:tc>
      </w:tr>
      <w:tr w14:paraId="4C41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920858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409FED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单圈轴扫最大Z轴覆盖范</w:t>
            </w:r>
            <w:r>
              <w:rPr>
                <w:rFonts w:hint="eastAsia" w:ascii="宋体" w:hAnsi="宋体" w:eastAsia="宋体" w:cs="宋体"/>
                <w:kern w:val="0"/>
                <w:sz w:val="24"/>
                <w:szCs w:val="24"/>
                <w:highlight w:val="none"/>
              </w:rPr>
              <w:t>围≥</w:t>
            </w:r>
            <w:r>
              <w:rPr>
                <w:rFonts w:hint="eastAsia" w:ascii="宋体" w:hAnsi="宋体" w:eastAsia="宋体" w:cs="宋体"/>
                <w:b/>
                <w:bCs/>
                <w:kern w:val="0"/>
                <w:sz w:val="24"/>
                <w:szCs w:val="24"/>
                <w:highlight w:val="none"/>
                <w:lang w:val="en-US" w:eastAsia="zh-CN"/>
              </w:rPr>
              <w:t>76mm</w:t>
            </w:r>
          </w:p>
        </w:tc>
      </w:tr>
      <w:tr w14:paraId="687F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D4B2F0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308912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单圈轴扫采集层数≥256</w:t>
            </w:r>
          </w:p>
        </w:tc>
      </w:tr>
      <w:tr w14:paraId="3875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7B52C3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34B42C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轴扫最快扫描速度（360°，非等效）≤0.28s</w:t>
            </w:r>
          </w:p>
        </w:tc>
      </w:tr>
      <w:tr w14:paraId="29E7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E6B214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13940F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螺旋扫描最大Z轴准直覆盖范围</w:t>
            </w:r>
            <w:r>
              <w:rPr>
                <w:rFonts w:hint="eastAsia" w:ascii="宋体" w:hAnsi="宋体" w:eastAsia="宋体" w:cs="宋体"/>
                <w:kern w:val="0"/>
                <w:sz w:val="24"/>
                <w:szCs w:val="24"/>
                <w:highlight w:val="none"/>
              </w:rPr>
              <w:t>≥</w:t>
            </w:r>
            <w:r>
              <w:rPr>
                <w:rFonts w:hint="eastAsia" w:ascii="宋体" w:hAnsi="宋体" w:eastAsia="宋体" w:cs="宋体"/>
                <w:b/>
                <w:bCs/>
                <w:kern w:val="0"/>
                <w:sz w:val="24"/>
                <w:szCs w:val="24"/>
                <w:highlight w:val="none"/>
                <w:lang w:val="en-US" w:eastAsia="zh-CN"/>
              </w:rPr>
              <w:t>76mm</w:t>
            </w:r>
          </w:p>
        </w:tc>
      </w:tr>
      <w:tr w14:paraId="15A3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DD9D27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8B395D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螺旋扫描最快扫描速度（360°，非等效）≤0.28s</w:t>
            </w:r>
          </w:p>
        </w:tc>
      </w:tr>
      <w:tr w14:paraId="1A0B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5E3887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0385C4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提供轴扫和螺旋融合扫描功能</w:t>
            </w:r>
          </w:p>
        </w:tc>
      </w:tr>
      <w:tr w14:paraId="0BA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89F3A1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979119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提供门控和非门控融合扫描功能</w:t>
            </w:r>
          </w:p>
        </w:tc>
      </w:tr>
      <w:tr w14:paraId="4F2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35B3C7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5A90DAC">
            <w:pPr>
              <w:keepNext w:val="0"/>
              <w:keepLines w:val="0"/>
              <w:pageBreakBefore w:val="0"/>
              <w:widowControl w:val="0"/>
              <w:tabs>
                <w:tab w:val="center" w:pos="3518"/>
              </w:tabs>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▲最薄扫描图像层厚</w:t>
            </w:r>
            <w:r>
              <w:rPr>
                <w:rFonts w:hint="eastAsia" w:ascii="宋体" w:hAnsi="宋体" w:eastAsia="宋体" w:cs="宋体"/>
                <w:kern w:val="0"/>
                <w:sz w:val="24"/>
                <w:szCs w:val="24"/>
                <w:highlight w:val="none"/>
              </w:rPr>
              <w:t>≤</w:t>
            </w:r>
            <w:r>
              <w:rPr>
                <w:rFonts w:hint="eastAsia" w:ascii="宋体" w:hAnsi="宋体" w:eastAsia="宋体" w:cs="宋体"/>
                <w:b/>
                <w:bCs/>
                <w:kern w:val="0"/>
                <w:sz w:val="24"/>
                <w:szCs w:val="24"/>
                <w:highlight w:val="none"/>
                <w:lang w:val="en-US" w:eastAsia="zh-CN"/>
              </w:rPr>
              <w:t>0.6mm</w:t>
            </w:r>
          </w:p>
        </w:tc>
      </w:tr>
      <w:tr w14:paraId="7C34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304329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58F28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最大扫描FOV≥50cm</w:t>
            </w:r>
          </w:p>
        </w:tc>
      </w:tr>
      <w:tr w14:paraId="118B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98FD80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4BA675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重建FOV范围≥50cm</w:t>
            </w:r>
          </w:p>
        </w:tc>
      </w:tr>
      <w:tr w14:paraId="2D16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41D9A6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85F475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最大扩展重建FOV≥60cm</w:t>
            </w:r>
          </w:p>
        </w:tc>
      </w:tr>
      <w:tr w14:paraId="6A6C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B4EA75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5F8E75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最大图像重建矩阵（非显示矩阵）≥1024x1024</w:t>
            </w:r>
          </w:p>
        </w:tc>
      </w:tr>
      <w:tr w14:paraId="26A8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05A550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F81205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图像显示矩阵≥1024x1024</w:t>
            </w:r>
          </w:p>
        </w:tc>
      </w:tr>
      <w:tr w14:paraId="69B8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B77A7B9">
            <w:pPr>
              <w:widowControl w:val="0"/>
              <w:numPr>
                <w:ilvl w:val="1"/>
                <w:numId w:val="3"/>
              </w:numPr>
              <w:snapToGrid w:val="0"/>
              <w:ind w:left="567" w:leftChars="0" w:hanging="567" w:firstLineChars="0"/>
              <w:jc w:val="both"/>
              <w:rPr>
                <w:rFonts w:hint="eastAsia" w:ascii="宋体" w:hAnsi="宋体" w:eastAsia="宋体" w:cs="宋体"/>
                <w:kern w:val="0"/>
                <w:sz w:val="24"/>
                <w:szCs w:val="24"/>
                <w:highlight w:val="none"/>
                <w:lang w:val="en-US" w:eastAsia="zh-CN" w:bidi="ar-SA"/>
              </w:rPr>
            </w:pPr>
          </w:p>
        </w:tc>
        <w:tc>
          <w:tcPr>
            <w:tcW w:w="4256" w:type="pct"/>
          </w:tcPr>
          <w:p w14:paraId="4F46F71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最小CT值（非扩展）≤-1000HU</w:t>
            </w:r>
          </w:p>
        </w:tc>
      </w:tr>
      <w:tr w14:paraId="7BBF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F8B1B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BE033D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最大CT值（非扩展）≥30</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HU</w:t>
            </w:r>
          </w:p>
        </w:tc>
      </w:tr>
      <w:tr w14:paraId="03FA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3FD925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CA6D70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图像重建速度≥60幅/秒</w:t>
            </w:r>
          </w:p>
        </w:tc>
      </w:tr>
      <w:tr w14:paraId="0F84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40D734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DAA456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具备宽体散射伪影校正算法</w:t>
            </w:r>
          </w:p>
        </w:tc>
      </w:tr>
      <w:tr w14:paraId="44CC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BE2FC3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9AF378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具备宽体锥束重建算法</w:t>
            </w:r>
          </w:p>
        </w:tc>
      </w:tr>
      <w:tr w14:paraId="02E4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C1E6BF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011157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具备单能扫描去金属伪影算法</w:t>
            </w:r>
          </w:p>
        </w:tc>
      </w:tr>
      <w:tr w14:paraId="00F5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78E00657">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256BD6F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图像质量</w:t>
            </w:r>
          </w:p>
        </w:tc>
      </w:tr>
      <w:tr w14:paraId="5362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12888E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908D06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lang w:val="en-US" w:eastAsia="zh-CN"/>
              </w:rPr>
              <w:t>▲</w:t>
            </w:r>
            <w:r>
              <w:rPr>
                <w:rFonts w:hint="eastAsia" w:ascii="宋体" w:hAnsi="宋体" w:eastAsia="宋体" w:cs="宋体"/>
                <w:kern w:val="0"/>
                <w:sz w:val="24"/>
                <w:szCs w:val="24"/>
                <w:highlight w:val="none"/>
              </w:rPr>
              <w:t>空间分辨率</w:t>
            </w:r>
            <w:r>
              <w:rPr>
                <w:rFonts w:hint="eastAsia" w:ascii="宋体" w:hAnsi="宋体" w:eastAsia="宋体" w:cs="宋体"/>
                <w:b/>
                <w:bCs/>
                <w:kern w:val="0"/>
                <w:sz w:val="24"/>
                <w:szCs w:val="24"/>
                <w:highlight w:val="none"/>
              </w:rPr>
              <w:t>≥20lp/cm</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MTF 0%</w:t>
            </w:r>
            <w:r>
              <w:rPr>
                <w:rFonts w:hint="eastAsia" w:ascii="宋体" w:hAnsi="宋体" w:eastAsia="宋体" w:cs="宋体"/>
                <w:b/>
                <w:bCs/>
                <w:kern w:val="0"/>
                <w:sz w:val="24"/>
                <w:szCs w:val="24"/>
                <w:highlight w:val="none"/>
                <w:lang w:eastAsia="zh-CN"/>
              </w:rPr>
              <w:t>）</w:t>
            </w:r>
          </w:p>
        </w:tc>
      </w:tr>
      <w:tr w14:paraId="1133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E74CB1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7AC91B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lang w:val="en-US" w:eastAsia="zh-CN"/>
              </w:rPr>
              <w:t>▲</w:t>
            </w:r>
            <w:r>
              <w:rPr>
                <w:rFonts w:hint="eastAsia" w:ascii="宋体" w:hAnsi="宋体" w:eastAsia="宋体" w:cs="宋体"/>
                <w:kern w:val="0"/>
                <w:sz w:val="24"/>
                <w:szCs w:val="24"/>
                <w:highlight w:val="none"/>
              </w:rPr>
              <w:t>低对比度分辨率2mm@0.3%≤22mGy</w:t>
            </w:r>
          </w:p>
        </w:tc>
      </w:tr>
      <w:tr w14:paraId="3E69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155B407F">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0F5398E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剂量控制方案</w:t>
            </w:r>
          </w:p>
        </w:tc>
      </w:tr>
      <w:tr w14:paraId="441C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2C98D0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0FA5BF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扫描剂量预估：提供</w:t>
            </w:r>
          </w:p>
        </w:tc>
      </w:tr>
      <w:tr w14:paraId="429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288E36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0997D8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结构化剂量报告：提供</w:t>
            </w:r>
          </w:p>
        </w:tc>
      </w:tr>
      <w:tr w14:paraId="1BFA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56FDD3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12A3D3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剂量监控和预警：提供</w:t>
            </w:r>
          </w:p>
        </w:tc>
      </w:tr>
      <w:tr w14:paraId="2BD2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6564E6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8A669C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实时定位像：提供</w:t>
            </w:r>
          </w:p>
        </w:tc>
      </w:tr>
      <w:tr w14:paraId="6960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168678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DC4087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3D智能管电流调制：提供</w:t>
            </w:r>
          </w:p>
        </w:tc>
      </w:tr>
      <w:tr w14:paraId="3AE8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350019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663F84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70kV低剂量扫描模式：提供</w:t>
            </w:r>
          </w:p>
        </w:tc>
      </w:tr>
      <w:tr w14:paraId="0E93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F4FBBB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DE3714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10mA肺部超低剂量扫描技术：提供</w:t>
            </w:r>
          </w:p>
        </w:tc>
      </w:tr>
      <w:tr w14:paraId="3BF8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0A3F25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28D1D5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自动管电压推荐：提供</w:t>
            </w:r>
          </w:p>
        </w:tc>
      </w:tr>
      <w:tr w14:paraId="0C9D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81544F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B79842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根据扫描部位和患者体型，提供不同扫描FOV≥3种</w:t>
            </w:r>
          </w:p>
        </w:tc>
      </w:tr>
      <w:tr w14:paraId="486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A0C1A9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46440A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出厂儿童协议：提供</w:t>
            </w:r>
          </w:p>
        </w:tc>
      </w:tr>
      <w:tr w14:paraId="3DBD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9FFDCF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AEC46C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各厂家提供最新发布的高端迭代技术：西门子提供ADMIRE，GE提供ASIR-V,飞利浦提供IMR，联影提供KARL 3D。其他厂商提供同档次的迭代技术</w:t>
            </w:r>
          </w:p>
        </w:tc>
      </w:tr>
      <w:tr w14:paraId="366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320C708A">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5FB33E1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临床应用软件</w:t>
            </w:r>
          </w:p>
        </w:tc>
      </w:tr>
      <w:tr w14:paraId="5EF0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473610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A77AEE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多平面重建（MPR）：提供</w:t>
            </w:r>
          </w:p>
        </w:tc>
      </w:tr>
      <w:tr w14:paraId="0816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59B517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AB8E3C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最大密度投影（MIP）：提供</w:t>
            </w:r>
          </w:p>
        </w:tc>
      </w:tr>
      <w:tr w14:paraId="2BA6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3AD6C7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8A97E2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最小密度投影（MinP）：提供</w:t>
            </w:r>
          </w:p>
        </w:tc>
      </w:tr>
      <w:tr w14:paraId="0893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3" w:type="pct"/>
            <w:vAlign w:val="top"/>
          </w:tcPr>
          <w:p w14:paraId="26465BC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6CCFE2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曲面重建（CPR）：提供</w:t>
            </w:r>
          </w:p>
        </w:tc>
      </w:tr>
      <w:tr w14:paraId="5C61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B5B50B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AE38FE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容积三维重建（VR）：提供</w:t>
            </w:r>
          </w:p>
        </w:tc>
      </w:tr>
      <w:tr w14:paraId="1B9E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53E5B8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C9DAA3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区域生长：提供</w:t>
            </w:r>
          </w:p>
        </w:tc>
      </w:tr>
      <w:tr w14:paraId="192F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F4ABC1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C9CBB4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表面重建（SSD）：提供</w:t>
            </w:r>
          </w:p>
        </w:tc>
      </w:tr>
      <w:tr w14:paraId="0A2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628625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4D54A9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提供多种容积三维重建模板：提供</w:t>
            </w:r>
          </w:p>
        </w:tc>
      </w:tr>
      <w:tr w14:paraId="060B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18ADF1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AEAB90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三维仿真内窥镜显示功能：提供</w:t>
            </w:r>
          </w:p>
        </w:tc>
      </w:tr>
      <w:tr w14:paraId="244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18D32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00D87C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图像剪影功能：提供</w:t>
            </w:r>
          </w:p>
        </w:tc>
      </w:tr>
      <w:tr w14:paraId="17ED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F8C2CC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D8344D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电影模式图像浏览功能：提供</w:t>
            </w:r>
          </w:p>
        </w:tc>
      </w:tr>
      <w:tr w14:paraId="1400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B11AB8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546027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组织裁剪功能：提供</w:t>
            </w:r>
          </w:p>
        </w:tc>
      </w:tr>
      <w:tr w14:paraId="1C7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CD6505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A4CE3C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可随扫描曝光进行实时MPR图像预览：提供</w:t>
            </w:r>
          </w:p>
        </w:tc>
      </w:tr>
      <w:tr w14:paraId="341E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C0A8CA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9F62ED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可随扫描曝光进行实时VR图像预览：提供</w:t>
            </w:r>
          </w:p>
        </w:tc>
      </w:tr>
      <w:tr w14:paraId="5A6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7F853A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F6C9DA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多期增强扫描技术：提供</w:t>
            </w:r>
          </w:p>
        </w:tc>
      </w:tr>
      <w:tr w14:paraId="4827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A0D0F0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FFFA42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CTA血管造影技术：提供</w:t>
            </w:r>
          </w:p>
        </w:tc>
      </w:tr>
      <w:tr w14:paraId="64C7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0971B2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6DB22C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CTU尿路造影技术：提供</w:t>
            </w:r>
          </w:p>
        </w:tc>
      </w:tr>
      <w:tr w14:paraId="3282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7663B7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91764D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造影剂自动跟踪技术：提供</w:t>
            </w:r>
          </w:p>
        </w:tc>
      </w:tr>
      <w:tr w14:paraId="4A9B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0D302E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E6EAAD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小剂量团注跟踪测试技术：提供</w:t>
            </w:r>
          </w:p>
        </w:tc>
      </w:tr>
      <w:tr w14:paraId="5460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0B3E68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622B10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脑出血测量技术：提供</w:t>
            </w:r>
          </w:p>
        </w:tc>
      </w:tr>
      <w:tr w14:paraId="2F9B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349291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44D108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脑容积测量技术：提供</w:t>
            </w:r>
          </w:p>
        </w:tc>
      </w:tr>
      <w:tr w14:paraId="7FA2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4C8686F8">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7B05E99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图像后处理工作站</w:t>
            </w:r>
          </w:p>
        </w:tc>
      </w:tr>
      <w:tr w14:paraId="676F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9AC791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A7E91D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计算机CPU≥8核</w:t>
            </w:r>
          </w:p>
        </w:tc>
      </w:tr>
      <w:tr w14:paraId="63B2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EF619F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B7E1FC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计算机内存≥64GB</w:t>
            </w:r>
          </w:p>
        </w:tc>
      </w:tr>
      <w:tr w14:paraId="1B8C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2E326C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80423B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硬盘容量≥3TB</w:t>
            </w:r>
          </w:p>
        </w:tc>
      </w:tr>
      <w:tr w14:paraId="59AC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205003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30EB3F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操作系统：Windows 7或Windows 10</w:t>
            </w:r>
          </w:p>
        </w:tc>
      </w:tr>
      <w:tr w14:paraId="4F25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4794E7F">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D42FB6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显示器尺寸≥24英寸</w:t>
            </w:r>
          </w:p>
        </w:tc>
      </w:tr>
      <w:tr w14:paraId="07E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D90D93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2DAB99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显示器分辨率≥1920x1200</w:t>
            </w:r>
          </w:p>
        </w:tc>
      </w:tr>
      <w:tr w14:paraId="5AB3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7AD9F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8F80EC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支持CD/DVD读取和刻录</w:t>
            </w:r>
          </w:p>
        </w:tc>
      </w:tr>
      <w:tr w14:paraId="2209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DAED9B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191703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具备USB外置硬盘接口</w:t>
            </w:r>
          </w:p>
        </w:tc>
      </w:tr>
      <w:tr w14:paraId="3C30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1994E6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566BA1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提供DICOM 3.0接口，支持DICOM 格式数据的传输、接收、打印、归档、查询</w:t>
            </w:r>
          </w:p>
        </w:tc>
      </w:tr>
      <w:tr w14:paraId="362C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20BE4CD4">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26F25E5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心血管成像及高级后处理软件包</w:t>
            </w:r>
          </w:p>
        </w:tc>
      </w:tr>
      <w:tr w14:paraId="19E8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8F1779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0DB118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心脏扫描与图像重建技术：提供</w:t>
            </w:r>
          </w:p>
        </w:tc>
      </w:tr>
      <w:tr w14:paraId="53EB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44E347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FEA41E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心电门控技术及门控装置：提供</w:t>
            </w:r>
          </w:p>
        </w:tc>
      </w:tr>
      <w:tr w14:paraId="5AB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7ABA1F7">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82F9CE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床旁心电图显示：提供</w:t>
            </w:r>
          </w:p>
        </w:tc>
      </w:tr>
      <w:tr w14:paraId="0F1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24BA58F">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44D78E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主控台心电图显示：提供</w:t>
            </w:r>
          </w:p>
        </w:tc>
      </w:tr>
      <w:tr w14:paraId="4921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7FEB9F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4EC10E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冠脉成像技术：提供</w:t>
            </w:r>
          </w:p>
        </w:tc>
      </w:tr>
      <w:tr w14:paraId="5B0F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058FA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03F4A12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心功能成像技术：提供</w:t>
            </w:r>
          </w:p>
        </w:tc>
      </w:tr>
      <w:tr w14:paraId="7A1D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8AB7B0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DF18C6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胸痛三联一站式成像技术：提供</w:t>
            </w:r>
          </w:p>
        </w:tc>
      </w:tr>
      <w:tr w14:paraId="1B26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E64E1F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B4B4B8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TAVI一站式成像技术：提供</w:t>
            </w:r>
          </w:p>
        </w:tc>
      </w:tr>
      <w:tr w14:paraId="71C3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3B3607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5C32565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心脑联合一站式成像技术：提供</w:t>
            </w:r>
          </w:p>
        </w:tc>
      </w:tr>
      <w:tr w14:paraId="6D03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A7B41BC">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0A8757C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前瞻式门控轴扫成像：提供</w:t>
            </w:r>
          </w:p>
        </w:tc>
      </w:tr>
      <w:tr w14:paraId="1BEC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366BA6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F16B56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心脏扫描自动时相技术，根据病人心率不同自动选择曝光时相：提供</w:t>
            </w:r>
          </w:p>
        </w:tc>
      </w:tr>
      <w:tr w14:paraId="230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E78EA0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F721B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回顾式螺旋扫描：提供</w:t>
            </w:r>
          </w:p>
        </w:tc>
      </w:tr>
      <w:tr w14:paraId="7071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0FDD65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5FCD71F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心脏扫描自动螺距技术，根据病人心率不同自动选择螺距：提供</w:t>
            </w:r>
          </w:p>
        </w:tc>
      </w:tr>
      <w:tr w14:paraId="5EBE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295F4CF">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1A90B4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自动心律不齐检测和曝光调整：提供</w:t>
            </w:r>
          </w:p>
        </w:tc>
      </w:tr>
      <w:tr w14:paraId="6082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67E7EF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326E755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ECG自动管电流调制：提供</w:t>
            </w:r>
          </w:p>
        </w:tc>
      </w:tr>
      <w:tr w14:paraId="6480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60EB1C7">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8511A6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图像预览功能，依据某一解剖层面重建0-100%时相数据，挑选最佳时相进行全心脏图像重建，事先无需重建全心脏数据：提供</w:t>
            </w:r>
          </w:p>
        </w:tc>
      </w:tr>
      <w:tr w14:paraId="734F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389FB6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95A601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最佳时相自动重建功能，心脏扫描结束后自动重建最佳舒张期、收缩期图像，无需人为选择期相</w:t>
            </w:r>
            <w:r>
              <w:rPr>
                <w:rFonts w:hint="eastAsia" w:ascii="宋体" w:hAnsi="宋体" w:eastAsia="宋体" w:cs="宋体"/>
                <w:kern w:val="0"/>
                <w:sz w:val="24"/>
                <w:szCs w:val="24"/>
              </w:rPr>
              <w:t>：提供</w:t>
            </w:r>
          </w:p>
        </w:tc>
      </w:tr>
      <w:tr w14:paraId="1D1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A07552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2D7C3C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冠脉运动伪影校正技术</w:t>
            </w:r>
            <w:r>
              <w:rPr>
                <w:rFonts w:hint="eastAsia" w:ascii="宋体" w:hAnsi="宋体" w:eastAsia="宋体" w:cs="宋体"/>
                <w:kern w:val="0"/>
                <w:sz w:val="24"/>
                <w:szCs w:val="24"/>
              </w:rPr>
              <w:t>：提供</w:t>
            </w:r>
          </w:p>
        </w:tc>
      </w:tr>
      <w:tr w14:paraId="04ED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99E455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301F50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针对房颤、室早等不同心律不齐，提供心电编辑软件：提供</w:t>
            </w:r>
          </w:p>
        </w:tc>
      </w:tr>
      <w:tr w14:paraId="68B7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585B0B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32A6FB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心血管高级后处理软件包：提供</w:t>
            </w:r>
          </w:p>
        </w:tc>
      </w:tr>
      <w:tr w14:paraId="121E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CD8D1D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38393E1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冠脉分析支持多期相数据加载：提供</w:t>
            </w:r>
          </w:p>
        </w:tc>
      </w:tr>
      <w:tr w14:paraId="21A3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844DE13">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0B6340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心脏自动分割</w:t>
            </w:r>
            <w:r>
              <w:rPr>
                <w:rFonts w:hint="eastAsia" w:ascii="宋体" w:hAnsi="宋体" w:eastAsia="宋体" w:cs="宋体"/>
                <w:kern w:val="0"/>
                <w:sz w:val="24"/>
                <w:szCs w:val="24"/>
              </w:rPr>
              <w:t>：提供</w:t>
            </w:r>
          </w:p>
        </w:tc>
      </w:tr>
      <w:tr w14:paraId="1972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54CF38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056C7CD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腔室自动分割：提供</w:t>
            </w:r>
          </w:p>
        </w:tc>
      </w:tr>
      <w:tr w14:paraId="1480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F28D0D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41C419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冠脉自动分割：提供</w:t>
            </w:r>
          </w:p>
        </w:tc>
      </w:tr>
      <w:tr w14:paraId="28A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22C402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F98BEE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中心线自动提取：提供</w:t>
            </w:r>
          </w:p>
        </w:tc>
      </w:tr>
      <w:tr w14:paraId="3AD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C6DDE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20974B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中心线自动命名：提供</w:t>
            </w:r>
          </w:p>
        </w:tc>
      </w:tr>
      <w:tr w14:paraId="5C2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6385D8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99E92D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中心线编辑：提供</w:t>
            </w:r>
          </w:p>
        </w:tc>
      </w:tr>
      <w:tr w14:paraId="0E4E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9FBB810">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03E36D5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区域增长（血管，软组织）：提供</w:t>
            </w:r>
          </w:p>
        </w:tc>
      </w:tr>
      <w:tr w14:paraId="17FD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9BA3BD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2FF905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单点冠脉半自动提取：提供</w:t>
            </w:r>
          </w:p>
        </w:tc>
      </w:tr>
      <w:tr w14:paraId="3D4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6B95CD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5039FC6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多点冠脉半自动提取：提供</w:t>
            </w:r>
          </w:p>
        </w:tc>
      </w:tr>
      <w:tr w14:paraId="246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6134FC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FD9F59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手动编辑：裁剪、橡皮擦：提供</w:t>
            </w:r>
          </w:p>
        </w:tc>
      </w:tr>
      <w:tr w14:paraId="320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DED4C08">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886EF1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狭窄近端远端距离测量</w:t>
            </w:r>
            <w:r>
              <w:rPr>
                <w:rFonts w:hint="eastAsia" w:ascii="宋体" w:hAnsi="宋体" w:eastAsia="宋体" w:cs="宋体"/>
                <w:color w:val="000000"/>
                <w:kern w:val="0"/>
                <w:sz w:val="24"/>
                <w:szCs w:val="24"/>
              </w:rPr>
              <w:t xml:space="preserve"> </w:t>
            </w:r>
            <w:r>
              <w:rPr>
                <w:rFonts w:hint="eastAsia" w:ascii="宋体" w:hAnsi="宋体" w:eastAsia="宋体" w:cs="宋体"/>
                <w:kern w:val="0"/>
                <w:sz w:val="24"/>
                <w:szCs w:val="24"/>
              </w:rPr>
              <w:t>：提供</w:t>
            </w:r>
          </w:p>
        </w:tc>
      </w:tr>
      <w:tr w14:paraId="0044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8411D29">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F8AFA8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管径轮廓编辑：提供</w:t>
            </w:r>
          </w:p>
        </w:tc>
      </w:tr>
      <w:tr w14:paraId="7B0D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785974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24E055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狭窄参数计算（直径、截面积、长度、狭窄程度）：提供</w:t>
            </w:r>
          </w:p>
        </w:tc>
      </w:tr>
      <w:tr w14:paraId="0076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B9D0873">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57C38E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斑块半自动提取：提供</w:t>
            </w:r>
          </w:p>
        </w:tc>
      </w:tr>
      <w:tr w14:paraId="1DE9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24D573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097EEF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斑块成分分析（钙化、纤维、脂质）：提供</w:t>
            </w:r>
          </w:p>
        </w:tc>
      </w:tr>
      <w:tr w14:paraId="1AED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0EEAB2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005C1D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斑块结果编辑：提供</w:t>
            </w:r>
          </w:p>
        </w:tc>
      </w:tr>
      <w:tr w14:paraId="4B55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7360E1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3F03762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斑块参数统计：提供</w:t>
            </w:r>
          </w:p>
        </w:tc>
      </w:tr>
      <w:tr w14:paraId="66CA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0D31C1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F53B0D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虚拟血管内超声显示：提供</w:t>
            </w:r>
          </w:p>
        </w:tc>
      </w:tr>
      <w:tr w14:paraId="6B90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691C10F">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3CE1B70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bCs/>
                <w:kern w:val="24"/>
                <w:sz w:val="24"/>
                <w:szCs w:val="24"/>
              </w:rPr>
              <w:t>心功能分析支持多期相数据加载及查看</w:t>
            </w:r>
            <w:r>
              <w:rPr>
                <w:rFonts w:hint="eastAsia" w:ascii="宋体" w:hAnsi="宋体" w:eastAsia="宋体" w:cs="宋体"/>
                <w:kern w:val="0"/>
                <w:sz w:val="24"/>
                <w:szCs w:val="24"/>
              </w:rPr>
              <w:t>：提供</w:t>
            </w:r>
          </w:p>
        </w:tc>
      </w:tr>
      <w:tr w14:paraId="1CE5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8C4B5A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DCB504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bCs/>
                <w:kern w:val="24"/>
                <w:sz w:val="24"/>
                <w:szCs w:val="24"/>
              </w:rPr>
              <w:t>瓣膜快速定位（二尖瓣，三尖瓣，主动脉瓣）</w:t>
            </w:r>
            <w:r>
              <w:rPr>
                <w:rFonts w:hint="eastAsia" w:ascii="宋体" w:hAnsi="宋体" w:eastAsia="宋体" w:cs="宋体"/>
                <w:kern w:val="0"/>
                <w:sz w:val="24"/>
                <w:szCs w:val="24"/>
              </w:rPr>
              <w:t>：提供</w:t>
            </w:r>
          </w:p>
        </w:tc>
      </w:tr>
      <w:tr w14:paraId="1330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7A77DF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20548FD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bCs/>
                <w:kern w:val="24"/>
                <w:sz w:val="24"/>
                <w:szCs w:val="24"/>
              </w:rPr>
              <w:t>腔室结果编辑</w:t>
            </w:r>
            <w:r>
              <w:rPr>
                <w:rFonts w:hint="eastAsia" w:ascii="宋体" w:hAnsi="宋体" w:eastAsia="宋体" w:cs="宋体"/>
                <w:kern w:val="0"/>
                <w:sz w:val="24"/>
                <w:szCs w:val="24"/>
              </w:rPr>
              <w:t>：提供</w:t>
            </w:r>
          </w:p>
        </w:tc>
      </w:tr>
      <w:tr w14:paraId="7FD6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A35629C">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4678A59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bCs/>
                <w:kern w:val="24"/>
                <w:sz w:val="24"/>
                <w:szCs w:val="24"/>
              </w:rPr>
              <w:t>长短轴编辑</w:t>
            </w:r>
            <w:r>
              <w:rPr>
                <w:rFonts w:hint="eastAsia" w:ascii="宋体" w:hAnsi="宋体" w:eastAsia="宋体" w:cs="宋体"/>
                <w:kern w:val="0"/>
                <w:sz w:val="24"/>
                <w:szCs w:val="24"/>
              </w:rPr>
              <w:t>：提供</w:t>
            </w:r>
          </w:p>
        </w:tc>
      </w:tr>
      <w:tr w14:paraId="21E1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4BA4967">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3218AB9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支持心室参数计算：包括左右心室ED/ES容积，每搏净流量，射血分数，心输出量，心脏指数</w:t>
            </w:r>
          </w:p>
        </w:tc>
      </w:tr>
      <w:tr w14:paraId="3F26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1E5F33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19AD9D5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支持心房参数计算：包括左右心房容积，总排空体积，被动排空容积，主动排空容积，总排空分数，主动排空分数，被动排空分数</w:t>
            </w:r>
          </w:p>
        </w:tc>
      </w:tr>
      <w:tr w14:paraId="440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8421B9">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F2DBF6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自动标记心肌：提供</w:t>
            </w:r>
          </w:p>
        </w:tc>
      </w:tr>
      <w:tr w14:paraId="0F14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B538FB0">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0D141E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24"/>
                <w:sz w:val="24"/>
                <w:szCs w:val="24"/>
              </w:rPr>
              <w:t>牛眼图显示室壁运动位移、厚度</w:t>
            </w:r>
            <w:r>
              <w:rPr>
                <w:rFonts w:hint="eastAsia" w:ascii="宋体" w:hAnsi="宋体" w:eastAsia="宋体" w:cs="宋体"/>
                <w:kern w:val="0"/>
                <w:sz w:val="24"/>
                <w:szCs w:val="24"/>
              </w:rPr>
              <w:t>：提供</w:t>
            </w:r>
          </w:p>
        </w:tc>
      </w:tr>
      <w:tr w14:paraId="6A12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8E848B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4FFD8DF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4"/>
                <w:sz w:val="24"/>
                <w:szCs w:val="24"/>
              </w:rPr>
            </w:pPr>
            <w:r>
              <w:rPr>
                <w:rFonts w:hint="eastAsia" w:ascii="宋体" w:hAnsi="宋体" w:eastAsia="宋体" w:cs="宋体"/>
                <w:kern w:val="24"/>
                <w:sz w:val="24"/>
                <w:szCs w:val="24"/>
              </w:rPr>
              <w:t>电影播放心脏多时相运动</w:t>
            </w:r>
            <w:r>
              <w:rPr>
                <w:rFonts w:hint="eastAsia" w:ascii="宋体" w:hAnsi="宋体" w:eastAsia="宋体" w:cs="宋体"/>
                <w:kern w:val="0"/>
                <w:sz w:val="24"/>
                <w:szCs w:val="24"/>
              </w:rPr>
              <w:t>：提供</w:t>
            </w:r>
          </w:p>
        </w:tc>
      </w:tr>
      <w:tr w14:paraId="099D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F56604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093ABA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标记并以伪彩区分钙化点：提供</w:t>
            </w:r>
          </w:p>
        </w:tc>
      </w:tr>
      <w:tr w14:paraId="2F60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CD7E6A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991973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钙化点修改，支持用户确认或重命名钙化点：提供</w:t>
            </w:r>
          </w:p>
        </w:tc>
      </w:tr>
      <w:tr w14:paraId="2AD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BF44143">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B71EEE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支持钙化点增加：提供</w:t>
            </w:r>
          </w:p>
        </w:tc>
      </w:tr>
      <w:tr w14:paraId="11E6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2DD9C0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A2488B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以质量积分计算钙化积分：提供</w:t>
            </w:r>
          </w:p>
        </w:tc>
      </w:tr>
      <w:tr w14:paraId="0AA2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821916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A1C6F2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以agatston积分计算钙化积分：提供</w:t>
            </w:r>
          </w:p>
        </w:tc>
      </w:tr>
      <w:tr w14:paraId="4AF3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F9DE3BC">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B4E4E8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以体积积分计算钙化积分：提供</w:t>
            </w:r>
          </w:p>
        </w:tc>
      </w:tr>
      <w:tr w14:paraId="60CA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3FC2A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7778F6F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支持快速保存功能，用户可以一键式的将冠脉VR MPR等截图按预设进行保存：提供</w:t>
            </w:r>
          </w:p>
        </w:tc>
      </w:tr>
      <w:tr w14:paraId="75AD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403B81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5D6D382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高级后处理结果一键发送到结构化报告：提供</w:t>
            </w:r>
          </w:p>
        </w:tc>
      </w:tr>
      <w:tr w14:paraId="24BE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196773E1">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029C23B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灌注成像及高级后处理软件包</w:t>
            </w:r>
          </w:p>
        </w:tc>
      </w:tr>
      <w:tr w14:paraId="19C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DA6B4D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47DF6B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灌注扫描与图像重建技术：提供</w:t>
            </w:r>
          </w:p>
        </w:tc>
      </w:tr>
      <w:tr w14:paraId="72DE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42ECAC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3315F4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无需动床的最大灌注扫描范围</w:t>
            </w:r>
            <w:r>
              <w:rPr>
                <w:rFonts w:hint="eastAsia" w:ascii="宋体" w:hAnsi="宋体" w:eastAsia="宋体" w:cs="宋体"/>
                <w:b/>
                <w:bCs/>
                <w:kern w:val="0"/>
                <w:sz w:val="24"/>
                <w:szCs w:val="24"/>
                <w:highlight w:val="none"/>
                <w:lang w:val="en-US" w:eastAsia="zh-CN"/>
              </w:rPr>
              <w:t>≥76mm</w:t>
            </w:r>
          </w:p>
        </w:tc>
      </w:tr>
      <w:tr w14:paraId="077C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34D32D7">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338C48D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灌注采样最短间隔时间≤1s</w:t>
            </w:r>
          </w:p>
        </w:tc>
      </w:tr>
      <w:tr w14:paraId="027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AED878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338DC6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灌注非等间隔采样功能：提供</w:t>
            </w:r>
          </w:p>
        </w:tc>
      </w:tr>
      <w:tr w14:paraId="4B6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3B17B5F">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2E54757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摇篮床动态灌注扫描：提供</w:t>
            </w:r>
          </w:p>
        </w:tc>
      </w:tr>
      <w:tr w14:paraId="390A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C2F274C">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6588479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支持神经系统一站式成像，一次对比剂注射，可以完成全脑血管、全脑4D血流成像、全脑动态灌注成像</w:t>
            </w:r>
          </w:p>
        </w:tc>
      </w:tr>
      <w:tr w14:paraId="68ED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29BA7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9AA89E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脑部灌注分析软件包：提供</w:t>
            </w:r>
          </w:p>
        </w:tc>
      </w:tr>
      <w:tr w14:paraId="741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30F86C0">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33B1ED9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卒中协议：提供</w:t>
            </w:r>
          </w:p>
        </w:tc>
      </w:tr>
      <w:tr w14:paraId="70F4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AC84C4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40AE0DC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肿瘤协议：提供</w:t>
            </w:r>
          </w:p>
        </w:tc>
      </w:tr>
      <w:tr w14:paraId="0AD0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23C8B7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949E11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头部运动校正：提供</w:t>
            </w:r>
          </w:p>
        </w:tc>
      </w:tr>
      <w:tr w14:paraId="6F8E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B06D8D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469B9BB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自动去骨分割：提供</w:t>
            </w:r>
          </w:p>
        </w:tc>
      </w:tr>
      <w:tr w14:paraId="0196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2B45978">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F9F2A4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自动脑脊液分割：提供</w:t>
            </w:r>
          </w:p>
        </w:tc>
      </w:tr>
      <w:tr w14:paraId="429B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F53F41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FD0F2E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自动动静脉点选择：提供</w:t>
            </w:r>
          </w:p>
        </w:tc>
      </w:tr>
      <w:tr w14:paraId="52AF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59329A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10DF5CD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同时支持手动选取动静脉点</w:t>
            </w:r>
          </w:p>
        </w:tc>
      </w:tr>
      <w:tr w14:paraId="5FAC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15EDCA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4DA7FB1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血管抑制屏蔽不参与计算的血管：提供</w:t>
            </w:r>
          </w:p>
        </w:tc>
      </w:tr>
      <w:tr w14:paraId="1FFB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863B389">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00895C0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支持自动计算CBV，CBF，TTP，MTT、Tmax和PS 等灌注参数，并以伪彩标记显示</w:t>
            </w:r>
          </w:p>
        </w:tc>
      </w:tr>
      <w:tr w14:paraId="395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36F4C6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02E027B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支持自动计算感兴趣区的面积、最大值、最小值、平均值参数</w:t>
            </w:r>
          </w:p>
        </w:tc>
      </w:tr>
      <w:tr w14:paraId="5708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C10085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13A0F35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自动绘制感兴趣区的时间密度曲线：提供</w:t>
            </w:r>
          </w:p>
        </w:tc>
      </w:tr>
      <w:tr w14:paraId="3966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995CF28">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18E3F14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自动生成中心线对称的ROI：提供</w:t>
            </w:r>
          </w:p>
        </w:tc>
      </w:tr>
      <w:tr w14:paraId="4ADF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9CEEFB2">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0277834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对称ROI对比统计分析：提供</w:t>
            </w:r>
          </w:p>
        </w:tc>
      </w:tr>
      <w:tr w14:paraId="1605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BF649C">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33BAE8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根据灌注参数阈值的自动缺血半暗带，梗死和缺血区计算：提供</w:t>
            </w:r>
          </w:p>
        </w:tc>
      </w:tr>
      <w:tr w14:paraId="3FE4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3EA245F">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1AF393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不同程度滤波调节，可对噪声较大的图像进行降噪：提供</w:t>
            </w:r>
          </w:p>
        </w:tc>
      </w:tr>
      <w:tr w14:paraId="4FF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C2C032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3B46F2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体灌注分析软件包：提供</w:t>
            </w:r>
          </w:p>
        </w:tc>
      </w:tr>
      <w:tr w14:paraId="51F7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7BEAA28">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418D07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肝脏灌注分析协议：提供</w:t>
            </w:r>
          </w:p>
        </w:tc>
      </w:tr>
      <w:tr w14:paraId="5364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89B034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4BD546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肺部灌注分析协议：提供</w:t>
            </w:r>
          </w:p>
        </w:tc>
      </w:tr>
      <w:tr w14:paraId="6552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D391FD9">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A444A4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肿瘤灌注分析协议：提供</w:t>
            </w:r>
          </w:p>
        </w:tc>
      </w:tr>
      <w:tr w14:paraId="7AC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B0D830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11A2489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肾脏灌注分析协议：提供</w:t>
            </w:r>
          </w:p>
        </w:tc>
      </w:tr>
      <w:tr w14:paraId="1C2A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56C66DA">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798CC9E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胰腺灌注分析协议：提供</w:t>
            </w:r>
          </w:p>
        </w:tc>
      </w:tr>
      <w:tr w14:paraId="2E5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E251245">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4A1699A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脾脏灌注分析协议：提供</w:t>
            </w:r>
          </w:p>
        </w:tc>
      </w:tr>
      <w:tr w14:paraId="1BC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91BCA81">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23F4C7A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子宫灌注分析协议：提供</w:t>
            </w:r>
          </w:p>
        </w:tc>
      </w:tr>
      <w:tr w14:paraId="474F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AEC389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7D78914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运动校正：提供</w:t>
            </w:r>
          </w:p>
        </w:tc>
      </w:tr>
      <w:tr w14:paraId="6940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7DB793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7D048CE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自动/手动软组织分割：提供</w:t>
            </w:r>
          </w:p>
        </w:tc>
      </w:tr>
      <w:tr w14:paraId="7074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CD3886B">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5BB3533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自动肝动脉和门静脉选择：提供</w:t>
            </w:r>
          </w:p>
        </w:tc>
      </w:tr>
      <w:tr w14:paraId="0AD6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AAA3A96">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628C13B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同时支持手动定义肝动脉和门静脉：提供</w:t>
            </w:r>
          </w:p>
        </w:tc>
      </w:tr>
      <w:tr w14:paraId="2DE2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DA25214">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2CB260A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血管抑制屏蔽不参与计算的血管：提供</w:t>
            </w:r>
          </w:p>
        </w:tc>
      </w:tr>
      <w:tr w14:paraId="38B6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3B98E69">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0F52888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支持自动计算BV、BF、HAP、PVP、HPI、MTT、TTP等灌注参数</w:t>
            </w:r>
          </w:p>
        </w:tc>
      </w:tr>
      <w:tr w14:paraId="34CD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E132F3D">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tcPr>
          <w:p w14:paraId="1D331D6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支持自动计算ROI的面积、最大值、最小值、平均值和标准差</w:t>
            </w:r>
          </w:p>
        </w:tc>
      </w:tr>
      <w:tr w14:paraId="3C93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03BDEFE">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7BD2F0F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自动绘制感兴趣区的时间密度曲线：提供</w:t>
            </w:r>
          </w:p>
        </w:tc>
      </w:tr>
      <w:tr w14:paraId="387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BA37FE7">
            <w:pPr>
              <w:widowControl w:val="0"/>
              <w:numPr>
                <w:ilvl w:val="2"/>
                <w:numId w:val="3"/>
              </w:numPr>
              <w:snapToGrid w:val="0"/>
              <w:ind w:left="709" w:leftChars="0" w:hanging="709" w:firstLineChars="0"/>
              <w:jc w:val="both"/>
              <w:rPr>
                <w:rFonts w:hint="eastAsia" w:ascii="宋体" w:hAnsi="宋体" w:eastAsia="宋体" w:cs="宋体"/>
                <w:kern w:val="0"/>
                <w:sz w:val="24"/>
                <w:szCs w:val="24"/>
                <w:lang w:val="en-US" w:eastAsia="zh-CN" w:bidi="ar-SA"/>
              </w:rPr>
            </w:pPr>
          </w:p>
        </w:tc>
        <w:tc>
          <w:tcPr>
            <w:tcW w:w="4256" w:type="pct"/>
            <w:vAlign w:val="center"/>
          </w:tcPr>
          <w:p w14:paraId="0B95610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将参数图像和解剖图像进行3D 或2D 融合，直观显示灌注参数和解剖功能：提供</w:t>
            </w:r>
          </w:p>
        </w:tc>
      </w:tr>
      <w:tr w14:paraId="4A5E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6476EB1D">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6564AB7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头颈部血管分析高级后处理软件包</w:t>
            </w:r>
          </w:p>
        </w:tc>
      </w:tr>
      <w:tr w14:paraId="3E3F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11687F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7B7994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头颈部血管一键提取，无需平扫数据：提供</w:t>
            </w:r>
          </w:p>
        </w:tc>
      </w:tr>
      <w:tr w14:paraId="3CB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0B3056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509889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头颈部DSA剪影去骨：提供</w:t>
            </w:r>
          </w:p>
        </w:tc>
      </w:tr>
      <w:tr w14:paraId="3CC2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7F9C19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EFFE9D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一键分割和提取动脉瘤：提供</w:t>
            </w:r>
          </w:p>
        </w:tc>
      </w:tr>
      <w:tr w14:paraId="6E1F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91AAF1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DAC04B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动脉瘤体积、截面积、直径自动计算：提供</w:t>
            </w:r>
          </w:p>
        </w:tc>
      </w:tr>
      <w:tr w14:paraId="5F3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FDEE67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7E253C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自动去除静脉窦：提供</w:t>
            </w:r>
          </w:p>
        </w:tc>
      </w:tr>
      <w:tr w14:paraId="788B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1D653F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F6EE30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支持通过多点追踪、管径轮廓编辑、血管/骨区域生长对血管进行编辑：提供</w:t>
            </w:r>
          </w:p>
        </w:tc>
      </w:tr>
      <w:tr w14:paraId="5421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F1872F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071FE4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中心线自动提取、中心线追踪、中心线编辑、显示/隐藏：提供</w:t>
            </w:r>
          </w:p>
        </w:tc>
      </w:tr>
      <w:tr w14:paraId="47FB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C2323A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056D01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支持对血管狭窄异常进行手动标记</w:t>
            </w:r>
          </w:p>
        </w:tc>
      </w:tr>
      <w:tr w14:paraId="289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C60095F">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39C178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支持狭窄程度计算：参考面选取、面积、直径、狭窄率</w:t>
            </w:r>
          </w:p>
        </w:tc>
      </w:tr>
      <w:tr w14:paraId="4CAC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2F36ED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7D0C3A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支持血管多参数计算：长度、直径、面积、角度：提供</w:t>
            </w:r>
          </w:p>
        </w:tc>
      </w:tr>
      <w:tr w14:paraId="3367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550D6BC8">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4F4614A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体部血管分析高级后处理软件包</w:t>
            </w:r>
          </w:p>
        </w:tc>
      </w:tr>
      <w:tr w14:paraId="46E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BDB432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483502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体部血管一键提取，无需平扫数据：提供</w:t>
            </w:r>
          </w:p>
        </w:tc>
      </w:tr>
      <w:tr w14:paraId="4E8E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B09D49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FEE122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泌尿系统一键提取（输尿管、膀胱、尿道）：提供</w:t>
            </w:r>
          </w:p>
        </w:tc>
      </w:tr>
      <w:tr w14:paraId="39DD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2F2B0A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77691F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探针手动去骨：提供</w:t>
            </w:r>
          </w:p>
        </w:tc>
      </w:tr>
      <w:tr w14:paraId="35DE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7B4C56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650413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支持通过多点追踪、管径轮廓编辑、血管/骨区域生长对血管进行编辑</w:t>
            </w:r>
          </w:p>
        </w:tc>
      </w:tr>
      <w:tr w14:paraId="265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34987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9305B7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中心线自动提取、中心线追踪、中心线编辑、显示/隐藏：提供</w:t>
            </w:r>
          </w:p>
        </w:tc>
      </w:tr>
      <w:tr w14:paraId="54AB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DDBAA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6EAA815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支持对血管狭窄异常进行手动标记</w:t>
            </w:r>
          </w:p>
        </w:tc>
      </w:tr>
      <w:tr w14:paraId="0DD0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E4DFED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1B434A0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支持狭窄程度计算：参考面选取、面积、直径、狭窄率</w:t>
            </w:r>
          </w:p>
        </w:tc>
      </w:tr>
      <w:tr w14:paraId="67CC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DB409E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08F65D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支持血管多参数计算：长度、直径、面积、角度</w:t>
            </w:r>
          </w:p>
        </w:tc>
      </w:tr>
      <w:tr w14:paraId="0EAD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83395A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67858E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一键式结构化报告，可将计算结果、截图直接发送至报告：提供</w:t>
            </w:r>
          </w:p>
        </w:tc>
      </w:tr>
      <w:tr w14:paraId="6C3E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5C081C27">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0315807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结肠分析高级后处理软件包</w:t>
            </w:r>
          </w:p>
        </w:tc>
      </w:tr>
      <w:tr w14:paraId="69F7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B5F828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E2532C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自动结肠分割：提供</w:t>
            </w:r>
          </w:p>
        </w:tc>
      </w:tr>
      <w:tr w14:paraId="443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8BFFC5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B2B003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自动中心线提取：提供</w:t>
            </w:r>
          </w:p>
        </w:tc>
      </w:tr>
      <w:tr w14:paraId="39F1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FA5FBB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B8496F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支持电子清肠：具备自动清除残留造影剂的功能</w:t>
            </w:r>
          </w:p>
        </w:tc>
      </w:tr>
      <w:tr w14:paraId="5A13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433968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37EA52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一键小肠隐藏，仅显示结肠结构：提供</w:t>
            </w:r>
          </w:p>
        </w:tc>
      </w:tr>
      <w:tr w14:paraId="1691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53FE8E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AE3762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自动息肉检测和分割：提供</w:t>
            </w:r>
          </w:p>
        </w:tc>
      </w:tr>
      <w:tr w14:paraId="20A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EF1E6F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71190A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可使用手动标记工具对可疑息肉进行标记、分割</w:t>
            </w:r>
            <w:r>
              <w:rPr>
                <w:rFonts w:hint="eastAsia" w:ascii="宋体" w:hAnsi="宋体" w:eastAsia="宋体" w:cs="宋体"/>
                <w:color w:val="000000"/>
                <w:kern w:val="0"/>
                <w:sz w:val="24"/>
                <w:szCs w:val="24"/>
              </w:rPr>
              <w:t xml:space="preserve"> </w:t>
            </w:r>
            <w:r>
              <w:rPr>
                <w:rFonts w:hint="eastAsia" w:ascii="宋体" w:hAnsi="宋体" w:eastAsia="宋体" w:cs="宋体"/>
                <w:kern w:val="0"/>
                <w:sz w:val="24"/>
                <w:szCs w:val="24"/>
              </w:rPr>
              <w:t>：提供</w:t>
            </w:r>
          </w:p>
        </w:tc>
      </w:tr>
      <w:tr w14:paraId="492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2FA988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41A0B43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提供息肉参数信息：体积、长短径，CT值，距离肛门距离</w:t>
            </w:r>
          </w:p>
        </w:tc>
      </w:tr>
      <w:tr w14:paraId="1E12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51BF83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E572A7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腔内漫游功能，可对结肠内窥视图进行漫游，以发现可疑的息肉组织：提供</w:t>
            </w:r>
          </w:p>
        </w:tc>
      </w:tr>
      <w:tr w14:paraId="3A4F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E8D364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FC9FC0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多视图显示功能，可在结肠展开视图、MPR 图像、腔内视图、全VR 图像上查看分割后的息肉组织：提供</w:t>
            </w:r>
          </w:p>
        </w:tc>
      </w:tr>
      <w:tr w14:paraId="1B63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30963057">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tcPr>
          <w:p w14:paraId="5C51AC2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肺结节分析高级后处理软件包</w:t>
            </w:r>
          </w:p>
        </w:tc>
      </w:tr>
      <w:tr w14:paraId="243B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DFC0FF8">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3AB4E4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肺结节自动检测和分割：提供</w:t>
            </w:r>
          </w:p>
        </w:tc>
      </w:tr>
      <w:tr w14:paraId="6E08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572D08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5677340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支持不同类型结节的提取：实性结节、磨玻璃结节、混合性结节</w:t>
            </w:r>
          </w:p>
        </w:tc>
      </w:tr>
      <w:tr w14:paraId="49CD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956055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3403FD1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结节轮廓线可编辑：提供</w:t>
            </w:r>
          </w:p>
        </w:tc>
      </w:tr>
      <w:tr w14:paraId="6BD8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CC1E60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B57F5C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4"/>
                <w:sz w:val="24"/>
                <w:szCs w:val="24"/>
              </w:rPr>
            </w:pPr>
            <w:r>
              <w:rPr>
                <w:rFonts w:hint="eastAsia" w:ascii="宋体" w:hAnsi="宋体" w:eastAsia="宋体" w:cs="宋体"/>
                <w:kern w:val="0"/>
                <w:sz w:val="24"/>
                <w:szCs w:val="24"/>
              </w:rPr>
              <w:t>自动测量结节直径、体积、CT值等参数：提供</w:t>
            </w:r>
          </w:p>
        </w:tc>
      </w:tr>
      <w:tr w14:paraId="754C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38CF9A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113AF8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自动计算结节中不同密度成分占比并以图文形式展示：提供</w:t>
            </w:r>
          </w:p>
        </w:tc>
      </w:tr>
      <w:tr w14:paraId="7EC8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395115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38227A9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24"/>
                <w:sz w:val="24"/>
                <w:szCs w:val="24"/>
              </w:rPr>
            </w:pPr>
            <w:r>
              <w:rPr>
                <w:rFonts w:hint="eastAsia" w:ascii="宋体" w:hAnsi="宋体" w:eastAsia="宋体" w:cs="宋体"/>
                <w:kern w:val="0"/>
                <w:sz w:val="24"/>
                <w:szCs w:val="24"/>
              </w:rPr>
              <w:t>支持同一患者在不同时间段的两个序列的图像比较，同步翻页阅片</w:t>
            </w:r>
          </w:p>
        </w:tc>
      </w:tr>
      <w:tr w14:paraId="02E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6E8D48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3A1A04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24"/>
                <w:sz w:val="24"/>
                <w:szCs w:val="24"/>
              </w:rPr>
              <w:t>支持结节传递：随访数据的结节半自动分割</w:t>
            </w:r>
          </w:p>
        </w:tc>
      </w:tr>
      <w:tr w14:paraId="108A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8A3EDF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2FF52E9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支持评估结节的变化曲线</w:t>
            </w:r>
          </w:p>
        </w:tc>
      </w:tr>
      <w:tr w14:paraId="71EC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3121B547">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vAlign w:val="center"/>
          </w:tcPr>
          <w:p w14:paraId="5A7F67D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24"/>
                <w:sz w:val="24"/>
                <w:szCs w:val="24"/>
              </w:rPr>
            </w:pPr>
            <w:r>
              <w:rPr>
                <w:rFonts w:hint="eastAsia" w:ascii="宋体" w:hAnsi="宋体" w:eastAsia="宋体" w:cs="宋体"/>
                <w:b/>
                <w:bCs/>
                <w:kern w:val="24"/>
                <w:sz w:val="24"/>
                <w:szCs w:val="24"/>
              </w:rPr>
              <w:t>肺实质分析高级后处理软件包</w:t>
            </w:r>
          </w:p>
        </w:tc>
      </w:tr>
      <w:tr w14:paraId="18C6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234418D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231344E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肺自动分割</w:t>
            </w:r>
            <w:r>
              <w:rPr>
                <w:rFonts w:hint="eastAsia" w:ascii="宋体" w:hAnsi="宋体" w:eastAsia="宋体" w:cs="宋体"/>
                <w:kern w:val="0"/>
                <w:sz w:val="24"/>
                <w:szCs w:val="24"/>
              </w:rPr>
              <w:t>：提供</w:t>
            </w:r>
          </w:p>
        </w:tc>
      </w:tr>
      <w:tr w14:paraId="1ED4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12204E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1013E1B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color w:val="000000"/>
                <w:kern w:val="24"/>
                <w:sz w:val="24"/>
                <w:szCs w:val="24"/>
              </w:rPr>
              <w:t>肺轮廓编辑</w:t>
            </w:r>
            <w:r>
              <w:rPr>
                <w:rFonts w:hint="eastAsia" w:ascii="宋体" w:hAnsi="宋体" w:eastAsia="宋体" w:cs="宋体"/>
                <w:kern w:val="0"/>
                <w:sz w:val="24"/>
                <w:szCs w:val="24"/>
              </w:rPr>
              <w:t>：提供</w:t>
            </w:r>
          </w:p>
        </w:tc>
      </w:tr>
      <w:tr w14:paraId="6EA9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7564B5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CECDDB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color w:val="000000"/>
                <w:kern w:val="24"/>
                <w:sz w:val="24"/>
                <w:szCs w:val="24"/>
              </w:rPr>
              <w:t>肺叶自动分割</w:t>
            </w:r>
            <w:r>
              <w:rPr>
                <w:rFonts w:hint="eastAsia" w:ascii="宋体" w:hAnsi="宋体" w:eastAsia="宋体" w:cs="宋体"/>
                <w:kern w:val="0"/>
                <w:sz w:val="24"/>
                <w:szCs w:val="24"/>
              </w:rPr>
              <w:t>：提供</w:t>
            </w:r>
          </w:p>
        </w:tc>
      </w:tr>
      <w:tr w14:paraId="68CF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0425D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61E7329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color w:val="000000"/>
                <w:kern w:val="24"/>
                <w:sz w:val="24"/>
                <w:szCs w:val="24"/>
              </w:rPr>
              <w:t>肺裂线调整、肺叶结果编辑</w:t>
            </w:r>
            <w:r>
              <w:rPr>
                <w:rFonts w:hint="eastAsia" w:ascii="宋体" w:hAnsi="宋体" w:eastAsia="宋体" w:cs="宋体"/>
                <w:kern w:val="0"/>
                <w:sz w:val="24"/>
                <w:szCs w:val="24"/>
              </w:rPr>
              <w:t>：提供</w:t>
            </w:r>
          </w:p>
        </w:tc>
      </w:tr>
      <w:tr w14:paraId="458C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39B7B1F">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06D80CD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支持根据密度高低阈值调节的肺密度分析</w:t>
            </w:r>
          </w:p>
        </w:tc>
      </w:tr>
      <w:tr w14:paraId="268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092D2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0454D5A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肺气肿量化测量和颜色标记</w:t>
            </w:r>
            <w:r>
              <w:rPr>
                <w:rFonts w:hint="eastAsia" w:ascii="宋体" w:hAnsi="宋体" w:eastAsia="宋体" w:cs="宋体"/>
                <w:kern w:val="0"/>
                <w:sz w:val="24"/>
                <w:szCs w:val="24"/>
              </w:rPr>
              <w:t>：提供</w:t>
            </w:r>
          </w:p>
        </w:tc>
      </w:tr>
      <w:tr w14:paraId="26FE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A97063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1F85A3C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支持左肺右肺全肺体积等参数、肺叶体积等参数、密度直方图及表格等参数计算及显示</w:t>
            </w:r>
          </w:p>
        </w:tc>
      </w:tr>
      <w:tr w14:paraId="7D92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2CA1BF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186408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支持气管自动分割、中心线自动提取，多截面及拉直CPR显示</w:t>
            </w:r>
          </w:p>
        </w:tc>
      </w:tr>
      <w:tr w14:paraId="54D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A0034C6">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604B32A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中心线手动提取、中心线校正、气管内外径轮廓编辑</w:t>
            </w:r>
            <w:r>
              <w:rPr>
                <w:rFonts w:hint="eastAsia" w:ascii="宋体" w:hAnsi="宋体" w:eastAsia="宋体" w:cs="宋体"/>
                <w:kern w:val="0"/>
                <w:sz w:val="24"/>
                <w:szCs w:val="24"/>
              </w:rPr>
              <w:t>：提供</w:t>
            </w:r>
          </w:p>
        </w:tc>
      </w:tr>
      <w:tr w14:paraId="1F01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B1031D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5387623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支持气道定量计算：提供截面积、气道壁面积和占比等参数</w:t>
            </w:r>
          </w:p>
        </w:tc>
      </w:tr>
      <w:tr w14:paraId="0BB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61C2F7F5">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vAlign w:val="center"/>
          </w:tcPr>
          <w:p w14:paraId="17308CE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24"/>
                <w:sz w:val="24"/>
                <w:szCs w:val="24"/>
              </w:rPr>
            </w:pPr>
            <w:r>
              <w:rPr>
                <w:rFonts w:hint="eastAsia" w:ascii="宋体" w:hAnsi="宋体" w:eastAsia="宋体" w:cs="宋体"/>
                <w:b/>
                <w:bCs/>
                <w:kern w:val="24"/>
                <w:sz w:val="24"/>
                <w:szCs w:val="24"/>
              </w:rPr>
              <w:t>骨结构评估高级后处理软件包</w:t>
            </w:r>
          </w:p>
        </w:tc>
      </w:tr>
      <w:tr w14:paraId="215D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3CAC8C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59E3ECE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自动肋骨提取</w:t>
            </w:r>
            <w:r>
              <w:rPr>
                <w:rFonts w:hint="eastAsia" w:ascii="宋体" w:hAnsi="宋体" w:eastAsia="宋体" w:cs="宋体"/>
                <w:kern w:val="0"/>
                <w:sz w:val="24"/>
                <w:szCs w:val="24"/>
              </w:rPr>
              <w:t>：提供</w:t>
            </w:r>
          </w:p>
        </w:tc>
      </w:tr>
      <w:tr w14:paraId="55BC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0F6A17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4AB8AF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自动肋骨标记</w:t>
            </w:r>
            <w:r>
              <w:rPr>
                <w:rFonts w:hint="eastAsia" w:ascii="宋体" w:hAnsi="宋体" w:eastAsia="宋体" w:cs="宋体"/>
                <w:kern w:val="0"/>
                <w:sz w:val="24"/>
                <w:szCs w:val="24"/>
              </w:rPr>
              <w:t>：提供</w:t>
            </w:r>
          </w:p>
        </w:tc>
      </w:tr>
      <w:tr w14:paraId="17E2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8DA00A3">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3469FBA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自动肋骨3D显示：提供</w:t>
            </w:r>
          </w:p>
        </w:tc>
      </w:tr>
      <w:tr w14:paraId="2967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A7B90FD">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EE19CC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自动单肋骨CPR显示：提供</w:t>
            </w:r>
          </w:p>
        </w:tc>
      </w:tr>
      <w:tr w14:paraId="4EC3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1285C71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2D4A14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自动多肋骨CPR显示：提供</w:t>
            </w:r>
          </w:p>
        </w:tc>
      </w:tr>
      <w:tr w14:paraId="4A30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89AE2A4">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6FFBA5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支持手动肋骨骨折标记并记录至列表</w:t>
            </w:r>
          </w:p>
        </w:tc>
      </w:tr>
      <w:tr w14:paraId="6A44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53EB6E5">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99C1F0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支持自动椎间盘标记，包含颈椎、腰椎、胸椎</w:t>
            </w:r>
          </w:p>
        </w:tc>
      </w:tr>
      <w:tr w14:paraId="3AF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7F23D2">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0A3AE9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支持多组椎间盘批处理重建同时进行</w:t>
            </w:r>
          </w:p>
        </w:tc>
      </w:tr>
      <w:tr w14:paraId="14B7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shd w:val="clear" w:color="auto" w:fill="D9E2F3"/>
            <w:vAlign w:val="top"/>
          </w:tcPr>
          <w:p w14:paraId="6009ED41">
            <w:pPr>
              <w:widowControl w:val="0"/>
              <w:numPr>
                <w:ilvl w:val="0"/>
                <w:numId w:val="3"/>
              </w:numPr>
              <w:snapToGrid w:val="0"/>
              <w:ind w:left="425" w:leftChars="0" w:hanging="425" w:firstLineChars="0"/>
              <w:jc w:val="both"/>
              <w:rPr>
                <w:rFonts w:hint="eastAsia" w:ascii="宋体" w:hAnsi="宋体" w:eastAsia="宋体" w:cs="宋体"/>
                <w:b/>
                <w:kern w:val="0"/>
                <w:sz w:val="24"/>
                <w:szCs w:val="24"/>
                <w:lang w:val="en-US" w:eastAsia="zh-CN" w:bidi="ar-SA"/>
              </w:rPr>
            </w:pPr>
          </w:p>
        </w:tc>
        <w:tc>
          <w:tcPr>
            <w:tcW w:w="4256" w:type="pct"/>
            <w:shd w:val="clear" w:color="auto" w:fill="D9E2F3"/>
            <w:vAlign w:val="center"/>
          </w:tcPr>
          <w:p w14:paraId="700C821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24"/>
                <w:sz w:val="24"/>
                <w:szCs w:val="24"/>
              </w:rPr>
            </w:pPr>
            <w:r>
              <w:rPr>
                <w:rFonts w:hint="eastAsia" w:ascii="宋体" w:hAnsi="宋体" w:eastAsia="宋体" w:cs="宋体"/>
                <w:b/>
                <w:bCs/>
                <w:kern w:val="24"/>
                <w:sz w:val="24"/>
                <w:szCs w:val="24"/>
              </w:rPr>
              <w:t>肿瘤评估高级后处理软件包</w:t>
            </w:r>
          </w:p>
        </w:tc>
      </w:tr>
      <w:tr w14:paraId="63E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5D1958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57EAB72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可同时加载的随访检查时间点数≥8个</w:t>
            </w:r>
          </w:p>
        </w:tc>
      </w:tr>
      <w:tr w14:paraId="16FA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7FFC8A2E">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A5109B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color w:val="000000"/>
                <w:kern w:val="24"/>
                <w:sz w:val="24"/>
                <w:szCs w:val="24"/>
              </w:rPr>
              <w:t>自定义任意时间点之间对比显示</w:t>
            </w:r>
            <w:r>
              <w:rPr>
                <w:rFonts w:hint="eastAsia" w:ascii="宋体" w:hAnsi="宋体" w:eastAsia="宋体" w:cs="宋体"/>
                <w:kern w:val="0"/>
                <w:sz w:val="24"/>
                <w:szCs w:val="24"/>
              </w:rPr>
              <w:t>：提供</w:t>
            </w:r>
          </w:p>
        </w:tc>
      </w:tr>
      <w:tr w14:paraId="6406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45860F5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7D8FFC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不同时间点图像之间的自动配准</w:t>
            </w:r>
            <w:r>
              <w:rPr>
                <w:rFonts w:hint="eastAsia" w:ascii="宋体" w:hAnsi="宋体" w:eastAsia="宋体" w:cs="宋体"/>
                <w:kern w:val="0"/>
                <w:sz w:val="24"/>
                <w:szCs w:val="24"/>
              </w:rPr>
              <w:t>：提供</w:t>
            </w:r>
          </w:p>
        </w:tc>
      </w:tr>
      <w:tr w14:paraId="649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04BE3EA">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AED706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半自动肺结节分割</w:t>
            </w:r>
            <w:r>
              <w:rPr>
                <w:rFonts w:hint="eastAsia" w:ascii="宋体" w:hAnsi="宋体" w:eastAsia="宋体" w:cs="宋体"/>
                <w:kern w:val="0"/>
                <w:sz w:val="24"/>
                <w:szCs w:val="24"/>
              </w:rPr>
              <w:t>：提供</w:t>
            </w:r>
          </w:p>
        </w:tc>
      </w:tr>
      <w:tr w14:paraId="0C90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B8BC62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522D1E7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半自动肝脏肿瘤分割</w:t>
            </w:r>
            <w:r>
              <w:rPr>
                <w:rFonts w:hint="eastAsia" w:ascii="宋体" w:hAnsi="宋体" w:eastAsia="宋体" w:cs="宋体"/>
                <w:kern w:val="0"/>
                <w:sz w:val="24"/>
                <w:szCs w:val="24"/>
              </w:rPr>
              <w:t>：提供</w:t>
            </w:r>
          </w:p>
        </w:tc>
      </w:tr>
      <w:tr w14:paraId="0F51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37D96D9">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3053F22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半自动淋巴结分割</w:t>
            </w:r>
            <w:r>
              <w:rPr>
                <w:rFonts w:hint="eastAsia" w:ascii="宋体" w:hAnsi="宋体" w:eastAsia="宋体" w:cs="宋体"/>
                <w:kern w:val="0"/>
                <w:sz w:val="24"/>
                <w:szCs w:val="24"/>
              </w:rPr>
              <w:t>：提供</w:t>
            </w:r>
          </w:p>
        </w:tc>
      </w:tr>
      <w:tr w14:paraId="7B6F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09CADA9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0799EDF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通过编辑轮廓线修正肿瘤大小：提供</w:t>
            </w:r>
          </w:p>
        </w:tc>
      </w:tr>
      <w:tr w14:paraId="4C75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341F81D0">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2CE72BF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bCs/>
                <w:kern w:val="24"/>
                <w:sz w:val="24"/>
                <w:szCs w:val="24"/>
              </w:rPr>
              <w:t>在单个时间点上标记的病灶可一键匹配、传播到其他时间点</w:t>
            </w:r>
            <w:r>
              <w:rPr>
                <w:rFonts w:hint="eastAsia" w:ascii="宋体" w:hAnsi="宋体" w:eastAsia="宋体" w:cs="宋体"/>
                <w:kern w:val="0"/>
                <w:sz w:val="24"/>
                <w:szCs w:val="24"/>
              </w:rPr>
              <w:t>：提供</w:t>
            </w:r>
          </w:p>
        </w:tc>
      </w:tr>
      <w:tr w14:paraId="604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177B81">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7BD46F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提供全面的肿瘤统计参数：体积、长径、短径、倍增时间、CT值和变化率等</w:t>
            </w:r>
          </w:p>
        </w:tc>
      </w:tr>
      <w:tr w14:paraId="6BE5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6FA50EEB">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tcPr>
          <w:p w14:paraId="2806DD6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通过曲线、表格查看肿瘤的体积和大小的变化趋势：提供</w:t>
            </w:r>
          </w:p>
        </w:tc>
      </w:tr>
      <w:tr w14:paraId="5D30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0FFEBC7">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4927CBA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RECIST标准评估肿瘤情况：提供</w:t>
            </w:r>
          </w:p>
        </w:tc>
      </w:tr>
      <w:tr w14:paraId="6C9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pct"/>
            <w:vAlign w:val="top"/>
          </w:tcPr>
          <w:p w14:paraId="5C6A927C">
            <w:pPr>
              <w:widowControl w:val="0"/>
              <w:numPr>
                <w:ilvl w:val="1"/>
                <w:numId w:val="3"/>
              </w:numPr>
              <w:snapToGrid w:val="0"/>
              <w:ind w:left="567" w:leftChars="0" w:hanging="567" w:firstLineChars="0"/>
              <w:jc w:val="both"/>
              <w:rPr>
                <w:rFonts w:hint="eastAsia" w:ascii="宋体" w:hAnsi="宋体" w:eastAsia="宋体" w:cs="宋体"/>
                <w:kern w:val="0"/>
                <w:sz w:val="24"/>
                <w:szCs w:val="24"/>
                <w:lang w:val="en-US" w:eastAsia="zh-CN" w:bidi="ar-SA"/>
              </w:rPr>
            </w:pPr>
          </w:p>
        </w:tc>
        <w:tc>
          <w:tcPr>
            <w:tcW w:w="4256" w:type="pct"/>
            <w:vAlign w:val="center"/>
          </w:tcPr>
          <w:p w14:paraId="76A97D6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Cs/>
                <w:kern w:val="24"/>
                <w:sz w:val="24"/>
                <w:szCs w:val="24"/>
              </w:rPr>
            </w:pPr>
            <w:r>
              <w:rPr>
                <w:rFonts w:hint="eastAsia" w:ascii="宋体" w:hAnsi="宋体" w:eastAsia="宋体" w:cs="宋体"/>
                <w:kern w:val="0"/>
                <w:sz w:val="24"/>
                <w:szCs w:val="24"/>
              </w:rPr>
              <w:t>RECIST 1.1标准评估肿瘤情况：提供</w:t>
            </w:r>
          </w:p>
        </w:tc>
      </w:tr>
    </w:tbl>
    <w:p w14:paraId="598BADDB">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需要免费配备：</w:t>
      </w:r>
    </w:p>
    <w:p w14:paraId="338BF1C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1、高压注射器2台见参数。</w:t>
      </w:r>
    </w:p>
    <w:p w14:paraId="0E0F42D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2、独立的高级后处理工作站，支持三维重建、血管分析、骨密度测量等功能。</w:t>
      </w:r>
    </w:p>
    <w:p w14:paraId="59A5050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3、具备一站式急救功能：包括一站式脑卒中检查及分析软件，一站式胸痛（冠脉+主动脉+肺动脉）联合扫描及分析软件。</w:t>
      </w:r>
    </w:p>
    <w:p w14:paraId="4A8BE4F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4、操作间设备专用桌子及椅子2套，</w:t>
      </w:r>
      <w:r>
        <w:rPr>
          <w:rFonts w:hint="eastAsia" w:ascii="宋体" w:hAnsi="宋体" w:eastAsia="宋体" w:cs="宋体"/>
          <w:color w:val="auto"/>
          <w:sz w:val="24"/>
          <w:szCs w:val="24"/>
          <w:highlight w:val="none"/>
          <w:rtl w:val="0"/>
          <w:lang w:val="en-US" w:eastAsia="zh-CN"/>
        </w:rPr>
        <w:t>空气消毒机1台</w:t>
      </w:r>
      <w:r>
        <w:rPr>
          <w:rFonts w:hint="eastAsia" w:ascii="宋体" w:hAnsi="宋体" w:eastAsia="宋体" w:cs="宋体"/>
          <w:color w:val="auto"/>
          <w:sz w:val="24"/>
          <w:szCs w:val="24"/>
          <w:highlight w:val="none"/>
          <w:lang w:val="en-US" w:eastAsia="zh-CN"/>
        </w:rPr>
        <w:t>。</w:t>
      </w:r>
    </w:p>
    <w:p w14:paraId="422886B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5、专业影像阅片竖屏5M 1台，诊断报告书写电脑 1台。</w:t>
      </w:r>
    </w:p>
    <w:p w14:paraId="0DE1E71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原厂整机质保3年</w:t>
      </w:r>
      <w:r>
        <w:rPr>
          <w:rFonts w:hint="eastAsia" w:ascii="宋体" w:hAnsi="宋体" w:eastAsia="宋体" w:cs="宋体"/>
          <w:color w:val="auto"/>
          <w:sz w:val="24"/>
          <w:szCs w:val="24"/>
          <w:highlight w:val="none"/>
          <w:lang w:val="en-US" w:eastAsia="zh-CN"/>
        </w:rPr>
        <w:t>（原厂全保，厂家承诺）。</w:t>
      </w:r>
    </w:p>
    <w:p w14:paraId="5BB78C2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7、设备供应方需要负责接通各种工作所需网络信息接口（供应商承担所有接口费），保证信息图像传输正常。</w:t>
      </w:r>
    </w:p>
    <w:p w14:paraId="419F020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8、智能影像诊断AI软件（知名品牌的，保证质量），可以免费使用≥2年。</w:t>
      </w:r>
    </w:p>
    <w:p w14:paraId="7B625F1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9、提供操作及临床诊断培训（现场），直至采购方操作人员完全掌握。</w:t>
      </w:r>
    </w:p>
    <w:p w14:paraId="3B09EDE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10、配置与CT机器适配的稳压电源一套（100KVA以上）。</w:t>
      </w:r>
    </w:p>
    <w:p w14:paraId="5FB060A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11、老机器（16排西门子CT）移机装机服务。</w:t>
      </w:r>
    </w:p>
    <w:p w14:paraId="1C585B9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12、预评、环评、控评，全程（含放射机房防护和机器性能检测报告）办理放射诊疗许可证，辐射安全许可证。</w:t>
      </w:r>
    </w:p>
    <w:p w14:paraId="7472D99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13、按照设备情况，进行机房改造。</w:t>
      </w:r>
    </w:p>
    <w:p w14:paraId="5EECE65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14、配存储设备1 台</w:t>
      </w:r>
    </w:p>
    <w:p w14:paraId="67A197A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p w14:paraId="4699409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①机架式服务器，2U高度，配置</w:t>
      </w:r>
      <w:r>
        <w:rPr>
          <w:rFonts w:hint="eastAsia" w:ascii="宋体" w:hAnsi="宋体" w:eastAsia="宋体" w:cs="宋体"/>
          <w:b/>
          <w:bCs/>
          <w:color w:val="auto"/>
          <w:sz w:val="24"/>
          <w:szCs w:val="24"/>
          <w:highlight w:val="none"/>
          <w:lang w:val="en-US" w:eastAsia="zh-CN"/>
        </w:rPr>
        <w:t>品牌</w:t>
      </w:r>
      <w:r>
        <w:rPr>
          <w:rFonts w:hint="eastAsia" w:ascii="宋体" w:hAnsi="宋体" w:eastAsia="宋体" w:cs="宋体"/>
          <w:color w:val="auto"/>
          <w:sz w:val="24"/>
          <w:szCs w:val="24"/>
          <w:highlight w:val="none"/>
          <w:lang w:val="en-US" w:eastAsia="zh-CN"/>
        </w:rPr>
        <w:t>安装导轨；</w:t>
      </w:r>
    </w:p>
    <w:p w14:paraId="1FC7CE2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②配置国芯处理器≥2颗，主频≥2.2GHz，单颗CPU物理核数≥24核，单颗处理器≥48线程；</w:t>
      </w:r>
    </w:p>
    <w:p w14:paraId="2F0CD7D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③配置32GB DDR4-3200内存≥8根，内存槽位≥24个；</w:t>
      </w:r>
    </w:p>
    <w:p w14:paraId="28AF37D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④配置480GB 6G SSD硬盘≥2块，配置8TB 6G SATA HDD硬盘≥4块；</w:t>
      </w:r>
    </w:p>
    <w:p w14:paraId="6D5727E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⑤配置12Gb 2端口SAS RAID卡≥1块，支持Raid0/1/10/5，缓存≥2GB，配置数据保护模块；</w:t>
      </w:r>
    </w:p>
    <w:p w14:paraId="5EBC47F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⑥配置千兆电口≥4个，配置万兆光口≥2个（含光模块）；</w:t>
      </w:r>
    </w:p>
    <w:p w14:paraId="1106805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⑦配置1300w热插拔交流电源≥2块，配置热插拔风扇模块≥4块。）</w:t>
      </w:r>
    </w:p>
    <w:p w14:paraId="18A2B84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高压注射器参数</w:t>
      </w:r>
    </w:p>
    <w:p w14:paraId="1A15E09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1、主控制器电源：交流198～242V，频率50±1HZ，980VA</w:t>
      </w:r>
    </w:p>
    <w:p w14:paraId="36B2C78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2、注射压力：</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280PSI</w:t>
      </w:r>
    </w:p>
    <w:p w14:paraId="762F952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3、通道数：三通道</w:t>
      </w:r>
    </w:p>
    <w:p w14:paraId="57A4F83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4、注射速率：0.1-10ML/S，</w:t>
      </w:r>
      <w:r>
        <w:rPr>
          <w:rFonts w:hint="eastAsia" w:ascii="宋体" w:hAnsi="宋体" w:eastAsia="宋体" w:cs="宋体"/>
          <w:b/>
          <w:bCs/>
          <w:color w:val="auto"/>
          <w:sz w:val="24"/>
          <w:szCs w:val="24"/>
          <w:highlight w:val="none"/>
          <w:lang w:val="en-US" w:eastAsia="zh-CN"/>
        </w:rPr>
        <w:t>步进</w:t>
      </w:r>
      <w:r>
        <w:rPr>
          <w:rFonts w:hint="eastAsia" w:ascii="宋体" w:hAnsi="宋体" w:eastAsia="宋体" w:cs="宋体"/>
          <w:color w:val="auto"/>
          <w:sz w:val="24"/>
          <w:szCs w:val="24"/>
          <w:highlight w:val="none"/>
          <w:lang w:val="en-US" w:eastAsia="zh-CN"/>
        </w:rPr>
        <w:t>0.1ML/S</w:t>
      </w:r>
    </w:p>
    <w:p w14:paraId="7CFDA17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5、造影剂/生理盐水容量：造影剂50-1000ML，最大为2*500ML，盐水最大为1*1000ML</w:t>
      </w:r>
    </w:p>
    <w:p w14:paraId="4714B2C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6、生理盐水注射功能：可节省管道内造影剂及冲洗血管内残余造影剂的作用。</w:t>
      </w:r>
    </w:p>
    <w:p w14:paraId="01B4D42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7、超压停止及降速切换：用户可根据实际情况选择超压先降速后停止还是超压立即停止</w:t>
      </w:r>
    </w:p>
    <w:p w14:paraId="041B930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8、空气报警：支持</w:t>
      </w:r>
    </w:p>
    <w:p w14:paraId="3B36E4B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9、左右两路自动切换：支持</w:t>
      </w:r>
    </w:p>
    <w:p w14:paraId="3641209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10、自动上下管路：支持</w:t>
      </w:r>
    </w:p>
    <w:p w14:paraId="5379058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11、操作界面：</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15寸触摸屏</w:t>
      </w:r>
    </w:p>
    <w:p w14:paraId="0C816E1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12、注射程序：可储存2000个可编程的注射程序</w:t>
      </w:r>
    </w:p>
    <w:p w14:paraId="5F7691F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13、注射剂量显示：操作界面实时显示剩余剂量</w:t>
      </w:r>
    </w:p>
    <w:p w14:paraId="70C3C26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14、注射时间显示：操作界面实时显示已注时间</w:t>
      </w:r>
    </w:p>
    <w:p w14:paraId="3D434A4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15、滚子泵技术：自主创新的滚子泵单向传输技术，精准控制造影剂及生理盐水注射</w:t>
      </w:r>
    </w:p>
    <w:p w14:paraId="510E80F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16、防气泡技术：超声波</w:t>
      </w:r>
    </w:p>
    <w:p w14:paraId="35899BD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17、注射/排气方式：直接插入造影剂瓶，无需针筒，无需开瓶、抽液，机器自动排气</w:t>
      </w:r>
    </w:p>
    <w:p w14:paraId="74B4BFE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18、配备磁吸托架：磁吸托架，旋转90度取瓶更加方便，无需拨动卡扣</w:t>
      </w:r>
    </w:p>
    <w:p w14:paraId="5B9C8FF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19、数据传输：无线蓝牙</w:t>
      </w:r>
    </w:p>
    <w:p w14:paraId="7795822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20、铝合金加热护套：配加热护套，安装拔取药瓶更加方便，加热护套无需开罩</w:t>
      </w:r>
    </w:p>
    <w:p w14:paraId="1553293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21、保持血管扩张功能：≥3ml/分钟, ≥1ml/20秒（生理盐水）</w:t>
      </w:r>
    </w:p>
    <w:p w14:paraId="31AFE4F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22、注射相位：最高支持12相注射程序</w:t>
      </w:r>
    </w:p>
    <w:p w14:paraId="635106B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23、配套耗材：</w:t>
      </w:r>
      <w:r>
        <w:rPr>
          <w:rFonts w:hint="eastAsia" w:ascii="宋体" w:hAnsi="宋体" w:eastAsia="宋体" w:cs="宋体"/>
          <w:b/>
          <w:bCs/>
          <w:color w:val="auto"/>
          <w:sz w:val="24"/>
          <w:szCs w:val="24"/>
          <w:highlight w:val="none"/>
          <w:lang w:val="en-US" w:eastAsia="zh-CN"/>
        </w:rPr>
        <w:t>通用耗材</w:t>
      </w:r>
    </w:p>
    <w:p w14:paraId="294B5A2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24、扫描室外控制：支持</w:t>
      </w:r>
    </w:p>
    <w:p w14:paraId="683FD1B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25、程序保存及调用：支持</w:t>
      </w:r>
    </w:p>
    <w:p w14:paraId="4879E3C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26、相位间延时：0-1000s</w:t>
      </w:r>
    </w:p>
    <w:p w14:paraId="58634A7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27、副屏试注射功能：支持</w:t>
      </w:r>
    </w:p>
    <w:p w14:paraId="1F46C6F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28、一键自动备妥功能：智能一键即可完成备妥达成可注射状态，无需记忆复杂操作步骤</w:t>
      </w:r>
    </w:p>
    <w:p w14:paraId="5405B08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29、盐水备份：造影剂不够，则补充相应盐水，保证造影成功率</w:t>
      </w:r>
    </w:p>
    <w:p w14:paraId="14C03EC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30、换药动作感应：三路感应，可感知操作人员是否进行药瓶更换</w:t>
      </w:r>
    </w:p>
    <w:p w14:paraId="7D867E6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31、造影剂开放，耗材开放，阳采。</w:t>
      </w:r>
    </w:p>
    <w:p w14:paraId="0CD31A5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32、匹配CT造影检查。</w:t>
      </w:r>
    </w:p>
    <w:p w14:paraId="7281A51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整机厂家全</w:t>
      </w:r>
      <w:r>
        <w:rPr>
          <w:rFonts w:hint="eastAsia" w:ascii="宋体" w:hAnsi="宋体" w:eastAsia="宋体" w:cs="宋体"/>
          <w:b/>
          <w:bCs/>
          <w:color w:val="auto"/>
          <w:sz w:val="24"/>
          <w:szCs w:val="24"/>
          <w:highlight w:val="none"/>
          <w:lang w:val="en-US" w:eastAsia="zh-CN"/>
        </w:rPr>
        <w:t>质保3年（提供制造商承诺）</w:t>
      </w:r>
      <w:r>
        <w:rPr>
          <w:rFonts w:hint="eastAsia" w:ascii="宋体" w:hAnsi="宋体" w:eastAsia="宋体" w:cs="宋体"/>
          <w:color w:val="auto"/>
          <w:sz w:val="24"/>
          <w:szCs w:val="24"/>
          <w:highlight w:val="none"/>
          <w:lang w:val="en-US" w:eastAsia="zh-CN"/>
        </w:rPr>
        <w:t>。</w:t>
      </w:r>
    </w:p>
    <w:p w14:paraId="3972630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yellow"/>
          <w:lang w:val="en-US" w:eastAsia="zh-CN"/>
        </w:rPr>
      </w:pPr>
    </w:p>
    <w:p w14:paraId="791A194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yellow"/>
          <w:lang w:val="en-US" w:eastAsia="zh-CN"/>
        </w:rPr>
      </w:pPr>
    </w:p>
    <w:p w14:paraId="59962C5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yellow"/>
          <w:lang w:val="en-US" w:eastAsia="zh-CN"/>
        </w:rPr>
      </w:pPr>
    </w:p>
    <w:p w14:paraId="3172DA8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p>
    <w:p w14:paraId="58079BF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p>
    <w:p w14:paraId="373D52D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jc w:val="left"/>
        <w:textAlignment w:val="auto"/>
        <w:outlineLvl w:val="2"/>
        <w:rPr>
          <w:rFonts w:hint="eastAsia" w:ascii="宋体" w:hAnsi="宋体" w:eastAsia="宋体" w:cs="宋体"/>
          <w:b/>
          <w:bCs/>
          <w:color w:val="auto"/>
          <w:kern w:val="2"/>
          <w:sz w:val="24"/>
          <w:szCs w:val="24"/>
          <w:highlight w:val="none"/>
          <w:u w:val="none"/>
          <w:lang w:val="en-US" w:eastAsia="zh-CN" w:bidi="ar-SA"/>
        </w:rPr>
      </w:pPr>
      <w:bookmarkStart w:id="372" w:name="_Toc25045"/>
      <w:r>
        <w:rPr>
          <w:rFonts w:hint="eastAsia" w:ascii="宋体" w:hAnsi="宋体" w:eastAsia="宋体" w:cs="宋体"/>
          <w:b/>
          <w:bCs/>
          <w:color w:val="auto"/>
          <w:kern w:val="2"/>
          <w:sz w:val="24"/>
          <w:szCs w:val="24"/>
          <w:highlight w:val="none"/>
          <w:u w:val="none"/>
          <w:lang w:val="en-US" w:eastAsia="zh-CN" w:bidi="ar-SA"/>
        </w:rPr>
        <w:t>（二）DR加透视机器（数字化透视摄影X射线机） 技术参数</w:t>
      </w:r>
      <w:bookmarkEnd w:id="372"/>
    </w:p>
    <w:tbl>
      <w:tblPr>
        <w:tblStyle w:val="34"/>
        <w:tblW w:w="5000"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793"/>
        <w:gridCol w:w="7646"/>
      </w:tblGrid>
      <w:tr w14:paraId="43FEEC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675F1D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kern w:val="2"/>
                <w:sz w:val="24"/>
                <w:szCs w:val="24"/>
                <w:highlight w:val="none"/>
                <w:u w:val="none"/>
                <w:lang w:val="en-US" w:eastAsia="zh-CN" w:bidi="ar-SA"/>
              </w:rPr>
              <w:t>数字化透视摄影X射线机</w:t>
            </w:r>
            <w:r>
              <w:rPr>
                <w:rFonts w:hint="eastAsia" w:ascii="宋体" w:hAnsi="宋体" w:eastAsia="宋体" w:cs="宋体"/>
                <w:b/>
                <w:bCs/>
                <w:kern w:val="0"/>
                <w:sz w:val="24"/>
                <w:szCs w:val="24"/>
                <w:highlight w:val="none"/>
                <w:rtl w:val="0"/>
                <w:lang w:val="en-US" w:eastAsia="zh-CN"/>
              </w:rPr>
              <w:t>招标技术参数要求</w:t>
            </w:r>
          </w:p>
        </w:tc>
      </w:tr>
      <w:tr w14:paraId="3A7E04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2"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589A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tl w:val="0"/>
                <w:lang w:val="en-US" w:eastAsia="zh-CN"/>
              </w:rPr>
              <w:t>一、</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8212A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rtl w:val="0"/>
                <w:lang w:val="en-US" w:eastAsia="zh-CN"/>
              </w:rPr>
              <w:t>设备名称及数量：设备名称:</w:t>
            </w:r>
            <w:r>
              <w:rPr>
                <w:rFonts w:hint="eastAsia" w:ascii="宋体" w:hAnsi="宋体" w:eastAsia="宋体" w:cs="宋体"/>
                <w:b/>
                <w:bCs/>
                <w:color w:val="auto"/>
                <w:kern w:val="2"/>
                <w:sz w:val="24"/>
                <w:szCs w:val="24"/>
                <w:highlight w:val="none"/>
                <w:u w:val="none"/>
                <w:lang w:val="en-US" w:eastAsia="zh-CN" w:bidi="ar-SA"/>
              </w:rPr>
              <w:t>数字化透视摄影X射线机（DR加透视机器）</w:t>
            </w:r>
            <w:r>
              <w:rPr>
                <w:rFonts w:hint="eastAsia" w:ascii="宋体" w:hAnsi="宋体" w:eastAsia="宋体" w:cs="宋体"/>
                <w:b/>
                <w:bCs/>
                <w:kern w:val="0"/>
                <w:sz w:val="24"/>
                <w:szCs w:val="24"/>
                <w:highlight w:val="none"/>
                <w:rtl w:val="0"/>
                <w:lang w:val="en-US" w:eastAsia="zh-CN"/>
              </w:rPr>
              <w:t xml:space="preserve"> ；数量：1套</w:t>
            </w:r>
          </w:p>
        </w:tc>
      </w:tr>
      <w:tr w14:paraId="328947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C5AE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二、</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16CD4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产品总体要求：要求所投机型高压发生器、球管、束光器、检查床系统等主要成像元器件为等为整机制造厂原厂生产；</w:t>
            </w:r>
          </w:p>
        </w:tc>
      </w:tr>
      <w:tr w14:paraId="1FDBB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28011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三、</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4FD32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用途：满足临床消化系造影、子宫输卵管造影、ERCP检查、全脊柱及四肢全长拼接等常规放射诊断及治疗的需要；能实现全身各部位的平板数字化透视及数字化摄片，实现数字图像储存管理等功能。</w:t>
            </w:r>
          </w:p>
        </w:tc>
      </w:tr>
      <w:tr w14:paraId="2B01DB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9"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384D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四、</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FC6B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主要技术规格及性能参数要求:</w:t>
            </w:r>
          </w:p>
        </w:tc>
      </w:tr>
      <w:tr w14:paraId="54DE39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9"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4145F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AA2A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tl w:val="0"/>
                <w:lang w:val="en-US" w:eastAsia="zh-CN"/>
              </w:rPr>
              <w:t>多功能检查床系统</w:t>
            </w:r>
          </w:p>
        </w:tc>
      </w:tr>
      <w:tr w14:paraId="500810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1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FC91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tl w:val="0"/>
                <w:lang w:val="en-US" w:eastAsia="zh-CN"/>
              </w:rPr>
              <w:t>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DDD2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tl w:val="0"/>
                <w:lang w:val="en-US" w:eastAsia="zh-CN"/>
              </w:rPr>
              <w:t>床体结构及材质：要求岛屿式一体化可倾斜床面遥控检查床，带有消化系统造影专用一体化压迫装置，可进行遥控操作，具有紧急刹车安全装置，具有全数字化成像系统及单片点片摄影及连续点片摄影功能</w:t>
            </w:r>
          </w:p>
        </w:tc>
      </w:tr>
      <w:tr w14:paraId="484003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960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219E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床板材质减弱当量≤0.59mm Al当量</w:t>
            </w:r>
          </w:p>
        </w:tc>
      </w:tr>
      <w:tr w14:paraId="60D9D2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00AD8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53C8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床体控制：要求满足遥控控制、床旁控制</w:t>
            </w:r>
          </w:p>
        </w:tc>
      </w:tr>
      <w:tr w14:paraId="12914A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E0F6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58A6B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床体倾斜正角度≥90度</w:t>
            </w:r>
          </w:p>
        </w:tc>
      </w:tr>
      <w:tr w14:paraId="60E09C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89D22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3EC5B">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床体倾斜负角度≥30度</w:t>
            </w:r>
          </w:p>
        </w:tc>
      </w:tr>
      <w:tr w14:paraId="1BDA65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87C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C1A4D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床体升降功能：要求具有升降功能</w:t>
            </w:r>
          </w:p>
        </w:tc>
      </w:tr>
      <w:tr w14:paraId="147201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182C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74A1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最低床面高度：≤71cm</w:t>
            </w:r>
          </w:p>
        </w:tc>
      </w:tr>
      <w:tr w14:paraId="24D802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37D4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1804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最高床面高度≥95cm</w:t>
            </w:r>
          </w:p>
        </w:tc>
      </w:tr>
      <w:tr w14:paraId="63E7A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CE12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EEDDF">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倾斜投照角度≥ ±30度</w:t>
            </w:r>
          </w:p>
        </w:tc>
      </w:tr>
      <w:tr w14:paraId="0EF653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752C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E47A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床面侧向移动范围≥14 cm</w:t>
            </w:r>
          </w:p>
        </w:tc>
      </w:tr>
      <w:tr w14:paraId="2AB7D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9E2C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9E5E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影像系统移动覆盖范围≥133cm</w:t>
            </w:r>
          </w:p>
        </w:tc>
      </w:tr>
      <w:tr w14:paraId="494771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D3D4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F528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源像距（SID）≥150cm，满足胸部摄影</w:t>
            </w:r>
          </w:p>
        </w:tc>
      </w:tr>
      <w:tr w14:paraId="3C898A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EE20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19938">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压迫器压力≤80N</w:t>
            </w:r>
          </w:p>
        </w:tc>
      </w:tr>
      <w:tr w14:paraId="153AA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133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5ED9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滤线栅，栅密度≤40LP/cm</w:t>
            </w:r>
          </w:p>
        </w:tc>
      </w:tr>
      <w:tr w14:paraId="34B926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4D2D6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48E5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床体运动承重≥135kg</w:t>
            </w:r>
          </w:p>
        </w:tc>
      </w:tr>
      <w:tr w14:paraId="5F495F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5B0FB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562E1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立位碰撞保护：床体在立位过程中具有碰撞保护功能</w:t>
            </w:r>
          </w:p>
        </w:tc>
      </w:tr>
      <w:tr w14:paraId="44FE5E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DCEF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1.18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8B4C6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多手柄分别控制：要求床体起卧、影像系统运动、限束器、压迫器分别由不同手柄控制，避免误操作带来的医疗事故风险。</w:t>
            </w:r>
          </w:p>
        </w:tc>
      </w:tr>
      <w:tr w14:paraId="58E2C0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67E2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1.19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EDCB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单手柄实现影像系统运动操作及图像采集：点片按键集合在影像系统运动控制手柄上，可实现单手快速影像系统运动操作及点片采集。</w:t>
            </w:r>
          </w:p>
        </w:tc>
      </w:tr>
      <w:tr w14:paraId="6A6BA8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9"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B34D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FA448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床体材质：采用低吸收剂量的碳素纤维高强度床板</w:t>
            </w:r>
          </w:p>
        </w:tc>
      </w:tr>
      <w:tr w14:paraId="123EF8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F291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default"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CD9F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球管可外旋180度</w:t>
            </w:r>
          </w:p>
        </w:tc>
      </w:tr>
      <w:tr w14:paraId="6C68B8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D46D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default"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A39DA">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配备额外胸片架用于DR摄影</w:t>
            </w:r>
          </w:p>
        </w:tc>
      </w:tr>
      <w:tr w14:paraId="356512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594C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default"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AE00A">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平板可移动至胸片架使用</w:t>
            </w:r>
          </w:p>
        </w:tc>
      </w:tr>
      <w:tr w14:paraId="1146FC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B3BA3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default"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B99688">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仿宋" w:hAnsi="仿宋" w:eastAsia="仿宋" w:cs="仿宋"/>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 xml:space="preserve"> 胸片架与球管可实现自动跟踪定位</w:t>
            </w:r>
          </w:p>
        </w:tc>
      </w:tr>
      <w:tr w14:paraId="43B570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2F8A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377B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高压发生器系统</w:t>
            </w:r>
          </w:p>
        </w:tc>
      </w:tr>
      <w:tr w14:paraId="035B86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9685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265C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高压发生器控制：高压发生器可以独立控制，可以通过物理按键实现快速操作</w:t>
            </w:r>
          </w:p>
        </w:tc>
      </w:tr>
      <w:tr w14:paraId="12A403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8813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68F90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高压发生器显示：具有单独显示曝光参数的模块，可以通过物理按键快速改变曝光条件</w:t>
            </w:r>
          </w:p>
        </w:tc>
      </w:tr>
      <w:tr w14:paraId="73AD29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AB1E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1586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最大标称功率≥50kW</w:t>
            </w:r>
          </w:p>
        </w:tc>
      </w:tr>
      <w:tr w14:paraId="258C45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D894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D9FC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摄影管电流≥630mA</w:t>
            </w:r>
          </w:p>
        </w:tc>
      </w:tr>
      <w:tr w14:paraId="234415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DE28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EBFC6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电流时间积≥630mAs</w:t>
            </w:r>
          </w:p>
        </w:tc>
      </w:tr>
      <w:tr w14:paraId="67EE97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DE021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FA39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高压发生器频率≥50kHz</w:t>
            </w:r>
          </w:p>
        </w:tc>
      </w:tr>
      <w:tr w14:paraId="3EB96F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3573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214B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最短曝光时间≤1ms</w:t>
            </w:r>
          </w:p>
        </w:tc>
      </w:tr>
      <w:tr w14:paraId="570166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BC1FF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6672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透视输出电压≥125kV</w:t>
            </w:r>
          </w:p>
        </w:tc>
      </w:tr>
      <w:tr w14:paraId="419EB7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20AB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351C3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▲最大透视管电流≤5mA</w:t>
            </w:r>
          </w:p>
        </w:tc>
      </w:tr>
      <w:tr w14:paraId="41258F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49E3D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7312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▲最小透视管电流≤0.1mA</w:t>
            </w:r>
          </w:p>
        </w:tc>
      </w:tr>
      <w:tr w14:paraId="0C6F19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60D7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571B0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▲脉冲透视帧频≥7种</w:t>
            </w:r>
          </w:p>
        </w:tc>
      </w:tr>
      <w:tr w14:paraId="21CC5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48B2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2.12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96D7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摄影方式要求具备点片摄影／直接摄影／连续摄影／序列摄影功能</w:t>
            </w:r>
          </w:p>
        </w:tc>
      </w:tr>
      <w:tr w14:paraId="070112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4FE5A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2.13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B0969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解剖程序设定≥400组</w:t>
            </w:r>
          </w:p>
        </w:tc>
      </w:tr>
      <w:tr w14:paraId="6CBDF4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7BAA6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2815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X线球管系统</w:t>
            </w:r>
          </w:p>
        </w:tc>
      </w:tr>
      <w:tr w14:paraId="450AB2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134D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5D29B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球管阳极热容量≥400kHu</w:t>
            </w:r>
          </w:p>
        </w:tc>
      </w:tr>
      <w:tr w14:paraId="4ECD84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61A8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B57D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 xml:space="preserve">▲球管阳极旋转速度≥9500转/分 </w:t>
            </w:r>
          </w:p>
        </w:tc>
      </w:tr>
      <w:tr w14:paraId="246C21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9FB81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D20C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球管焦点双焦点，小焦点≤0.6mm，大焦点≤1.2mm</w:t>
            </w:r>
          </w:p>
        </w:tc>
      </w:tr>
      <w:tr w14:paraId="5130E5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F2A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92B8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球管焦点功率小焦点≥38kW;大焦点≥92kW</w:t>
            </w:r>
          </w:p>
        </w:tc>
      </w:tr>
      <w:tr w14:paraId="5B7935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67E1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629B8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最高使用管电压≥150KV</w:t>
            </w:r>
          </w:p>
        </w:tc>
      </w:tr>
      <w:tr w14:paraId="633AC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BA26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21AFF7">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散热方式：风冷散热</w:t>
            </w:r>
          </w:p>
        </w:tc>
      </w:tr>
      <w:tr w14:paraId="708A0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B67B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EDBB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限束器类型：可自动及手动控制</w:t>
            </w:r>
          </w:p>
        </w:tc>
      </w:tr>
      <w:tr w14:paraId="08911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75CB4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4855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限束器限束硬化滤过片种类≥4种</w:t>
            </w:r>
          </w:p>
        </w:tc>
      </w:tr>
      <w:tr w14:paraId="20D300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3542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DBBB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限束器床体控制：限束器可以控制影像系统运动</w:t>
            </w:r>
          </w:p>
        </w:tc>
      </w:tr>
      <w:tr w14:paraId="099535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2156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97656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限束器显示功能：限束器要求具有视野大小、滤过等级显示功能</w:t>
            </w:r>
          </w:p>
        </w:tc>
      </w:tr>
      <w:tr w14:paraId="4DC598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9072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3.11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66AD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限束器曝光野指示灯：要求具有</w:t>
            </w:r>
          </w:p>
        </w:tc>
      </w:tr>
      <w:tr w14:paraId="5018B5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07282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B0E4B">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动态平板探测器系统</w:t>
            </w:r>
          </w:p>
        </w:tc>
      </w:tr>
      <w:tr w14:paraId="5DC45F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0D7D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67A7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数字化探测器材质：</w:t>
            </w:r>
            <w:r>
              <w:rPr>
                <w:rFonts w:hint="eastAsia" w:ascii="宋体" w:hAnsi="宋体" w:eastAsia="宋体" w:cs="宋体"/>
                <w:b/>
                <w:bCs/>
                <w:color w:val="auto"/>
                <w:sz w:val="24"/>
                <w:szCs w:val="24"/>
                <w:highlight w:val="none"/>
                <w:rtl w:val="0"/>
                <w:lang w:val="en-US" w:eastAsia="zh-CN"/>
              </w:rPr>
              <w:t>碘化铯非晶硅无线数字化探测器</w:t>
            </w:r>
          </w:p>
        </w:tc>
      </w:tr>
      <w:tr w14:paraId="7632E3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5881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0577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▲平板使用：平板采取可插拨设计，可移至床体以外拍摄</w:t>
            </w:r>
          </w:p>
        </w:tc>
      </w:tr>
      <w:tr w14:paraId="109923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02FA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9A24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▲平板多模式采集：同一平板可在床体内完成透视摄影功能，也可实现在担架床、轮椅上进行平板摄影采集</w:t>
            </w:r>
          </w:p>
        </w:tc>
      </w:tr>
      <w:tr w14:paraId="7EF967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975AC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385C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平板可以移动到床面板上，进行无滤线栅低剂量低放大率拍摄</w:t>
            </w:r>
          </w:p>
        </w:tc>
      </w:tr>
      <w:tr w14:paraId="0193C9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E06F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BABA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平板尺寸≥17英寸×17英寸</w:t>
            </w:r>
          </w:p>
        </w:tc>
      </w:tr>
      <w:tr w14:paraId="50693E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A1D7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6FFC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有效像素</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680万</w:t>
            </w:r>
          </w:p>
        </w:tc>
      </w:tr>
      <w:tr w14:paraId="389CF0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1A3E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8995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像数尺寸≤160μm</w:t>
            </w:r>
          </w:p>
        </w:tc>
      </w:tr>
      <w:tr w14:paraId="2CE474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F93B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8F0CE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采集像素A/D转换位数≥16bit</w:t>
            </w:r>
          </w:p>
        </w:tc>
      </w:tr>
      <w:tr w14:paraId="42B961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2CF5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68D6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空间分辨率</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3.0lp/mm</w:t>
            </w:r>
          </w:p>
        </w:tc>
      </w:tr>
      <w:tr w14:paraId="2FC838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7A0DA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4C65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采集矩阵</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2500×2500</w:t>
            </w:r>
          </w:p>
        </w:tc>
      </w:tr>
      <w:tr w14:paraId="6307E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F532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FA6B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从曝光到获得预示图像的最短时间≤1s</w:t>
            </w:r>
          </w:p>
        </w:tc>
      </w:tr>
      <w:tr w14:paraId="05C265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8359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5952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X光量子探测效率</w:t>
            </w:r>
            <w:r>
              <w:rPr>
                <w:rFonts w:hint="eastAsia" w:ascii="宋体" w:hAnsi="宋体" w:eastAsia="宋体" w:cs="宋体"/>
                <w:b/>
                <w:bCs/>
                <w:color w:val="auto"/>
                <w:sz w:val="24"/>
                <w:szCs w:val="24"/>
                <w:highlight w:val="none"/>
                <w:rtl w:val="0"/>
                <w:lang w:val="en-US" w:eastAsia="zh-CN"/>
              </w:rPr>
              <w:t>DQE≥</w:t>
            </w:r>
            <w:r>
              <w:rPr>
                <w:rFonts w:hint="eastAsia" w:ascii="宋体" w:hAnsi="宋体" w:eastAsia="宋体" w:cs="宋体"/>
                <w:color w:val="auto"/>
                <w:sz w:val="24"/>
                <w:szCs w:val="24"/>
                <w:highlight w:val="none"/>
                <w:rtl w:val="0"/>
                <w:lang w:val="en-US" w:eastAsia="zh-CN"/>
              </w:rPr>
              <w:t>65% @（0 Lp/mm）</w:t>
            </w:r>
          </w:p>
        </w:tc>
      </w:tr>
      <w:tr w14:paraId="773B10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3E4D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4.13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5C90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视野尺寸：</w:t>
            </w:r>
            <w:r>
              <w:rPr>
                <w:rFonts w:hint="eastAsia" w:ascii="宋体" w:hAnsi="宋体" w:eastAsia="宋体" w:cs="宋体"/>
                <w:b/>
                <w:bCs/>
                <w:color w:val="auto"/>
                <w:sz w:val="24"/>
                <w:szCs w:val="24"/>
                <w:highlight w:val="none"/>
                <w:rtl w:val="0"/>
                <w:lang w:val="en-US" w:eastAsia="zh-CN"/>
              </w:rPr>
              <w:t>包括</w:t>
            </w:r>
            <w:r>
              <w:rPr>
                <w:rFonts w:hint="eastAsia" w:ascii="宋体" w:hAnsi="宋体" w:eastAsia="宋体" w:cs="宋体"/>
                <w:color w:val="auto"/>
                <w:sz w:val="24"/>
                <w:szCs w:val="24"/>
                <w:highlight w:val="none"/>
                <w:rtl w:val="0"/>
                <w:lang w:val="en-US" w:eastAsia="zh-CN"/>
              </w:rPr>
              <w:t>17×17英寸，14×14英寸，12×12英寸，9×9英寸，6×6英寸</w:t>
            </w:r>
            <w:r>
              <w:rPr>
                <w:rFonts w:hint="eastAsia" w:ascii="宋体" w:hAnsi="宋体" w:eastAsia="宋体" w:cs="宋体"/>
                <w:b/>
                <w:bCs/>
                <w:color w:val="auto"/>
                <w:sz w:val="24"/>
                <w:szCs w:val="24"/>
                <w:highlight w:val="none"/>
                <w:rtl w:val="0"/>
                <w:lang w:val="en-US" w:eastAsia="zh-CN"/>
              </w:rPr>
              <w:t>等</w:t>
            </w:r>
          </w:p>
        </w:tc>
      </w:tr>
      <w:tr w14:paraId="75DD67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332E8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5F9F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探测器电池：电池数量≥2</w:t>
            </w:r>
          </w:p>
        </w:tc>
      </w:tr>
      <w:tr w14:paraId="719DB5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8D58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4.15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A1FB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探测器重量≤4kg</w:t>
            </w:r>
          </w:p>
        </w:tc>
      </w:tr>
      <w:tr w14:paraId="3F5A6F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C176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9E17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采集工作站</w:t>
            </w:r>
          </w:p>
        </w:tc>
      </w:tr>
      <w:tr w14:paraId="591B34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DF35D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CCCE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控制台配置：病人资料处理、图像采集、显示、处理及图像传输等。</w:t>
            </w:r>
          </w:p>
        </w:tc>
      </w:tr>
      <w:tr w14:paraId="420824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D6EE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7F39A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系统配置：CPU≥3.1GHz， 6核</w:t>
            </w:r>
          </w:p>
        </w:tc>
      </w:tr>
      <w:tr w14:paraId="746588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B462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D77AE7">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内存：内存容量≥16G</w:t>
            </w:r>
          </w:p>
        </w:tc>
      </w:tr>
      <w:tr w14:paraId="32C66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EBD4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9110F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硬盘：SSD硬盘容量≥500G</w:t>
            </w:r>
          </w:p>
        </w:tc>
      </w:tr>
      <w:tr w14:paraId="3C5F5A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0220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7D07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DICOM3.0接口：配有标准DICOM3.0输入输出接口，具有DICOM打印、存储、一体化光盘刻录、传输和获取功能。</w:t>
            </w:r>
          </w:p>
        </w:tc>
      </w:tr>
      <w:tr w14:paraId="287AD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EAE2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6EF2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操作系统：Windows操作界面</w:t>
            </w:r>
          </w:p>
        </w:tc>
      </w:tr>
      <w:tr w14:paraId="433F80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5645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26D2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显示器：</w:t>
            </w:r>
            <w:r>
              <w:rPr>
                <w:rFonts w:hint="eastAsia" w:ascii="宋体" w:hAnsi="宋体" w:eastAsia="宋体" w:cs="宋体"/>
                <w:b/>
                <w:bCs/>
                <w:color w:val="auto"/>
                <w:sz w:val="24"/>
                <w:szCs w:val="24"/>
                <w:highlight w:val="none"/>
                <w:rtl w:val="0"/>
                <w:lang w:val="en-US" w:eastAsia="zh-CN"/>
              </w:rPr>
              <w:t>≥</w:t>
            </w:r>
            <w:r>
              <w:rPr>
                <w:rFonts w:hint="eastAsia" w:ascii="宋体" w:hAnsi="宋体" w:eastAsia="宋体" w:cs="宋体"/>
                <w:color w:val="auto"/>
                <w:sz w:val="24"/>
                <w:szCs w:val="24"/>
                <w:highlight w:val="none"/>
                <w:rtl w:val="0"/>
                <w:lang w:val="en-US" w:eastAsia="zh-CN"/>
              </w:rPr>
              <w:t>19英寸专业显示器</w:t>
            </w:r>
          </w:p>
        </w:tc>
      </w:tr>
      <w:tr w14:paraId="43094E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7EAC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2D64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▲显示器数量≥2台，可同时对比观察动态图像和静态图像</w:t>
            </w:r>
          </w:p>
        </w:tc>
      </w:tr>
      <w:tr w14:paraId="727517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F40C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46D1F">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动态图像显示器：单独显示实时图像，可以与参考显示器配合观察</w:t>
            </w:r>
          </w:p>
        </w:tc>
      </w:tr>
      <w:tr w14:paraId="3C19F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2217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5.10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CC152A">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参考显示器：单独显示已采集图像，可以与动态显示器配合观察</w:t>
            </w:r>
          </w:p>
        </w:tc>
      </w:tr>
      <w:tr w14:paraId="3B0BF1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A223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8A84B">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数字图像处理系统</w:t>
            </w:r>
          </w:p>
        </w:tc>
      </w:tr>
      <w:tr w14:paraId="68174F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31F6C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736E4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▲脉冲透视最大采集速度：≥30 fps</w:t>
            </w:r>
          </w:p>
        </w:tc>
      </w:tr>
      <w:tr w14:paraId="110BB6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38B2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B02F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脉冲透视帧频：≥7种</w:t>
            </w:r>
          </w:p>
        </w:tc>
      </w:tr>
      <w:tr w14:paraId="4370CC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F72B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DC61BB">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脉冲透视帧频：30/15/12.5/7.5/5/3/2 fps</w:t>
            </w:r>
          </w:p>
        </w:tc>
      </w:tr>
      <w:tr w14:paraId="4457DA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50F1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228E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透视存储：≥950每序列</w:t>
            </w:r>
          </w:p>
        </w:tc>
      </w:tr>
      <w:tr w14:paraId="6EA685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A1DB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EC14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末帧透视图像保持功能：具有</w:t>
            </w:r>
          </w:p>
        </w:tc>
      </w:tr>
      <w:tr w14:paraId="751F60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013F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7B5F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连续摄影最大采集速度：≥15 fps</w:t>
            </w:r>
          </w:p>
        </w:tc>
      </w:tr>
      <w:tr w14:paraId="494319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8739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487B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序列摄影帧频：≥5种</w:t>
            </w:r>
          </w:p>
        </w:tc>
      </w:tr>
      <w:tr w14:paraId="4876DA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CE94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452C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序列摄影帧频：15/7.5/5.3/3/2.1 fps</w:t>
            </w:r>
          </w:p>
        </w:tc>
      </w:tr>
      <w:tr w14:paraId="57A4C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0FB3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E08EC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数字分隔摄影功能：具有</w:t>
            </w:r>
          </w:p>
        </w:tc>
      </w:tr>
      <w:tr w14:paraId="137F22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D681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774B47">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硬盘存储≥60000幅</w:t>
            </w:r>
          </w:p>
        </w:tc>
      </w:tr>
      <w:tr w14:paraId="53ABB9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FD2F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9BF00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图像外部存储：DVD-R</w:t>
            </w:r>
          </w:p>
        </w:tc>
      </w:tr>
      <w:tr w14:paraId="40CD9A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4CA38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A1E95">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网络连通性：DICOM打印/存储/工作列表/MPPS</w:t>
            </w:r>
          </w:p>
        </w:tc>
      </w:tr>
      <w:tr w14:paraId="364B4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E5DC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87ECB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剂量显示：有独立显示屏显示剂量</w:t>
            </w:r>
          </w:p>
        </w:tc>
      </w:tr>
      <w:tr w14:paraId="0FFD90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C0300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8DBDE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剂量报告：DICOM RDSR</w:t>
            </w:r>
          </w:p>
        </w:tc>
      </w:tr>
      <w:tr w14:paraId="73BC59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3950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6.12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80042">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虚拟限束器：</w:t>
            </w:r>
            <w:r>
              <w:rPr>
                <w:rFonts w:hint="eastAsia" w:ascii="宋体" w:hAnsi="宋体" w:eastAsia="宋体" w:cs="宋体"/>
                <w:b/>
                <w:bCs/>
                <w:color w:val="auto"/>
                <w:sz w:val="24"/>
                <w:szCs w:val="24"/>
                <w:highlight w:val="none"/>
                <w:rtl w:val="0"/>
                <w:lang w:val="en-US" w:eastAsia="zh-CN"/>
              </w:rPr>
              <w:t>具备</w:t>
            </w:r>
          </w:p>
        </w:tc>
      </w:tr>
      <w:tr w14:paraId="2649D6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5597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81E9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图像处理功能</w:t>
            </w:r>
          </w:p>
        </w:tc>
      </w:tr>
      <w:tr w14:paraId="450616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D5609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05AB6">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实时动态高亮度控制功能：</w:t>
            </w:r>
            <w:r>
              <w:rPr>
                <w:rFonts w:hint="eastAsia" w:ascii="宋体" w:hAnsi="宋体" w:eastAsia="宋体" w:cs="宋体"/>
                <w:b/>
                <w:bCs/>
                <w:color w:val="auto"/>
                <w:sz w:val="24"/>
                <w:szCs w:val="24"/>
                <w:highlight w:val="none"/>
                <w:rtl w:val="0"/>
                <w:lang w:val="en-US" w:eastAsia="zh-CN"/>
              </w:rPr>
              <w:t>具备</w:t>
            </w:r>
          </w:p>
        </w:tc>
      </w:tr>
      <w:tr w14:paraId="45256C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A9AB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DB418">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实时动态图像显示、回放功能：</w:t>
            </w:r>
            <w:r>
              <w:rPr>
                <w:rFonts w:hint="eastAsia" w:ascii="宋体" w:hAnsi="宋体" w:eastAsia="宋体" w:cs="宋体"/>
                <w:b/>
                <w:bCs/>
                <w:color w:val="auto"/>
                <w:sz w:val="24"/>
                <w:szCs w:val="24"/>
                <w:highlight w:val="none"/>
                <w:rtl w:val="0"/>
                <w:lang w:val="en-US" w:eastAsia="zh-CN"/>
              </w:rPr>
              <w:t>具备</w:t>
            </w:r>
          </w:p>
        </w:tc>
      </w:tr>
      <w:tr w14:paraId="7A89C3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EA322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7.3</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719B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实时边缘增强功能：</w:t>
            </w:r>
            <w:r>
              <w:rPr>
                <w:rFonts w:hint="eastAsia" w:ascii="宋体" w:hAnsi="宋体" w:eastAsia="宋体" w:cs="宋体"/>
                <w:b/>
                <w:bCs/>
                <w:color w:val="auto"/>
                <w:sz w:val="24"/>
                <w:szCs w:val="24"/>
                <w:highlight w:val="none"/>
                <w:rtl w:val="0"/>
                <w:lang w:val="en-US" w:eastAsia="zh-CN"/>
              </w:rPr>
              <w:t>具备</w:t>
            </w:r>
          </w:p>
        </w:tc>
      </w:tr>
      <w:tr w14:paraId="2A6008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8DC7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7.4</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1679A">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窗宽、窗位调整功能：</w:t>
            </w:r>
            <w:r>
              <w:rPr>
                <w:rFonts w:hint="eastAsia" w:ascii="宋体" w:hAnsi="宋体" w:eastAsia="宋体" w:cs="宋体"/>
                <w:b/>
                <w:bCs/>
                <w:color w:val="auto"/>
                <w:sz w:val="24"/>
                <w:szCs w:val="24"/>
                <w:highlight w:val="none"/>
                <w:rtl w:val="0"/>
                <w:lang w:val="en-US" w:eastAsia="zh-CN"/>
              </w:rPr>
              <w:t>具备</w:t>
            </w:r>
          </w:p>
        </w:tc>
      </w:tr>
      <w:tr w14:paraId="467AB8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B8FA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7.5</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B1B2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图像放大及漫游显示功能：</w:t>
            </w:r>
            <w:r>
              <w:rPr>
                <w:rFonts w:hint="eastAsia" w:ascii="宋体" w:hAnsi="宋体" w:eastAsia="宋体" w:cs="宋体"/>
                <w:b/>
                <w:bCs/>
                <w:color w:val="auto"/>
                <w:sz w:val="24"/>
                <w:szCs w:val="24"/>
                <w:highlight w:val="none"/>
                <w:rtl w:val="0"/>
                <w:lang w:val="en-US" w:eastAsia="zh-CN"/>
              </w:rPr>
              <w:t>具备</w:t>
            </w:r>
          </w:p>
        </w:tc>
      </w:tr>
      <w:tr w14:paraId="1FF67A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F928CF">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7.6</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FA82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多幅显示功能：</w:t>
            </w:r>
            <w:r>
              <w:rPr>
                <w:rFonts w:hint="eastAsia" w:ascii="宋体" w:hAnsi="宋体" w:eastAsia="宋体" w:cs="宋体"/>
                <w:b/>
                <w:bCs/>
                <w:color w:val="auto"/>
                <w:sz w:val="24"/>
                <w:szCs w:val="24"/>
                <w:highlight w:val="none"/>
                <w:rtl w:val="0"/>
                <w:lang w:val="en-US" w:eastAsia="zh-CN"/>
              </w:rPr>
              <w:t>具备</w:t>
            </w:r>
          </w:p>
        </w:tc>
      </w:tr>
      <w:tr w14:paraId="2C0BCE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91BB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7.7</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7B063">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 xml:space="preserve">黑白反转功能： </w:t>
            </w:r>
            <w:r>
              <w:rPr>
                <w:rFonts w:hint="eastAsia" w:ascii="宋体" w:hAnsi="宋体" w:eastAsia="宋体" w:cs="宋体"/>
                <w:b/>
                <w:bCs/>
                <w:color w:val="auto"/>
                <w:sz w:val="24"/>
                <w:szCs w:val="24"/>
                <w:highlight w:val="none"/>
                <w:rtl w:val="0"/>
                <w:lang w:val="en-US" w:eastAsia="zh-CN"/>
              </w:rPr>
              <w:t>具备</w:t>
            </w:r>
          </w:p>
        </w:tc>
      </w:tr>
      <w:tr w14:paraId="06B338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A0D9E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47CC0">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左右翻转功能：</w:t>
            </w:r>
            <w:r>
              <w:rPr>
                <w:rFonts w:hint="eastAsia" w:ascii="宋体" w:hAnsi="宋体" w:eastAsia="宋体" w:cs="宋体"/>
                <w:b/>
                <w:bCs/>
                <w:color w:val="auto"/>
                <w:sz w:val="24"/>
                <w:szCs w:val="24"/>
                <w:highlight w:val="none"/>
                <w:rtl w:val="0"/>
                <w:lang w:val="en-US" w:eastAsia="zh-CN"/>
              </w:rPr>
              <w:t>具备</w:t>
            </w:r>
          </w:p>
        </w:tc>
      </w:tr>
      <w:tr w14:paraId="7964DE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8B0F4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7.9</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C89C1">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电子束光器功能：</w:t>
            </w:r>
            <w:r>
              <w:rPr>
                <w:rFonts w:hint="eastAsia" w:ascii="宋体" w:hAnsi="宋体" w:eastAsia="宋体" w:cs="宋体"/>
                <w:b/>
                <w:bCs/>
                <w:color w:val="auto"/>
                <w:sz w:val="24"/>
                <w:szCs w:val="24"/>
                <w:highlight w:val="none"/>
                <w:rtl w:val="0"/>
                <w:lang w:val="en-US" w:eastAsia="zh-CN"/>
              </w:rPr>
              <w:t>具备</w:t>
            </w:r>
          </w:p>
        </w:tc>
      </w:tr>
      <w:tr w14:paraId="2AD68B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8773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7.10</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BCDEED">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测量功能及注释功能：</w:t>
            </w:r>
            <w:r>
              <w:rPr>
                <w:rFonts w:hint="eastAsia" w:ascii="宋体" w:hAnsi="宋体" w:eastAsia="宋体" w:cs="宋体"/>
                <w:b/>
                <w:bCs/>
                <w:color w:val="auto"/>
                <w:sz w:val="24"/>
                <w:szCs w:val="24"/>
                <w:highlight w:val="none"/>
                <w:rtl w:val="0"/>
                <w:lang w:val="en-US" w:eastAsia="zh-CN"/>
              </w:rPr>
              <w:t>具备</w:t>
            </w:r>
          </w:p>
        </w:tc>
      </w:tr>
      <w:tr w14:paraId="317BC7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70CF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7.11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7108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AP/PA、L/R定位标记：</w:t>
            </w:r>
            <w:r>
              <w:rPr>
                <w:rFonts w:hint="eastAsia" w:ascii="宋体" w:hAnsi="宋体" w:eastAsia="宋体" w:cs="宋体"/>
                <w:b/>
                <w:bCs/>
                <w:color w:val="auto"/>
                <w:sz w:val="24"/>
                <w:szCs w:val="24"/>
                <w:highlight w:val="none"/>
                <w:rtl w:val="0"/>
                <w:lang w:val="en-US" w:eastAsia="zh-CN"/>
              </w:rPr>
              <w:t>具备</w:t>
            </w:r>
          </w:p>
        </w:tc>
      </w:tr>
      <w:tr w14:paraId="649039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24DB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8</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B1C4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附件</w:t>
            </w:r>
          </w:p>
        </w:tc>
      </w:tr>
      <w:tr w14:paraId="59ABB8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EF413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8.1</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36FA4">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对讲系统：配备</w:t>
            </w:r>
          </w:p>
        </w:tc>
      </w:tr>
      <w:tr w14:paraId="53C7F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7296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8.2</w:t>
            </w: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BB75E">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脚踏板、肩托架、手柄、钡餐杯：配备</w:t>
            </w:r>
          </w:p>
        </w:tc>
      </w:tr>
      <w:tr w14:paraId="03D127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B85B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both"/>
              <w:textAlignment w:val="auto"/>
              <w:outlineLvl w:val="9"/>
              <w:rPr>
                <w:rFonts w:hint="eastAsia" w:ascii="宋体" w:hAnsi="宋体" w:eastAsia="宋体" w:cs="宋体"/>
                <w:color w:val="auto"/>
                <w:sz w:val="24"/>
                <w:szCs w:val="24"/>
                <w:highlight w:val="none"/>
                <w:rtl w:val="0"/>
                <w:lang w:val="en-US" w:eastAsia="zh-CN"/>
              </w:rPr>
            </w:pPr>
          </w:p>
        </w:tc>
        <w:tc>
          <w:tcPr>
            <w:tcW w:w="452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E18C7">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其他：配置胸片架1个、床旁脚踏板1个、床旁辅助显示器1个、1T固态硬盘3个、2T固态硬盘3个</w:t>
            </w:r>
          </w:p>
        </w:tc>
      </w:tr>
    </w:tbl>
    <w:p w14:paraId="5D72876C">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b/>
          <w:bCs/>
          <w:color w:val="auto"/>
          <w:sz w:val="24"/>
          <w:szCs w:val="24"/>
          <w:highlight w:val="none"/>
          <w:rtl w:val="0"/>
          <w:lang w:val="en-US" w:eastAsia="zh-CN"/>
        </w:rPr>
      </w:pPr>
      <w:r>
        <w:rPr>
          <w:rFonts w:hint="eastAsia" w:ascii="宋体" w:hAnsi="宋体" w:eastAsia="宋体" w:cs="宋体"/>
          <w:b/>
          <w:bCs/>
          <w:color w:val="auto"/>
          <w:sz w:val="24"/>
          <w:szCs w:val="24"/>
          <w:highlight w:val="none"/>
          <w:rtl w:val="0"/>
          <w:lang w:val="en-US" w:eastAsia="zh-CN"/>
        </w:rPr>
        <w:t>需要免费配备：</w:t>
      </w:r>
    </w:p>
    <w:p w14:paraId="4938CA0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1、操作台专用桌子、椅子一套、空气消毒机1台</w:t>
      </w:r>
    </w:p>
    <w:p w14:paraId="4467699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2、专业影像阅片竖屏4台（彩色）。</w:t>
      </w:r>
    </w:p>
    <w:p w14:paraId="1379719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3、诊断报告书写电脑4台，打印机2台。</w:t>
      </w:r>
    </w:p>
    <w:p w14:paraId="3330E06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4、</w:t>
      </w:r>
      <w:r>
        <w:rPr>
          <w:rFonts w:hint="eastAsia" w:ascii="宋体" w:hAnsi="宋体" w:eastAsia="宋体" w:cs="宋体"/>
          <w:b/>
          <w:bCs/>
          <w:color w:val="auto"/>
          <w:sz w:val="24"/>
          <w:szCs w:val="24"/>
          <w:highlight w:val="none"/>
          <w:rtl w:val="0"/>
          <w:lang w:val="en-US" w:eastAsia="zh-CN"/>
        </w:rPr>
        <w:t>整机质保5年</w:t>
      </w:r>
      <w:r>
        <w:rPr>
          <w:rFonts w:hint="eastAsia" w:ascii="宋体" w:hAnsi="宋体" w:eastAsia="宋体" w:cs="宋体"/>
          <w:color w:val="auto"/>
          <w:sz w:val="24"/>
          <w:szCs w:val="24"/>
          <w:highlight w:val="none"/>
          <w:rtl w:val="0"/>
          <w:lang w:val="en-US" w:eastAsia="zh-CN"/>
        </w:rPr>
        <w:t>（</w:t>
      </w:r>
      <w:r>
        <w:rPr>
          <w:rFonts w:hint="eastAsia" w:ascii="宋体" w:hAnsi="宋体" w:eastAsia="宋体" w:cs="宋体"/>
          <w:b/>
          <w:bCs/>
          <w:color w:val="auto"/>
          <w:sz w:val="24"/>
          <w:szCs w:val="24"/>
          <w:highlight w:val="none"/>
          <w:lang w:val="en-US" w:eastAsia="zh-CN"/>
        </w:rPr>
        <w:t>提供制造商承诺</w:t>
      </w:r>
      <w:r>
        <w:rPr>
          <w:rFonts w:hint="eastAsia" w:ascii="宋体" w:hAnsi="宋体" w:eastAsia="宋体" w:cs="宋体"/>
          <w:color w:val="auto"/>
          <w:sz w:val="24"/>
          <w:szCs w:val="24"/>
          <w:highlight w:val="none"/>
          <w:rtl w:val="0"/>
          <w:lang w:val="en-US" w:eastAsia="zh-CN"/>
        </w:rPr>
        <w:t>）。</w:t>
      </w:r>
    </w:p>
    <w:p w14:paraId="6BD18CE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5、机房设备降温用立式空调3台（5P）。</w:t>
      </w:r>
    </w:p>
    <w:p w14:paraId="63302F8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6、设备供应方需要负责接通各种工作所需网络信息接口，保证信息图像传输正常，（供应商承担所有接口费）。</w:t>
      </w:r>
    </w:p>
    <w:p w14:paraId="29B0673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7、提供操作及临床诊断培训（现场），直至采购方操作人员完全掌握。</w:t>
      </w:r>
    </w:p>
    <w:p w14:paraId="7FA055C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8、配置与DR机器适配的稳压电源一套，（不小于100KVA）。</w:t>
      </w:r>
    </w:p>
    <w:p w14:paraId="0B6FD97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9、预评、环评、控评，全程（含放射机房防护和机器性能检测报告）办理放射诊疗许可证，辐射安全许可证。</w:t>
      </w:r>
    </w:p>
    <w:p w14:paraId="108B74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10、老机器移机装机服务。</w:t>
      </w:r>
    </w:p>
    <w:p w14:paraId="02483C4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11、按照设备情况，对机房进行改造。</w:t>
      </w:r>
    </w:p>
    <w:p w14:paraId="2B1E0A6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12、（铅衣，铅帽，铅围脖，铅眼镜）各2套</w:t>
      </w:r>
      <w:r>
        <w:rPr>
          <w:rFonts w:hint="eastAsia" w:ascii="宋体" w:hAnsi="宋体" w:eastAsia="宋体" w:cs="宋体"/>
          <w:b/>
          <w:bCs/>
          <w:color w:val="auto"/>
          <w:sz w:val="24"/>
          <w:szCs w:val="24"/>
          <w:highlight w:val="none"/>
          <w:rtl w:val="0"/>
          <w:lang w:val="en-US" w:eastAsia="zh-CN"/>
        </w:rPr>
        <w:t>（成人）</w:t>
      </w:r>
      <w:r>
        <w:rPr>
          <w:rFonts w:hint="eastAsia" w:ascii="宋体" w:hAnsi="宋体" w:eastAsia="宋体" w:cs="宋体"/>
          <w:color w:val="auto"/>
          <w:sz w:val="24"/>
          <w:szCs w:val="24"/>
          <w:highlight w:val="none"/>
          <w:rtl w:val="0"/>
          <w:lang w:val="en-US" w:eastAsia="zh-CN"/>
        </w:rPr>
        <w:t>，铅围裙4个。要求0.5铅当量。</w:t>
      </w:r>
    </w:p>
    <w:p w14:paraId="74A3BEA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0" w:firstLineChars="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13、配存储设备1 台</w:t>
      </w:r>
    </w:p>
    <w:p w14:paraId="567BE12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（参数：</w:t>
      </w:r>
    </w:p>
    <w:p w14:paraId="261528B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①机架式服务器，2U高度，配置原厂安装导轨；</w:t>
      </w:r>
    </w:p>
    <w:p w14:paraId="22A90EC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②配置国芯处理器≥2颗，主频≥2.2GHz，单颗CPU物理核数≥24核，单颗处理器≥48线程；</w:t>
      </w:r>
    </w:p>
    <w:p w14:paraId="52B530B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③配置32GB DDR4-3200内存≥8根，内存槽位≥24个；</w:t>
      </w:r>
    </w:p>
    <w:p w14:paraId="38B0446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④配置480GB 6G SSD硬盘≥2块，配置8TB 6G SATA HDD硬盘≥4块；</w:t>
      </w:r>
    </w:p>
    <w:p w14:paraId="3D4E4E6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⑤配置12Gb 2端口SAS RAID卡≥1块，支持Raid0/1/10/5，缓存≥2GB，配置数据保护模块；</w:t>
      </w:r>
    </w:p>
    <w:p w14:paraId="455D946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⑥配置千兆电口≥4个，配置万兆光口≥2个（含光模块）；</w:t>
      </w:r>
    </w:p>
    <w:p w14:paraId="39237A5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80" w:firstLineChars="200"/>
        <w:textAlignment w:val="auto"/>
        <w:outlineLvl w:val="9"/>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⑦配置1300w热插拔交流电源≥2块，配置热插拔风扇模块≥4块。）</w:t>
      </w:r>
    </w:p>
    <w:p w14:paraId="48139188">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outlineLvl w:val="9"/>
        <w:rPr>
          <w:rFonts w:hint="eastAsia" w:ascii="宋体" w:hAnsi="宋体" w:eastAsia="宋体" w:cs="宋体"/>
          <w:color w:val="auto"/>
          <w:sz w:val="24"/>
          <w:szCs w:val="24"/>
          <w:highlight w:val="none"/>
          <w:lang w:val="en-US" w:eastAsia="zh-CN"/>
        </w:rPr>
      </w:pPr>
    </w:p>
    <w:p w14:paraId="63A1D123">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仿宋" w:hAnsi="仿宋" w:eastAsia="仿宋" w:cs="仿宋"/>
          <w:b/>
          <w:bCs w:val="0"/>
          <w:sz w:val="28"/>
          <w:szCs w:val="28"/>
          <w:lang w:val="en-US" w:eastAsia="zh-CN"/>
        </w:rPr>
      </w:pPr>
    </w:p>
    <w:p w14:paraId="53CBF7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38A60E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61EEA821">
      <w:pPr>
        <w:pStyle w:val="3"/>
        <w:pageBreakBefore w:val="0"/>
        <w:kinsoku/>
        <w:wordWrap/>
        <w:overflowPunct/>
        <w:topLinePunct w:val="0"/>
        <w:bidi w:val="0"/>
        <w:spacing w:before="0" w:line="240" w:lineRule="auto"/>
        <w:jc w:val="left"/>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项目要求： </w:t>
      </w:r>
    </w:p>
    <w:p w14:paraId="7CC8B590">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3" w:name="_Toc5382"/>
      <w:r>
        <w:rPr>
          <w:rFonts w:hint="eastAsia" w:ascii="宋体" w:hAnsi="宋体" w:eastAsia="宋体" w:cs="宋体"/>
          <w:b/>
          <w:color w:val="auto"/>
          <w:kern w:val="0"/>
          <w:sz w:val="28"/>
          <w:szCs w:val="28"/>
          <w:highlight w:val="none"/>
          <w:lang w:val="en-US" w:eastAsia="zh-CN" w:bidi="ar-SA"/>
        </w:rPr>
        <w:t>（一）所招产品的质量要求</w:t>
      </w:r>
      <w:bookmarkEnd w:id="373"/>
    </w:p>
    <w:p w14:paraId="086842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eastAsia="宋体" w:cs="宋体"/>
          <w:b/>
          <w:bCs/>
          <w:i w:val="0"/>
          <w:caps w:val="0"/>
          <w:color w:val="auto"/>
          <w:spacing w:val="0"/>
          <w:w w:val="100"/>
          <w:kern w:val="2"/>
          <w:sz w:val="24"/>
          <w:szCs w:val="24"/>
          <w:highlight w:val="none"/>
          <w:lang w:val="en-US" w:eastAsia="zh-CN" w:bidi="ar-SA"/>
        </w:rPr>
        <w:t>本项目技术参数均为公共参数，无指向性，投标供应商认为该产品指向某一品牌、某一型号，那么该参数均为参考参数，可以根据技术要求及商务要求自行去选择产品品牌和型号。</w:t>
      </w:r>
    </w:p>
    <w:p w14:paraId="4C151DF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3585DD6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检测报告或白皮书或产品彩页并有生产厂家盖公章）的，或提供的投标产品技术支持资料或证明材料（检测报告或白皮书或产品彩页并有生产厂家盖公章）“★”</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出现负偏离的则作废标处理、“▲”重要参数出现负偏离的则以扣分处理。</w:t>
      </w:r>
    </w:p>
    <w:p w14:paraId="67F3DF36">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4" w:name="_Toc17580"/>
      <w:r>
        <w:rPr>
          <w:rFonts w:hint="eastAsia" w:ascii="宋体" w:hAnsi="宋体" w:eastAsia="宋体" w:cs="宋体"/>
          <w:b/>
          <w:color w:val="auto"/>
          <w:kern w:val="0"/>
          <w:sz w:val="28"/>
          <w:szCs w:val="28"/>
          <w:highlight w:val="none"/>
          <w:lang w:val="en-US" w:eastAsia="zh-CN" w:bidi="ar-SA"/>
        </w:rPr>
        <w:t>（二）项目的交货期和交货地点</w:t>
      </w:r>
      <w:bookmarkEnd w:id="374"/>
    </w:p>
    <w:p w14:paraId="2E90EE9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（1）交货期：签完合同</w:t>
      </w:r>
      <w:r>
        <w:rPr>
          <w:rFonts w:hint="eastAsia" w:ascii="宋体" w:hAnsi="宋体" w:cs="宋体"/>
          <w:b w:val="0"/>
          <w:i w:val="0"/>
          <w:caps w:val="0"/>
          <w:color w:val="auto"/>
          <w:spacing w:val="0"/>
          <w:w w:val="100"/>
          <w:kern w:val="2"/>
          <w:sz w:val="24"/>
          <w:szCs w:val="24"/>
          <w:highlight w:val="none"/>
          <w:lang w:val="en-US" w:eastAsia="zh-CN" w:bidi="ar-SA"/>
        </w:rPr>
        <w:t>90</w:t>
      </w:r>
      <w:r>
        <w:rPr>
          <w:rFonts w:hint="eastAsia" w:ascii="宋体" w:hAnsi="宋体" w:eastAsia="宋体" w:cs="宋体"/>
          <w:b w:val="0"/>
          <w:i w:val="0"/>
          <w:caps w:val="0"/>
          <w:color w:val="auto"/>
          <w:spacing w:val="0"/>
          <w:w w:val="100"/>
          <w:kern w:val="2"/>
          <w:sz w:val="24"/>
          <w:szCs w:val="24"/>
          <w:highlight w:val="none"/>
          <w:lang w:val="en-US" w:eastAsia="zh-CN" w:bidi="ar-SA"/>
        </w:rPr>
        <w:t>天内完成供货（具体以签订的合同为准）。</w:t>
      </w:r>
    </w:p>
    <w:p w14:paraId="52BC6F3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（2）交货地点：采购人指定地点。</w:t>
      </w:r>
    </w:p>
    <w:p w14:paraId="1A0F9AF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（3）包装和运输：保证设备完好运到指定地点。</w:t>
      </w:r>
    </w:p>
    <w:p w14:paraId="0B399338">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5" w:name="_Toc31112"/>
      <w:r>
        <w:rPr>
          <w:rFonts w:hint="eastAsia" w:ascii="宋体" w:hAnsi="宋体" w:eastAsia="宋体" w:cs="宋体"/>
          <w:b/>
          <w:color w:val="auto"/>
          <w:kern w:val="0"/>
          <w:sz w:val="28"/>
          <w:szCs w:val="28"/>
          <w:highlight w:val="none"/>
          <w:lang w:val="en-US" w:eastAsia="zh-CN" w:bidi="ar-SA"/>
        </w:rPr>
        <w:t>（三）付款方式和质保期</w:t>
      </w:r>
      <w:bookmarkEnd w:id="375"/>
    </w:p>
    <w:p w14:paraId="47856F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（1）付款方式：</w:t>
      </w:r>
      <w:r>
        <w:rPr>
          <w:rFonts w:hint="eastAsia" w:ascii="宋体" w:hAnsi="宋体" w:cs="宋体"/>
          <w:b w:val="0"/>
          <w:i w:val="0"/>
          <w:caps w:val="0"/>
          <w:color w:val="auto"/>
          <w:spacing w:val="0"/>
          <w:w w:val="100"/>
          <w:kern w:val="2"/>
          <w:sz w:val="24"/>
          <w:szCs w:val="24"/>
          <w:highlight w:val="none"/>
          <w:lang w:val="en-US" w:eastAsia="zh-CN" w:bidi="ar-SA"/>
        </w:rPr>
        <w:t>签订合同后支付合同总价的30%，验收完成并顺利运行后支付合同总价的60%，培训完成、竣工结算完成后支付合同总价的10%。</w:t>
      </w:r>
      <w:r>
        <w:rPr>
          <w:rFonts w:hint="eastAsia" w:ascii="宋体" w:hAnsi="宋体" w:eastAsia="宋体" w:cs="宋体"/>
          <w:b w:val="0"/>
          <w:i w:val="0"/>
          <w:caps w:val="0"/>
          <w:color w:val="auto"/>
          <w:spacing w:val="0"/>
          <w:w w:val="100"/>
          <w:kern w:val="2"/>
          <w:sz w:val="24"/>
          <w:szCs w:val="24"/>
          <w:highlight w:val="none"/>
          <w:lang w:val="en-US" w:eastAsia="zh-CN" w:bidi="ar-SA"/>
        </w:rPr>
        <w:t>（具体付款方式以甲乙双方合同约定为准）。</w:t>
      </w:r>
    </w:p>
    <w:p w14:paraId="0EEA6B1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（2）质保期：</w:t>
      </w:r>
      <w:r>
        <w:rPr>
          <w:rFonts w:hint="eastAsia" w:ascii="宋体" w:hAnsi="宋体" w:cs="宋体"/>
          <w:b w:val="0"/>
          <w:i w:val="0"/>
          <w:caps w:val="0"/>
          <w:color w:val="auto"/>
          <w:spacing w:val="0"/>
          <w:w w:val="100"/>
          <w:kern w:val="2"/>
          <w:sz w:val="24"/>
          <w:szCs w:val="24"/>
          <w:highlight w:val="none"/>
          <w:lang w:val="en-US" w:eastAsia="zh-CN" w:bidi="ar-SA"/>
        </w:rPr>
        <w:t>以</w:t>
      </w:r>
      <w:r>
        <w:rPr>
          <w:rFonts w:hint="eastAsia" w:ascii="宋体" w:hAnsi="宋体" w:eastAsia="宋体" w:cs="宋体"/>
          <w:b w:val="0"/>
          <w:i w:val="0"/>
          <w:caps w:val="0"/>
          <w:color w:val="auto"/>
          <w:spacing w:val="0"/>
          <w:w w:val="100"/>
          <w:kern w:val="2"/>
          <w:sz w:val="24"/>
          <w:szCs w:val="24"/>
          <w:highlight w:val="none"/>
          <w:lang w:val="en-US" w:eastAsia="zh-CN" w:bidi="ar-SA"/>
        </w:rPr>
        <w:t>技术参数要求的质保期</w:t>
      </w:r>
      <w:r>
        <w:rPr>
          <w:rFonts w:hint="eastAsia" w:ascii="宋体" w:hAnsi="宋体" w:cs="宋体"/>
          <w:b w:val="0"/>
          <w:i w:val="0"/>
          <w:caps w:val="0"/>
          <w:color w:val="auto"/>
          <w:spacing w:val="0"/>
          <w:w w:val="100"/>
          <w:kern w:val="2"/>
          <w:sz w:val="24"/>
          <w:szCs w:val="24"/>
          <w:highlight w:val="none"/>
          <w:lang w:val="en-US" w:eastAsia="zh-CN" w:bidi="ar-SA"/>
        </w:rPr>
        <w:t>为准</w:t>
      </w:r>
      <w:r>
        <w:rPr>
          <w:rFonts w:hint="eastAsia" w:ascii="宋体" w:hAnsi="宋体" w:eastAsia="宋体" w:cs="宋体"/>
          <w:b w:val="0"/>
          <w:i w:val="0"/>
          <w:caps w:val="0"/>
          <w:color w:val="auto"/>
          <w:spacing w:val="0"/>
          <w:w w:val="100"/>
          <w:kern w:val="2"/>
          <w:sz w:val="24"/>
          <w:szCs w:val="24"/>
          <w:highlight w:val="none"/>
          <w:lang w:val="en-US" w:eastAsia="zh-CN" w:bidi="ar-SA"/>
        </w:rPr>
        <w:t>（具体以货物需求一览表为准）。</w:t>
      </w:r>
    </w:p>
    <w:p w14:paraId="4AE9070E">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6" w:name="_Toc10940"/>
      <w:r>
        <w:rPr>
          <w:rFonts w:hint="eastAsia" w:ascii="宋体" w:hAnsi="宋体" w:eastAsia="宋体" w:cs="宋体"/>
          <w:b/>
          <w:color w:val="auto"/>
          <w:kern w:val="0"/>
          <w:sz w:val="28"/>
          <w:szCs w:val="28"/>
          <w:highlight w:val="none"/>
          <w:lang w:val="en-US" w:eastAsia="zh-CN" w:bidi="ar-SA"/>
        </w:rPr>
        <w:t>（四）售后服务</w:t>
      </w:r>
      <w:bookmarkEnd w:id="376"/>
    </w:p>
    <w:p w14:paraId="767E2B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w:t>
      </w:r>
      <w:r>
        <w:rPr>
          <w:rFonts w:hint="eastAsia" w:ascii="宋体" w:hAnsi="宋体" w:cs="宋体"/>
          <w:b w:val="0"/>
          <w:i w:val="0"/>
          <w:caps w:val="0"/>
          <w:color w:val="auto"/>
          <w:spacing w:val="0"/>
          <w:w w:val="100"/>
          <w:kern w:val="2"/>
          <w:sz w:val="24"/>
          <w:szCs w:val="24"/>
          <w:highlight w:val="none"/>
          <w:lang w:val="en-US" w:eastAsia="zh-CN" w:bidi="ar-SA"/>
        </w:rPr>
        <w:t>质保期</w:t>
      </w:r>
      <w:r>
        <w:rPr>
          <w:rFonts w:hint="eastAsia" w:ascii="宋体" w:hAnsi="宋体" w:eastAsia="宋体" w:cs="宋体"/>
          <w:b w:val="0"/>
          <w:i w:val="0"/>
          <w:caps w:val="0"/>
          <w:color w:val="auto"/>
          <w:spacing w:val="0"/>
          <w:w w:val="100"/>
          <w:kern w:val="2"/>
          <w:sz w:val="24"/>
          <w:szCs w:val="24"/>
          <w:highlight w:val="none"/>
          <w:lang w:val="en-US" w:eastAsia="zh-CN" w:bidi="ar-SA"/>
        </w:rPr>
        <w:t>内不定期免费进行状态检测。</w:t>
      </w:r>
    </w:p>
    <w:p w14:paraId="50DCE55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（2）在质保期内，派遣维修或技术人员巡访设备使用单位，协助并指导运维人员进行日常维护保养工作，并与直接使用人交流设备使用相关事宜。</w:t>
      </w:r>
    </w:p>
    <w:p w14:paraId="2317B9B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（3）供应商必须积极配合采购人共同参与项目验收。主动向采购方有关技术人员在使用现场提供全套技术指导及培训。</w:t>
      </w:r>
    </w:p>
    <w:p w14:paraId="22219E8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（4）供应商应派相关技术人员到现场免费进行指导安装，解决安装过程中的相关问题。  </w:t>
      </w:r>
    </w:p>
    <w:p w14:paraId="79EF360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（5）售后服务承诺：供应商应对质保期内及其以后的服务做出承诺，并具有切实可行的措施,不能及时兑现服务承诺内容而影响使用方使用，供应商应当给予补偿。</w:t>
      </w:r>
    </w:p>
    <w:p w14:paraId="25A3E55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（6）如收到服务需求不合要求情况，可双方协商决定，但决定权在购买方，购买方有权利退回所购买产品。</w:t>
      </w:r>
    </w:p>
    <w:p w14:paraId="3F6D820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7" w:name="_Toc5685"/>
      <w:r>
        <w:rPr>
          <w:rFonts w:hint="eastAsia" w:ascii="宋体" w:hAnsi="宋体" w:eastAsia="宋体" w:cs="宋体"/>
          <w:b/>
          <w:color w:val="auto"/>
          <w:kern w:val="0"/>
          <w:sz w:val="28"/>
          <w:szCs w:val="28"/>
          <w:highlight w:val="none"/>
          <w:lang w:val="en-US" w:eastAsia="zh-CN" w:bidi="ar-SA"/>
        </w:rPr>
        <w:t>（五）实施方案及培训方案</w:t>
      </w:r>
      <w:bookmarkEnd w:id="377"/>
    </w:p>
    <w:p w14:paraId="319A3EF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（1）仪器的安装、调试：由厂家专职工程师负责，到医院现场安装、调试达正常使用状态。</w:t>
      </w:r>
    </w:p>
    <w:p w14:paraId="35529DF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（2）供应商应保证供货设备在项目实施过程中</w:t>
      </w:r>
    </w:p>
    <w:p w14:paraId="75A36C0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color w:val="auto"/>
          <w:kern w:val="2"/>
          <w:sz w:val="24"/>
          <w:szCs w:val="24"/>
          <w:highlight w:val="none"/>
          <w:lang w:val="en-US" w:eastAsia="zh-CN" w:bidi="ar-SA"/>
        </w:rPr>
        <w:t>：</w:t>
      </w:r>
    </w:p>
    <w:p w14:paraId="1F13D3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（1）项目详细工作内容，说明项目的工作范围、具体内容和技术要求等，这一部分内容能量化的指标尽可能量化；</w:t>
      </w:r>
    </w:p>
    <w:p w14:paraId="6FB1491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（2）项目实施所采取的方法手段；</w:t>
      </w:r>
    </w:p>
    <w:p w14:paraId="2D5511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（3）预期效果，说明项目完成时所达到的效果；说明承担单位、协作单位和各自分工的主要内容。</w:t>
      </w:r>
    </w:p>
    <w:p w14:paraId="463879B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设备管理及维护</w:t>
      </w:r>
      <w:r>
        <w:rPr>
          <w:rFonts w:hint="eastAsia" w:ascii="宋体" w:hAnsi="宋体" w:eastAsia="宋体" w:cs="宋体"/>
          <w:color w:val="auto"/>
          <w:kern w:val="2"/>
          <w:sz w:val="24"/>
          <w:szCs w:val="24"/>
          <w:highlight w:val="none"/>
          <w:lang w:val="en-US" w:eastAsia="zh-CN" w:bidi="ar-SA"/>
        </w:rPr>
        <w:t>：</w:t>
      </w:r>
    </w:p>
    <w:p w14:paraId="7A44EEC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（1）设备管理方案；（2）设备维护及保养方案。</w:t>
      </w:r>
    </w:p>
    <w:p w14:paraId="17D38D8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进度安排：</w:t>
      </w:r>
      <w:r>
        <w:rPr>
          <w:rFonts w:hint="eastAsia" w:ascii="宋体" w:hAnsi="宋体" w:eastAsia="宋体" w:cs="宋体"/>
          <w:b w:val="0"/>
          <w:bCs w:val="0"/>
          <w:i w:val="0"/>
          <w:caps w:val="0"/>
          <w:color w:val="auto"/>
          <w:spacing w:val="0"/>
          <w:w w:val="100"/>
          <w:kern w:val="2"/>
          <w:sz w:val="24"/>
          <w:szCs w:val="24"/>
          <w:highlight w:val="none"/>
          <w:lang w:val="en-US" w:eastAsia="zh-CN" w:bidi="ar-SA"/>
        </w:rPr>
        <w:t>项目工作进度安排，详细说明各阶段工作安排的时间和项目工作内容完成的时间，尽力让项目实施的时间进度与方案所计划的时间吻合；</w:t>
      </w:r>
    </w:p>
    <w:p w14:paraId="3E43AD1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供货安装：</w:t>
      </w:r>
      <w:r>
        <w:rPr>
          <w:rFonts w:hint="eastAsia" w:ascii="宋体" w:hAnsi="宋体" w:eastAsia="宋体" w:cs="宋体"/>
          <w:b w:val="0"/>
          <w:bCs w:val="0"/>
          <w:i w:val="0"/>
          <w:caps w:val="0"/>
          <w:color w:val="auto"/>
          <w:spacing w:val="0"/>
          <w:w w:val="100"/>
          <w:kern w:val="2"/>
          <w:sz w:val="24"/>
          <w:szCs w:val="24"/>
          <w:highlight w:val="none"/>
          <w:lang w:val="en-US" w:eastAsia="zh-CN" w:bidi="ar-SA"/>
        </w:rPr>
        <w:t>供货的流程、安装流程应在方案中写明。（注：可提供流程图。）</w:t>
      </w:r>
    </w:p>
    <w:p w14:paraId="5131AFE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项目安全措施：</w:t>
      </w:r>
    </w:p>
    <w:p w14:paraId="3DC712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（1）方针、目标；（2）安全管理机构；（3）安全措施；（4）安全教育等。</w:t>
      </w:r>
    </w:p>
    <w:p w14:paraId="474DF91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应急处理：</w:t>
      </w:r>
      <w:r>
        <w:rPr>
          <w:rFonts w:hint="eastAsia" w:ascii="宋体" w:hAnsi="宋体" w:eastAsia="宋体" w:cs="宋体"/>
          <w:b w:val="0"/>
          <w:bCs w:val="0"/>
          <w:i w:val="0"/>
          <w:caps w:val="0"/>
          <w:color w:val="auto"/>
          <w:spacing w:val="0"/>
          <w:w w:val="100"/>
          <w:kern w:val="2"/>
          <w:sz w:val="24"/>
          <w:szCs w:val="24"/>
          <w:highlight w:val="none"/>
          <w:lang w:val="en-US" w:eastAsia="zh-CN" w:bidi="ar-SA"/>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50C21D7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培训方案：</w:t>
      </w:r>
      <w:r>
        <w:rPr>
          <w:rFonts w:hint="eastAsia" w:ascii="宋体" w:hAnsi="宋体" w:eastAsia="宋体" w:cs="宋体"/>
          <w:b w:val="0"/>
          <w:bCs w:val="0"/>
          <w:i w:val="0"/>
          <w:caps w:val="0"/>
          <w:color w:val="auto"/>
          <w:spacing w:val="0"/>
          <w:w w:val="100"/>
          <w:kern w:val="2"/>
          <w:sz w:val="24"/>
          <w:szCs w:val="24"/>
          <w:highlight w:val="none"/>
          <w:lang w:val="en-US" w:eastAsia="zh-CN" w:bidi="ar-SA"/>
        </w:rPr>
        <w:t>培训计划情况，应含详细合理的培训方案（包含：①培训时间；②培训地点；③培训产品基本原理、④操作使用和保养维修；⑤培训方式；培训方案中包含以上每项内容，且方案切实可行，满足采购方需求。针对本院实际情况指定培训计划，卖方应提供技术培训，保证使用人员正常操作设备的各种功能（厂家工程师驻场培训、网路在线培训）。在质保期内为采购人提供至少2人的培训服务，确保用户方至少2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14:paraId="5F22ACB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供应商在制作实施方案及培训方案时可根据实际情况进行拓展（包括但不限于以上内容），本项目采购货物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3B59F3E9">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8" w:name="_Toc19257"/>
      <w:r>
        <w:rPr>
          <w:rFonts w:hint="eastAsia" w:ascii="宋体" w:hAnsi="宋体" w:eastAsia="宋体" w:cs="宋体"/>
          <w:b/>
          <w:color w:val="auto"/>
          <w:kern w:val="0"/>
          <w:sz w:val="28"/>
          <w:szCs w:val="28"/>
          <w:highlight w:val="none"/>
          <w:lang w:val="en-US" w:eastAsia="zh-CN" w:bidi="ar-SA"/>
        </w:rPr>
        <w:t>（六）验收</w:t>
      </w:r>
      <w:bookmarkEnd w:id="378"/>
    </w:p>
    <w:p w14:paraId="2160038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（1）验收主体：</w:t>
      </w:r>
      <w:r>
        <w:rPr>
          <w:rFonts w:hint="eastAsia" w:ascii="宋体" w:hAnsi="宋体" w:cs="宋体"/>
          <w:b w:val="0"/>
          <w:i w:val="0"/>
          <w:caps w:val="0"/>
          <w:color w:val="auto"/>
          <w:spacing w:val="0"/>
          <w:w w:val="100"/>
          <w:kern w:val="2"/>
          <w:sz w:val="24"/>
          <w:szCs w:val="24"/>
          <w:highlight w:val="none"/>
          <w:lang w:val="en-US" w:eastAsia="zh-CN" w:bidi="ar-SA"/>
        </w:rPr>
        <w:t>泽普县人民医院</w:t>
      </w:r>
    </w:p>
    <w:p w14:paraId="6228330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（2）验收时间：送货安装调试完毕后。</w:t>
      </w:r>
    </w:p>
    <w:p w14:paraId="6817AD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（3）验收方式：现场验收</w:t>
      </w:r>
    </w:p>
    <w:p w14:paraId="30F58F7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4A02BA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（5）验收内容：采购清单内设备、装备数量进行验收。</w:t>
      </w:r>
    </w:p>
    <w:p w14:paraId="3EFA303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45BB872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（7）强制检定、非强制检定设备验收之前，供应商负责找国家权威质量检测机构或第三方机构进行首次检定或校准，并提供检定或校准证书，费用由供应商承担。</w:t>
      </w:r>
    </w:p>
    <w:p w14:paraId="4FA2350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（8）设备验收时，采购单位可以委托招标代理机构邀请政采云专家库的相关专业正式专家参加验收工作，专家费用须由中标供应商承担。</w:t>
      </w:r>
    </w:p>
    <w:p w14:paraId="002C655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9" w:name="_Toc10190"/>
      <w:r>
        <w:rPr>
          <w:rFonts w:hint="eastAsia" w:ascii="宋体" w:hAnsi="宋体" w:eastAsia="宋体" w:cs="宋体"/>
          <w:b/>
          <w:color w:val="auto"/>
          <w:kern w:val="0"/>
          <w:sz w:val="28"/>
          <w:szCs w:val="28"/>
          <w:highlight w:val="none"/>
          <w:lang w:val="en-US" w:eastAsia="zh-CN" w:bidi="ar-SA"/>
        </w:rPr>
        <w:t>（七）其他要求</w:t>
      </w:r>
      <w:bookmarkEnd w:id="379"/>
    </w:p>
    <w:p w14:paraId="03DFE6E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（1）所有软件接口费由中标供应商承担（如有）。</w:t>
      </w:r>
    </w:p>
    <w:p w14:paraId="011109B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（2）为保证产品质量，投标文件内须提供产品彩页或使用说明书或原厂公开发表的证明文件或由国家权威质量检测机构或第三方机构出具的符合参数要求的完整的检测检验报告作为技术证明文件。</w:t>
      </w:r>
    </w:p>
    <w:p w14:paraId="6A9AA23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（3）为了保障项目质量及售后服务要求，中标人不得再以任何方式转包和违法分包本项目，否则采购方有权终止合同,所有损失由该中标人承担。</w:t>
      </w:r>
    </w:p>
    <w:p w14:paraId="0BA65BE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（4）所有设备均应配备快速操作指南。</w:t>
      </w:r>
    </w:p>
    <w:p w14:paraId="1BEC9B5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（5）其他未尽事宜由供需双方在采购合同中详细约定，最终解释权归泽普县人民医院所有。</w:t>
      </w:r>
    </w:p>
    <w:p w14:paraId="1E3714F0">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33C78402">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1A6746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7CE53CAF">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7DD69B3">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646966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290A1BC7">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F4367F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27F09F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FFFF14E">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4CD5054">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7B9CAB4">
      <w:pPr>
        <w:pStyle w:val="2"/>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80" w:name="_Toc23331"/>
      <w:bookmarkStart w:id="381" w:name="_Toc32647"/>
      <w:bookmarkStart w:id="382" w:name="_Toc515647832"/>
      <w:bookmarkStart w:id="383" w:name="_Toc7971"/>
      <w:bookmarkStart w:id="384" w:name="_Toc50739990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80"/>
      <w:bookmarkEnd w:id="381"/>
      <w:bookmarkEnd w:id="382"/>
      <w:bookmarkEnd w:id="383"/>
      <w:bookmarkEnd w:id="384"/>
    </w:p>
    <w:p w14:paraId="7C5B63D5">
      <w:pPr>
        <w:pStyle w:val="9"/>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喀什地区泽普县紧密型县域医共体资源共享中心、中心药房及次中心建设项目四标段</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采购代理机构将递交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1"/>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4"/>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w:t>
      </w:r>
      <w:r>
        <w:rPr>
          <w:rFonts w:hint="eastAsia" w:ascii="宋体" w:hAnsi="宋体" w:eastAsia="宋体" w:cs="宋体"/>
          <w:color w:val="auto"/>
          <w:sz w:val="24"/>
          <w:highlight w:val="none"/>
          <w:lang w:val="en-US" w:eastAsia="zh-CN"/>
        </w:rPr>
        <w:t>组建的评审小组，负责评审工作；本项目评审专家由</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人组成（</w:t>
      </w:r>
      <w:r>
        <w:rPr>
          <w:rFonts w:hint="eastAsia" w:hAnsi="宋体" w:cs="宋体"/>
          <w:color w:val="auto"/>
          <w:sz w:val="24"/>
          <w:highlight w:val="none"/>
          <w:lang w:val="en-US" w:eastAsia="zh-CN"/>
        </w:rPr>
        <w:t>其中业主代表一名，</w:t>
      </w:r>
      <w:r>
        <w:rPr>
          <w:rFonts w:hint="eastAsia" w:ascii="宋体" w:hAnsi="宋体" w:eastAsia="宋体" w:cs="宋体"/>
          <w:color w:val="auto"/>
          <w:sz w:val="24"/>
          <w:highlight w:val="none"/>
          <w:lang w:val="en-US" w:eastAsia="zh-CN"/>
        </w:rPr>
        <w:t>政采云随机抽取专家</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名）。</w:t>
      </w:r>
    </w:p>
    <w:p w14:paraId="74407CAF">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2、本项目采用综合评分法：总分100分，其中报价分值30分，商务及技术部分得分70分。</w:t>
      </w:r>
    </w:p>
    <w:p w14:paraId="63E3E774">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4"/>
          <w:sz w:val="24"/>
          <w:szCs w:val="24"/>
          <w:highlight w:val="none"/>
          <w:lang w:val="en-US" w:eastAsia="zh-CN"/>
        </w:rPr>
        <w:t>3、评审委员会成员到齐</w:t>
      </w:r>
      <w:r>
        <w:rPr>
          <w:rFonts w:hint="eastAsia" w:ascii="宋体" w:hAnsi="宋体" w:eastAsia="宋体" w:cs="宋体"/>
          <w:b w:val="0"/>
          <w:bCs w:val="0"/>
          <w:color w:val="auto"/>
          <w:highlight w:val="none"/>
          <w:lang w:val="en-US" w:eastAsia="zh-CN"/>
        </w:rPr>
        <w:t>后，推选评审委员会组长。依据招标文件和投标文件进行认真查阅。审查响文件是否完整，是否有计算错误，要求的投标保证金是否提供，文件是否恰当地签署；</w:t>
      </w:r>
    </w:p>
    <w:p w14:paraId="7DB5143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9"/>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9"/>
        <w:keepNext w:val="0"/>
        <w:keepLines w:val="0"/>
        <w:pageBreakBefore w:val="0"/>
        <w:numPr>
          <w:ilvl w:val="0"/>
          <w:numId w:val="4"/>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9"/>
        <w:keepNext w:val="0"/>
        <w:keepLines w:val="0"/>
        <w:pageBreakBefore w:val="0"/>
        <w:numPr>
          <w:ilvl w:val="0"/>
          <w:numId w:val="5"/>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9"/>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both"/>
        <w:outlineLvl w:val="0"/>
        <w:rPr>
          <w:rFonts w:hint="eastAsia" w:ascii="宋体" w:hAnsi="宋体" w:eastAsia="宋体" w:cs="宋体"/>
          <w:b/>
          <w:color w:val="auto"/>
          <w:sz w:val="32"/>
          <w:szCs w:val="32"/>
          <w:highlight w:val="none"/>
        </w:rPr>
      </w:pPr>
    </w:p>
    <w:p w14:paraId="71DAAD81">
      <w:pPr>
        <w:spacing w:line="440" w:lineRule="exact"/>
        <w:jc w:val="both"/>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881"/>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661"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881"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088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1244"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1D7BC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12" w:type="dxa"/>
            <w:noWrap w:val="0"/>
            <w:vAlign w:val="center"/>
          </w:tcPr>
          <w:p w14:paraId="204D4F0E">
            <w:pPr>
              <w:pStyle w:val="84"/>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SA"/>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4）供应商需具备有效的《辐射安全许可证》；</w:t>
            </w:r>
          </w:p>
        </w:tc>
        <w:tc>
          <w:tcPr>
            <w:tcW w:w="780" w:type="dxa"/>
            <w:noWrap w:val="0"/>
            <w:vAlign w:val="top"/>
          </w:tcPr>
          <w:p w14:paraId="3698406E">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140B3521">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D476CFE">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具有良好的商业信誉和健全的财务会计制度，提供2024年度或2025年度经会计师事务所出具财务审计报告（2026年新成立的公司须</w:t>
            </w:r>
            <w:r>
              <w:rPr>
                <w:rFonts w:hint="eastAsia" w:ascii="宋体" w:hAnsi="宋体" w:cs="宋体"/>
                <w:bCs/>
                <w:color w:val="auto"/>
                <w:szCs w:val="21"/>
                <w:highlight w:val="none"/>
                <w:lang w:val="en-US" w:eastAsia="zh-CN"/>
              </w:rPr>
              <w:t>提供近三个月任意一个月</w:t>
            </w:r>
            <w:r>
              <w:rPr>
                <w:rFonts w:hint="eastAsia" w:ascii="宋体" w:hAnsi="宋体" w:eastAsia="宋体" w:cs="宋体"/>
                <w:bCs/>
                <w:color w:val="auto"/>
                <w:szCs w:val="21"/>
                <w:highlight w:val="none"/>
                <w:lang w:val="en-US" w:eastAsia="zh-CN"/>
              </w:rPr>
              <w:t>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5</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6</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7</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8</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spacing w:line="440" w:lineRule="exact"/>
              <w:jc w:val="center"/>
              <w:outlineLvl w:val="0"/>
              <w:rPr>
                <w:rFonts w:hint="eastAsia" w:ascii="宋体" w:hAnsi="宋体" w:eastAsia="宋体" w:cs="宋体"/>
                <w:bCs/>
                <w:color w:val="auto"/>
                <w:szCs w:val="21"/>
                <w:highlight w:val="none"/>
              </w:rPr>
            </w:pPr>
          </w:p>
        </w:tc>
        <w:tc>
          <w:tcPr>
            <w:tcW w:w="601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661"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6793ECF1">
      <w:pPr>
        <w:pStyle w:val="5"/>
        <w:ind w:firstLine="0"/>
        <w:rPr>
          <w:rFonts w:hint="eastAsia" w:ascii="宋体" w:hAnsi="宋体" w:eastAsia="宋体" w:cs="宋体"/>
          <w:b/>
          <w:color w:val="auto"/>
          <w:sz w:val="32"/>
          <w:szCs w:val="32"/>
          <w:highlight w:val="none"/>
        </w:rPr>
      </w:pPr>
    </w:p>
    <w:p w14:paraId="03A36C94">
      <w:pPr>
        <w:rPr>
          <w:rFonts w:hint="eastAsia" w:ascii="宋体" w:hAnsi="宋体" w:eastAsia="宋体" w:cs="宋体"/>
          <w:color w:val="auto"/>
          <w:highlight w:val="none"/>
        </w:rPr>
      </w:pPr>
    </w:p>
    <w:p w14:paraId="0A009A76">
      <w:pPr>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4"/>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45EA7318">
      <w:pPr>
        <w:pStyle w:val="9"/>
        <w:tabs>
          <w:tab w:val="clear" w:pos="567"/>
        </w:tabs>
        <w:spacing w:before="0" w:line="360" w:lineRule="auto"/>
        <w:rPr>
          <w:rFonts w:hint="eastAsia" w:ascii="宋体" w:hAnsi="宋体" w:eastAsia="宋体" w:cs="宋体"/>
          <w:color w:val="auto"/>
          <w:highlight w:val="none"/>
        </w:rPr>
      </w:pPr>
    </w:p>
    <w:p w14:paraId="7369567C">
      <w:pPr>
        <w:pStyle w:val="3"/>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6"/>
        <w:gridCol w:w="6130"/>
        <w:gridCol w:w="977"/>
      </w:tblGrid>
      <w:tr w14:paraId="213A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1" w:type="pct"/>
            <w:noWrap w:val="0"/>
            <w:vAlign w:val="center"/>
          </w:tcPr>
          <w:p w14:paraId="446BD65F">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lang w:val="en-US" w:eastAsia="zh-CN"/>
              </w:rPr>
            </w:pPr>
            <w:bookmarkStart w:id="385" w:name="_Toc507399904"/>
            <w:r>
              <w:rPr>
                <w:rFonts w:hint="eastAsia" w:ascii="宋体" w:hAnsi="宋体" w:eastAsia="宋体" w:cs="宋体"/>
                <w:b/>
                <w:bCs w:val="0"/>
                <w:color w:val="auto"/>
                <w:sz w:val="21"/>
                <w:szCs w:val="21"/>
                <w:highlight w:val="none"/>
                <w:lang w:val="en-US" w:eastAsia="zh-CN"/>
              </w:rPr>
              <w:t>类型</w:t>
            </w:r>
          </w:p>
        </w:tc>
        <w:tc>
          <w:tcPr>
            <w:tcW w:w="286" w:type="pct"/>
            <w:noWrap w:val="0"/>
            <w:vAlign w:val="center"/>
          </w:tcPr>
          <w:p w14:paraId="2C43DF89">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3607" w:type="pct"/>
            <w:noWrap w:val="0"/>
            <w:vAlign w:val="center"/>
          </w:tcPr>
          <w:p w14:paraId="15CE648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14:paraId="5B540442">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价格：30分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商务：</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技术：</w:t>
            </w:r>
            <w:r>
              <w:rPr>
                <w:rFonts w:hint="eastAsia" w:ascii="宋体" w:hAnsi="宋体" w:eastAsia="宋体" w:cs="宋体"/>
                <w:b/>
                <w:bCs/>
                <w:color w:val="auto"/>
                <w:sz w:val="21"/>
                <w:szCs w:val="21"/>
                <w:highlight w:val="none"/>
                <w:lang w:val="en-US" w:eastAsia="zh-CN"/>
              </w:rPr>
              <w:t>6</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分       </w:t>
            </w:r>
            <w:r>
              <w:rPr>
                <w:rFonts w:hint="eastAsia" w:ascii="宋体" w:hAnsi="宋体" w:eastAsia="宋体" w:cs="宋体"/>
                <w:color w:val="auto"/>
                <w:sz w:val="21"/>
                <w:szCs w:val="21"/>
                <w:highlight w:val="none"/>
              </w:rPr>
              <w:t xml:space="preserve">       </w:t>
            </w:r>
          </w:p>
        </w:tc>
        <w:tc>
          <w:tcPr>
            <w:tcW w:w="575" w:type="pct"/>
            <w:noWrap w:val="0"/>
            <w:vAlign w:val="center"/>
          </w:tcPr>
          <w:p w14:paraId="1F2F714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498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1" w:type="pct"/>
            <w:noWrap w:val="0"/>
            <w:vAlign w:val="center"/>
          </w:tcPr>
          <w:p w14:paraId="65180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价格评分标准（30分）</w:t>
            </w:r>
          </w:p>
        </w:tc>
        <w:tc>
          <w:tcPr>
            <w:tcW w:w="286" w:type="pct"/>
            <w:noWrap w:val="0"/>
            <w:vAlign w:val="center"/>
          </w:tcPr>
          <w:p w14:paraId="13E9F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30</w:t>
            </w:r>
          </w:p>
        </w:tc>
        <w:tc>
          <w:tcPr>
            <w:tcW w:w="3607" w:type="pct"/>
            <w:noWrap w:val="0"/>
            <w:vAlign w:val="center"/>
          </w:tcPr>
          <w:p w14:paraId="1265A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投标报价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完全满足招标文件</w:t>
            </w:r>
            <w:r>
              <w:rPr>
                <w:rFonts w:hint="eastAsia" w:ascii="宋体" w:hAnsi="宋体" w:eastAsia="宋体" w:cs="宋体"/>
                <w:color w:val="auto"/>
                <w:sz w:val="21"/>
                <w:szCs w:val="21"/>
                <w:highlight w:val="none"/>
                <w:lang w:val="en-US" w:eastAsia="zh-CN"/>
              </w:rPr>
              <w:t>实质性要求</w:t>
            </w:r>
            <w:r>
              <w:rPr>
                <w:rFonts w:hint="eastAsia" w:ascii="宋体" w:hAnsi="宋体" w:eastAsia="宋体" w:cs="宋体"/>
                <w:color w:val="auto"/>
                <w:sz w:val="21"/>
                <w:szCs w:val="21"/>
                <w:highlight w:val="none"/>
              </w:rPr>
              <w:t>的投标报价中的最低价为评标基准价，按照下列公式计算每个供应商的投标价格得分。投标报价得分＝（基准价/投标报价）×价格权重×100。</w:t>
            </w:r>
          </w:p>
          <w:p w14:paraId="25122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根据《政府采购促进中小企业发展管理办法》（财库﹝2020﹞46号）、《关于进一步加大政府采购支持中小企业力度的通知》（财库〔2022〕19号）的规定，对小型和微型企业给予10%的价格扣除，用扣除后的价格参与评标，提供相关证明资料，否则无效。残疾人福利性单位属于小型、微型企业的，不重复享受政策。）</w:t>
            </w:r>
          </w:p>
        </w:tc>
        <w:tc>
          <w:tcPr>
            <w:tcW w:w="575" w:type="pct"/>
            <w:noWrap w:val="0"/>
            <w:vAlign w:val="center"/>
          </w:tcPr>
          <w:p w14:paraId="4B348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投标报价超过采购</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的按废标处理</w:t>
            </w:r>
          </w:p>
        </w:tc>
      </w:tr>
      <w:tr w14:paraId="76A4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restart"/>
            <w:noWrap w:val="0"/>
            <w:vAlign w:val="center"/>
          </w:tcPr>
          <w:p w14:paraId="271D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分）</w:t>
            </w:r>
          </w:p>
        </w:tc>
        <w:tc>
          <w:tcPr>
            <w:tcW w:w="488" w:type="dxa"/>
            <w:noWrap w:val="0"/>
            <w:vAlign w:val="center"/>
          </w:tcPr>
          <w:p w14:paraId="1094C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79016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所投产品（核心产品）的</w:t>
            </w:r>
            <w:r>
              <w:rPr>
                <w:rFonts w:hint="eastAsia" w:ascii="宋体" w:hAnsi="宋体" w:eastAsia="宋体" w:cs="宋体"/>
                <w:color w:val="auto"/>
                <w:kern w:val="0"/>
                <w:sz w:val="21"/>
                <w:szCs w:val="21"/>
                <w:highlight w:val="none"/>
                <w:lang w:val="en-US" w:eastAsia="zh-CN"/>
              </w:rPr>
              <w:t>近三年内</w:t>
            </w:r>
            <w:r>
              <w:rPr>
                <w:rFonts w:hint="eastAsia" w:ascii="宋体" w:hAnsi="宋体" w:cs="宋体"/>
                <w:color w:val="auto"/>
                <w:kern w:val="0"/>
                <w:sz w:val="21"/>
                <w:szCs w:val="21"/>
                <w:highlight w:val="none"/>
                <w:lang w:val="en-US" w:eastAsia="zh-CN"/>
              </w:rPr>
              <w:t>同类</w:t>
            </w:r>
            <w:r>
              <w:rPr>
                <w:rFonts w:hint="eastAsia" w:ascii="宋体" w:hAnsi="宋体" w:eastAsia="宋体" w:cs="宋体"/>
                <w:color w:val="auto"/>
                <w:kern w:val="0"/>
                <w:sz w:val="21"/>
                <w:szCs w:val="21"/>
                <w:highlight w:val="none"/>
                <w:lang w:val="en-US" w:eastAsia="zh-CN"/>
              </w:rPr>
              <w:t>项目业绩证明材料（投标文件内附中标通知书及合同扫描件），每提供一份业绩证明材料得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分，本项最高得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分，未提供的不得分。</w:t>
            </w:r>
          </w:p>
          <w:p w14:paraId="7ED5C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年</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月至</w:t>
            </w:r>
            <w:r>
              <w:rPr>
                <w:rFonts w:hint="eastAsia" w:ascii="宋体" w:hAnsi="宋体" w:cs="宋体"/>
                <w:b/>
                <w:bCs/>
                <w:color w:val="auto"/>
                <w:kern w:val="0"/>
                <w:sz w:val="21"/>
                <w:szCs w:val="21"/>
                <w:highlight w:val="none"/>
                <w:lang w:val="en-US" w:eastAsia="zh-CN"/>
              </w:rPr>
              <w:t>投标截止时间</w:t>
            </w:r>
            <w:r>
              <w:rPr>
                <w:rFonts w:hint="eastAsia" w:ascii="宋体" w:hAnsi="宋体" w:eastAsia="宋体" w:cs="宋体"/>
                <w:b/>
                <w:bCs/>
                <w:color w:val="auto"/>
                <w:kern w:val="0"/>
                <w:sz w:val="21"/>
                <w:szCs w:val="21"/>
                <w:highlight w:val="none"/>
                <w:lang w:val="en-US" w:eastAsia="zh-CN"/>
              </w:rPr>
              <w:t>，以合同签订的时间为准；投标文件内须提供业绩中标通知书及合同的扫描件，所提供的业绩证明材料不完整的不得分；同一合同不重复计算得分，分包转包合同无效。）</w:t>
            </w:r>
          </w:p>
        </w:tc>
        <w:tc>
          <w:tcPr>
            <w:tcW w:w="575" w:type="pct"/>
            <w:vMerge w:val="restart"/>
            <w:noWrap w:val="0"/>
            <w:vAlign w:val="center"/>
          </w:tcPr>
          <w:p w14:paraId="691C9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19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continue"/>
            <w:noWrap w:val="0"/>
            <w:vAlign w:val="center"/>
          </w:tcPr>
          <w:p w14:paraId="50BC0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488" w:type="dxa"/>
            <w:noWrap w:val="0"/>
            <w:vAlign w:val="center"/>
          </w:tcPr>
          <w:p w14:paraId="4976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6148" w:type="dxa"/>
            <w:noWrap w:val="0"/>
            <w:vAlign w:val="center"/>
          </w:tcPr>
          <w:p w14:paraId="76F97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1CCBD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6B59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7F938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5" w:type="pct"/>
            <w:vMerge w:val="continue"/>
            <w:noWrap w:val="0"/>
            <w:vAlign w:val="center"/>
          </w:tcPr>
          <w:p w14:paraId="45231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2CE3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1" w:type="pct"/>
            <w:vMerge w:val="restart"/>
            <w:noWrap w:val="0"/>
            <w:vAlign w:val="center"/>
          </w:tcPr>
          <w:p w14:paraId="37E89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2B8EF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tc>
        <w:tc>
          <w:tcPr>
            <w:tcW w:w="286" w:type="pct"/>
            <w:noWrap w:val="0"/>
            <w:vAlign w:val="center"/>
          </w:tcPr>
          <w:p w14:paraId="4E2C7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43</w:t>
            </w:r>
          </w:p>
        </w:tc>
        <w:tc>
          <w:tcPr>
            <w:tcW w:w="3607" w:type="pct"/>
            <w:noWrap w:val="0"/>
            <w:vAlign w:val="center"/>
          </w:tcPr>
          <w:p w14:paraId="06AC8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lang w:val="en-US" w:eastAsia="zh-CN"/>
              </w:rPr>
              <w:t>根据所投产品的配置与性能指标响应程度打分。完全满足招标要求的得</w:t>
            </w:r>
            <w:r>
              <w:rPr>
                <w:rFonts w:hint="eastAsia" w:ascii="宋体" w:hAnsi="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lang w:val="en-US" w:eastAsia="zh-CN"/>
              </w:rPr>
              <w:t>分。标“★”技术参数为</w:t>
            </w:r>
            <w:r>
              <w:rPr>
                <w:rFonts w:hint="eastAsia" w:ascii="宋体" w:hAnsi="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val="en-US" w:eastAsia="zh-CN"/>
              </w:rPr>
              <w:t>参数，不接受</w:t>
            </w:r>
            <w:r>
              <w:rPr>
                <w:rFonts w:hint="eastAsia" w:ascii="宋体" w:hAnsi="宋体" w:cs="宋体"/>
                <w:color w:val="auto"/>
                <w:kern w:val="0"/>
                <w:sz w:val="21"/>
                <w:szCs w:val="21"/>
                <w:highlight w:val="none"/>
                <w:lang w:val="en-US" w:eastAsia="zh-CN"/>
              </w:rPr>
              <w:t>负</w:t>
            </w:r>
            <w:r>
              <w:rPr>
                <w:rFonts w:hint="eastAsia" w:ascii="宋体" w:hAnsi="宋体" w:eastAsia="宋体" w:cs="宋体"/>
                <w:color w:val="auto"/>
                <w:kern w:val="0"/>
                <w:sz w:val="21"/>
                <w:szCs w:val="21"/>
                <w:highlight w:val="none"/>
                <w:lang w:val="en-US" w:eastAsia="zh-CN"/>
              </w:rPr>
              <w:t>偏离；标“▲”技术参数为重要参数，每有一项负偏离或未响应扣3分；一般参数每有一项负偏离或未响应扣1分，直至扣完为止。</w:t>
            </w:r>
          </w:p>
          <w:p w14:paraId="1E4F3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针对采购需求在投标文件中需详尽真实的提供投标产品的技术规格偏离表，具体由评标委员会根据技术要求细则，对各投标单位投标产品的技术响应情况进行评比打分。</w:t>
            </w:r>
            <w:r>
              <w:rPr>
                <w:rFonts w:hint="eastAsia" w:ascii="宋体" w:hAnsi="宋体" w:cs="宋体"/>
                <w:b/>
                <w:bCs/>
                <w:color w:val="auto"/>
                <w:kern w:val="0"/>
                <w:sz w:val="21"/>
                <w:szCs w:val="21"/>
                <w:highlight w:val="none"/>
                <w:lang w:val="en-US" w:eastAsia="zh-CN"/>
              </w:rPr>
              <w:t>所有参数</w:t>
            </w:r>
            <w:r>
              <w:rPr>
                <w:rFonts w:hint="eastAsia" w:ascii="宋体" w:hAnsi="宋体" w:eastAsia="宋体" w:cs="宋体"/>
                <w:b/>
                <w:bCs/>
                <w:color w:val="auto"/>
                <w:kern w:val="0"/>
                <w:sz w:val="21"/>
                <w:szCs w:val="21"/>
                <w:highlight w:val="none"/>
                <w:lang w:val="en-US" w:eastAsia="zh-CN"/>
              </w:rPr>
              <w:t>需要在投标文件中按照技术参数要求提供相应的证明文件（检测报告或白皮书或产品彩页并有生产厂家盖公章），且均需在技术规格偏离表详尽真实的提供偏差情况，并点对点注明印证资料在投标文件中具体页码，否则视为负偏离。如果证明文件造假将追究一切责任。）</w:t>
            </w:r>
          </w:p>
        </w:tc>
        <w:tc>
          <w:tcPr>
            <w:tcW w:w="575" w:type="pct"/>
            <w:vMerge w:val="restart"/>
            <w:noWrap w:val="0"/>
            <w:vAlign w:val="center"/>
          </w:tcPr>
          <w:p w14:paraId="15489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9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1" w:type="pct"/>
            <w:vMerge w:val="continue"/>
            <w:noWrap w:val="0"/>
            <w:vAlign w:val="center"/>
          </w:tcPr>
          <w:p w14:paraId="0107D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7B0CE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3607" w:type="pct"/>
            <w:noWrap w:val="0"/>
            <w:vAlign w:val="center"/>
          </w:tcPr>
          <w:p w14:paraId="4E71F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color w:val="auto"/>
                <w:kern w:val="0"/>
                <w:sz w:val="21"/>
                <w:szCs w:val="21"/>
                <w:highlight w:val="none"/>
                <w:lang w:val="en-US" w:eastAsia="zh-CN"/>
              </w:rPr>
              <w:t>①实施方案中设备质量、供货安装、项目安全措施、应急处理、进度安排完全满足项目实际要求的得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54149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②项目安装、调试、测试方案合理、逻辑清晰、具有操作性、贴合采购需求，完全满足项目实际要求的得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87F5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③有明确的项目质量管理方案和制度，项目管理机构及职责分配合理，符合项目实际情况，逻辑清晰、具有操作性，完全满足项目实际要求的得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52C9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41F49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25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31" w:type="pct"/>
            <w:vMerge w:val="continue"/>
            <w:noWrap w:val="0"/>
            <w:vAlign w:val="center"/>
          </w:tcPr>
          <w:p w14:paraId="13787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B432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3607" w:type="pct"/>
            <w:noWrap w:val="0"/>
            <w:vAlign w:val="center"/>
          </w:tcPr>
          <w:p w14:paraId="3EF4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内容全面覆盖理论原理、硬件结构、提供线上培训或简单操作指导、故障诊断与排除、安全规范等)；⑤培训方式）培训方案中包含以上每项内容，且方案切实可行，满足采购方需求得5分，每有一项内容缺失的扣1分，每有一项内容阐述不全面、不符合项目实际情况、无法满足采购需求</w:t>
            </w:r>
            <w:r>
              <w:rPr>
                <w:rFonts w:hint="eastAsia" w:ascii="宋体" w:hAnsi="宋体" w:eastAsia="宋体" w:cs="宋体"/>
                <w:color w:val="auto"/>
                <w:kern w:val="0"/>
                <w:sz w:val="21"/>
                <w:szCs w:val="21"/>
                <w:highlight w:val="none"/>
                <w:lang w:val="en-US" w:eastAsia="zh-CN"/>
              </w:rPr>
              <w:t>或内容存在缺陷的</w:t>
            </w:r>
            <w:r>
              <w:rPr>
                <w:rFonts w:hint="eastAsia" w:ascii="宋体" w:hAnsi="宋体" w:eastAsia="宋体" w:cs="宋体"/>
                <w:b w:val="0"/>
                <w:bCs w:val="0"/>
                <w:color w:val="auto"/>
                <w:kern w:val="0"/>
                <w:sz w:val="21"/>
                <w:szCs w:val="21"/>
                <w:highlight w:val="none"/>
                <w:lang w:val="en-US" w:eastAsia="zh-CN"/>
              </w:rPr>
              <w:t>扣0.5分，直至扣完为止。</w:t>
            </w:r>
          </w:p>
          <w:p w14:paraId="2455B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37329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8E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4166F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5342D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6148" w:type="dxa"/>
            <w:noWrap w:val="0"/>
            <w:vAlign w:val="center"/>
          </w:tcPr>
          <w:p w14:paraId="3B54B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color w:val="auto"/>
                <w:sz w:val="21"/>
                <w:szCs w:val="21"/>
                <w:highlight w:val="none"/>
                <w:lang w:val="en-US" w:eastAsia="zh-CN"/>
              </w:rPr>
              <w:t>①供应商根据本项目的采购需求制定售后方案，包括售后维保、技术人员技术支持及咨询服务、在任何时候、任何地点均可享受到终生的免费咨询服务，在接到用户要求维修的通知后，应在2小时内响应、24小时内到达现场。方案完整，逻辑清晰，贴合采购需求，可行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分；方案较为合理，可行性较高的得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分；方案结构混乱，不贴合本项目的采购需求得1分；未提供不得分。</w:t>
            </w:r>
          </w:p>
          <w:p w14:paraId="2BBF1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设有正规完善的售后维修服务机构，有至少2名的专职工程师，按照项目采购需求中要求进行维修响应并排除故障的应急抢修方案，常备配件库房，提供配件库房、维修详细地址及维修工程师姓名、联系电话、设备维修工程师资格证书及身份证、近三个月社保证明复印件。人员要求资料齐全、方案合理可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分；人员要求资料较齐全、方案较合理可行得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分；人员要求资料不齐全、方案不合理可行得1分；未提供不得分。</w:t>
            </w:r>
          </w:p>
        </w:tc>
        <w:tc>
          <w:tcPr>
            <w:tcW w:w="575" w:type="pct"/>
            <w:vMerge w:val="continue"/>
            <w:noWrap w:val="0"/>
            <w:vAlign w:val="center"/>
          </w:tcPr>
          <w:p w14:paraId="608FB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5F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noWrap w:val="0"/>
            <w:vAlign w:val="center"/>
          </w:tcPr>
          <w:p w14:paraId="1BB68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1D576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435D4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w:t>
            </w:r>
            <w:r>
              <w:rPr>
                <w:rFonts w:hint="eastAsia" w:ascii="宋体" w:hAnsi="宋体" w:cs="宋体"/>
                <w:b w:val="0"/>
                <w:bCs w:val="0"/>
                <w:color w:val="auto"/>
                <w:kern w:val="0"/>
                <w:sz w:val="21"/>
                <w:szCs w:val="21"/>
                <w:highlight w:val="none"/>
                <w:lang w:val="en-US" w:eastAsia="zh-CN"/>
              </w:rPr>
              <w:t>所有设备</w:t>
            </w:r>
            <w:r>
              <w:rPr>
                <w:rFonts w:hint="eastAsia" w:ascii="宋体" w:hAnsi="宋体" w:eastAsia="宋体" w:cs="宋体"/>
                <w:b w:val="0"/>
                <w:bCs w:val="0"/>
                <w:color w:val="auto"/>
                <w:kern w:val="0"/>
                <w:sz w:val="21"/>
                <w:szCs w:val="21"/>
                <w:highlight w:val="none"/>
                <w:lang w:val="en-US" w:eastAsia="zh-CN"/>
              </w:rPr>
              <w:t>每多增加一年质保期得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分，本项最高得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p w14:paraId="22344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提供原厂质保承诺函。承诺函格式自拟，须加盖</w:t>
            </w:r>
            <w:r>
              <w:rPr>
                <w:rFonts w:hint="eastAsia" w:ascii="宋体" w:hAnsi="宋体" w:cs="宋体"/>
                <w:b/>
                <w:bCs/>
                <w:color w:val="auto"/>
                <w:kern w:val="0"/>
                <w:sz w:val="21"/>
                <w:szCs w:val="21"/>
                <w:highlight w:val="none"/>
                <w:lang w:val="en-US" w:eastAsia="zh-CN"/>
              </w:rPr>
              <w:t>生成厂家及</w:t>
            </w:r>
            <w:r>
              <w:rPr>
                <w:rFonts w:hint="eastAsia" w:ascii="宋体" w:hAnsi="宋体" w:eastAsia="宋体" w:cs="宋体"/>
                <w:b/>
                <w:bCs/>
                <w:color w:val="auto"/>
                <w:kern w:val="0"/>
                <w:sz w:val="21"/>
                <w:szCs w:val="21"/>
                <w:highlight w:val="none"/>
                <w:lang w:val="en-US" w:eastAsia="zh-CN"/>
              </w:rPr>
              <w:t>供应商公章</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未提供或提供的承诺函不符合要求不得分。）</w:t>
            </w:r>
          </w:p>
        </w:tc>
        <w:tc>
          <w:tcPr>
            <w:tcW w:w="575" w:type="pct"/>
            <w:vMerge w:val="continue"/>
            <w:noWrap w:val="0"/>
            <w:vAlign w:val="center"/>
          </w:tcPr>
          <w:p w14:paraId="6E47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C74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629C0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897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3607" w:type="pct"/>
            <w:noWrap w:val="0"/>
            <w:vAlign w:val="center"/>
          </w:tcPr>
          <w:p w14:paraId="302C8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bookmarkStart w:id="554" w:name="_GoBack"/>
            <w:r>
              <w:rPr>
                <w:rFonts w:hint="eastAsia" w:ascii="宋体" w:hAnsi="宋体" w:eastAsia="宋体" w:cs="宋体"/>
                <w:b/>
                <w:bCs/>
                <w:color w:val="auto"/>
                <w:kern w:val="0"/>
                <w:sz w:val="21"/>
                <w:szCs w:val="21"/>
                <w:highlight w:val="none"/>
                <w:lang w:val="en-US" w:eastAsia="zh-CN"/>
              </w:rPr>
              <w:t>备品备件：</w:t>
            </w:r>
            <w:r>
              <w:rPr>
                <w:rFonts w:hint="eastAsia" w:ascii="宋体" w:hAnsi="宋体" w:eastAsia="宋体" w:cs="宋体"/>
                <w:color w:val="auto"/>
                <w:sz w:val="21"/>
                <w:szCs w:val="21"/>
                <w:highlight w:val="none"/>
                <w:lang w:val="en-US" w:eastAsia="zh-CN"/>
              </w:rPr>
              <w:t>根据供应商在备品备件设备分项报价表中所列明的零部件种类、数量进行打分。种类齐全、数量多的得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分，种类较全、数量一般的得 </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分，种类不齐全、数量不多的得 1分，未提供的不得分。</w:t>
            </w:r>
            <w:bookmarkEnd w:id="554"/>
          </w:p>
        </w:tc>
        <w:tc>
          <w:tcPr>
            <w:tcW w:w="575" w:type="pct"/>
            <w:vMerge w:val="continue"/>
            <w:noWrap w:val="0"/>
            <w:vAlign w:val="center"/>
          </w:tcPr>
          <w:p w14:paraId="75E2A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F318253">
      <w:pPr>
        <w:rPr>
          <w:rFonts w:hint="eastAsia" w:ascii="宋体" w:hAnsi="宋体" w:eastAsia="宋体" w:cs="宋体"/>
          <w:color w:val="auto"/>
          <w:highlight w:val="none"/>
        </w:rPr>
      </w:pPr>
    </w:p>
    <w:p w14:paraId="0AE37CCA">
      <w:pPr>
        <w:rPr>
          <w:rFonts w:hint="eastAsia" w:ascii="宋体" w:hAnsi="宋体" w:eastAsia="宋体" w:cs="宋体"/>
          <w:color w:val="auto"/>
          <w:highlight w:val="none"/>
        </w:rPr>
      </w:pPr>
    </w:p>
    <w:p w14:paraId="185DB93F">
      <w:pPr>
        <w:rPr>
          <w:rFonts w:hint="eastAsia" w:ascii="宋体" w:hAnsi="宋体" w:eastAsia="宋体" w:cs="宋体"/>
          <w:color w:val="auto"/>
          <w:highlight w:val="none"/>
        </w:rPr>
      </w:pPr>
    </w:p>
    <w:p w14:paraId="1242217C">
      <w:pPr>
        <w:rPr>
          <w:rFonts w:hint="eastAsia" w:ascii="宋体" w:hAnsi="宋体" w:eastAsia="宋体" w:cs="宋体"/>
          <w:color w:val="auto"/>
          <w:highlight w:val="none"/>
        </w:rPr>
      </w:pPr>
    </w:p>
    <w:p w14:paraId="6EDBF153">
      <w:pPr>
        <w:rPr>
          <w:rFonts w:hint="eastAsia" w:ascii="宋体" w:hAnsi="宋体" w:eastAsia="宋体" w:cs="宋体"/>
          <w:color w:val="auto"/>
          <w:highlight w:val="none"/>
        </w:rPr>
      </w:pPr>
    </w:p>
    <w:p w14:paraId="7AFFEE16">
      <w:pPr>
        <w:pStyle w:val="2"/>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86" w:name="_Toc4337"/>
      <w:bookmarkStart w:id="387" w:name="_Toc6865"/>
      <w:bookmarkStart w:id="388" w:name="_Toc4796"/>
      <w:bookmarkStart w:id="389" w:name="_Toc515647833"/>
      <w:bookmarkStart w:id="390" w:name="_Toc16468"/>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85"/>
      <w:bookmarkEnd w:id="386"/>
      <w:bookmarkEnd w:id="387"/>
      <w:bookmarkEnd w:id="388"/>
      <w:bookmarkEnd w:id="389"/>
      <w:bookmarkEnd w:id="390"/>
      <w:r>
        <w:rPr>
          <w:rFonts w:hint="eastAsia" w:ascii="宋体" w:hAnsi="宋体" w:eastAsia="宋体" w:cs="宋体"/>
          <w:strike w:val="0"/>
          <w:dstrike w:val="0"/>
          <w:color w:val="auto"/>
          <w:highlight w:val="none"/>
        </w:rPr>
        <w:t>政府采购合同</w:t>
      </w:r>
      <w:bookmarkStart w:id="391" w:name="_Hlt487972895"/>
      <w:bookmarkEnd w:id="391"/>
      <w:bookmarkStart w:id="392" w:name="_Toc487900382"/>
      <w:bookmarkStart w:id="393" w:name="_Toc216513788"/>
    </w:p>
    <w:bookmarkEnd w:id="392"/>
    <w:bookmarkEnd w:id="393"/>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3"/>
        <w:ind w:firstLine="0"/>
        <w:rPr>
          <w:rFonts w:hint="eastAsia" w:ascii="宋体" w:hAnsi="宋体" w:eastAsia="宋体" w:cs="宋体"/>
          <w:color w:val="auto"/>
          <w:szCs w:val="24"/>
          <w:highlight w:val="none"/>
        </w:rPr>
      </w:pPr>
    </w:p>
    <w:p w14:paraId="4A344BDF">
      <w:pPr>
        <w:pStyle w:val="63"/>
        <w:ind w:firstLine="0"/>
        <w:rPr>
          <w:rFonts w:hint="eastAsia" w:ascii="宋体" w:hAnsi="宋体" w:eastAsia="宋体" w:cs="宋体"/>
          <w:color w:val="auto"/>
          <w:szCs w:val="24"/>
          <w:highlight w:val="none"/>
        </w:rPr>
      </w:pPr>
    </w:p>
    <w:p w14:paraId="018DC3C0">
      <w:pPr>
        <w:pStyle w:val="63"/>
        <w:ind w:firstLine="0"/>
        <w:rPr>
          <w:rFonts w:hint="eastAsia" w:ascii="宋体" w:hAnsi="宋体" w:eastAsia="宋体" w:cs="宋体"/>
          <w:color w:val="auto"/>
          <w:szCs w:val="24"/>
          <w:highlight w:val="none"/>
        </w:rPr>
      </w:pPr>
    </w:p>
    <w:p w14:paraId="47396DB3">
      <w:pPr>
        <w:pStyle w:val="63"/>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3"/>
        <w:ind w:firstLine="0"/>
        <w:rPr>
          <w:rFonts w:hint="eastAsia" w:ascii="宋体" w:hAnsi="宋体" w:eastAsia="宋体" w:cs="宋体"/>
          <w:color w:val="auto"/>
          <w:szCs w:val="24"/>
          <w:highlight w:val="none"/>
        </w:rPr>
      </w:pPr>
    </w:p>
    <w:p w14:paraId="05007332">
      <w:pPr>
        <w:pStyle w:val="63"/>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5"/>
        <w:spacing w:before="120" w:line="22" w:lineRule="atLeast"/>
        <w:rPr>
          <w:rFonts w:hint="eastAsia" w:ascii="宋体" w:hAnsi="宋体" w:eastAsia="宋体" w:cs="宋体"/>
          <w:color w:val="auto"/>
          <w:szCs w:val="24"/>
          <w:highlight w:val="none"/>
        </w:rPr>
      </w:pPr>
    </w:p>
    <w:p w14:paraId="471C1121">
      <w:pPr>
        <w:pStyle w:val="75"/>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394" w:name="_Toc2232"/>
      <w:bookmarkStart w:id="395" w:name="_Toc3029"/>
      <w:bookmarkStart w:id="396" w:name="_Toc24059"/>
      <w:r>
        <w:rPr>
          <w:rFonts w:hint="eastAsia" w:ascii="宋体" w:hAnsi="宋体" w:eastAsia="宋体" w:cs="宋体"/>
          <w:b/>
          <w:color w:val="auto"/>
          <w:sz w:val="24"/>
          <w:highlight w:val="none"/>
        </w:rPr>
        <w:t>1.1 合同组成部分</w:t>
      </w:r>
      <w:bookmarkEnd w:id="394"/>
      <w:bookmarkEnd w:id="395"/>
      <w:bookmarkEnd w:id="396"/>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397" w:name="_Toc21295"/>
      <w:bookmarkStart w:id="398" w:name="_Toc27126"/>
      <w:bookmarkStart w:id="399" w:name="_Toc24300"/>
      <w:r>
        <w:rPr>
          <w:rFonts w:hint="eastAsia" w:ascii="宋体" w:hAnsi="宋体" w:eastAsia="宋体" w:cs="宋体"/>
          <w:b/>
          <w:color w:val="auto"/>
          <w:sz w:val="24"/>
          <w:highlight w:val="none"/>
        </w:rPr>
        <w:t>1.2 货物</w:t>
      </w:r>
      <w:bookmarkEnd w:id="397"/>
      <w:bookmarkEnd w:id="398"/>
      <w:bookmarkEnd w:id="399"/>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400" w:name="_Toc21631"/>
      <w:bookmarkStart w:id="401" w:name="_Toc21551"/>
      <w:bookmarkStart w:id="402" w:name="_Toc23292"/>
      <w:r>
        <w:rPr>
          <w:rFonts w:hint="eastAsia" w:ascii="宋体" w:hAnsi="宋体" w:eastAsia="宋体" w:cs="宋体"/>
          <w:b/>
          <w:color w:val="auto"/>
          <w:sz w:val="24"/>
          <w:highlight w:val="none"/>
        </w:rPr>
        <w:t>1.3 价款</w:t>
      </w:r>
      <w:bookmarkEnd w:id="400"/>
      <w:bookmarkEnd w:id="401"/>
      <w:bookmarkEnd w:id="402"/>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1"/>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1"/>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1"/>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1"/>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1"/>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403" w:name="_Toc10340"/>
      <w:bookmarkStart w:id="404" w:name="_Toc1814"/>
      <w:bookmarkStart w:id="405" w:name="_Toc22618"/>
      <w:r>
        <w:rPr>
          <w:rFonts w:hint="eastAsia" w:ascii="宋体" w:hAnsi="宋体" w:eastAsia="宋体" w:cs="宋体"/>
          <w:b/>
          <w:color w:val="auto"/>
          <w:sz w:val="24"/>
          <w:highlight w:val="none"/>
        </w:rPr>
        <w:t>1.4 付款方式和发票开具方式</w:t>
      </w:r>
      <w:bookmarkEnd w:id="403"/>
      <w:bookmarkEnd w:id="404"/>
      <w:bookmarkEnd w:id="405"/>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406" w:name="_Toc2846"/>
      <w:bookmarkStart w:id="407" w:name="_Toc19304"/>
      <w:bookmarkStart w:id="408" w:name="_Toc32071"/>
      <w:r>
        <w:rPr>
          <w:rFonts w:hint="eastAsia" w:ascii="宋体" w:hAnsi="宋体" w:eastAsia="宋体" w:cs="宋体"/>
          <w:b/>
          <w:color w:val="auto"/>
          <w:sz w:val="24"/>
          <w:highlight w:val="none"/>
        </w:rPr>
        <w:t>1.5 货物交付期限、地点和方式</w:t>
      </w:r>
      <w:bookmarkEnd w:id="406"/>
      <w:bookmarkEnd w:id="407"/>
      <w:bookmarkEnd w:id="408"/>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09" w:name="_Toc21423"/>
      <w:bookmarkStart w:id="410" w:name="_Toc19554"/>
      <w:bookmarkStart w:id="411" w:name="_Toc27250"/>
      <w:r>
        <w:rPr>
          <w:rFonts w:hint="eastAsia" w:ascii="宋体" w:hAnsi="宋体" w:eastAsia="宋体" w:cs="宋体"/>
          <w:b/>
          <w:color w:val="auto"/>
          <w:sz w:val="24"/>
          <w:highlight w:val="none"/>
        </w:rPr>
        <w:t>1.6 违约责任</w:t>
      </w:r>
      <w:bookmarkEnd w:id="409"/>
      <w:bookmarkEnd w:id="410"/>
      <w:bookmarkEnd w:id="411"/>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12" w:name="_Toc16021"/>
      <w:bookmarkStart w:id="413" w:name="_Toc28375"/>
      <w:bookmarkStart w:id="414" w:name="_Toc15583"/>
      <w:r>
        <w:rPr>
          <w:rFonts w:hint="eastAsia" w:ascii="宋体" w:hAnsi="宋体" w:eastAsia="宋体" w:cs="宋体"/>
          <w:b/>
          <w:color w:val="auto"/>
          <w:sz w:val="24"/>
          <w:highlight w:val="none"/>
        </w:rPr>
        <w:t>1.7 合同争议的解决</w:t>
      </w:r>
      <w:bookmarkEnd w:id="412"/>
      <w:bookmarkEnd w:id="413"/>
      <w:bookmarkEnd w:id="414"/>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15" w:name="_Toc7245"/>
      <w:bookmarkStart w:id="416" w:name="_Toc11173"/>
      <w:bookmarkStart w:id="417" w:name="_Toc15322"/>
      <w:r>
        <w:rPr>
          <w:rFonts w:hint="eastAsia" w:ascii="宋体" w:hAnsi="宋体" w:eastAsia="宋体" w:cs="宋体"/>
          <w:b/>
          <w:color w:val="auto"/>
          <w:sz w:val="24"/>
          <w:highlight w:val="none"/>
        </w:rPr>
        <w:t>1.8 合同生效</w:t>
      </w:r>
      <w:bookmarkEnd w:id="415"/>
      <w:bookmarkEnd w:id="416"/>
      <w:bookmarkEnd w:id="417"/>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18" w:name="_Toc331685783"/>
    </w:p>
    <w:p w14:paraId="17759892">
      <w:pPr>
        <w:widowControl/>
        <w:spacing w:line="560" w:lineRule="exact"/>
        <w:jc w:val="left"/>
        <w:rPr>
          <w:rFonts w:hint="eastAsia" w:ascii="宋体" w:hAnsi="宋体" w:eastAsia="宋体" w:cs="宋体"/>
          <w:b/>
          <w:color w:val="auto"/>
          <w:highlight w:val="none"/>
        </w:rPr>
      </w:pPr>
    </w:p>
    <w:p w14:paraId="2EAD5C7C">
      <w:pPr>
        <w:pStyle w:val="5"/>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3"/>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18"/>
    </w:p>
    <w:p w14:paraId="466C50DF">
      <w:pPr>
        <w:spacing w:line="560" w:lineRule="exact"/>
        <w:ind w:firstLine="482" w:firstLineChars="200"/>
        <w:outlineLvl w:val="0"/>
        <w:rPr>
          <w:rFonts w:hint="eastAsia" w:ascii="宋体" w:hAnsi="宋体" w:eastAsia="宋体" w:cs="宋体"/>
          <w:b/>
          <w:color w:val="auto"/>
          <w:sz w:val="24"/>
          <w:highlight w:val="none"/>
        </w:rPr>
      </w:pPr>
      <w:bookmarkStart w:id="419" w:name="_Ref467378404"/>
      <w:bookmarkStart w:id="420" w:name="_Ref467379094"/>
      <w:bookmarkStart w:id="421" w:name="_Ref467379195"/>
      <w:bookmarkStart w:id="422" w:name="_Toc16917"/>
      <w:bookmarkStart w:id="423" w:name="_Toc28763"/>
      <w:bookmarkStart w:id="424" w:name="_Ref467378463"/>
      <w:bookmarkStart w:id="425" w:name="_Toc279701240"/>
      <w:bookmarkStart w:id="426" w:name="_Ref467379214"/>
      <w:bookmarkStart w:id="427" w:name="_Toc19614"/>
      <w:bookmarkStart w:id="428" w:name="_Toc487900349"/>
      <w:bookmarkStart w:id="429" w:name="_Toc259093669"/>
      <w:bookmarkStart w:id="430" w:name="_Ref467378499"/>
      <w:bookmarkStart w:id="431" w:name="_Ref467379205"/>
      <w:bookmarkStart w:id="432" w:name="_Ref467379101"/>
      <w:bookmarkStart w:id="433" w:name="_Ref467379109"/>
      <w:bookmarkStart w:id="434" w:name="_Ref467379225"/>
      <w:r>
        <w:rPr>
          <w:rFonts w:hint="eastAsia" w:ascii="宋体" w:hAnsi="宋体" w:eastAsia="宋体" w:cs="宋体"/>
          <w:b/>
          <w:color w:val="auto"/>
          <w:sz w:val="24"/>
          <w:highlight w:val="none"/>
        </w:rPr>
        <w:t>2.1 定义</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35" w:name="_Ref467378840"/>
      <w:r>
        <w:rPr>
          <w:rFonts w:hint="eastAsia" w:ascii="宋体" w:hAnsi="宋体" w:eastAsia="宋体" w:cs="宋体"/>
          <w:color w:val="auto"/>
          <w:sz w:val="24"/>
          <w:highlight w:val="none"/>
        </w:rPr>
        <w:t>2.1.4 “甲方”系指与中标供应商签署合同的采购人</w:t>
      </w:r>
      <w:bookmarkEnd w:id="435"/>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36" w:name="_Ref467379400"/>
      <w:r>
        <w:rPr>
          <w:rFonts w:hint="eastAsia" w:ascii="宋体" w:hAnsi="宋体" w:eastAsia="宋体" w:cs="宋体"/>
          <w:color w:val="auto"/>
          <w:sz w:val="24"/>
          <w:highlight w:val="none"/>
        </w:rPr>
        <w:t>2.1.5 “乙方”系指根据合同约定交付货物的中标供应商</w:t>
      </w:r>
      <w:bookmarkEnd w:id="436"/>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37" w:name="_Ref467379436"/>
      <w:r>
        <w:rPr>
          <w:rFonts w:hint="eastAsia" w:ascii="宋体" w:hAnsi="宋体" w:eastAsia="宋体" w:cs="宋体"/>
          <w:color w:val="auto"/>
          <w:sz w:val="24"/>
          <w:highlight w:val="none"/>
        </w:rPr>
        <w:t>2.1.6 “现场”系指合同约定货物将要运至或者安装的地点。</w:t>
      </w:r>
      <w:bookmarkEnd w:id="437"/>
    </w:p>
    <w:p w14:paraId="7EF35C60">
      <w:pPr>
        <w:spacing w:line="560" w:lineRule="exact"/>
        <w:ind w:firstLine="482" w:firstLineChars="200"/>
        <w:outlineLvl w:val="0"/>
        <w:rPr>
          <w:rFonts w:hint="eastAsia" w:ascii="宋体" w:hAnsi="宋体" w:eastAsia="宋体" w:cs="宋体"/>
          <w:b/>
          <w:color w:val="auto"/>
          <w:sz w:val="24"/>
          <w:highlight w:val="none"/>
        </w:rPr>
      </w:pPr>
      <w:bookmarkStart w:id="438" w:name="_Toc13336"/>
      <w:bookmarkStart w:id="439" w:name="_Toc27635"/>
      <w:bookmarkStart w:id="440" w:name="_Toc259093670"/>
      <w:bookmarkStart w:id="441" w:name="_Toc32504"/>
      <w:bookmarkStart w:id="442" w:name="_Toc279701241"/>
      <w:bookmarkStart w:id="443" w:name="_Toc487900350"/>
      <w:r>
        <w:rPr>
          <w:rFonts w:hint="eastAsia" w:ascii="宋体" w:hAnsi="宋体" w:eastAsia="宋体" w:cs="宋体"/>
          <w:b/>
          <w:color w:val="auto"/>
          <w:sz w:val="24"/>
          <w:highlight w:val="none"/>
        </w:rPr>
        <w:t>2.2 技术规范</w:t>
      </w:r>
      <w:bookmarkEnd w:id="438"/>
      <w:bookmarkEnd w:id="439"/>
      <w:bookmarkEnd w:id="440"/>
      <w:bookmarkEnd w:id="441"/>
      <w:bookmarkEnd w:id="442"/>
      <w:bookmarkEnd w:id="443"/>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44" w:name="_Toc9829"/>
      <w:bookmarkStart w:id="445" w:name="_Toc27853"/>
      <w:bookmarkStart w:id="446" w:name="_Toc259093671"/>
      <w:bookmarkStart w:id="447" w:name="_Toc31634"/>
      <w:bookmarkStart w:id="448" w:name="_Toc279701242"/>
      <w:bookmarkStart w:id="449" w:name="_Toc487900351"/>
      <w:r>
        <w:rPr>
          <w:rFonts w:hint="eastAsia" w:ascii="宋体" w:hAnsi="宋体" w:eastAsia="宋体" w:cs="宋体"/>
          <w:b/>
          <w:color w:val="auto"/>
          <w:sz w:val="24"/>
          <w:highlight w:val="none"/>
        </w:rPr>
        <w:t>2.3 知识产权</w:t>
      </w:r>
      <w:bookmarkEnd w:id="444"/>
      <w:bookmarkEnd w:id="445"/>
      <w:bookmarkEnd w:id="446"/>
      <w:bookmarkEnd w:id="447"/>
      <w:bookmarkEnd w:id="448"/>
      <w:bookmarkEnd w:id="449"/>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50" w:name="_Toc11932"/>
      <w:bookmarkStart w:id="451" w:name="_Toc29149"/>
      <w:bookmarkStart w:id="452" w:name="_Toc4194"/>
      <w:r>
        <w:rPr>
          <w:rFonts w:hint="eastAsia" w:ascii="宋体" w:hAnsi="宋体" w:eastAsia="宋体" w:cs="宋体"/>
          <w:b/>
          <w:color w:val="auto"/>
          <w:sz w:val="24"/>
          <w:highlight w:val="none"/>
        </w:rPr>
        <w:t>2.4 包装和装运</w:t>
      </w:r>
      <w:bookmarkEnd w:id="450"/>
      <w:bookmarkEnd w:id="451"/>
      <w:bookmarkEnd w:id="452"/>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53" w:name="_Toc279701245"/>
      <w:bookmarkStart w:id="454" w:name="_Toc259093674"/>
      <w:bookmarkStart w:id="455" w:name="_Ref467378541"/>
      <w:bookmarkStart w:id="456" w:name="_Ref467379542"/>
      <w:bookmarkStart w:id="457" w:name="_Ref467379536"/>
      <w:bookmarkStart w:id="458" w:name="_Ref467378591"/>
      <w:bookmarkStart w:id="459" w:name="_Toc487900354"/>
      <w:bookmarkStart w:id="460" w:name="_Ref467379527"/>
      <w:bookmarkStart w:id="461" w:name="_Toc26182"/>
      <w:bookmarkStart w:id="462" w:name="_Toc30272"/>
      <w:bookmarkStart w:id="463" w:name="_Toc19074"/>
      <w:r>
        <w:rPr>
          <w:rFonts w:hint="eastAsia" w:ascii="宋体" w:hAnsi="宋体" w:eastAsia="宋体" w:cs="宋体"/>
          <w:b/>
          <w:color w:val="auto"/>
          <w:sz w:val="24"/>
          <w:highlight w:val="none"/>
        </w:rPr>
        <w:t>2.</w:t>
      </w:r>
      <w:bookmarkEnd w:id="453"/>
      <w:bookmarkEnd w:id="454"/>
      <w:bookmarkEnd w:id="455"/>
      <w:bookmarkEnd w:id="456"/>
      <w:bookmarkEnd w:id="457"/>
      <w:bookmarkEnd w:id="458"/>
      <w:bookmarkEnd w:id="459"/>
      <w:bookmarkEnd w:id="460"/>
      <w:r>
        <w:rPr>
          <w:rFonts w:hint="eastAsia" w:ascii="宋体" w:hAnsi="宋体" w:eastAsia="宋体" w:cs="宋体"/>
          <w:b/>
          <w:color w:val="auto"/>
          <w:sz w:val="24"/>
          <w:highlight w:val="none"/>
        </w:rPr>
        <w:t>5 履约检查和问题反馈</w:t>
      </w:r>
      <w:bookmarkEnd w:id="461"/>
      <w:bookmarkEnd w:id="462"/>
      <w:bookmarkEnd w:id="463"/>
    </w:p>
    <w:p w14:paraId="34ECEE1E">
      <w:pPr>
        <w:spacing w:line="560" w:lineRule="exact"/>
        <w:ind w:firstLine="480" w:firstLineChars="200"/>
        <w:rPr>
          <w:rFonts w:hint="eastAsia" w:ascii="宋体" w:hAnsi="宋体" w:eastAsia="宋体" w:cs="宋体"/>
          <w:color w:val="auto"/>
          <w:sz w:val="24"/>
          <w:highlight w:val="none"/>
        </w:rPr>
      </w:pPr>
      <w:bookmarkStart w:id="464" w:name="_Ref467379657"/>
      <w:r>
        <w:rPr>
          <w:rFonts w:hint="eastAsia" w:ascii="宋体" w:hAnsi="宋体" w:eastAsia="宋体" w:cs="宋体"/>
          <w:color w:val="auto"/>
          <w:sz w:val="24"/>
          <w:highlight w:val="none"/>
        </w:rPr>
        <w:t>2.5.1</w:t>
      </w:r>
      <w:bookmarkEnd w:id="464"/>
      <w:bookmarkStart w:id="465" w:name="_Toc186431854"/>
      <w:bookmarkStart w:id="466" w:name="_Ref467379807"/>
      <w:bookmarkStart w:id="467" w:name="_Ref467379793"/>
      <w:bookmarkStart w:id="468" w:name="_Toc487900357"/>
      <w:bookmarkStart w:id="469" w:name="_Toc279701247"/>
      <w:bookmarkStart w:id="470" w:name="_Toc259093676"/>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65"/>
      <w:bookmarkStart w:id="471" w:name="_Toc186431855"/>
      <w:r>
        <w:rPr>
          <w:rFonts w:hint="eastAsia" w:ascii="宋体" w:hAnsi="宋体" w:eastAsia="宋体" w:cs="宋体"/>
          <w:color w:val="auto"/>
          <w:sz w:val="24"/>
          <w:highlight w:val="none"/>
        </w:rPr>
        <w:t>。</w:t>
      </w:r>
    </w:p>
    <w:bookmarkEnd w:id="471"/>
    <w:p w14:paraId="4314D4E9">
      <w:pPr>
        <w:spacing w:line="560" w:lineRule="exact"/>
        <w:ind w:firstLine="482" w:firstLineChars="200"/>
        <w:outlineLvl w:val="0"/>
        <w:rPr>
          <w:rFonts w:hint="eastAsia" w:ascii="宋体" w:hAnsi="宋体" w:eastAsia="宋体" w:cs="宋体"/>
          <w:b/>
          <w:color w:val="auto"/>
          <w:sz w:val="24"/>
          <w:highlight w:val="none"/>
        </w:rPr>
      </w:pPr>
      <w:bookmarkStart w:id="472" w:name="_Toc19219"/>
      <w:bookmarkStart w:id="473" w:name="_Toc28451"/>
      <w:bookmarkStart w:id="474" w:name="_Toc7836"/>
      <w:r>
        <w:rPr>
          <w:rFonts w:hint="eastAsia" w:ascii="宋体" w:hAnsi="宋体" w:eastAsia="宋体" w:cs="宋体"/>
          <w:b/>
          <w:color w:val="auto"/>
          <w:sz w:val="24"/>
          <w:highlight w:val="none"/>
        </w:rPr>
        <w:t>2.6 结算方式和付款条件</w:t>
      </w:r>
      <w:bookmarkEnd w:id="466"/>
      <w:bookmarkEnd w:id="467"/>
      <w:bookmarkEnd w:id="468"/>
      <w:bookmarkEnd w:id="469"/>
      <w:bookmarkEnd w:id="470"/>
      <w:bookmarkEnd w:id="472"/>
      <w:bookmarkEnd w:id="473"/>
      <w:bookmarkEnd w:id="474"/>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75" w:name="_Toc487900358"/>
      <w:bookmarkStart w:id="476" w:name="_Ref467379852"/>
      <w:bookmarkStart w:id="477" w:name="_Ref467379863"/>
      <w:bookmarkStart w:id="478" w:name="_Toc279701248"/>
      <w:bookmarkStart w:id="479" w:name="_Ref467379923"/>
      <w:bookmarkStart w:id="480" w:name="_Toc259093677"/>
      <w:bookmarkStart w:id="481" w:name="_Toc774"/>
      <w:bookmarkStart w:id="482" w:name="_Toc16110"/>
      <w:bookmarkStart w:id="483" w:name="_Toc3225"/>
      <w:r>
        <w:rPr>
          <w:rFonts w:hint="eastAsia" w:ascii="宋体" w:hAnsi="宋体" w:eastAsia="宋体" w:cs="宋体"/>
          <w:b/>
          <w:color w:val="auto"/>
          <w:sz w:val="24"/>
          <w:highlight w:val="none"/>
        </w:rPr>
        <w:t>2.7 技术资料</w:t>
      </w:r>
      <w:bookmarkEnd w:id="475"/>
      <w:bookmarkEnd w:id="476"/>
      <w:bookmarkEnd w:id="477"/>
      <w:bookmarkEnd w:id="478"/>
      <w:bookmarkEnd w:id="479"/>
      <w:bookmarkEnd w:id="480"/>
      <w:r>
        <w:rPr>
          <w:rFonts w:hint="eastAsia" w:ascii="宋体" w:hAnsi="宋体" w:eastAsia="宋体" w:cs="宋体"/>
          <w:b/>
          <w:color w:val="auto"/>
          <w:sz w:val="24"/>
          <w:highlight w:val="none"/>
        </w:rPr>
        <w:t>和保密义务</w:t>
      </w:r>
      <w:bookmarkEnd w:id="481"/>
      <w:bookmarkEnd w:id="482"/>
      <w:bookmarkEnd w:id="483"/>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484" w:name="_Toc7860"/>
      <w:r>
        <w:rPr>
          <w:rFonts w:hint="eastAsia" w:ascii="宋体" w:hAnsi="宋体" w:eastAsia="宋体" w:cs="宋体"/>
          <w:b/>
          <w:color w:val="auto"/>
          <w:sz w:val="24"/>
          <w:highlight w:val="none"/>
        </w:rPr>
        <w:t>2.8 质量保证</w:t>
      </w:r>
      <w:bookmarkEnd w:id="484"/>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485" w:name="_Toc17244"/>
      <w:bookmarkStart w:id="486" w:name="_Toc487900362"/>
      <w:bookmarkStart w:id="487" w:name="_Toc259093681"/>
      <w:bookmarkStart w:id="488" w:name="_Toc279701252"/>
      <w:r>
        <w:rPr>
          <w:rFonts w:hint="eastAsia" w:ascii="宋体" w:hAnsi="宋体" w:eastAsia="宋体" w:cs="宋体"/>
          <w:b/>
          <w:color w:val="auto"/>
          <w:sz w:val="24"/>
          <w:highlight w:val="none"/>
        </w:rPr>
        <w:t>2.9 货物的风险负担</w:t>
      </w:r>
      <w:bookmarkEnd w:id="485"/>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489" w:name="_Toc14055"/>
      <w:r>
        <w:rPr>
          <w:rFonts w:hint="eastAsia" w:ascii="宋体" w:hAnsi="宋体" w:eastAsia="宋体" w:cs="宋体"/>
          <w:b/>
          <w:color w:val="auto"/>
          <w:sz w:val="24"/>
          <w:highlight w:val="none"/>
        </w:rPr>
        <w:t>2.10 延迟交货</w:t>
      </w:r>
      <w:bookmarkEnd w:id="486"/>
      <w:bookmarkEnd w:id="487"/>
      <w:bookmarkEnd w:id="488"/>
      <w:bookmarkEnd w:id="489"/>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490" w:name="_Toc7502"/>
      <w:bookmarkStart w:id="491" w:name="_Toc487900364"/>
      <w:bookmarkStart w:id="492" w:name="_Ref467378121"/>
      <w:bookmarkStart w:id="493" w:name="_Toc279701254"/>
      <w:bookmarkStart w:id="494" w:name="_Toc259093683"/>
      <w:r>
        <w:rPr>
          <w:rFonts w:hint="eastAsia" w:ascii="宋体" w:hAnsi="宋体" w:eastAsia="宋体" w:cs="宋体"/>
          <w:b/>
          <w:color w:val="auto"/>
          <w:sz w:val="24"/>
          <w:highlight w:val="none"/>
        </w:rPr>
        <w:t>2.11 合同变更</w:t>
      </w:r>
      <w:bookmarkEnd w:id="490"/>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495" w:name="_Toc487900369"/>
      <w:bookmarkStart w:id="496" w:name="_Toc279701259"/>
      <w:bookmarkStart w:id="497" w:name="_Toc259093688"/>
    </w:p>
    <w:p w14:paraId="2BDF4F81">
      <w:pPr>
        <w:spacing w:line="560" w:lineRule="exact"/>
        <w:ind w:firstLine="482" w:firstLineChars="200"/>
        <w:outlineLvl w:val="0"/>
        <w:rPr>
          <w:rFonts w:hint="eastAsia" w:ascii="宋体" w:hAnsi="宋体" w:eastAsia="宋体" w:cs="宋体"/>
          <w:b/>
          <w:color w:val="auto"/>
          <w:sz w:val="24"/>
          <w:highlight w:val="none"/>
        </w:rPr>
      </w:pPr>
      <w:bookmarkStart w:id="498" w:name="_Toc15237"/>
      <w:bookmarkStart w:id="499" w:name="_Toc10366"/>
      <w:bookmarkStart w:id="500" w:name="_Toc22955"/>
      <w:r>
        <w:rPr>
          <w:rFonts w:hint="eastAsia" w:ascii="宋体" w:hAnsi="宋体" w:eastAsia="宋体" w:cs="宋体"/>
          <w:b/>
          <w:color w:val="auto"/>
          <w:sz w:val="24"/>
          <w:highlight w:val="none"/>
        </w:rPr>
        <w:t>2.12 合同转让</w:t>
      </w:r>
      <w:bookmarkEnd w:id="495"/>
      <w:bookmarkEnd w:id="496"/>
      <w:bookmarkEnd w:id="497"/>
      <w:r>
        <w:rPr>
          <w:rFonts w:hint="eastAsia" w:ascii="宋体" w:hAnsi="宋体" w:eastAsia="宋体" w:cs="宋体"/>
          <w:b/>
          <w:color w:val="auto"/>
          <w:sz w:val="24"/>
          <w:highlight w:val="none"/>
        </w:rPr>
        <w:t>和分包</w:t>
      </w:r>
      <w:bookmarkEnd w:id="498"/>
      <w:bookmarkEnd w:id="499"/>
      <w:bookmarkEnd w:id="500"/>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501" w:name="_Toc16508"/>
      <w:bookmarkStart w:id="502" w:name="_Toc13566"/>
      <w:bookmarkStart w:id="503" w:name="_Toc14066"/>
      <w:r>
        <w:rPr>
          <w:rFonts w:hint="eastAsia" w:ascii="宋体" w:hAnsi="宋体" w:eastAsia="宋体" w:cs="宋体"/>
          <w:b/>
          <w:color w:val="auto"/>
          <w:sz w:val="24"/>
          <w:highlight w:val="none"/>
        </w:rPr>
        <w:t>2.13 不可抗力</w:t>
      </w:r>
      <w:bookmarkEnd w:id="501"/>
      <w:bookmarkEnd w:id="502"/>
      <w:bookmarkEnd w:id="503"/>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504" w:name="_Toc30676"/>
      <w:bookmarkStart w:id="505" w:name="_Toc6969"/>
      <w:bookmarkStart w:id="506" w:name="_Toc487900365"/>
      <w:bookmarkStart w:id="507" w:name="_Toc689"/>
      <w:bookmarkStart w:id="508" w:name="_Toc259093684"/>
      <w:bookmarkStart w:id="509" w:name="_Toc279701255"/>
      <w:r>
        <w:rPr>
          <w:rFonts w:hint="eastAsia" w:ascii="宋体" w:hAnsi="宋体" w:eastAsia="宋体" w:cs="宋体"/>
          <w:b/>
          <w:color w:val="auto"/>
          <w:sz w:val="24"/>
          <w:highlight w:val="none"/>
        </w:rPr>
        <w:t>2.14 税费</w:t>
      </w:r>
      <w:bookmarkEnd w:id="504"/>
      <w:bookmarkEnd w:id="505"/>
      <w:bookmarkEnd w:id="506"/>
      <w:bookmarkEnd w:id="507"/>
      <w:bookmarkEnd w:id="508"/>
      <w:bookmarkEnd w:id="509"/>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10" w:name="_Toc259093687"/>
      <w:bookmarkStart w:id="511" w:name="_Toc7102"/>
      <w:bookmarkStart w:id="512" w:name="_Toc16959"/>
      <w:bookmarkStart w:id="513" w:name="_Toc279701258"/>
      <w:bookmarkStart w:id="514" w:name="_Toc487900368"/>
      <w:bookmarkStart w:id="515" w:name="_Toc8298"/>
      <w:r>
        <w:rPr>
          <w:rFonts w:hint="eastAsia" w:ascii="宋体" w:hAnsi="宋体" w:eastAsia="宋体" w:cs="宋体"/>
          <w:b/>
          <w:color w:val="auto"/>
          <w:sz w:val="24"/>
          <w:highlight w:val="none"/>
        </w:rPr>
        <w:t>2.15 乙方破产</w:t>
      </w:r>
      <w:bookmarkEnd w:id="510"/>
      <w:bookmarkEnd w:id="511"/>
      <w:bookmarkEnd w:id="512"/>
      <w:bookmarkEnd w:id="513"/>
      <w:bookmarkEnd w:id="514"/>
      <w:bookmarkEnd w:id="515"/>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16" w:name="_Toc6134"/>
      <w:bookmarkStart w:id="517" w:name="_Toc15387"/>
      <w:bookmarkStart w:id="518" w:name="_Toc29333"/>
      <w:r>
        <w:rPr>
          <w:rFonts w:hint="eastAsia" w:ascii="宋体" w:hAnsi="宋体" w:eastAsia="宋体" w:cs="宋体"/>
          <w:b/>
          <w:color w:val="auto"/>
          <w:sz w:val="24"/>
          <w:highlight w:val="none"/>
        </w:rPr>
        <w:t>2.16 合同中止、终止</w:t>
      </w:r>
      <w:bookmarkEnd w:id="516"/>
      <w:bookmarkEnd w:id="517"/>
      <w:bookmarkEnd w:id="518"/>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19" w:name="_Toc1125"/>
      <w:bookmarkStart w:id="520" w:name="_Toc6596"/>
      <w:bookmarkStart w:id="521" w:name="_Toc14563"/>
      <w:r>
        <w:rPr>
          <w:rFonts w:hint="eastAsia" w:ascii="宋体" w:hAnsi="宋体" w:eastAsia="宋体" w:cs="宋体"/>
          <w:b/>
          <w:color w:val="auto"/>
          <w:sz w:val="24"/>
          <w:highlight w:val="none"/>
        </w:rPr>
        <w:t>2.17 检验和验收</w:t>
      </w:r>
      <w:bookmarkEnd w:id="519"/>
      <w:bookmarkEnd w:id="520"/>
      <w:bookmarkEnd w:id="521"/>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491"/>
    <w:bookmarkEnd w:id="492"/>
    <w:bookmarkEnd w:id="493"/>
    <w:bookmarkEnd w:id="494"/>
    <w:p w14:paraId="71AD728F">
      <w:pPr>
        <w:spacing w:line="560" w:lineRule="exact"/>
        <w:ind w:firstLine="482" w:firstLineChars="200"/>
        <w:outlineLvl w:val="0"/>
        <w:rPr>
          <w:rFonts w:hint="eastAsia" w:ascii="宋体" w:hAnsi="宋体" w:eastAsia="宋体" w:cs="宋体"/>
          <w:b/>
          <w:color w:val="auto"/>
          <w:sz w:val="24"/>
          <w:highlight w:val="none"/>
        </w:rPr>
      </w:pPr>
      <w:bookmarkStart w:id="522" w:name="_Toc279701261"/>
      <w:bookmarkStart w:id="523" w:name="_Toc487900371"/>
      <w:bookmarkStart w:id="524" w:name="_Toc259093690"/>
      <w:bookmarkStart w:id="525" w:name="_Toc25182"/>
      <w:bookmarkStart w:id="526" w:name="_Toc19604"/>
      <w:bookmarkStart w:id="527" w:name="_Toc11284"/>
      <w:r>
        <w:rPr>
          <w:rFonts w:hint="eastAsia" w:ascii="宋体" w:hAnsi="宋体" w:eastAsia="宋体" w:cs="宋体"/>
          <w:b/>
          <w:color w:val="auto"/>
          <w:sz w:val="24"/>
          <w:highlight w:val="none"/>
        </w:rPr>
        <w:t>2.18 通知</w:t>
      </w:r>
      <w:bookmarkEnd w:id="522"/>
      <w:bookmarkEnd w:id="523"/>
      <w:bookmarkEnd w:id="524"/>
      <w:r>
        <w:rPr>
          <w:rFonts w:hint="eastAsia" w:ascii="宋体" w:hAnsi="宋体" w:eastAsia="宋体" w:cs="宋体"/>
          <w:b/>
          <w:color w:val="auto"/>
          <w:sz w:val="24"/>
          <w:highlight w:val="none"/>
        </w:rPr>
        <w:t>和送达</w:t>
      </w:r>
      <w:bookmarkEnd w:id="525"/>
      <w:bookmarkEnd w:id="526"/>
      <w:bookmarkEnd w:id="527"/>
    </w:p>
    <w:p w14:paraId="1A7D9880">
      <w:pPr>
        <w:spacing w:line="560" w:lineRule="exact"/>
        <w:ind w:firstLine="480" w:firstLineChars="200"/>
        <w:rPr>
          <w:rFonts w:hint="eastAsia" w:ascii="宋体" w:hAnsi="宋体" w:eastAsia="宋体" w:cs="宋体"/>
          <w:color w:val="auto"/>
          <w:sz w:val="24"/>
          <w:highlight w:val="none"/>
        </w:rPr>
      </w:pPr>
      <w:bookmarkStart w:id="528" w:name="_Toc6698"/>
      <w:bookmarkStart w:id="529" w:name="_Toc3135"/>
      <w:bookmarkStart w:id="530" w:name="_Toc279701262"/>
      <w:bookmarkStart w:id="531" w:name="_Toc259093691"/>
      <w:bookmarkStart w:id="532"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28"/>
      <w:bookmarkEnd w:id="529"/>
    </w:p>
    <w:p w14:paraId="2436E051">
      <w:pPr>
        <w:spacing w:line="560" w:lineRule="exact"/>
        <w:ind w:firstLine="480" w:firstLineChars="200"/>
        <w:rPr>
          <w:rFonts w:hint="eastAsia" w:ascii="宋体" w:hAnsi="宋体" w:eastAsia="宋体" w:cs="宋体"/>
          <w:color w:val="auto"/>
          <w:sz w:val="24"/>
          <w:highlight w:val="none"/>
        </w:rPr>
      </w:pPr>
      <w:bookmarkStart w:id="533" w:name="_Toc23294"/>
      <w:bookmarkStart w:id="534"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3"/>
      <w:bookmarkEnd w:id="534"/>
    </w:p>
    <w:p w14:paraId="160ACF1C">
      <w:pPr>
        <w:spacing w:line="560" w:lineRule="exact"/>
        <w:ind w:firstLine="482" w:firstLineChars="200"/>
        <w:outlineLvl w:val="0"/>
        <w:rPr>
          <w:rFonts w:hint="eastAsia" w:ascii="宋体" w:hAnsi="宋体" w:eastAsia="宋体" w:cs="宋体"/>
          <w:b/>
          <w:color w:val="auto"/>
          <w:sz w:val="24"/>
          <w:highlight w:val="none"/>
        </w:rPr>
      </w:pPr>
      <w:bookmarkStart w:id="535" w:name="_Toc4355"/>
      <w:bookmarkStart w:id="536" w:name="_Toc18540"/>
      <w:bookmarkStart w:id="537" w:name="_Toc30599"/>
      <w:r>
        <w:rPr>
          <w:rFonts w:hint="eastAsia" w:ascii="宋体" w:hAnsi="宋体" w:eastAsia="宋体" w:cs="宋体"/>
          <w:b/>
          <w:color w:val="auto"/>
          <w:sz w:val="24"/>
          <w:highlight w:val="none"/>
        </w:rPr>
        <w:t>2.19 计量单位</w:t>
      </w:r>
      <w:bookmarkEnd w:id="530"/>
      <w:bookmarkEnd w:id="531"/>
      <w:bookmarkEnd w:id="532"/>
      <w:bookmarkEnd w:id="535"/>
      <w:bookmarkEnd w:id="536"/>
      <w:bookmarkEnd w:id="537"/>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38" w:name="_Toc487900373"/>
      <w:bookmarkStart w:id="539" w:name="_Toc259093692"/>
      <w:bookmarkStart w:id="540" w:name="_Toc279701263"/>
      <w:bookmarkStart w:id="541" w:name="_Toc12773"/>
      <w:bookmarkStart w:id="542" w:name="_Toc10330"/>
      <w:bookmarkStart w:id="543" w:name="_Toc18567"/>
      <w:r>
        <w:rPr>
          <w:rFonts w:hint="eastAsia" w:ascii="宋体" w:hAnsi="宋体" w:eastAsia="宋体" w:cs="宋体"/>
          <w:b/>
          <w:color w:val="auto"/>
          <w:sz w:val="24"/>
          <w:highlight w:val="none"/>
        </w:rPr>
        <w:t>2.20 合同使用的文字和适用的法律</w:t>
      </w:r>
      <w:bookmarkEnd w:id="538"/>
      <w:bookmarkEnd w:id="539"/>
      <w:bookmarkEnd w:id="540"/>
      <w:bookmarkEnd w:id="541"/>
      <w:bookmarkEnd w:id="542"/>
      <w:bookmarkEnd w:id="543"/>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44" w:name="_Toc16673"/>
      <w:bookmarkStart w:id="545" w:name="_Toc279701264"/>
      <w:bookmarkStart w:id="546" w:name="_Toc12004"/>
      <w:bookmarkStart w:id="547" w:name="_Toc259093693"/>
      <w:bookmarkStart w:id="548" w:name="_Toc3148"/>
      <w:bookmarkStart w:id="549" w:name="_Toc487900374"/>
      <w:r>
        <w:rPr>
          <w:rFonts w:hint="eastAsia" w:ascii="宋体" w:hAnsi="宋体" w:eastAsia="宋体" w:cs="宋体"/>
          <w:b/>
          <w:color w:val="auto"/>
          <w:sz w:val="24"/>
          <w:highlight w:val="none"/>
        </w:rPr>
        <w:t>2.21 履约保证金</w:t>
      </w:r>
      <w:bookmarkEnd w:id="544"/>
      <w:bookmarkEnd w:id="545"/>
      <w:bookmarkEnd w:id="546"/>
      <w:bookmarkEnd w:id="547"/>
      <w:bookmarkEnd w:id="548"/>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9"/>
    <w:p w14:paraId="25BF71A3">
      <w:pPr>
        <w:spacing w:line="560" w:lineRule="exact"/>
        <w:ind w:firstLine="482" w:firstLineChars="200"/>
        <w:outlineLvl w:val="0"/>
        <w:rPr>
          <w:rFonts w:hint="eastAsia" w:ascii="宋体" w:hAnsi="宋体" w:eastAsia="宋体" w:cs="宋体"/>
          <w:b/>
          <w:color w:val="auto"/>
          <w:sz w:val="24"/>
          <w:highlight w:val="none"/>
        </w:rPr>
      </w:pPr>
      <w:bookmarkStart w:id="550" w:name="_Toc14001"/>
      <w:bookmarkStart w:id="551" w:name="_Toc6885"/>
      <w:bookmarkStart w:id="552" w:name="_Toc19890"/>
      <w:r>
        <w:rPr>
          <w:rFonts w:hint="eastAsia" w:ascii="宋体" w:hAnsi="宋体" w:eastAsia="宋体" w:cs="宋体"/>
          <w:b/>
          <w:color w:val="auto"/>
          <w:sz w:val="24"/>
          <w:highlight w:val="none"/>
        </w:rPr>
        <w:t>2.22 合同份数</w:t>
      </w:r>
      <w:bookmarkEnd w:id="550"/>
      <w:bookmarkEnd w:id="551"/>
      <w:bookmarkEnd w:id="552"/>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3"/>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53" w:name="_Toc331685784"/>
      <w:r>
        <w:rPr>
          <w:rFonts w:hint="eastAsia" w:ascii="宋体" w:hAnsi="宋体" w:eastAsia="宋体" w:cs="宋体"/>
          <w:b/>
          <w:color w:val="auto"/>
          <w:szCs w:val="24"/>
          <w:highlight w:val="none"/>
        </w:rPr>
        <w:t>第三部分  合同专用条款</w:t>
      </w:r>
      <w:bookmarkEnd w:id="553"/>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5"/>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3A0BEC5A">
      <w:pPr>
        <w:pStyle w:val="5"/>
        <w:spacing w:line="240" w:lineRule="atLeast"/>
        <w:ind w:firstLine="0"/>
        <w:rPr>
          <w:rFonts w:hint="eastAsia" w:ascii="宋体" w:hAnsi="宋体" w:eastAsia="宋体" w:cs="宋体"/>
          <w:color w:val="auto"/>
          <w:sz w:val="28"/>
          <w:highlight w:val="none"/>
        </w:rPr>
      </w:pPr>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0"/>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0"/>
      <w:framePr w:wrap="around" w:vAnchor="text" w:hAnchor="margin" w:xAlign="center" w:y="1"/>
      <w:rPr>
        <w:rStyle w:val="38"/>
      </w:rPr>
    </w:pPr>
    <w:r>
      <w:fldChar w:fldCharType="begin"/>
    </w:r>
    <w:r>
      <w:rPr>
        <w:rStyle w:val="38"/>
      </w:rPr>
      <w:instrText xml:space="preserve">PAGE  </w:instrText>
    </w:r>
    <w:r>
      <w:fldChar w:fldCharType="end"/>
    </w:r>
  </w:p>
  <w:p w14:paraId="6D474613">
    <w:pPr>
      <w:pStyle w:val="2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0"/>
      <w:framePr w:wrap="around" w:vAnchor="text" w:hAnchor="margin" w:xAlign="right" w:y="1"/>
      <w:rPr>
        <w:rStyle w:val="38"/>
      </w:rPr>
    </w:pPr>
  </w:p>
  <w:p w14:paraId="64A40BF0">
    <w:pPr>
      <w:pStyle w:val="2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0"/>
      <w:framePr w:wrap="around" w:vAnchor="text" w:hAnchor="margin" w:xAlign="center" w:y="1"/>
      <w:rPr>
        <w:rStyle w:val="38"/>
      </w:rPr>
    </w:pPr>
    <w:r>
      <w:fldChar w:fldCharType="begin"/>
    </w:r>
    <w:r>
      <w:rPr>
        <w:rStyle w:val="38"/>
      </w:rPr>
      <w:instrText xml:space="preserve">PAGE  </w:instrText>
    </w:r>
    <w:r>
      <w:fldChar w:fldCharType="end"/>
    </w:r>
  </w:p>
  <w:p w14:paraId="690F6A3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B437"/>
    <w:multiLevelType w:val="singleLevel"/>
    <w:tmpl w:val="0494B437"/>
    <w:lvl w:ilvl="0" w:tentative="0">
      <w:start w:val="9"/>
      <w:numFmt w:val="chineseCounting"/>
      <w:suff w:val="nothing"/>
      <w:lvlText w:val="%1、"/>
      <w:lvlJc w:val="left"/>
      <w:rPr>
        <w:rFonts w:hint="eastAsia"/>
      </w:rPr>
    </w:lvl>
  </w:abstractNum>
  <w:abstractNum w:abstractNumId="1">
    <w:nsid w:val="071D106B"/>
    <w:multiLevelType w:val="singleLevel"/>
    <w:tmpl w:val="071D106B"/>
    <w:lvl w:ilvl="0" w:tentative="0">
      <w:start w:val="2"/>
      <w:numFmt w:val="chineseCounting"/>
      <w:suff w:val="space"/>
      <w:lvlText w:val="第%1部分"/>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6E7D0F45"/>
    <w:multiLevelType w:val="multilevel"/>
    <w:tmpl w:val="6E7D0F4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CF0"/>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76A"/>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36C3"/>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940973"/>
    <w:rsid w:val="02A3645B"/>
    <w:rsid w:val="02AC38D7"/>
    <w:rsid w:val="02BC7D06"/>
    <w:rsid w:val="02C62933"/>
    <w:rsid w:val="02F778BD"/>
    <w:rsid w:val="03121468"/>
    <w:rsid w:val="03604B36"/>
    <w:rsid w:val="03822C68"/>
    <w:rsid w:val="038E07EA"/>
    <w:rsid w:val="039C7734"/>
    <w:rsid w:val="039F2BBC"/>
    <w:rsid w:val="03A51C3D"/>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7E2E18"/>
    <w:rsid w:val="06AB5586"/>
    <w:rsid w:val="06BF670C"/>
    <w:rsid w:val="06C6107F"/>
    <w:rsid w:val="06CB44B7"/>
    <w:rsid w:val="06E84EE4"/>
    <w:rsid w:val="06EA381B"/>
    <w:rsid w:val="06EE20B1"/>
    <w:rsid w:val="06F153B1"/>
    <w:rsid w:val="06FF5041"/>
    <w:rsid w:val="071D4AEC"/>
    <w:rsid w:val="07464042"/>
    <w:rsid w:val="075B63E2"/>
    <w:rsid w:val="078E3CE3"/>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8D50D1"/>
    <w:rsid w:val="0BA137A0"/>
    <w:rsid w:val="0BA16641"/>
    <w:rsid w:val="0BAD643E"/>
    <w:rsid w:val="0BB71100"/>
    <w:rsid w:val="0BD7786C"/>
    <w:rsid w:val="0C0F534B"/>
    <w:rsid w:val="0C49645E"/>
    <w:rsid w:val="0C60588C"/>
    <w:rsid w:val="0C7C4D4D"/>
    <w:rsid w:val="0C88548B"/>
    <w:rsid w:val="0C890083"/>
    <w:rsid w:val="0C8A2C23"/>
    <w:rsid w:val="0C9337AA"/>
    <w:rsid w:val="0CA23AC9"/>
    <w:rsid w:val="0CA43CE5"/>
    <w:rsid w:val="0CAC6BB6"/>
    <w:rsid w:val="0CB437FC"/>
    <w:rsid w:val="0CC34F37"/>
    <w:rsid w:val="0CEA05CC"/>
    <w:rsid w:val="0CEA1C84"/>
    <w:rsid w:val="0CF611FD"/>
    <w:rsid w:val="0D2546FA"/>
    <w:rsid w:val="0D4E2719"/>
    <w:rsid w:val="0D864353"/>
    <w:rsid w:val="0D993394"/>
    <w:rsid w:val="0D9C676A"/>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F52A2"/>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E22503"/>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57FB5"/>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0236A"/>
    <w:rsid w:val="18147845"/>
    <w:rsid w:val="18264209"/>
    <w:rsid w:val="18534811"/>
    <w:rsid w:val="188C4DE8"/>
    <w:rsid w:val="18904498"/>
    <w:rsid w:val="18A3471E"/>
    <w:rsid w:val="18AE3384"/>
    <w:rsid w:val="18BA7315"/>
    <w:rsid w:val="18C474BD"/>
    <w:rsid w:val="18D333DA"/>
    <w:rsid w:val="18FB66E5"/>
    <w:rsid w:val="1901601B"/>
    <w:rsid w:val="191E097B"/>
    <w:rsid w:val="192B4DF7"/>
    <w:rsid w:val="19337DE3"/>
    <w:rsid w:val="19405F26"/>
    <w:rsid w:val="19434185"/>
    <w:rsid w:val="194A112D"/>
    <w:rsid w:val="194D2535"/>
    <w:rsid w:val="194D2A56"/>
    <w:rsid w:val="19570331"/>
    <w:rsid w:val="1975142E"/>
    <w:rsid w:val="198D53B4"/>
    <w:rsid w:val="19BA6371"/>
    <w:rsid w:val="19CC487B"/>
    <w:rsid w:val="19D24E9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BF524B"/>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2E2103"/>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E810A7"/>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A02A13"/>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3C712E"/>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10242"/>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772FA9"/>
    <w:rsid w:val="31940B55"/>
    <w:rsid w:val="31A17F44"/>
    <w:rsid w:val="31A4447F"/>
    <w:rsid w:val="31A54C58"/>
    <w:rsid w:val="31CF594B"/>
    <w:rsid w:val="31E577F4"/>
    <w:rsid w:val="31FE7C49"/>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3107B"/>
    <w:rsid w:val="33DE0EF4"/>
    <w:rsid w:val="33E1649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9E008F"/>
    <w:rsid w:val="38A94C99"/>
    <w:rsid w:val="38AF73EA"/>
    <w:rsid w:val="38CC7FAC"/>
    <w:rsid w:val="38D6246F"/>
    <w:rsid w:val="38D97279"/>
    <w:rsid w:val="38DF7CCF"/>
    <w:rsid w:val="38E26BF0"/>
    <w:rsid w:val="38F00189"/>
    <w:rsid w:val="39237490"/>
    <w:rsid w:val="392E5E59"/>
    <w:rsid w:val="393468E8"/>
    <w:rsid w:val="395806F3"/>
    <w:rsid w:val="39854BAA"/>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0D639D"/>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A75551"/>
    <w:rsid w:val="42BC7DDF"/>
    <w:rsid w:val="42D261AF"/>
    <w:rsid w:val="42F11B77"/>
    <w:rsid w:val="43076C51"/>
    <w:rsid w:val="43144A19"/>
    <w:rsid w:val="431E796B"/>
    <w:rsid w:val="432B6824"/>
    <w:rsid w:val="437454B8"/>
    <w:rsid w:val="437E2698"/>
    <w:rsid w:val="439D7B60"/>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86674A"/>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4D1D51"/>
    <w:rsid w:val="47AA242D"/>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941F5"/>
    <w:rsid w:val="4FDC241B"/>
    <w:rsid w:val="4FE31E02"/>
    <w:rsid w:val="4FFC5956"/>
    <w:rsid w:val="4FFD0323"/>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8F19C6"/>
    <w:rsid w:val="52943481"/>
    <w:rsid w:val="529A792F"/>
    <w:rsid w:val="52A01E26"/>
    <w:rsid w:val="52A4759B"/>
    <w:rsid w:val="52B35629"/>
    <w:rsid w:val="52D32AFD"/>
    <w:rsid w:val="52E361B6"/>
    <w:rsid w:val="53085A69"/>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C62CA5"/>
    <w:rsid w:val="54C91FB4"/>
    <w:rsid w:val="54D1276A"/>
    <w:rsid w:val="54D31542"/>
    <w:rsid w:val="54D73AF9"/>
    <w:rsid w:val="54DD7595"/>
    <w:rsid w:val="54F975CB"/>
    <w:rsid w:val="551B6387"/>
    <w:rsid w:val="553625CD"/>
    <w:rsid w:val="55655D39"/>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887379"/>
    <w:rsid w:val="5CC606DB"/>
    <w:rsid w:val="5CD8040E"/>
    <w:rsid w:val="5CDC1CAC"/>
    <w:rsid w:val="5CEC5C67"/>
    <w:rsid w:val="5CF35248"/>
    <w:rsid w:val="5D0C00B7"/>
    <w:rsid w:val="5D2B3EA0"/>
    <w:rsid w:val="5D2C15D3"/>
    <w:rsid w:val="5D5932FD"/>
    <w:rsid w:val="5D5D033B"/>
    <w:rsid w:val="5D5E3ED5"/>
    <w:rsid w:val="5D7647EC"/>
    <w:rsid w:val="5D885990"/>
    <w:rsid w:val="5DB73C2F"/>
    <w:rsid w:val="5DBA1FF8"/>
    <w:rsid w:val="5DCC1110"/>
    <w:rsid w:val="5DCD4AF7"/>
    <w:rsid w:val="5DD1709F"/>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0A32C8"/>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680F11"/>
    <w:rsid w:val="61824BAB"/>
    <w:rsid w:val="618D7A19"/>
    <w:rsid w:val="619C1A0A"/>
    <w:rsid w:val="619F599E"/>
    <w:rsid w:val="61A52D11"/>
    <w:rsid w:val="61A95149"/>
    <w:rsid w:val="61AA08FE"/>
    <w:rsid w:val="61C41ACD"/>
    <w:rsid w:val="61D41829"/>
    <w:rsid w:val="61E239A6"/>
    <w:rsid w:val="621A5025"/>
    <w:rsid w:val="62215569"/>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2222F1"/>
    <w:rsid w:val="6534131C"/>
    <w:rsid w:val="65605444"/>
    <w:rsid w:val="656A1E1F"/>
    <w:rsid w:val="65A17F37"/>
    <w:rsid w:val="65A836AB"/>
    <w:rsid w:val="65A96DEB"/>
    <w:rsid w:val="65AC2341"/>
    <w:rsid w:val="65AD2600"/>
    <w:rsid w:val="65B732B6"/>
    <w:rsid w:val="65BD63F3"/>
    <w:rsid w:val="65E521DF"/>
    <w:rsid w:val="65E600DF"/>
    <w:rsid w:val="65F750F0"/>
    <w:rsid w:val="65FD38A7"/>
    <w:rsid w:val="661F0E5C"/>
    <w:rsid w:val="663A2D5F"/>
    <w:rsid w:val="6666618F"/>
    <w:rsid w:val="666B5E4F"/>
    <w:rsid w:val="666E595E"/>
    <w:rsid w:val="66887883"/>
    <w:rsid w:val="668F7750"/>
    <w:rsid w:val="6698031B"/>
    <w:rsid w:val="669907B9"/>
    <w:rsid w:val="669B3919"/>
    <w:rsid w:val="66B27F22"/>
    <w:rsid w:val="66EF082E"/>
    <w:rsid w:val="67095FC8"/>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66474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6FFB1846"/>
    <w:rsid w:val="70820965"/>
    <w:rsid w:val="70B84386"/>
    <w:rsid w:val="70CD2B48"/>
    <w:rsid w:val="70DF3B43"/>
    <w:rsid w:val="71126EE7"/>
    <w:rsid w:val="71340C72"/>
    <w:rsid w:val="714E7C4B"/>
    <w:rsid w:val="71621B42"/>
    <w:rsid w:val="71654E27"/>
    <w:rsid w:val="71822E6D"/>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E1612D"/>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D7639"/>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346B96"/>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link w:val="45"/>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annotation text"/>
    <w:basedOn w:val="1"/>
    <w:link w:val="47"/>
    <w:qFormat/>
    <w:uiPriority w:val="99"/>
    <w:pPr>
      <w:jc w:val="left"/>
    </w:pPr>
  </w:style>
  <w:style w:type="paragraph" w:styleId="9">
    <w:name w:val="Body Text"/>
    <w:basedOn w:val="1"/>
    <w:link w:val="48"/>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unhideWhenUsed/>
    <w:qFormat/>
    <w:uiPriority w:val="99"/>
    <w:pPr>
      <w:ind w:firstLine="420" w:firstLineChars="200"/>
    </w:p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9"/>
    <w:qFormat/>
    <w:uiPriority w:val="0"/>
    <w:rPr>
      <w:rFonts w:ascii="宋体" w:hAnsi="Courier New"/>
      <w:szCs w:val="20"/>
    </w:rPr>
  </w:style>
  <w:style w:type="paragraph" w:styleId="15">
    <w:name w:val="toc 2"/>
    <w:basedOn w:val="1"/>
    <w:next w:val="1"/>
    <w:qFormat/>
    <w:uiPriority w:val="39"/>
    <w:pPr>
      <w:ind w:left="420" w:leftChars="200"/>
    </w:pPr>
  </w:style>
  <w:style w:type="paragraph" w:styleId="16">
    <w:name w:val="toc 8"/>
    <w:basedOn w:val="1"/>
    <w:next w:val="1"/>
    <w:qFormat/>
    <w:uiPriority w:val="39"/>
    <w:pPr>
      <w:ind w:left="2940" w:leftChars="1400"/>
    </w:pPr>
  </w:style>
  <w:style w:type="paragraph" w:styleId="17">
    <w:name w:val="Date"/>
    <w:basedOn w:val="1"/>
    <w:next w:val="1"/>
    <w:link w:val="50"/>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1"/>
    <w:qFormat/>
    <w:uiPriority w:val="0"/>
    <w:rPr>
      <w:sz w:val="18"/>
      <w:szCs w:val="18"/>
    </w:rPr>
  </w:style>
  <w:style w:type="paragraph" w:styleId="20">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index 7"/>
    <w:basedOn w:val="1"/>
    <w:next w:val="1"/>
    <w:qFormat/>
    <w:uiPriority w:val="0"/>
    <w:pPr>
      <w:autoSpaceDE/>
      <w:autoSpaceDN/>
      <w:adjustRightInd/>
      <w:ind w:left="1200" w:leftChars="1200"/>
    </w:pPr>
    <w:rPr>
      <w:color w:val="auto"/>
      <w:kern w:val="2"/>
      <w:szCs w:val="24"/>
    </w:rPr>
  </w:style>
  <w:style w:type="paragraph" w:styleId="29">
    <w:name w:val="toc 9"/>
    <w:basedOn w:val="1"/>
    <w:next w:val="1"/>
    <w:qFormat/>
    <w:uiPriority w:val="39"/>
    <w:pPr>
      <w:ind w:left="3360" w:leftChars="1600"/>
    </w:pPr>
  </w:style>
  <w:style w:type="paragraph" w:styleId="30">
    <w:name w:val="Normal (Web)"/>
    <w:basedOn w:val="1"/>
    <w:qFormat/>
    <w:uiPriority w:val="0"/>
    <w:pPr>
      <w:spacing w:before="75" w:after="75"/>
    </w:pPr>
    <w:rPr>
      <w:sz w:val="24"/>
    </w:rPr>
  </w:style>
  <w:style w:type="paragraph" w:styleId="31">
    <w:name w:val="index 1"/>
    <w:basedOn w:val="1"/>
    <w:next w:val="1"/>
    <w:semiHidden/>
    <w:qFormat/>
    <w:uiPriority w:val="0"/>
    <w:rPr>
      <w:szCs w:val="20"/>
    </w:rPr>
  </w:style>
  <w:style w:type="paragraph" w:styleId="32">
    <w:name w:val="annotation subject"/>
    <w:basedOn w:val="8"/>
    <w:next w:val="8"/>
    <w:link w:val="54"/>
    <w:qFormat/>
    <w:uiPriority w:val="0"/>
    <w:rPr>
      <w:b/>
      <w:bCs/>
    </w:rPr>
  </w:style>
  <w:style w:type="paragraph" w:styleId="33">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2">
    <w:name w:val="标题 3 Char"/>
    <w:link w:val="4"/>
    <w:qFormat/>
    <w:uiPriority w:val="0"/>
    <w:rPr>
      <w:rFonts w:ascii="宋体"/>
      <w:b/>
      <w:sz w:val="24"/>
      <w:u w:val="single"/>
    </w:rPr>
  </w:style>
  <w:style w:type="paragraph" w:customStyle="1" w:styleId="43">
    <w:name w:val="4正文"/>
    <w:basedOn w:val="1"/>
    <w:qFormat/>
    <w:uiPriority w:val="0"/>
    <w:pPr>
      <w:jc w:val="left"/>
    </w:pPr>
    <w:rPr>
      <w:szCs w:val="24"/>
    </w:rPr>
  </w:style>
  <w:style w:type="paragraph" w:customStyle="1" w:styleId="4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5">
    <w:name w:val="标题 2 Char"/>
    <w:link w:val="3"/>
    <w:qFormat/>
    <w:uiPriority w:val="0"/>
    <w:rPr>
      <w:rFonts w:ascii="Arial" w:hAnsi="Arial" w:eastAsia="黑体"/>
      <w:b/>
      <w:sz w:val="30"/>
    </w:rPr>
  </w:style>
  <w:style w:type="character" w:customStyle="1" w:styleId="46">
    <w:name w:val="标题 1 Char"/>
    <w:link w:val="2"/>
    <w:qFormat/>
    <w:uiPriority w:val="0"/>
    <w:rPr>
      <w:rFonts w:ascii="宋体"/>
      <w:b/>
      <w:kern w:val="44"/>
      <w:sz w:val="32"/>
    </w:rPr>
  </w:style>
  <w:style w:type="character" w:customStyle="1" w:styleId="47">
    <w:name w:val="批注文字 Char"/>
    <w:link w:val="8"/>
    <w:qFormat/>
    <w:uiPriority w:val="99"/>
    <w:rPr>
      <w:kern w:val="2"/>
      <w:sz w:val="21"/>
      <w:szCs w:val="24"/>
    </w:rPr>
  </w:style>
  <w:style w:type="character" w:customStyle="1" w:styleId="48">
    <w:name w:val="正文文本 Char"/>
    <w:link w:val="9"/>
    <w:qFormat/>
    <w:uiPriority w:val="0"/>
    <w:rPr>
      <w:rFonts w:ascii="宋体" w:hAnsi="宋体"/>
      <w:kern w:val="2"/>
      <w:sz w:val="24"/>
      <w:szCs w:val="24"/>
    </w:rPr>
  </w:style>
  <w:style w:type="character" w:customStyle="1" w:styleId="49">
    <w:name w:val="纯文本 Char"/>
    <w:link w:val="14"/>
    <w:qFormat/>
    <w:uiPriority w:val="0"/>
    <w:rPr>
      <w:rFonts w:ascii="宋体" w:hAnsi="Courier New"/>
      <w:kern w:val="2"/>
      <w:sz w:val="21"/>
    </w:rPr>
  </w:style>
  <w:style w:type="character" w:customStyle="1" w:styleId="50">
    <w:name w:val="日期 Char"/>
    <w:link w:val="17"/>
    <w:qFormat/>
    <w:uiPriority w:val="0"/>
    <w:rPr>
      <w:rFonts w:ascii="仿宋_GB2312" w:hAnsi="宋体" w:eastAsia="仿宋_GB2312"/>
      <w:color w:val="000000"/>
      <w:kern w:val="2"/>
      <w:sz w:val="24"/>
      <w:szCs w:val="24"/>
    </w:rPr>
  </w:style>
  <w:style w:type="character" w:customStyle="1" w:styleId="51">
    <w:name w:val="批注框文本 Char"/>
    <w:link w:val="19"/>
    <w:qFormat/>
    <w:uiPriority w:val="0"/>
    <w:rPr>
      <w:kern w:val="2"/>
      <w:sz w:val="18"/>
      <w:szCs w:val="18"/>
    </w:rPr>
  </w:style>
  <w:style w:type="character" w:customStyle="1" w:styleId="52">
    <w:name w:val="页脚 Char"/>
    <w:link w:val="20"/>
    <w:qFormat/>
    <w:uiPriority w:val="99"/>
    <w:rPr>
      <w:rFonts w:ascii="宋体"/>
      <w:sz w:val="18"/>
    </w:rPr>
  </w:style>
  <w:style w:type="character" w:customStyle="1" w:styleId="53">
    <w:name w:val="页眉 Char"/>
    <w:link w:val="21"/>
    <w:qFormat/>
    <w:uiPriority w:val="0"/>
    <w:rPr>
      <w:kern w:val="2"/>
      <w:sz w:val="18"/>
      <w:szCs w:val="18"/>
    </w:rPr>
  </w:style>
  <w:style w:type="character" w:customStyle="1" w:styleId="54">
    <w:name w:val="批注主题 Char"/>
    <w:link w:val="32"/>
    <w:qFormat/>
    <w:uiPriority w:val="0"/>
    <w:rPr>
      <w:b/>
      <w:bCs/>
      <w:kern w:val="2"/>
      <w:sz w:val="21"/>
      <w:szCs w:val="24"/>
    </w:rPr>
  </w:style>
  <w:style w:type="paragraph" w:customStyle="1" w:styleId="5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6">
    <w:name w:val="bookmark-item"/>
    <w:basedOn w:val="36"/>
    <w:qFormat/>
    <w:uiPriority w:val="0"/>
  </w:style>
  <w:style w:type="character" w:customStyle="1" w:styleId="57">
    <w:name w:val="font31"/>
    <w:basedOn w:val="36"/>
    <w:qFormat/>
    <w:uiPriority w:val="0"/>
    <w:rPr>
      <w:rFonts w:hint="eastAsia" w:ascii="宋体" w:hAnsi="宋体" w:eastAsia="宋体" w:cs="宋体"/>
      <w:color w:val="000000"/>
      <w:sz w:val="22"/>
      <w:szCs w:val="22"/>
      <w:u w:val="none"/>
    </w:rPr>
  </w:style>
  <w:style w:type="character" w:customStyle="1" w:styleId="58">
    <w:name w:val="批注框文本 Char1"/>
    <w:semiHidden/>
    <w:qFormat/>
    <w:uiPriority w:val="99"/>
    <w:rPr>
      <w:kern w:val="2"/>
      <w:sz w:val="18"/>
      <w:szCs w:val="18"/>
    </w:rPr>
  </w:style>
  <w:style w:type="character" w:customStyle="1" w:styleId="59">
    <w:name w:val="页眉 Char1"/>
    <w:semiHidden/>
    <w:qFormat/>
    <w:uiPriority w:val="99"/>
    <w:rPr>
      <w:kern w:val="2"/>
      <w:sz w:val="18"/>
      <w:szCs w:val="18"/>
    </w:rPr>
  </w:style>
  <w:style w:type="character" w:customStyle="1" w:styleId="60">
    <w:name w:val="纯文本 Char1"/>
    <w:link w:val="61"/>
    <w:qFormat/>
    <w:uiPriority w:val="0"/>
    <w:rPr>
      <w:rFonts w:ascii="宋体" w:hAnsi="Courier New"/>
    </w:rPr>
  </w:style>
  <w:style w:type="paragraph" w:customStyle="1" w:styleId="61">
    <w:name w:val="纯文本1"/>
    <w:basedOn w:val="1"/>
    <w:link w:val="60"/>
    <w:qFormat/>
    <w:uiPriority w:val="0"/>
    <w:rPr>
      <w:rFonts w:ascii="宋体" w:hAnsi="Courier New"/>
      <w:kern w:val="0"/>
      <w:sz w:val="20"/>
      <w:szCs w:val="20"/>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21"/>
    <w:basedOn w:val="36"/>
    <w:qFormat/>
    <w:uiPriority w:val="0"/>
    <w:rPr>
      <w:rFonts w:hint="eastAsia" w:ascii="宋体" w:hAnsi="宋体" w:eastAsia="宋体" w:cs="宋体"/>
      <w:b/>
      <w:color w:val="000000"/>
      <w:sz w:val="20"/>
      <w:szCs w:val="20"/>
      <w:u w:val="none"/>
    </w:rPr>
  </w:style>
  <w:style w:type="character" w:customStyle="1" w:styleId="65">
    <w:name w:val="批注文字 Char1"/>
    <w:semiHidden/>
    <w:qFormat/>
    <w:uiPriority w:val="99"/>
    <w:rPr>
      <w:kern w:val="2"/>
      <w:sz w:val="21"/>
      <w:szCs w:val="24"/>
    </w:rPr>
  </w:style>
  <w:style w:type="character" w:customStyle="1" w:styleId="66">
    <w:name w:val="批注主题 Char1"/>
    <w:semiHidden/>
    <w:qFormat/>
    <w:uiPriority w:val="99"/>
    <w:rPr>
      <w:b/>
      <w:bCs/>
      <w:kern w:val="2"/>
      <w:sz w:val="21"/>
      <w:szCs w:val="24"/>
    </w:rPr>
  </w:style>
  <w:style w:type="paragraph" w:styleId="67">
    <w:name w:val="List Paragraph"/>
    <w:basedOn w:val="1"/>
    <w:qFormat/>
    <w:uiPriority w:val="34"/>
    <w:pPr>
      <w:widowControl/>
      <w:ind w:firstLine="420" w:firstLineChars="200"/>
      <w:jc w:val="left"/>
    </w:pPr>
    <w:rPr>
      <w:kern w:val="0"/>
      <w:sz w:val="24"/>
    </w:rPr>
  </w:style>
  <w:style w:type="paragraph" w:customStyle="1" w:styleId="68">
    <w:name w:val="列出段落1"/>
    <w:basedOn w:val="1"/>
    <w:qFormat/>
    <w:uiPriority w:val="34"/>
    <w:pPr>
      <w:widowControl/>
      <w:ind w:firstLine="420" w:firstLineChars="200"/>
      <w:jc w:val="left"/>
    </w:pPr>
    <w:rPr>
      <w:kern w:val="0"/>
      <w:sz w:val="24"/>
    </w:rPr>
  </w:style>
  <w:style w:type="paragraph" w:customStyle="1" w:styleId="69">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0">
    <w:name w:val="Char"/>
    <w:basedOn w:val="1"/>
    <w:qFormat/>
    <w:uiPriority w:val="0"/>
    <w:pPr>
      <w:tabs>
        <w:tab w:val="left" w:pos="360"/>
      </w:tabs>
    </w:pPr>
    <w:rPr>
      <w:sz w:val="24"/>
    </w:rPr>
  </w:style>
  <w:style w:type="paragraph" w:customStyle="1" w:styleId="71">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2">
    <w:name w:val="Table Paragraph"/>
    <w:basedOn w:val="1"/>
    <w:qFormat/>
    <w:uiPriority w:val="1"/>
    <w:rPr>
      <w:rFonts w:ascii="宋体" w:hAnsi="宋体" w:eastAsia="宋体" w:cs="宋体"/>
      <w:lang w:val="zh-CN" w:eastAsia="zh-CN" w:bidi="zh-CN"/>
    </w:rPr>
  </w:style>
  <w:style w:type="paragraph" w:customStyle="1" w:styleId="7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4">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5">
    <w:name w:val="索引 11"/>
    <w:basedOn w:val="1"/>
    <w:next w:val="1"/>
    <w:qFormat/>
    <w:uiPriority w:val="0"/>
    <w:pPr>
      <w:spacing w:line="360" w:lineRule="auto"/>
    </w:pPr>
    <w:rPr>
      <w:rFonts w:ascii="仿宋_GB2312" w:eastAsia="仿宋_GB2312"/>
      <w:sz w:val="24"/>
      <w:szCs w:val="20"/>
    </w:rPr>
  </w:style>
  <w:style w:type="table" w:customStyle="1" w:styleId="7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7">
    <w:name w:val="font51"/>
    <w:basedOn w:val="36"/>
    <w:qFormat/>
    <w:uiPriority w:val="0"/>
    <w:rPr>
      <w:rFonts w:hint="eastAsia" w:ascii="宋体" w:hAnsi="宋体" w:eastAsia="宋体" w:cs="宋体"/>
      <w:color w:val="000000"/>
      <w:sz w:val="20"/>
      <w:szCs w:val="20"/>
      <w:u w:val="none"/>
    </w:rPr>
  </w:style>
  <w:style w:type="character" w:customStyle="1" w:styleId="78">
    <w:name w:val="font11"/>
    <w:basedOn w:val="36"/>
    <w:qFormat/>
    <w:uiPriority w:val="0"/>
    <w:rPr>
      <w:rFonts w:hint="default" w:ascii="Times New Roman" w:hAnsi="Times New Roman" w:cs="Times New Roman"/>
      <w:color w:val="000000"/>
      <w:sz w:val="20"/>
      <w:szCs w:val="20"/>
      <w:u w:val="none"/>
    </w:rPr>
  </w:style>
  <w:style w:type="character" w:customStyle="1" w:styleId="79">
    <w:name w:val="font71"/>
    <w:basedOn w:val="36"/>
    <w:qFormat/>
    <w:uiPriority w:val="0"/>
    <w:rPr>
      <w:rFonts w:hint="eastAsia" w:ascii="宋体" w:hAnsi="宋体" w:eastAsia="宋体" w:cs="宋体"/>
      <w:b/>
      <w:bCs/>
      <w:color w:val="000000"/>
      <w:sz w:val="24"/>
      <w:szCs w:val="24"/>
      <w:u w:val="none"/>
    </w:rPr>
  </w:style>
  <w:style w:type="character" w:customStyle="1" w:styleId="80">
    <w:name w:val="font121"/>
    <w:basedOn w:val="36"/>
    <w:qFormat/>
    <w:uiPriority w:val="0"/>
    <w:rPr>
      <w:rFonts w:hint="default" w:ascii="Times New Roman" w:hAnsi="Times New Roman" w:cs="Times New Roman"/>
      <w:b/>
      <w:bCs/>
      <w:color w:val="000000"/>
      <w:sz w:val="24"/>
      <w:szCs w:val="24"/>
      <w:u w:val="none"/>
    </w:rPr>
  </w:style>
  <w:style w:type="character" w:customStyle="1" w:styleId="81">
    <w:name w:val="font41"/>
    <w:basedOn w:val="36"/>
    <w:qFormat/>
    <w:uiPriority w:val="0"/>
    <w:rPr>
      <w:rFonts w:hint="eastAsia" w:ascii="宋体" w:hAnsi="宋体" w:eastAsia="宋体" w:cs="宋体"/>
      <w:color w:val="000000"/>
      <w:sz w:val="20"/>
      <w:szCs w:val="20"/>
      <w:u w:val="none"/>
    </w:rPr>
  </w:style>
  <w:style w:type="character" w:customStyle="1" w:styleId="82">
    <w:name w:val="font01"/>
    <w:basedOn w:val="36"/>
    <w:qFormat/>
    <w:uiPriority w:val="0"/>
    <w:rPr>
      <w:rFonts w:hint="default" w:ascii="Times New Roman" w:hAnsi="Times New Roman" w:cs="Times New Roman"/>
      <w:color w:val="000000"/>
      <w:sz w:val="20"/>
      <w:szCs w:val="20"/>
      <w:u w:val="none"/>
    </w:rPr>
  </w:style>
  <w:style w:type="character" w:customStyle="1" w:styleId="83">
    <w:name w:val="font91"/>
    <w:basedOn w:val="36"/>
    <w:qFormat/>
    <w:uiPriority w:val="0"/>
    <w:rPr>
      <w:rFonts w:hint="default" w:ascii="Times New Roman" w:hAnsi="Times New Roman" w:cs="Times New Roman"/>
      <w:b/>
      <w:bCs/>
      <w:color w:val="000000"/>
      <w:sz w:val="24"/>
      <w:szCs w:val="24"/>
      <w:u w:val="none"/>
    </w:rPr>
  </w:style>
  <w:style w:type="paragraph" w:customStyle="1" w:styleId="84">
    <w:name w:val="普通(网站)1"/>
    <w:basedOn w:val="1"/>
    <w:qFormat/>
    <w:uiPriority w:val="2"/>
    <w:pPr>
      <w:spacing w:before="75" w:after="75"/>
      <w:ind w:left="0" w:right="0" w:firstLine="0"/>
      <w:jc w:val="left"/>
    </w:pPr>
    <w:rPr>
      <w:kern w:val="0"/>
      <w:sz w:val="24"/>
      <w:lang w:val="en-US" w:eastAsia="zh-CN" w:bidi="ar"/>
    </w:rPr>
  </w:style>
  <w:style w:type="paragraph" w:customStyle="1" w:styleId="85">
    <w:name w:val="Table Text"/>
    <w:basedOn w:val="1"/>
    <w:semiHidden/>
    <w:qFormat/>
    <w:uiPriority w:val="0"/>
    <w:rPr>
      <w:rFonts w:ascii="宋体" w:hAnsi="宋体" w:eastAsia="宋体" w:cs="宋体"/>
      <w:sz w:val="20"/>
      <w:szCs w:val="20"/>
    </w:rPr>
  </w:style>
  <w:style w:type="character" w:customStyle="1" w:styleId="86">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10342</Words>
  <Characters>10929</Characters>
  <Lines>374</Lines>
  <Paragraphs>105</Paragraphs>
  <TotalTime>16</TotalTime>
  <ScaleCrop>false</ScaleCrop>
  <LinksUpToDate>false</LinksUpToDate>
  <CharactersWithSpaces>11446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支良</cp:lastModifiedBy>
  <cp:lastPrinted>2025-04-28T09:52:00Z</cp:lastPrinted>
  <dcterms:modified xsi:type="dcterms:W3CDTF">2026-05-18T10:03:47Z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90B91B53751745E49A0D4105925DE3EA_13</vt:lpwstr>
  </property>
  <property fmtid="{D5CDD505-2E9C-101B-9397-08002B2CF9AE}" pid="4" name="KSOTemplateDocerSaveRecord">
    <vt:lpwstr>eyJoZGlkIjoiYjJiZDRmYzE4MDgwZDBmYmEyZTJiZTE0YmU5MzMzNDIiLCJ1c2VySWQiOiIyOTMwMDI2MjQifQ==</vt:lpwstr>
  </property>
</Properties>
</file>