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71192">
      <w:pPr>
        <w:spacing w:line="360" w:lineRule="auto"/>
        <w:ind w:right="17"/>
        <w:jc w:val="left"/>
        <w:rPr>
          <w:rFonts w:hint="default" w:ascii="宋体" w:hAnsi="宋体" w:eastAsia="宋体" w:cs="宋体"/>
          <w:b/>
          <w:bCs/>
          <w:sz w:val="18"/>
          <w:szCs w:val="21"/>
          <w:lang w:val="en-US" w:eastAsia="zh-CN"/>
        </w:rPr>
      </w:pPr>
      <w:r>
        <w:rPr>
          <w:rFonts w:hint="eastAsia" w:ascii="宋体" w:hAnsi="宋体" w:eastAsia="宋体" w:cs="宋体"/>
          <w:b/>
          <w:bCs/>
          <w:sz w:val="24"/>
          <w:szCs w:val="24"/>
        </w:rPr>
        <w:t>项目编号：</w:t>
      </w:r>
      <w:r>
        <w:rPr>
          <w:rFonts w:hint="eastAsia" w:ascii="宋体" w:hAnsi="宋体" w:cs="宋体"/>
          <w:b/>
          <w:bCs/>
          <w:sz w:val="24"/>
          <w:szCs w:val="24"/>
          <w:highlight w:val="none"/>
          <w:lang w:val="en-US" w:eastAsia="zh-CN"/>
        </w:rPr>
        <w:t>ZCTP2026-005</w:t>
      </w:r>
    </w:p>
    <w:p w14:paraId="6131CD86">
      <w:pPr>
        <w:spacing w:line="360" w:lineRule="auto"/>
        <w:rPr>
          <w:rFonts w:hint="eastAsia" w:ascii="宋体" w:hAnsi="宋体" w:eastAsia="宋体" w:cs="宋体"/>
          <w:sz w:val="44"/>
          <w:szCs w:val="44"/>
        </w:rPr>
      </w:pPr>
    </w:p>
    <w:p w14:paraId="055D5CE6">
      <w:pPr>
        <w:pStyle w:val="7"/>
        <w:ind w:firstLine="0"/>
        <w:rPr>
          <w:rFonts w:hint="eastAsia" w:ascii="宋体" w:hAnsi="宋体" w:cs="宋体"/>
          <w:b/>
          <w:bCs/>
          <w:sz w:val="48"/>
          <w:szCs w:val="48"/>
          <w:lang w:eastAsia="zh-CN"/>
        </w:rPr>
      </w:pPr>
      <w:bookmarkStart w:id="0" w:name="_Toc25499"/>
    </w:p>
    <w:p w14:paraId="3683A3CC">
      <w:pPr>
        <w:pStyle w:val="7"/>
        <w:ind w:firstLine="0"/>
        <w:rPr>
          <w:rFonts w:hint="eastAsia" w:ascii="宋体" w:hAnsi="宋体" w:cs="宋体"/>
          <w:b/>
          <w:bCs/>
          <w:sz w:val="48"/>
          <w:szCs w:val="48"/>
          <w:lang w:eastAsia="zh-CN"/>
        </w:rPr>
      </w:pPr>
    </w:p>
    <w:bookmarkEnd w:id="0"/>
    <w:p w14:paraId="4C5AFC44">
      <w:pPr>
        <w:spacing w:line="360" w:lineRule="auto"/>
        <w:ind w:right="17"/>
        <w:jc w:val="center"/>
        <w:rPr>
          <w:rFonts w:hint="eastAsia" w:ascii="宋体" w:hAnsi="宋体" w:cs="宋体"/>
          <w:b/>
          <w:bCs/>
          <w:sz w:val="40"/>
          <w:szCs w:val="40"/>
          <w:lang w:eastAsia="zh-CN"/>
        </w:rPr>
      </w:pPr>
      <w:r>
        <w:rPr>
          <w:rFonts w:hint="eastAsia" w:ascii="宋体" w:hAnsi="宋体" w:cs="宋体"/>
          <w:b/>
          <w:bCs/>
          <w:sz w:val="40"/>
          <w:szCs w:val="40"/>
          <w:lang w:eastAsia="zh-CN"/>
        </w:rPr>
        <w:t>博州边境管理支队轮训队营房及附属设施维修项目（二次）</w:t>
      </w:r>
    </w:p>
    <w:p w14:paraId="357393CB">
      <w:pPr>
        <w:spacing w:line="360" w:lineRule="auto"/>
        <w:ind w:right="17"/>
        <w:jc w:val="center"/>
        <w:rPr>
          <w:rFonts w:hint="eastAsia" w:ascii="宋体" w:hAnsi="宋体" w:eastAsia="宋体" w:cs="宋体"/>
          <w:b/>
          <w:spacing w:val="60"/>
          <w:sz w:val="44"/>
          <w:szCs w:val="44"/>
        </w:rPr>
      </w:pPr>
      <w:r>
        <w:rPr>
          <w:rFonts w:hint="eastAsia" w:ascii="宋体" w:hAnsi="宋体" w:eastAsia="宋体" w:cs="宋体"/>
          <w:b/>
          <w:spacing w:val="60"/>
          <w:sz w:val="44"/>
          <w:szCs w:val="44"/>
        </w:rPr>
        <w:t>竞争性</w:t>
      </w:r>
      <w:r>
        <w:rPr>
          <w:rFonts w:hint="eastAsia" w:ascii="宋体" w:hAnsi="宋体" w:cs="宋体"/>
          <w:b/>
          <w:spacing w:val="60"/>
          <w:sz w:val="44"/>
          <w:szCs w:val="44"/>
          <w:lang w:val="en-US" w:eastAsia="zh-CN"/>
        </w:rPr>
        <w:t>谈判</w:t>
      </w:r>
      <w:r>
        <w:rPr>
          <w:rFonts w:hint="eastAsia" w:ascii="宋体" w:hAnsi="宋体" w:eastAsia="宋体" w:cs="宋体"/>
          <w:b/>
          <w:spacing w:val="60"/>
          <w:sz w:val="44"/>
          <w:szCs w:val="44"/>
        </w:rPr>
        <w:t>文件</w:t>
      </w:r>
    </w:p>
    <w:p w14:paraId="00A9E23B">
      <w:pPr>
        <w:spacing w:line="360" w:lineRule="auto"/>
        <w:ind w:right="17"/>
        <w:jc w:val="center"/>
        <w:rPr>
          <w:rFonts w:hint="eastAsia" w:ascii="宋体" w:hAnsi="宋体" w:eastAsia="宋体" w:cs="宋体"/>
          <w:b/>
          <w:spacing w:val="60"/>
          <w:sz w:val="28"/>
          <w:szCs w:val="28"/>
        </w:rPr>
      </w:pPr>
    </w:p>
    <w:p w14:paraId="5AB59D94">
      <w:pPr>
        <w:spacing w:line="360" w:lineRule="auto"/>
        <w:ind w:right="17"/>
        <w:rPr>
          <w:rFonts w:hint="eastAsia" w:ascii="宋体" w:hAnsi="宋体" w:eastAsia="宋体" w:cs="宋体"/>
        </w:rPr>
      </w:pPr>
    </w:p>
    <w:p w14:paraId="614E35BF">
      <w:pPr>
        <w:spacing w:line="360" w:lineRule="auto"/>
        <w:ind w:right="17"/>
        <w:rPr>
          <w:rFonts w:hint="eastAsia" w:ascii="宋体" w:hAnsi="宋体" w:eastAsia="宋体" w:cs="宋体"/>
        </w:rPr>
      </w:pPr>
    </w:p>
    <w:p w14:paraId="5BE3A635">
      <w:pPr>
        <w:spacing w:line="360" w:lineRule="auto"/>
        <w:ind w:right="17"/>
        <w:rPr>
          <w:rFonts w:hint="eastAsia" w:ascii="宋体" w:hAnsi="宋体" w:eastAsia="宋体" w:cs="宋体"/>
        </w:rPr>
      </w:pPr>
    </w:p>
    <w:p w14:paraId="6BBE25D3">
      <w:pPr>
        <w:pStyle w:val="7"/>
        <w:rPr>
          <w:rFonts w:hint="eastAsia" w:ascii="宋体" w:hAnsi="宋体" w:eastAsia="宋体" w:cs="宋体"/>
        </w:rPr>
      </w:pPr>
    </w:p>
    <w:p w14:paraId="28AAFAEF">
      <w:pPr>
        <w:rPr>
          <w:rFonts w:hint="eastAsia" w:ascii="宋体" w:hAnsi="宋体" w:eastAsia="宋体" w:cs="宋体"/>
        </w:rPr>
      </w:pPr>
    </w:p>
    <w:p w14:paraId="3EB7097A">
      <w:pPr>
        <w:spacing w:line="360" w:lineRule="auto"/>
        <w:ind w:right="17"/>
        <w:rPr>
          <w:rFonts w:hint="eastAsia" w:ascii="宋体" w:hAnsi="宋体" w:eastAsia="宋体" w:cs="宋体"/>
        </w:rPr>
      </w:pPr>
    </w:p>
    <w:p w14:paraId="189C9851">
      <w:pPr>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采购人：</w:t>
      </w:r>
      <w:r>
        <w:rPr>
          <w:rFonts w:hint="eastAsia" w:ascii="宋体" w:hAnsi="宋体" w:cs="宋体"/>
          <w:sz w:val="32"/>
          <w:szCs w:val="32"/>
          <w:lang w:eastAsia="zh-CN"/>
        </w:rPr>
        <w:t>博州边境管理支队</w:t>
      </w:r>
    </w:p>
    <w:p w14:paraId="1D4994B6">
      <w:pPr>
        <w:spacing w:line="360" w:lineRule="auto"/>
        <w:ind w:firstLine="640" w:firstLineChars="200"/>
        <w:rPr>
          <w:rFonts w:hint="eastAsia" w:ascii="宋体" w:hAnsi="宋体" w:eastAsia="宋体" w:cs="宋体"/>
          <w:sz w:val="32"/>
          <w:szCs w:val="32"/>
        </w:rPr>
      </w:pPr>
    </w:p>
    <w:p w14:paraId="3BC4BE88">
      <w:pPr>
        <w:spacing w:line="360" w:lineRule="auto"/>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采购代理机构：</w:t>
      </w:r>
      <w:r>
        <w:rPr>
          <w:rFonts w:hint="eastAsia" w:ascii="宋体" w:hAnsi="宋体" w:cs="宋体"/>
          <w:sz w:val="32"/>
          <w:szCs w:val="32"/>
          <w:lang w:eastAsia="zh-CN"/>
        </w:rPr>
        <w:t>中创名建工程管理集团有限公司</w:t>
      </w:r>
    </w:p>
    <w:p w14:paraId="6298F9A2">
      <w:pPr>
        <w:spacing w:line="360" w:lineRule="auto"/>
        <w:ind w:right="17"/>
        <w:jc w:val="center"/>
        <w:rPr>
          <w:rFonts w:hint="eastAsia" w:ascii="宋体" w:hAnsi="宋体" w:eastAsia="宋体" w:cs="宋体"/>
          <w:sz w:val="32"/>
          <w:szCs w:val="32"/>
        </w:rPr>
      </w:pPr>
    </w:p>
    <w:p w14:paraId="16B57148">
      <w:pPr>
        <w:spacing w:line="360" w:lineRule="auto"/>
        <w:ind w:right="17"/>
        <w:jc w:val="center"/>
        <w:rPr>
          <w:rFonts w:hint="eastAsia" w:ascii="宋体" w:hAnsi="宋体" w:eastAsia="宋体" w:cs="宋体"/>
          <w:sz w:val="32"/>
          <w:szCs w:val="32"/>
        </w:rPr>
      </w:pPr>
    </w:p>
    <w:p w14:paraId="419B5704">
      <w:pPr>
        <w:spacing w:line="360" w:lineRule="auto"/>
        <w:ind w:right="17"/>
        <w:jc w:val="center"/>
        <w:rPr>
          <w:rFonts w:hint="eastAsia" w:ascii="宋体" w:hAnsi="宋体" w:eastAsia="宋体" w:cs="宋体"/>
          <w:sz w:val="32"/>
          <w:szCs w:val="32"/>
        </w:rPr>
      </w:pPr>
      <w:r>
        <w:rPr>
          <w:rFonts w:hint="eastAsia" w:ascii="宋体" w:hAnsi="宋体" w:eastAsia="宋体" w:cs="宋体"/>
          <w:sz w:val="32"/>
          <w:szCs w:val="32"/>
        </w:rPr>
        <w:t>二〇二</w:t>
      </w:r>
      <w:r>
        <w:rPr>
          <w:rFonts w:hint="eastAsia" w:ascii="宋体" w:hAnsi="宋体" w:cs="宋体"/>
          <w:sz w:val="32"/>
          <w:szCs w:val="32"/>
          <w:lang w:val="en-US" w:eastAsia="zh-CN"/>
        </w:rPr>
        <w:t>六</w:t>
      </w:r>
      <w:r>
        <w:rPr>
          <w:rFonts w:hint="eastAsia" w:ascii="宋体" w:hAnsi="宋体" w:eastAsia="宋体" w:cs="宋体"/>
          <w:sz w:val="32"/>
          <w:szCs w:val="32"/>
        </w:rPr>
        <w:t>年</w:t>
      </w:r>
      <w:r>
        <w:rPr>
          <w:rFonts w:hint="eastAsia" w:ascii="宋体" w:hAnsi="宋体" w:cs="宋体"/>
          <w:sz w:val="32"/>
          <w:szCs w:val="32"/>
          <w:lang w:val="en-US" w:eastAsia="zh-CN"/>
        </w:rPr>
        <w:t>四</w:t>
      </w:r>
      <w:r>
        <w:rPr>
          <w:rFonts w:hint="eastAsia" w:ascii="宋体" w:hAnsi="宋体" w:eastAsia="宋体" w:cs="宋体"/>
          <w:sz w:val="32"/>
          <w:szCs w:val="32"/>
        </w:rPr>
        <w:t>月</w:t>
      </w:r>
    </w:p>
    <w:p w14:paraId="6BF08A75">
      <w:pPr>
        <w:spacing w:line="360" w:lineRule="auto"/>
        <w:ind w:right="17"/>
        <w:rPr>
          <w:rFonts w:hint="eastAsia" w:ascii="宋体" w:hAnsi="宋体" w:eastAsia="宋体" w:cs="宋体"/>
        </w:rPr>
      </w:pPr>
    </w:p>
    <w:p w14:paraId="68C61D8C">
      <w:pPr>
        <w:spacing w:line="360" w:lineRule="auto"/>
        <w:rPr>
          <w:rFonts w:hint="eastAsia" w:ascii="宋体" w:hAnsi="宋体" w:eastAsia="宋体" w:cs="宋体"/>
        </w:rPr>
      </w:pPr>
    </w:p>
    <w:p w14:paraId="591DF54C">
      <w:pPr>
        <w:spacing w:line="360" w:lineRule="auto"/>
        <w:rPr>
          <w:rFonts w:hint="eastAsia" w:ascii="宋体" w:hAnsi="宋体" w:eastAsia="宋体" w:cs="宋体"/>
          <w:b/>
          <w:bCs/>
          <w:sz w:val="24"/>
        </w:rPr>
        <w:sectPr>
          <w:headerReference r:id="rId3" w:type="default"/>
          <w:footerReference r:id="rId4" w:type="default"/>
          <w:pgSz w:w="11906" w:h="16838"/>
          <w:pgMar w:top="1440" w:right="1080" w:bottom="1440" w:left="1080" w:header="851" w:footer="992" w:gutter="0"/>
          <w:pgNumType w:start="1"/>
          <w:cols w:space="720" w:num="1"/>
          <w:docGrid w:linePitch="312" w:charSpace="0"/>
        </w:sectPr>
      </w:pPr>
    </w:p>
    <w:p w14:paraId="10030375">
      <w:pPr>
        <w:jc w:val="center"/>
        <w:rPr>
          <w:rFonts w:hint="eastAsia" w:ascii="宋体" w:hAnsi="宋体" w:eastAsia="宋体" w:cs="宋体"/>
          <w:b/>
          <w:bCs/>
          <w:sz w:val="32"/>
          <w:szCs w:val="40"/>
        </w:rPr>
      </w:pPr>
      <w:r>
        <w:rPr>
          <w:rFonts w:hint="eastAsia" w:ascii="宋体" w:hAnsi="宋体" w:eastAsia="宋体" w:cs="宋体"/>
          <w:b/>
          <w:bCs/>
          <w:sz w:val="32"/>
          <w:szCs w:val="40"/>
        </w:rPr>
        <w:t>目录</w:t>
      </w:r>
    </w:p>
    <w:p w14:paraId="22DA6947">
      <w:pPr>
        <w:jc w:val="center"/>
        <w:rPr>
          <w:rFonts w:hint="eastAsia" w:ascii="宋体" w:hAnsi="宋体" w:eastAsia="宋体" w:cs="宋体"/>
          <w:b w:val="0"/>
          <w:bCs w:val="0"/>
          <w:sz w:val="24"/>
          <w:szCs w:val="24"/>
        </w:rPr>
      </w:pPr>
    </w:p>
    <w:p w14:paraId="3640A80D">
      <w:pPr>
        <w:pStyle w:val="18"/>
        <w:tabs>
          <w:tab w:val="right" w:leader="dot" w:pos="9746"/>
        </w:tabs>
        <w:rPr>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TOC \o "1-1" \h \u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_Toc20611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第一部分  竞争性公告</w:t>
      </w:r>
      <w:r>
        <w:rPr>
          <w:b w:val="0"/>
          <w:bCs w:val="0"/>
          <w:sz w:val="24"/>
          <w:szCs w:val="24"/>
        </w:rPr>
        <w:tab/>
      </w:r>
      <w:r>
        <w:rPr>
          <w:rFonts w:hint="eastAsia" w:ascii="宋体" w:hAnsi="宋体" w:eastAsia="宋体" w:cs="宋体"/>
          <w:b w:val="0"/>
          <w:bCs w:val="0"/>
          <w:sz w:val="24"/>
          <w:szCs w:val="24"/>
        </w:rPr>
        <w:fldChar w:fldCharType="end"/>
      </w:r>
    </w:p>
    <w:p w14:paraId="4602B98A">
      <w:pPr>
        <w:pStyle w:val="18"/>
        <w:tabs>
          <w:tab w:val="right" w:leader="dot" w:pos="9746"/>
        </w:tabs>
        <w:rPr>
          <w:rFonts w:hint="eastAsia" w:eastAsia="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_Toc14959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第二部分  供应商须知</w:t>
      </w:r>
      <w:r>
        <w:rPr>
          <w:rFonts w:hint="eastAsia" w:ascii="宋体" w:hAnsi="宋体" w:eastAsia="宋体" w:cs="宋体"/>
          <w:b w:val="0"/>
          <w:bCs w:val="0"/>
          <w:sz w:val="24"/>
          <w:szCs w:val="24"/>
          <w:lang w:eastAsia="zh-CN"/>
        </w:rPr>
        <w:t>前附表</w:t>
      </w:r>
      <w:r>
        <w:rPr>
          <w:b w:val="0"/>
          <w:bCs w:val="0"/>
          <w:sz w:val="24"/>
          <w:szCs w:val="24"/>
        </w:rPr>
        <w:tab/>
      </w:r>
      <w:r>
        <w:rPr>
          <w:rFonts w:hint="eastAsia" w:ascii="宋体" w:hAnsi="宋体" w:eastAsia="宋体" w:cs="宋体"/>
          <w:b w:val="0"/>
          <w:bCs w:val="0"/>
          <w:sz w:val="24"/>
          <w:szCs w:val="24"/>
        </w:rPr>
        <w:fldChar w:fldCharType="end"/>
      </w:r>
    </w:p>
    <w:p w14:paraId="2E62881A">
      <w:pPr>
        <w:pStyle w:val="18"/>
        <w:tabs>
          <w:tab w:val="right" w:leader="dot" w:pos="9746"/>
        </w:tabs>
        <w:rPr>
          <w:rFonts w:hint="eastAsia" w:eastAsia="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_Toc11996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val="en-US" w:eastAsia="zh-CN"/>
        </w:rPr>
        <w:t>第三部分  采购需求</w:t>
      </w:r>
      <w:r>
        <w:rPr>
          <w:b w:val="0"/>
          <w:bCs w:val="0"/>
          <w:sz w:val="24"/>
          <w:szCs w:val="24"/>
        </w:rPr>
        <w:tab/>
      </w:r>
      <w:r>
        <w:rPr>
          <w:rFonts w:hint="eastAsia" w:ascii="宋体" w:hAnsi="宋体" w:eastAsia="宋体" w:cs="宋体"/>
          <w:b w:val="0"/>
          <w:bCs w:val="0"/>
          <w:sz w:val="24"/>
          <w:szCs w:val="24"/>
        </w:rPr>
        <w:fldChar w:fldCharType="end"/>
      </w:r>
    </w:p>
    <w:p w14:paraId="0CDD5CCF">
      <w:pPr>
        <w:pStyle w:val="18"/>
        <w:tabs>
          <w:tab w:val="right" w:leader="dot" w:pos="9746"/>
        </w:tabs>
        <w:rPr>
          <w:rFonts w:hint="eastAsia" w:eastAsia="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_Toc26583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lang w:eastAsia="zh-CN"/>
        </w:rPr>
        <w:t>第四部分</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合同</w:t>
      </w:r>
      <w:r>
        <w:rPr>
          <w:b w:val="0"/>
          <w:bCs w:val="0"/>
          <w:sz w:val="24"/>
          <w:szCs w:val="24"/>
        </w:rPr>
        <w:tab/>
      </w:r>
      <w:r>
        <w:rPr>
          <w:rFonts w:hint="eastAsia" w:ascii="宋体" w:hAnsi="宋体" w:eastAsia="宋体" w:cs="宋体"/>
          <w:b w:val="0"/>
          <w:bCs w:val="0"/>
          <w:sz w:val="24"/>
          <w:szCs w:val="24"/>
        </w:rPr>
        <w:fldChar w:fldCharType="end"/>
      </w:r>
    </w:p>
    <w:p w14:paraId="65CC3644">
      <w:pPr>
        <w:pStyle w:val="18"/>
        <w:tabs>
          <w:tab w:val="right" w:leader="dot" w:pos="9746"/>
        </w:tabs>
        <w:rPr>
          <w:rFonts w:hint="eastAsia" w:eastAsia="宋体"/>
          <w:b w:val="0"/>
          <w:bCs w:val="0"/>
          <w:sz w:val="24"/>
          <w:szCs w:val="24"/>
          <w:lang w:val="en-US" w:eastAsia="zh-CN"/>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_Toc8828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第五部分 响应文件格式</w:t>
      </w:r>
      <w:r>
        <w:rPr>
          <w:b w:val="0"/>
          <w:bCs w:val="0"/>
          <w:sz w:val="24"/>
          <w:szCs w:val="24"/>
        </w:rPr>
        <w:tab/>
      </w:r>
      <w:r>
        <w:rPr>
          <w:rFonts w:hint="eastAsia" w:ascii="宋体" w:hAnsi="宋体" w:eastAsia="宋体" w:cs="宋体"/>
          <w:b w:val="0"/>
          <w:bCs w:val="0"/>
          <w:sz w:val="24"/>
          <w:szCs w:val="24"/>
        </w:rPr>
        <w:fldChar w:fldCharType="end"/>
      </w:r>
    </w:p>
    <w:p w14:paraId="6CD34BB2">
      <w:pPr>
        <w:rPr>
          <w:rFonts w:hint="eastAsia" w:ascii="宋体" w:hAnsi="宋体" w:eastAsia="宋体" w:cs="宋体"/>
        </w:rPr>
      </w:pPr>
      <w:r>
        <w:rPr>
          <w:rFonts w:hint="eastAsia" w:ascii="宋体" w:hAnsi="宋体" w:eastAsia="宋体" w:cs="宋体"/>
          <w:b w:val="0"/>
          <w:bCs w:val="0"/>
          <w:sz w:val="24"/>
          <w:szCs w:val="24"/>
        </w:rPr>
        <w:fldChar w:fldCharType="end"/>
      </w:r>
    </w:p>
    <w:p w14:paraId="6E367734">
      <w:pPr>
        <w:pStyle w:val="24"/>
        <w:outlineLvl w:val="9"/>
        <w:rPr>
          <w:rFonts w:hint="eastAsia" w:ascii="宋体" w:hAnsi="宋体" w:eastAsia="宋体" w:cs="宋体"/>
          <w:color w:val="auto"/>
          <w:sz w:val="24"/>
        </w:rPr>
      </w:pPr>
    </w:p>
    <w:p w14:paraId="2153BF05">
      <w:pPr>
        <w:rPr>
          <w:rFonts w:hint="eastAsia" w:ascii="宋体" w:hAnsi="宋体" w:eastAsia="宋体" w:cs="宋体"/>
        </w:rPr>
      </w:pPr>
    </w:p>
    <w:p w14:paraId="22D70EF4">
      <w:pPr>
        <w:pStyle w:val="24"/>
        <w:outlineLvl w:val="9"/>
        <w:rPr>
          <w:rFonts w:hint="eastAsia" w:ascii="宋体" w:hAnsi="宋体" w:eastAsia="宋体" w:cs="宋体"/>
          <w:color w:val="auto"/>
          <w:sz w:val="24"/>
        </w:rPr>
      </w:pPr>
    </w:p>
    <w:p w14:paraId="28F4A496">
      <w:pPr>
        <w:spacing w:line="360" w:lineRule="auto"/>
        <w:jc w:val="distribute"/>
        <w:rPr>
          <w:rFonts w:hint="eastAsia" w:ascii="宋体" w:hAnsi="宋体" w:eastAsia="宋体" w:cs="宋体"/>
          <w:bCs/>
          <w:sz w:val="24"/>
        </w:rPr>
      </w:pPr>
    </w:p>
    <w:p w14:paraId="4189C871">
      <w:pPr>
        <w:spacing w:line="360" w:lineRule="auto"/>
        <w:jc w:val="distribute"/>
        <w:rPr>
          <w:rFonts w:hint="eastAsia" w:ascii="宋体" w:hAnsi="宋体" w:eastAsia="宋体" w:cs="宋体"/>
          <w:bCs/>
          <w:sz w:val="24"/>
        </w:rPr>
      </w:pPr>
    </w:p>
    <w:p w14:paraId="6D4D89A4">
      <w:pPr>
        <w:spacing w:line="360" w:lineRule="auto"/>
        <w:jc w:val="distribute"/>
        <w:rPr>
          <w:rFonts w:hint="eastAsia" w:ascii="宋体" w:hAnsi="宋体" w:eastAsia="宋体" w:cs="宋体"/>
          <w:bCs/>
          <w:sz w:val="24"/>
        </w:rPr>
      </w:pPr>
    </w:p>
    <w:p w14:paraId="76C6287B">
      <w:pPr>
        <w:spacing w:line="360" w:lineRule="auto"/>
        <w:jc w:val="distribute"/>
        <w:rPr>
          <w:rFonts w:hint="eastAsia" w:ascii="宋体" w:hAnsi="宋体" w:eastAsia="宋体" w:cs="宋体"/>
          <w:bCs/>
          <w:sz w:val="24"/>
        </w:rPr>
      </w:pPr>
    </w:p>
    <w:p w14:paraId="05A6AE08">
      <w:pPr>
        <w:spacing w:line="360" w:lineRule="auto"/>
        <w:jc w:val="distribute"/>
        <w:rPr>
          <w:rFonts w:hint="eastAsia" w:ascii="宋体" w:hAnsi="宋体" w:eastAsia="宋体" w:cs="宋体"/>
          <w:bCs/>
          <w:sz w:val="24"/>
        </w:rPr>
      </w:pPr>
    </w:p>
    <w:p w14:paraId="61E1CB34">
      <w:pPr>
        <w:spacing w:line="360" w:lineRule="auto"/>
        <w:jc w:val="distribute"/>
        <w:rPr>
          <w:rFonts w:hint="eastAsia" w:ascii="宋体" w:hAnsi="宋体" w:eastAsia="宋体" w:cs="宋体"/>
          <w:bCs/>
          <w:sz w:val="24"/>
        </w:rPr>
      </w:pPr>
    </w:p>
    <w:p w14:paraId="70418F30">
      <w:pPr>
        <w:spacing w:line="360" w:lineRule="auto"/>
        <w:jc w:val="center"/>
        <w:rPr>
          <w:rFonts w:hint="eastAsia" w:ascii="宋体" w:hAnsi="宋体" w:eastAsia="宋体" w:cs="宋体"/>
          <w:b/>
          <w:bCs/>
          <w:sz w:val="36"/>
          <w:szCs w:val="36"/>
        </w:rPr>
        <w:sectPr>
          <w:footerReference r:id="rId5" w:type="default"/>
          <w:pgSz w:w="11906" w:h="16838"/>
          <w:pgMar w:top="1440" w:right="1080" w:bottom="1440" w:left="1080" w:header="851" w:footer="992" w:gutter="0"/>
          <w:pgNumType w:start="1"/>
          <w:cols w:space="720" w:num="1"/>
          <w:docGrid w:linePitch="312" w:charSpace="0"/>
        </w:sectPr>
      </w:pPr>
    </w:p>
    <w:p w14:paraId="5C8B0405">
      <w:pPr>
        <w:pStyle w:val="3"/>
        <w:pageBreakBefore w:val="0"/>
        <w:kinsoku/>
        <w:wordWrap/>
        <w:overflowPunct/>
        <w:topLinePunct w:val="0"/>
        <w:autoSpaceDE/>
        <w:autoSpaceDN/>
        <w:bidi w:val="0"/>
        <w:adjustRightInd/>
        <w:snapToGrid/>
        <w:spacing w:before="0" w:beforeAutospacing="0" w:after="0" w:afterAutospacing="0" w:line="240" w:lineRule="auto"/>
        <w:ind w:right="0"/>
        <w:jc w:val="center"/>
        <w:textAlignment w:val="auto"/>
        <w:rPr>
          <w:color w:val="auto"/>
          <w:sz w:val="32"/>
          <w:szCs w:val="32"/>
        </w:rPr>
      </w:pPr>
      <w:bookmarkStart w:id="1" w:name="_Toc10142"/>
      <w:bookmarkStart w:id="2" w:name="_Toc8983595"/>
      <w:bookmarkStart w:id="3" w:name="_Toc20611"/>
      <w:bookmarkStart w:id="4" w:name="_Toc24078"/>
      <w:r>
        <w:rPr>
          <w:rFonts w:hint="eastAsia" w:ascii="宋体" w:hAnsi="宋体" w:eastAsia="宋体" w:cs="宋体"/>
        </w:rPr>
        <w:t xml:space="preserve">第一部分  </w:t>
      </w:r>
      <w:bookmarkEnd w:id="1"/>
      <w:bookmarkEnd w:id="2"/>
      <w:bookmarkEnd w:id="3"/>
      <w:bookmarkEnd w:id="4"/>
      <w:bookmarkStart w:id="5" w:name="_Toc8983596"/>
      <w:bookmarkStart w:id="6" w:name="_Toc16163"/>
      <w:bookmarkStart w:id="7" w:name="_Toc13984"/>
      <w:r>
        <w:rPr>
          <w:rFonts w:hint="eastAsia"/>
          <w:color w:val="auto"/>
          <w:sz w:val="32"/>
          <w:szCs w:val="32"/>
        </w:rPr>
        <w:t>竞争性</w:t>
      </w:r>
      <w:r>
        <w:rPr>
          <w:rFonts w:hint="eastAsia"/>
          <w:color w:val="auto"/>
          <w:sz w:val="32"/>
          <w:szCs w:val="32"/>
          <w:lang w:val="en-US" w:eastAsia="zh-CN"/>
        </w:rPr>
        <w:t>谈判</w:t>
      </w:r>
      <w:r>
        <w:rPr>
          <w:rFonts w:hint="eastAsia"/>
          <w:color w:val="auto"/>
          <w:sz w:val="32"/>
          <w:szCs w:val="32"/>
        </w:rPr>
        <w:t>公告</w:t>
      </w:r>
    </w:p>
    <w:p w14:paraId="65DD7ECB">
      <w:pPr>
        <w:pageBreakBefore w:val="0"/>
        <w:kinsoku/>
        <w:wordWrap/>
        <w:overflowPunct/>
        <w:topLinePunct w:val="0"/>
        <w:autoSpaceDE/>
        <w:autoSpaceDN/>
        <w:bidi w:val="0"/>
        <w:adjustRightInd/>
        <w:snapToGrid/>
        <w:spacing w:beforeAutospacing="0" w:afterAutospacing="0"/>
        <w:ind w:left="0" w:leftChars="0" w:right="0" w:firstLine="420" w:firstLineChars="200"/>
        <w:textAlignment w:val="auto"/>
        <w:rPr>
          <w:color w:val="auto"/>
          <w:kern w:val="1"/>
        </w:rPr>
      </w:pPr>
      <w:bookmarkStart w:id="8" w:name="EBc884e50b9a914054b9124fad1c99d853"/>
      <w:bookmarkEnd w:id="8"/>
    </w:p>
    <w:p w14:paraId="04346ECF">
      <w:pPr>
        <w:pStyle w:val="91"/>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500" w:lineRule="exact"/>
        <w:ind w:left="0" w:leftChars="0" w:right="0" w:firstLine="422" w:firstLineChars="200"/>
        <w:textAlignment w:val="auto"/>
        <w:rPr>
          <w:b/>
          <w:color w:val="auto"/>
          <w:sz w:val="21"/>
          <w:szCs w:val="21"/>
        </w:rPr>
      </w:pPr>
      <w:bookmarkStart w:id="9" w:name="EB16419e769fee41b994357ba70e1d0689"/>
      <w:bookmarkEnd w:id="9"/>
      <w:r>
        <w:rPr>
          <w:b/>
          <w:color w:val="auto"/>
          <w:sz w:val="21"/>
          <w:szCs w:val="21"/>
        </w:rPr>
        <w:t xml:space="preserve">项目概况  </w:t>
      </w:r>
    </w:p>
    <w:p w14:paraId="5B4CE269">
      <w:pPr>
        <w:pStyle w:val="91"/>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500" w:lineRule="exact"/>
        <w:ind w:left="0" w:leftChars="0" w:right="0" w:firstLine="440" w:firstLineChars="200"/>
        <w:textAlignment w:val="auto"/>
        <w:rPr>
          <w:color w:val="auto"/>
          <w:sz w:val="21"/>
          <w:szCs w:val="21"/>
          <w:u w:val="single"/>
        </w:rPr>
      </w:pPr>
      <w:r>
        <w:rPr>
          <w:rFonts w:hint="eastAsia"/>
          <w:color w:val="auto"/>
          <w:sz w:val="22"/>
          <w:szCs w:val="22"/>
          <w:lang w:eastAsia="zh-CN"/>
        </w:rPr>
        <w:t>博州边境管理支队轮训队营房及附属设施维修项目（二次）</w:t>
      </w:r>
      <w:r>
        <w:rPr>
          <w:color w:val="auto"/>
          <w:sz w:val="22"/>
          <w:szCs w:val="22"/>
        </w:rPr>
        <w:t>的潜在供应商应在</w:t>
      </w:r>
      <w:r>
        <w:rPr>
          <w:rFonts w:hint="eastAsia"/>
          <w:color w:val="auto"/>
          <w:sz w:val="22"/>
          <w:szCs w:val="22"/>
        </w:rPr>
        <w:t>登录政采云平台https://www.zcygov.cn/在线申请获取采购文件（进入“项目采购”应用，在获取采购文件菜单中选择项目，申请获取采购文件）</w:t>
      </w:r>
      <w:r>
        <w:rPr>
          <w:color w:val="auto"/>
          <w:sz w:val="22"/>
          <w:szCs w:val="22"/>
        </w:rPr>
        <w:t>，并于</w:t>
      </w:r>
      <w:r>
        <w:rPr>
          <w:rFonts w:hint="eastAsia"/>
          <w:color w:val="auto"/>
          <w:sz w:val="22"/>
          <w:szCs w:val="22"/>
          <w:lang w:eastAsia="zh-CN"/>
        </w:rPr>
        <w:t>202</w:t>
      </w:r>
      <w:r>
        <w:rPr>
          <w:rFonts w:hint="eastAsia"/>
          <w:color w:val="auto"/>
          <w:sz w:val="22"/>
          <w:szCs w:val="22"/>
          <w:lang w:val="en-US" w:eastAsia="zh-CN"/>
        </w:rPr>
        <w:t>6</w:t>
      </w:r>
      <w:r>
        <w:rPr>
          <w:rFonts w:hint="eastAsia"/>
          <w:color w:val="auto"/>
          <w:sz w:val="22"/>
          <w:szCs w:val="22"/>
          <w:lang w:eastAsia="zh-CN"/>
        </w:rPr>
        <w:t>年</w:t>
      </w:r>
      <w:r>
        <w:rPr>
          <w:rFonts w:hint="eastAsia"/>
          <w:color w:val="auto"/>
          <w:sz w:val="22"/>
          <w:szCs w:val="22"/>
          <w:lang w:val="en-US" w:eastAsia="zh-CN"/>
        </w:rPr>
        <w:t>05月12日</w:t>
      </w:r>
      <w:r>
        <w:rPr>
          <w:rFonts w:hint="eastAsia"/>
          <w:color w:val="auto"/>
          <w:sz w:val="22"/>
          <w:szCs w:val="22"/>
          <w:lang w:eastAsia="zh-CN"/>
        </w:rPr>
        <w:t>10:00</w:t>
      </w:r>
      <w:r>
        <w:rPr>
          <w:color w:val="auto"/>
          <w:sz w:val="22"/>
          <w:szCs w:val="22"/>
        </w:rPr>
        <w:t>（北京时间）前递交响应文件。</w:t>
      </w:r>
      <w:r>
        <w:rPr>
          <w:color w:val="auto"/>
          <w:sz w:val="21"/>
          <w:szCs w:val="21"/>
        </w:rPr>
        <w:t xml:space="preserve">   </w:t>
      </w:r>
    </w:p>
    <w:p w14:paraId="56DB43FB">
      <w:pPr>
        <w:pageBreakBefore w:val="0"/>
        <w:widowControl/>
        <w:shd w:val="clear" w:color="000000" w:fill="FFFFFF"/>
        <w:kinsoku/>
        <w:wordWrap/>
        <w:overflowPunct/>
        <w:topLinePunct w:val="0"/>
        <w:autoSpaceDE/>
        <w:autoSpaceDN/>
        <w:bidi w:val="0"/>
        <w:adjustRightInd/>
        <w:snapToGrid/>
        <w:spacing w:beforeAutospacing="0" w:afterAutospacing="0" w:line="389" w:lineRule="atLeast"/>
        <w:ind w:left="0" w:leftChars="0" w:right="0" w:firstLine="482" w:firstLineChars="200"/>
        <w:textAlignment w:val="auto"/>
        <w:rPr>
          <w:rFonts w:hint="eastAsia" w:ascii="宋体" w:hAnsi="宋体" w:cs="宋体"/>
          <w:b/>
          <w:bCs/>
          <w:color w:val="auto"/>
          <w:sz w:val="24"/>
          <w:szCs w:val="24"/>
        </w:rPr>
      </w:pPr>
    </w:p>
    <w:p w14:paraId="6ADD087E">
      <w:pPr>
        <w:pageBreakBefore w:val="0"/>
        <w:widowControl/>
        <w:shd w:val="clear" w:color="000000" w:fill="FFFFFF"/>
        <w:kinsoku/>
        <w:wordWrap/>
        <w:overflowPunct/>
        <w:topLinePunct w:val="0"/>
        <w:autoSpaceDE/>
        <w:autoSpaceDN/>
        <w:bidi w:val="0"/>
        <w:adjustRightInd/>
        <w:snapToGrid/>
        <w:spacing w:beforeAutospacing="0" w:afterAutospacing="0" w:line="389" w:lineRule="atLeast"/>
        <w:ind w:left="0" w:leftChars="0" w:right="0" w:firstLine="482" w:firstLineChars="200"/>
        <w:textAlignment w:val="auto"/>
        <w:rPr>
          <w:rFonts w:ascii="宋体" w:hAnsi="宋体" w:cs="宋体"/>
          <w:color w:val="auto"/>
          <w:sz w:val="24"/>
          <w:szCs w:val="24"/>
        </w:rPr>
      </w:pPr>
      <w:r>
        <w:rPr>
          <w:rFonts w:hint="eastAsia" w:ascii="宋体" w:hAnsi="宋体" w:cs="宋体"/>
          <w:b/>
          <w:bCs/>
          <w:color w:val="auto"/>
          <w:sz w:val="24"/>
          <w:szCs w:val="24"/>
        </w:rPr>
        <w:t>一、项目基本情况</w:t>
      </w:r>
    </w:p>
    <w:p w14:paraId="57897F6D">
      <w:pPr>
        <w:keepNext w:val="0"/>
        <w:keepLines w:val="0"/>
        <w:pageBreakBefore w:val="0"/>
        <w:widowControl/>
        <w:shd w:val="clear" w:color="000000"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项目编号：</w:t>
      </w:r>
      <w:r>
        <w:rPr>
          <w:rFonts w:hint="eastAsia" w:ascii="宋体" w:hAnsi="宋体" w:cs="宋体"/>
          <w:color w:val="auto"/>
          <w:sz w:val="24"/>
          <w:szCs w:val="24"/>
          <w:lang w:eastAsia="zh-CN"/>
        </w:rPr>
        <w:t>ZCTP2026-00</w:t>
      </w:r>
      <w:r>
        <w:rPr>
          <w:rFonts w:hint="eastAsia" w:ascii="宋体" w:hAnsi="宋体" w:cs="宋体"/>
          <w:color w:val="auto"/>
          <w:sz w:val="24"/>
          <w:szCs w:val="24"/>
          <w:lang w:val="en-US" w:eastAsia="zh-CN"/>
        </w:rPr>
        <w:t>0</w:t>
      </w:r>
      <w:r>
        <w:rPr>
          <w:rFonts w:hint="eastAsia" w:ascii="宋体" w:hAnsi="宋体" w:cs="宋体"/>
          <w:color w:val="auto"/>
          <w:sz w:val="24"/>
          <w:szCs w:val="24"/>
          <w:lang w:eastAsia="zh-CN"/>
        </w:rPr>
        <w:t>5</w:t>
      </w:r>
    </w:p>
    <w:p w14:paraId="3616AC15">
      <w:pPr>
        <w:keepNext w:val="0"/>
        <w:keepLines w:val="0"/>
        <w:pageBreakBefore w:val="0"/>
        <w:widowControl/>
        <w:shd w:val="clear" w:color="000000"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eastAsia" w:ascii="宋体" w:hAnsi="宋体"/>
          <w:color w:val="auto"/>
          <w:kern w:val="0"/>
          <w:sz w:val="24"/>
          <w:highlight w:val="white"/>
          <w:lang w:eastAsia="zh-CN"/>
        </w:rPr>
      </w:pPr>
      <w:r>
        <w:rPr>
          <w:rFonts w:ascii="宋体" w:hAnsi="宋体" w:cs="宋体"/>
          <w:color w:val="auto"/>
          <w:sz w:val="24"/>
          <w:szCs w:val="24"/>
        </w:rPr>
        <w:t>项目名称：</w:t>
      </w:r>
      <w:r>
        <w:rPr>
          <w:rFonts w:hint="eastAsia" w:ascii="宋体" w:hAnsi="宋体"/>
          <w:color w:val="auto"/>
          <w:kern w:val="0"/>
          <w:sz w:val="24"/>
          <w:highlight w:val="white"/>
          <w:lang w:eastAsia="zh-CN"/>
        </w:rPr>
        <w:t>博州边境管理支队轮训队营房及附属设施维修项目（二次）</w:t>
      </w:r>
    </w:p>
    <w:p w14:paraId="587B4A40">
      <w:pPr>
        <w:keepNext w:val="0"/>
        <w:keepLines w:val="0"/>
        <w:pageBreakBefore w:val="0"/>
        <w:widowControl/>
        <w:shd w:val="clear" w:color="000000"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ascii="宋体" w:hAnsi="宋体" w:cs="宋体"/>
          <w:color w:val="000000"/>
          <w:kern w:val="1"/>
          <w:sz w:val="24"/>
          <w:szCs w:val="24"/>
          <w:highlight w:val="none"/>
        </w:rPr>
      </w:pPr>
      <w:r>
        <w:rPr>
          <w:rFonts w:ascii="宋体" w:hAnsi="宋体" w:cs="宋体"/>
          <w:color w:val="000000"/>
          <w:sz w:val="24"/>
          <w:szCs w:val="24"/>
          <w:highlight w:val="none"/>
        </w:rPr>
        <w:t>预算金额（元）：</w:t>
      </w:r>
      <w:r>
        <w:rPr>
          <w:rFonts w:hint="eastAsia" w:ascii="宋体" w:hAnsi="宋体" w:cs="宋体"/>
          <w:color w:val="000000"/>
          <w:sz w:val="24"/>
          <w:szCs w:val="24"/>
          <w:highlight w:val="none"/>
          <w:lang w:val="en-US" w:eastAsia="zh-CN"/>
        </w:rPr>
        <w:t>360000.00</w:t>
      </w:r>
      <w:r>
        <w:rPr>
          <w:rFonts w:hint="eastAsia" w:ascii="宋体" w:hAnsi="宋体" w:cs="宋体"/>
          <w:color w:val="000000"/>
          <w:kern w:val="1"/>
          <w:sz w:val="24"/>
          <w:szCs w:val="24"/>
          <w:highlight w:val="none"/>
          <w:lang w:val="en-US" w:eastAsia="zh-CN"/>
        </w:rPr>
        <w:t xml:space="preserve"> </w:t>
      </w:r>
    </w:p>
    <w:p w14:paraId="3C25C4A9">
      <w:pPr>
        <w:keepNext w:val="0"/>
        <w:keepLines w:val="0"/>
        <w:pageBreakBefore w:val="0"/>
        <w:widowControl/>
        <w:shd w:val="clear" w:color="000000"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eastAsia" w:ascii="宋体" w:hAnsi="宋体" w:eastAsia="宋体" w:cs="宋体"/>
          <w:color w:val="000000"/>
          <w:sz w:val="24"/>
          <w:szCs w:val="24"/>
          <w:highlight w:val="none"/>
          <w:lang w:eastAsia="zh-CN"/>
        </w:rPr>
      </w:pPr>
      <w:r>
        <w:rPr>
          <w:rFonts w:ascii="宋体" w:hAnsi="宋体" w:cs="宋体"/>
          <w:color w:val="000000"/>
          <w:sz w:val="24"/>
          <w:szCs w:val="24"/>
          <w:highlight w:val="none"/>
        </w:rPr>
        <w:t>最高限价（元）：</w:t>
      </w:r>
      <w:r>
        <w:rPr>
          <w:rFonts w:hint="eastAsia" w:ascii="宋体" w:hAnsi="宋体" w:cs="宋体"/>
          <w:color w:val="000000"/>
          <w:sz w:val="24"/>
          <w:szCs w:val="24"/>
          <w:highlight w:val="none"/>
          <w:lang w:val="en-US" w:eastAsia="zh-CN"/>
        </w:rPr>
        <w:t>349041.29</w:t>
      </w:r>
    </w:p>
    <w:p w14:paraId="60B518B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eastAsia" w:ascii="宋体" w:hAnsi="宋体" w:eastAsia="宋体" w:cs="宋体"/>
          <w:color w:val="000000"/>
          <w:sz w:val="24"/>
          <w:szCs w:val="24"/>
          <w:highlight w:val="none"/>
          <w:lang w:eastAsia="zh-CN"/>
        </w:rPr>
      </w:pPr>
      <w:r>
        <w:rPr>
          <w:rFonts w:ascii="宋体" w:hAnsi="宋体" w:cs="宋体"/>
          <w:color w:val="000000"/>
          <w:sz w:val="24"/>
          <w:szCs w:val="24"/>
          <w:highlight w:val="none"/>
        </w:rPr>
        <w:t>采购需求</w:t>
      </w:r>
      <w:r>
        <w:rPr>
          <w:rFonts w:hint="eastAsia" w:ascii="宋体" w:hAnsi="宋体" w:cs="宋体"/>
          <w:color w:val="000000"/>
          <w:sz w:val="24"/>
          <w:szCs w:val="24"/>
          <w:highlight w:val="none"/>
          <w:lang w:eastAsia="zh-CN"/>
        </w:rPr>
        <w:t>：</w:t>
      </w:r>
    </w:p>
    <w:p w14:paraId="01700AB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default" w:cs="Times New Roman"/>
          <w:color w:val="000000"/>
          <w:kern w:val="1"/>
          <w:sz w:val="24"/>
          <w:szCs w:val="24"/>
          <w:highlight w:val="none"/>
          <w:lang w:val="en-US" w:eastAsia="zh-CN"/>
        </w:rPr>
      </w:pPr>
      <w:r>
        <w:rPr>
          <w:color w:val="000000"/>
          <w:kern w:val="1"/>
          <w:sz w:val="24"/>
          <w:szCs w:val="24"/>
          <w:highlight w:val="none"/>
        </w:rPr>
        <w:t>标项</w:t>
      </w:r>
      <w:r>
        <w:rPr>
          <w:rFonts w:cs="Times New Roman"/>
          <w:color w:val="000000"/>
          <w:kern w:val="1"/>
          <w:sz w:val="24"/>
          <w:szCs w:val="24"/>
          <w:highlight w:val="none"/>
        </w:rPr>
        <w:t xml:space="preserve">名称: </w:t>
      </w:r>
      <w:r>
        <w:rPr>
          <w:rFonts w:hint="eastAsia" w:cs="Times New Roman"/>
          <w:color w:val="000000"/>
          <w:kern w:val="1"/>
          <w:sz w:val="24"/>
          <w:szCs w:val="24"/>
          <w:highlight w:val="none"/>
          <w:lang w:val="en-US" w:eastAsia="zh-CN"/>
        </w:rPr>
        <w:t>维修更换入户门、供水水箱及增压设施，维修更换墙面及马桶、淋浴器等。具体见工程量清单。</w:t>
      </w:r>
    </w:p>
    <w:p w14:paraId="3B2C223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color w:val="000000"/>
          <w:sz w:val="24"/>
          <w:szCs w:val="24"/>
          <w:highlight w:val="none"/>
        </w:rPr>
      </w:pPr>
      <w:r>
        <w:rPr>
          <w:color w:val="000000"/>
          <w:sz w:val="24"/>
          <w:szCs w:val="24"/>
          <w:highlight w:val="none"/>
        </w:rPr>
        <w:t xml:space="preserve">数量: 1  </w:t>
      </w:r>
    </w:p>
    <w:p w14:paraId="659657D7">
      <w:pPr>
        <w:keepNext w:val="0"/>
        <w:keepLines w:val="0"/>
        <w:pageBreakBefore w:val="0"/>
        <w:widowControl/>
        <w:shd w:val="clear" w:color="000000" w:fill="FFFFFF"/>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ascii="宋体" w:hAnsi="宋体" w:cs="宋体"/>
          <w:color w:val="000000"/>
          <w:sz w:val="24"/>
          <w:szCs w:val="24"/>
          <w:highlight w:val="none"/>
        </w:rPr>
      </w:pPr>
      <w:r>
        <w:rPr>
          <w:color w:val="000000"/>
          <w:kern w:val="1"/>
          <w:sz w:val="24"/>
          <w:szCs w:val="24"/>
          <w:highlight w:val="none"/>
        </w:rPr>
        <w:t>预算金额（元）：</w:t>
      </w:r>
      <w:r>
        <w:rPr>
          <w:rFonts w:hint="eastAsia" w:ascii="宋体" w:hAnsi="宋体" w:cs="宋体"/>
          <w:color w:val="000000"/>
          <w:sz w:val="24"/>
          <w:szCs w:val="24"/>
          <w:highlight w:val="none"/>
          <w:lang w:val="en-US" w:eastAsia="zh-CN"/>
        </w:rPr>
        <w:t>360000.00</w:t>
      </w:r>
    </w:p>
    <w:p w14:paraId="0F08EF5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rFonts w:hint="eastAsia" w:ascii="宋体" w:hAnsi="宋体" w:cs="宋体"/>
          <w:color w:val="0000FF"/>
          <w:kern w:val="0"/>
          <w:sz w:val="24"/>
          <w:szCs w:val="24"/>
          <w:lang w:eastAsia="zh-CN"/>
        </w:rPr>
      </w:pPr>
      <w:r>
        <w:rPr>
          <w:color w:val="auto"/>
          <w:sz w:val="24"/>
          <w:szCs w:val="24"/>
        </w:rPr>
        <w:t>简要规格描述或项目基本概况</w:t>
      </w:r>
      <w:r>
        <w:rPr>
          <w:color w:val="auto"/>
          <w:sz w:val="24"/>
          <w:szCs w:val="24"/>
          <w:highlight w:val="none"/>
        </w:rPr>
        <w:t>介绍、用途：</w:t>
      </w:r>
      <w:r>
        <w:rPr>
          <w:rFonts w:hint="eastAsia"/>
          <w:color w:val="auto"/>
          <w:sz w:val="24"/>
          <w:szCs w:val="24"/>
          <w:highlight w:val="none"/>
          <w:lang w:val="pt-BR"/>
        </w:rPr>
        <w:t>轮训队营房及附属设施维修</w:t>
      </w:r>
      <w:r>
        <w:rPr>
          <w:rFonts w:hint="eastAsia"/>
          <w:color w:val="auto"/>
          <w:sz w:val="24"/>
          <w:szCs w:val="24"/>
          <w:highlight w:val="none"/>
          <w:lang w:val="en-US" w:eastAsia="zh-CN"/>
        </w:rPr>
        <w:t>升级改造。</w:t>
      </w:r>
      <w:r>
        <w:rPr>
          <w:rFonts w:hint="eastAsia" w:ascii="宋体" w:hAnsi="宋体" w:cs="宋体"/>
          <w:color w:val="auto"/>
          <w:kern w:val="0"/>
          <w:sz w:val="24"/>
          <w:szCs w:val="24"/>
          <w:highlight w:val="none"/>
          <w:lang w:eastAsia="zh-CN"/>
        </w:rPr>
        <w:t>具体内容详见工程量清单。</w:t>
      </w:r>
    </w:p>
    <w:p w14:paraId="733E15E6">
      <w:pPr>
        <w:pStyle w:val="91"/>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color w:val="FF0000"/>
          <w:sz w:val="24"/>
          <w:szCs w:val="24"/>
          <w:highlight w:val="none"/>
          <w:lang w:val="en-US" w:eastAsia="zh-CN"/>
        </w:rPr>
      </w:pPr>
      <w:r>
        <w:rPr>
          <w:rFonts w:hint="eastAsia"/>
          <w:color w:val="auto"/>
          <w:sz w:val="24"/>
          <w:szCs w:val="24"/>
        </w:rPr>
        <w:t>合同履约期限</w:t>
      </w:r>
      <w:r>
        <w:rPr>
          <w:rFonts w:hint="eastAsia"/>
          <w:color w:val="auto"/>
          <w:sz w:val="24"/>
          <w:szCs w:val="24"/>
          <w:highlight w:val="none"/>
          <w:lang w:val="en-US" w:eastAsia="zh-CN"/>
        </w:rPr>
        <w:t>：60日历天；</w:t>
      </w:r>
    </w:p>
    <w:p w14:paraId="6CADDE71">
      <w:pPr>
        <w:pStyle w:val="91"/>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本项目不接受联合体投标。</w:t>
      </w:r>
    </w:p>
    <w:p w14:paraId="51EDB59B">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二、申请人的资格要求：</w:t>
      </w:r>
    </w:p>
    <w:p w14:paraId="0427F09B">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1.满足《中华人民共和国政府采购法》第二十二条规定；</w:t>
      </w:r>
    </w:p>
    <w:p w14:paraId="6045A64B">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color w:val="auto"/>
          <w:sz w:val="24"/>
          <w:szCs w:val="24"/>
          <w:highlight w:val="none"/>
          <w:lang w:val="en-US" w:eastAsia="zh-CN"/>
        </w:rPr>
      </w:pPr>
      <w:r>
        <w:rPr>
          <w:color w:val="auto"/>
          <w:sz w:val="24"/>
          <w:szCs w:val="24"/>
        </w:rPr>
        <w:t>2.落实政府采购政策需满足的资格</w:t>
      </w:r>
      <w:r>
        <w:rPr>
          <w:color w:val="auto"/>
          <w:sz w:val="24"/>
          <w:szCs w:val="24"/>
          <w:highlight w:val="none"/>
        </w:rPr>
        <w:t>要求：</w:t>
      </w:r>
      <w:r>
        <w:rPr>
          <w:rFonts w:hint="eastAsia"/>
          <w:color w:val="auto"/>
          <w:sz w:val="24"/>
          <w:szCs w:val="24"/>
          <w:highlight w:val="none"/>
          <w:lang w:val="en-US" w:eastAsia="zh-CN"/>
        </w:rPr>
        <w:t>本项目全额面向中小企业</w:t>
      </w:r>
      <w:r>
        <w:rPr>
          <w:rFonts w:hint="eastAsia" w:ascii="宋体" w:hAnsi="宋体" w:eastAsia="宋体" w:cs="宋体"/>
          <w:kern w:val="2"/>
          <w:sz w:val="24"/>
          <w:szCs w:val="24"/>
          <w:lang w:val="en-US" w:eastAsia="zh-CN" w:bidi="ar-SA"/>
        </w:rPr>
        <w:t>（监狱、戒毒企业、残疾人福利性单位视同小微企业）</w:t>
      </w:r>
      <w:r>
        <w:rPr>
          <w:rFonts w:hint="eastAsia" w:hAnsi="宋体" w:cs="宋体"/>
          <w:kern w:val="2"/>
          <w:sz w:val="24"/>
          <w:szCs w:val="24"/>
          <w:lang w:val="en-US" w:eastAsia="zh-CN" w:bidi="ar-SA"/>
        </w:rPr>
        <w:t>。</w:t>
      </w:r>
    </w:p>
    <w:p w14:paraId="0088ACA0">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default" w:ascii="宋体" w:hAnsi="宋体" w:eastAsia="宋体" w:cs="宋体"/>
          <w:color w:val="auto"/>
          <w:sz w:val="24"/>
          <w:szCs w:val="24"/>
          <w:lang w:val="en-US" w:eastAsia="zh-CN"/>
        </w:rPr>
      </w:pPr>
      <w:r>
        <w:rPr>
          <w:rFonts w:ascii="宋体" w:hAnsi="宋体" w:eastAsia="宋体" w:cs="宋体"/>
          <w:color w:val="auto"/>
          <w:sz w:val="24"/>
          <w:szCs w:val="24"/>
        </w:rPr>
        <w:t>3.</w:t>
      </w:r>
      <w:r>
        <w:rPr>
          <w:rFonts w:hint="eastAsia" w:ascii="宋体" w:hAnsi="宋体" w:eastAsia="宋体" w:cs="宋体"/>
          <w:color w:val="auto"/>
          <w:sz w:val="24"/>
          <w:szCs w:val="24"/>
          <w:lang w:val="en-US" w:eastAsia="zh-CN"/>
        </w:rPr>
        <w:t>本项目的特定资格要求：</w:t>
      </w:r>
    </w:p>
    <w:p w14:paraId="7389CE11">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u w:val="single"/>
        </w:rPr>
        <w:t>投标人须具备住房城乡建设主管部门颁发的房屋建筑工程施工总承包叁级（含叁级）以上资质，具备有效的安全生产许可证，并在人员、设备、资金等方面具有相应的施工能力。项目负责人须具备建筑工程专业注册二级建造师及以上执业资格，具备有效的安全生产考核合格证书（B证），且未担任其他在施建设工程项目的项目负责人、项目经理。</w:t>
      </w:r>
    </w:p>
    <w:p w14:paraId="2ECF75FF">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2</w:t>
      </w:r>
      <w:r>
        <w:rPr>
          <w:rFonts w:hint="eastAsia" w:ascii="宋体" w:hAnsi="宋体" w:eastAsia="宋体" w:cs="宋体"/>
          <w:color w:val="auto"/>
          <w:sz w:val="24"/>
          <w:szCs w:val="24"/>
        </w:rPr>
        <w:t>本次竞争性不接受联合体供应商；</w:t>
      </w:r>
    </w:p>
    <w:p w14:paraId="077DA9E8">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3</w:t>
      </w:r>
      <w:r>
        <w:rPr>
          <w:rFonts w:hint="eastAsia" w:ascii="宋体" w:hAnsi="宋体" w:eastAsia="宋体" w:cs="宋体"/>
          <w:color w:val="auto"/>
          <w:sz w:val="24"/>
          <w:szCs w:val="24"/>
        </w:rPr>
        <w:t>资格审查方式：资格后审，审查标准见</w:t>
      </w:r>
      <w:r>
        <w:rPr>
          <w:rFonts w:hint="eastAsia" w:cs="宋体"/>
          <w:color w:val="auto"/>
          <w:sz w:val="24"/>
          <w:szCs w:val="24"/>
          <w:lang w:val="en-US" w:eastAsia="zh-CN"/>
        </w:rPr>
        <w:t>竞争性</w:t>
      </w:r>
      <w:r>
        <w:rPr>
          <w:rFonts w:hint="eastAsia" w:ascii="宋体" w:hAnsi="宋体" w:eastAsia="宋体" w:cs="宋体"/>
          <w:color w:val="auto"/>
          <w:sz w:val="24"/>
          <w:szCs w:val="24"/>
        </w:rPr>
        <w:t>文件。</w:t>
      </w:r>
    </w:p>
    <w:p w14:paraId="64362500">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三、获取招标文件</w:t>
      </w:r>
    </w:p>
    <w:p w14:paraId="0F2A829D">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时间：</w:t>
      </w:r>
      <w:r>
        <w:rPr>
          <w:rFonts w:hint="eastAsia"/>
          <w:color w:val="auto"/>
          <w:sz w:val="24"/>
          <w:szCs w:val="24"/>
          <w:lang w:eastAsia="zh-CN"/>
        </w:rPr>
        <w:t>202</w:t>
      </w:r>
      <w:r>
        <w:rPr>
          <w:rFonts w:hint="eastAsia"/>
          <w:color w:val="auto"/>
          <w:sz w:val="24"/>
          <w:szCs w:val="24"/>
          <w:lang w:val="en-US" w:eastAsia="zh-CN"/>
        </w:rPr>
        <w:t>6</w:t>
      </w:r>
      <w:r>
        <w:rPr>
          <w:rFonts w:hint="eastAsia"/>
          <w:color w:val="auto"/>
          <w:sz w:val="24"/>
          <w:szCs w:val="24"/>
          <w:lang w:eastAsia="zh-CN"/>
        </w:rPr>
        <w:t>年</w:t>
      </w:r>
      <w:r>
        <w:rPr>
          <w:rFonts w:hint="eastAsia"/>
          <w:color w:val="auto"/>
          <w:sz w:val="24"/>
          <w:szCs w:val="24"/>
          <w:lang w:val="en-US" w:eastAsia="zh-CN"/>
        </w:rPr>
        <w:t>05月06日至2026年05月09日</w:t>
      </w:r>
      <w:r>
        <w:rPr>
          <w:color w:val="auto"/>
          <w:sz w:val="24"/>
          <w:szCs w:val="24"/>
        </w:rPr>
        <w:t>，每天上午</w:t>
      </w:r>
      <w:r>
        <w:rPr>
          <w:rFonts w:hint="eastAsia"/>
          <w:color w:val="auto"/>
          <w:sz w:val="24"/>
          <w:szCs w:val="24"/>
          <w:lang w:val="en-US" w:eastAsia="zh-CN"/>
        </w:rPr>
        <w:t>0</w:t>
      </w:r>
      <w:r>
        <w:rPr>
          <w:color w:val="auto"/>
          <w:sz w:val="24"/>
          <w:szCs w:val="24"/>
        </w:rPr>
        <w:t>0:00至1</w:t>
      </w:r>
      <w:r>
        <w:rPr>
          <w:rFonts w:hint="eastAsia"/>
          <w:color w:val="auto"/>
          <w:sz w:val="24"/>
          <w:szCs w:val="24"/>
          <w:lang w:val="en-US" w:eastAsia="zh-CN"/>
        </w:rPr>
        <w:t>4</w:t>
      </w:r>
      <w:r>
        <w:rPr>
          <w:color w:val="auto"/>
          <w:sz w:val="24"/>
          <w:szCs w:val="24"/>
        </w:rPr>
        <w:t>:00 ，下午</w:t>
      </w:r>
      <w:r>
        <w:rPr>
          <w:rFonts w:hint="eastAsia"/>
          <w:color w:val="auto"/>
          <w:sz w:val="24"/>
          <w:szCs w:val="24"/>
          <w:lang w:val="en-US" w:eastAsia="zh-CN"/>
        </w:rPr>
        <w:t>14</w:t>
      </w:r>
      <w:r>
        <w:rPr>
          <w:color w:val="auto"/>
          <w:sz w:val="24"/>
          <w:szCs w:val="24"/>
        </w:rPr>
        <w:t>:00至23:59（北京时间，法定节假日除外）</w:t>
      </w:r>
    </w:p>
    <w:p w14:paraId="341AD2C8">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地点：</w:t>
      </w:r>
      <w:r>
        <w:rPr>
          <w:rFonts w:hint="eastAsia"/>
          <w:color w:val="auto"/>
          <w:sz w:val="24"/>
          <w:szCs w:val="24"/>
          <w:lang w:eastAsia="zh-CN"/>
        </w:rPr>
        <w:t>新疆政府采购网政采云平台</w:t>
      </w:r>
    </w:p>
    <w:p w14:paraId="6FCE8D3E">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方式：</w:t>
      </w:r>
      <w:r>
        <w:rPr>
          <w:rFonts w:hint="eastAsia" w:ascii="宋体" w:hAnsi="宋体" w:eastAsia="宋体" w:cs="宋体"/>
          <w:sz w:val="24"/>
          <w:szCs w:val="24"/>
        </w:rPr>
        <w:t>供应商登录政采云平台</w:t>
      </w:r>
      <w:r>
        <w:rPr>
          <w:rFonts w:hint="default" w:ascii="宋体" w:hAnsi="宋体" w:eastAsia="宋体" w:cs="宋体"/>
          <w:b w:val="0"/>
          <w:bCs/>
          <w:color w:val="auto"/>
          <w:sz w:val="24"/>
          <w:szCs w:val="24"/>
        </w:rPr>
        <w:t>https://www.zcygov.cn/</w:t>
      </w:r>
      <w:r>
        <w:rPr>
          <w:rFonts w:hint="eastAsia" w:ascii="宋体" w:hAnsi="宋体" w:eastAsia="宋体" w:cs="宋体"/>
          <w:sz w:val="24"/>
          <w:szCs w:val="24"/>
        </w:rPr>
        <w:t>在线申请获取采购文件（进入“项目采购”应用，在获取采购文件菜单中选择项目，申请获取采购文件）  </w:t>
      </w:r>
    </w:p>
    <w:p w14:paraId="36AC560C">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售价（元）：0</w:t>
      </w:r>
    </w:p>
    <w:p w14:paraId="1040FDCF">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四、提交响应文件截止时间、开标时间和地点</w:t>
      </w:r>
    </w:p>
    <w:p w14:paraId="0F04DFF5">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提交响应文件截止时间：</w:t>
      </w:r>
      <w:r>
        <w:rPr>
          <w:rFonts w:hint="eastAsia"/>
          <w:color w:val="auto"/>
          <w:sz w:val="24"/>
          <w:szCs w:val="24"/>
          <w:lang w:eastAsia="zh-CN"/>
        </w:rPr>
        <w:t>202</w:t>
      </w:r>
      <w:r>
        <w:rPr>
          <w:rFonts w:hint="eastAsia"/>
          <w:color w:val="auto"/>
          <w:sz w:val="24"/>
          <w:szCs w:val="24"/>
          <w:lang w:val="en-US" w:eastAsia="zh-CN"/>
        </w:rPr>
        <w:t>6</w:t>
      </w:r>
      <w:r>
        <w:rPr>
          <w:rFonts w:hint="eastAsia"/>
          <w:color w:val="auto"/>
          <w:sz w:val="24"/>
          <w:szCs w:val="24"/>
          <w:lang w:eastAsia="zh-CN"/>
        </w:rPr>
        <w:t>年</w:t>
      </w:r>
      <w:r>
        <w:rPr>
          <w:rFonts w:hint="eastAsia"/>
          <w:color w:val="auto"/>
          <w:sz w:val="24"/>
          <w:szCs w:val="24"/>
          <w:lang w:val="en-US" w:eastAsia="zh-CN"/>
        </w:rPr>
        <w:t>05月12日 10:00</w:t>
      </w:r>
      <w:r>
        <w:rPr>
          <w:color w:val="auto"/>
          <w:sz w:val="24"/>
          <w:szCs w:val="24"/>
        </w:rPr>
        <w:t>（北京时间）</w:t>
      </w:r>
    </w:p>
    <w:p w14:paraId="0BD68E3C">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投标地点（网址）：</w:t>
      </w:r>
      <w:r>
        <w:rPr>
          <w:rFonts w:hint="default" w:ascii="宋体" w:hAnsi="宋体" w:eastAsia="宋体" w:cs="宋体"/>
          <w:b w:val="0"/>
          <w:bCs/>
          <w:color w:val="auto"/>
          <w:sz w:val="24"/>
          <w:szCs w:val="24"/>
          <w:highlight w:val="none"/>
        </w:rPr>
        <w:t>请登录政采云投标客户端投标</w:t>
      </w:r>
    </w:p>
    <w:p w14:paraId="5E017F18">
      <w:pPr>
        <w:pStyle w:val="91"/>
        <w:pageBreakBefore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开标地点：</w:t>
      </w:r>
      <w:r>
        <w:rPr>
          <w:rFonts w:hint="default" w:ascii="宋体" w:hAnsi="宋体" w:eastAsia="宋体" w:cs="宋体"/>
          <w:b w:val="0"/>
          <w:bCs/>
          <w:color w:val="auto"/>
          <w:sz w:val="24"/>
          <w:szCs w:val="24"/>
        </w:rPr>
        <w:t>投标人登录政采云平台https://www.zcygov.cn/ ，进入“</w:t>
      </w:r>
      <w:r>
        <w:rPr>
          <w:rFonts w:hint="default" w:ascii="宋体" w:hAnsi="宋体" w:eastAsia="宋体" w:cs="宋体"/>
          <w:b w:val="0"/>
          <w:bCs/>
          <w:color w:val="000000"/>
          <w:sz w:val="24"/>
          <w:szCs w:val="24"/>
        </w:rPr>
        <w:t>项目采购-开标评标-右边选择对应项目点击“进入项目”进入开标大厅。</w:t>
      </w:r>
    </w:p>
    <w:p w14:paraId="7734FC26">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五、公告期限</w:t>
      </w:r>
    </w:p>
    <w:p w14:paraId="7421894A">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color w:val="auto"/>
          <w:sz w:val="24"/>
          <w:szCs w:val="24"/>
        </w:rPr>
      </w:pPr>
      <w:r>
        <w:rPr>
          <w:rFonts w:hint="eastAsia"/>
          <w:color w:val="auto"/>
          <w:sz w:val="24"/>
          <w:szCs w:val="24"/>
        </w:rPr>
        <w:t>自本公告发布之日起不少于3个工作日。</w:t>
      </w:r>
    </w:p>
    <w:p w14:paraId="7ED8D552">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六、其他补充事宜</w:t>
      </w:r>
    </w:p>
    <w:p w14:paraId="1094871B">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1、本项目实行网上投标，采用电子响应文件；</w:t>
      </w:r>
    </w:p>
    <w:p w14:paraId="74CA6268">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color w:val="auto"/>
          <w:sz w:val="24"/>
          <w:szCs w:val="24"/>
        </w:rPr>
      </w:pPr>
      <w:r>
        <w:rPr>
          <w:color w:val="auto"/>
          <w:sz w:val="24"/>
          <w:szCs w:val="24"/>
        </w:rPr>
        <w:t>2、各供应商应在开标前应确保成为</w:t>
      </w:r>
      <w:r>
        <w:rPr>
          <w:rFonts w:hint="eastAsia"/>
          <w:color w:val="auto"/>
          <w:sz w:val="24"/>
          <w:szCs w:val="24"/>
          <w:lang w:eastAsia="zh-CN"/>
        </w:rPr>
        <w:t>新疆政府采购网</w:t>
      </w:r>
      <w:r>
        <w:rPr>
          <w:color w:val="auto"/>
          <w:sz w:val="24"/>
          <w:szCs w:val="24"/>
        </w:rPr>
        <w:t>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35C847B4">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0" w:firstLineChars="200"/>
        <w:jc w:val="both"/>
        <w:textAlignment w:val="auto"/>
        <w:rPr>
          <w:color w:val="auto"/>
          <w:sz w:val="24"/>
          <w:szCs w:val="24"/>
        </w:rPr>
      </w:pPr>
      <w:r>
        <w:rPr>
          <w:color w:val="auto"/>
          <w:sz w:val="24"/>
          <w:szCs w:val="24"/>
        </w:rPr>
        <w:t>3、供应商将政采云电子交易客户端下载、安装完成后，可通过账号密码或CA登录客户端进行响应文件的制作。在使用政采云投标客户端时，建议使用WIN7及以上操作系统。客户端请至</w:t>
      </w:r>
      <w:r>
        <w:rPr>
          <w:rFonts w:hint="eastAsia"/>
          <w:color w:val="auto"/>
          <w:sz w:val="24"/>
          <w:szCs w:val="24"/>
          <w:lang w:eastAsia="zh-CN"/>
        </w:rPr>
        <w:t>新疆政府采购网</w:t>
      </w:r>
      <w:r>
        <w:rPr>
          <w:color w:val="auto"/>
          <w:sz w:val="24"/>
          <w:szCs w:val="24"/>
        </w:rPr>
        <w:t>（</w:t>
      </w:r>
      <w:r>
        <w:rPr>
          <w:rFonts w:hint="eastAsia"/>
          <w:color w:val="auto"/>
          <w:sz w:val="24"/>
          <w:szCs w:val="24"/>
          <w:lang w:eastAsia="zh-CN"/>
        </w:rPr>
        <w:t>http://www.ccgp-xinjiang.gov.cn/</w:t>
      </w:r>
      <w:r>
        <w:rPr>
          <w:color w:val="auto"/>
          <w:sz w:val="24"/>
          <w:szCs w:val="24"/>
        </w:rPr>
        <w:t>）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79658222">
      <w:pPr>
        <w:pStyle w:val="91"/>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482" w:firstLineChars="200"/>
        <w:textAlignment w:val="auto"/>
        <w:rPr>
          <w:b/>
          <w:color w:val="auto"/>
          <w:sz w:val="24"/>
          <w:szCs w:val="24"/>
        </w:rPr>
      </w:pPr>
      <w:r>
        <w:rPr>
          <w:b/>
          <w:color w:val="auto"/>
          <w:sz w:val="24"/>
          <w:szCs w:val="24"/>
        </w:rPr>
        <w:t>七、凡对本次招标提出询问，请按以下方式联系</w:t>
      </w:r>
    </w:p>
    <w:p w14:paraId="0963F377">
      <w:pPr>
        <w:pStyle w:val="91"/>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firstLine="480" w:firstLineChars="200"/>
        <w:textAlignment w:val="auto"/>
        <w:rPr>
          <w:color w:val="auto"/>
          <w:sz w:val="24"/>
          <w:szCs w:val="24"/>
        </w:rPr>
      </w:pPr>
      <w:r>
        <w:rPr>
          <w:color w:val="auto"/>
          <w:sz w:val="24"/>
          <w:szCs w:val="24"/>
        </w:rPr>
        <w:t>1.采购人信息</w:t>
      </w:r>
    </w:p>
    <w:p w14:paraId="605D6C20">
      <w:pPr>
        <w:spacing w:line="360" w:lineRule="auto"/>
        <w:ind w:firstLine="480" w:firstLineChars="200"/>
        <w:rPr>
          <w:rFonts w:hint="eastAsia" w:ascii="宋体" w:hAnsi="宋体" w:eastAsia="宋体" w:cs="宋体"/>
          <w:kern w:val="2"/>
          <w:sz w:val="24"/>
          <w:szCs w:val="24"/>
          <w:lang w:val="en-US" w:eastAsia="zh-CN"/>
        </w:rPr>
      </w:pPr>
      <w:bookmarkStart w:id="10" w:name="_Toc10571"/>
      <w:bookmarkEnd w:id="10"/>
      <w:bookmarkStart w:id="11" w:name="_Toc532543564"/>
      <w:bookmarkEnd w:id="11"/>
      <w:bookmarkStart w:id="12" w:name="_Toc531075008"/>
      <w:bookmarkEnd w:id="12"/>
      <w:r>
        <w:rPr>
          <w:rFonts w:hint="eastAsia" w:ascii="宋体" w:hAnsi="宋体" w:eastAsia="宋体" w:cs="宋体"/>
          <w:kern w:val="2"/>
          <w:sz w:val="24"/>
          <w:szCs w:val="24"/>
        </w:rPr>
        <w:t>名 称：</w:t>
      </w:r>
      <w:r>
        <w:rPr>
          <w:rFonts w:hint="eastAsia" w:ascii="宋体" w:hAnsi="宋体" w:eastAsia="宋体" w:cs="宋体"/>
          <w:kern w:val="2"/>
          <w:sz w:val="24"/>
          <w:szCs w:val="24"/>
          <w:lang w:eastAsia="zh-CN"/>
        </w:rPr>
        <w:t>博州边境管理支队</w:t>
      </w:r>
    </w:p>
    <w:p w14:paraId="79E851AE">
      <w:pPr>
        <w:spacing w:line="360" w:lineRule="auto"/>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rPr>
        <w:t>地 址：</w:t>
      </w:r>
      <w:r>
        <w:rPr>
          <w:rFonts w:hint="eastAsia" w:ascii="宋体" w:hAnsi="宋体" w:eastAsia="宋体" w:cs="宋体"/>
          <w:kern w:val="2"/>
          <w:sz w:val="24"/>
          <w:szCs w:val="24"/>
          <w:lang w:val="en-US" w:eastAsia="zh-CN"/>
        </w:rPr>
        <w:t>新疆博乐市和平路183号</w:t>
      </w:r>
    </w:p>
    <w:p w14:paraId="52B86E89">
      <w:pPr>
        <w:spacing w:line="360" w:lineRule="auto"/>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rPr>
        <w:t>联系人：</w:t>
      </w:r>
      <w:r>
        <w:rPr>
          <w:rFonts w:hint="eastAsia" w:ascii="宋体" w:hAnsi="宋体" w:eastAsia="宋体" w:cs="宋体"/>
          <w:kern w:val="2"/>
          <w:sz w:val="24"/>
          <w:szCs w:val="24"/>
          <w:lang w:val="en-US" w:eastAsia="zh-CN"/>
        </w:rPr>
        <w:t>张警官</w:t>
      </w:r>
    </w:p>
    <w:p w14:paraId="469DC593">
      <w:pPr>
        <w:spacing w:line="360" w:lineRule="auto"/>
        <w:ind w:firstLine="480" w:firstLineChars="200"/>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联系方式：</w:t>
      </w:r>
      <w:r>
        <w:rPr>
          <w:rFonts w:hint="eastAsia" w:ascii="宋体" w:hAnsi="宋体" w:eastAsia="宋体" w:cs="宋体"/>
          <w:kern w:val="2"/>
          <w:sz w:val="24"/>
          <w:szCs w:val="24"/>
          <w:highlight w:val="none"/>
          <w:lang w:val="en-US" w:eastAsia="zh-CN"/>
        </w:rPr>
        <w:t>0909-2237370</w:t>
      </w:r>
    </w:p>
    <w:p w14:paraId="283E91E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中创名建工程管理集团有限公司</w:t>
      </w:r>
    </w:p>
    <w:p w14:paraId="3AF8A33C">
      <w:pPr>
        <w:spacing w:line="360" w:lineRule="auto"/>
        <w:ind w:firstLine="480" w:firstLineChars="200"/>
        <w:rPr>
          <w:rFonts w:hint="default" w:ascii="宋体" w:hAnsi="宋体" w:eastAsia="宋体" w:cs="宋体"/>
          <w:sz w:val="24"/>
          <w:szCs w:val="24"/>
          <w:lang w:val="en-US"/>
        </w:rPr>
      </w:pPr>
      <w:r>
        <w:rPr>
          <w:rFonts w:hint="eastAsia" w:ascii="宋体" w:hAnsi="宋体" w:eastAsia="宋体" w:cs="宋体"/>
          <w:sz w:val="24"/>
          <w:szCs w:val="24"/>
        </w:rPr>
        <w:t>地 址：</w:t>
      </w:r>
      <w:r>
        <w:rPr>
          <w:rFonts w:hint="eastAsia" w:ascii="宋体" w:hAnsi="宋体" w:cs="宋体"/>
          <w:sz w:val="24"/>
          <w:szCs w:val="24"/>
          <w:lang w:val="en-US" w:eastAsia="zh-CN"/>
        </w:rPr>
        <w:t>新疆博州博乐市克尔根卓街道文化路中央名筑42 号楼 4 层 12 号</w:t>
      </w:r>
    </w:p>
    <w:p w14:paraId="70B0F20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val="en-US" w:eastAsia="zh-CN"/>
        </w:rPr>
        <w:t>谷芳</w:t>
      </w:r>
    </w:p>
    <w:p w14:paraId="6E3343F0">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17399097222</w:t>
      </w:r>
    </w:p>
    <w:p w14:paraId="4EBCCD10"/>
    <w:p w14:paraId="6EE683D8">
      <w:pPr>
        <w:adjustRightInd w:val="0"/>
        <w:snapToGrid w:val="0"/>
        <w:spacing w:line="360" w:lineRule="auto"/>
        <w:ind w:firstLine="210" w:firstLineChars="100"/>
        <w:rPr>
          <w:rFonts w:hint="eastAsia" w:ascii="宋体" w:hAnsi="宋体" w:eastAsia="宋体" w:cs="宋体"/>
        </w:rPr>
      </w:pPr>
    </w:p>
    <w:p w14:paraId="3EC7D4FF">
      <w:pPr>
        <w:rPr>
          <w:rFonts w:hint="eastAsia" w:ascii="宋体" w:hAnsi="宋体" w:eastAsia="宋体" w:cs="宋体"/>
        </w:rPr>
      </w:pPr>
    </w:p>
    <w:p w14:paraId="1389F2AC">
      <w:pPr>
        <w:pStyle w:val="9"/>
        <w:rPr>
          <w:rFonts w:hint="eastAsia" w:ascii="宋体" w:hAnsi="宋体" w:eastAsia="宋体" w:cs="宋体"/>
        </w:rPr>
      </w:pPr>
    </w:p>
    <w:p w14:paraId="56C203C9">
      <w:pPr>
        <w:rPr>
          <w:rFonts w:hint="eastAsia" w:ascii="宋体" w:hAnsi="宋体" w:eastAsia="宋体" w:cs="宋体"/>
        </w:rPr>
      </w:pPr>
    </w:p>
    <w:p w14:paraId="6F0FB50A">
      <w:pPr>
        <w:pStyle w:val="9"/>
        <w:rPr>
          <w:rFonts w:hint="eastAsia" w:ascii="宋体" w:hAnsi="宋体" w:eastAsia="宋体" w:cs="宋体"/>
        </w:rPr>
      </w:pPr>
    </w:p>
    <w:p w14:paraId="72296F03">
      <w:pPr>
        <w:rPr>
          <w:rFonts w:hint="eastAsia" w:ascii="宋体" w:hAnsi="宋体" w:eastAsia="宋体" w:cs="宋体"/>
        </w:rPr>
      </w:pPr>
    </w:p>
    <w:p w14:paraId="1B6C92C3">
      <w:pPr>
        <w:pStyle w:val="9"/>
        <w:rPr>
          <w:rFonts w:hint="eastAsia" w:ascii="宋体" w:hAnsi="宋体" w:eastAsia="宋体" w:cs="宋体"/>
        </w:rPr>
      </w:pPr>
    </w:p>
    <w:p w14:paraId="4CA57619">
      <w:pPr>
        <w:rPr>
          <w:rFonts w:hint="eastAsia" w:ascii="宋体" w:hAnsi="宋体" w:eastAsia="宋体" w:cs="宋体"/>
        </w:rPr>
      </w:pPr>
    </w:p>
    <w:p w14:paraId="1777B33D">
      <w:pPr>
        <w:pStyle w:val="9"/>
        <w:rPr>
          <w:rFonts w:hint="eastAsia" w:ascii="宋体" w:hAnsi="宋体" w:eastAsia="宋体" w:cs="宋体"/>
        </w:rPr>
      </w:pPr>
    </w:p>
    <w:p w14:paraId="056ED050">
      <w:pPr>
        <w:rPr>
          <w:rFonts w:hint="eastAsia" w:ascii="宋体" w:hAnsi="宋体" w:eastAsia="宋体" w:cs="宋体"/>
        </w:rPr>
      </w:pPr>
    </w:p>
    <w:p w14:paraId="1DF30708">
      <w:pPr>
        <w:pStyle w:val="9"/>
        <w:rPr>
          <w:rFonts w:hint="eastAsia" w:ascii="宋体" w:hAnsi="宋体" w:eastAsia="宋体" w:cs="宋体"/>
        </w:rPr>
      </w:pPr>
    </w:p>
    <w:p w14:paraId="04A98764">
      <w:pPr>
        <w:rPr>
          <w:rFonts w:hint="eastAsia" w:ascii="宋体" w:hAnsi="宋体" w:eastAsia="宋体" w:cs="宋体"/>
        </w:rPr>
      </w:pPr>
    </w:p>
    <w:p w14:paraId="1E77A781">
      <w:pPr>
        <w:pStyle w:val="9"/>
        <w:rPr>
          <w:rFonts w:hint="eastAsia" w:ascii="宋体" w:hAnsi="宋体" w:eastAsia="宋体" w:cs="宋体"/>
        </w:rPr>
      </w:pPr>
    </w:p>
    <w:p w14:paraId="7E3FA1A7">
      <w:pPr>
        <w:rPr>
          <w:rFonts w:hint="eastAsia" w:ascii="宋体" w:hAnsi="宋体" w:eastAsia="宋体" w:cs="宋体"/>
        </w:rPr>
      </w:pPr>
    </w:p>
    <w:p w14:paraId="29AA447E">
      <w:pPr>
        <w:pStyle w:val="9"/>
        <w:rPr>
          <w:rFonts w:hint="eastAsia" w:ascii="宋体" w:hAnsi="宋体" w:eastAsia="宋体" w:cs="宋体"/>
        </w:rPr>
      </w:pPr>
    </w:p>
    <w:p w14:paraId="62762C86">
      <w:pPr>
        <w:rPr>
          <w:rFonts w:hint="eastAsia"/>
        </w:rPr>
      </w:pPr>
    </w:p>
    <w:p w14:paraId="044AFA07">
      <w:pPr>
        <w:pStyle w:val="9"/>
        <w:rPr>
          <w:rFonts w:hint="eastAsia" w:ascii="宋体" w:hAnsi="宋体" w:eastAsia="宋体" w:cs="宋体"/>
        </w:rPr>
      </w:pPr>
    </w:p>
    <w:p w14:paraId="346C2893">
      <w:pPr>
        <w:rPr>
          <w:rFonts w:hint="eastAsia" w:ascii="宋体" w:hAnsi="宋体" w:eastAsia="宋体" w:cs="宋体"/>
        </w:rPr>
      </w:pPr>
    </w:p>
    <w:p w14:paraId="5D80ECE7">
      <w:pPr>
        <w:pStyle w:val="9"/>
        <w:rPr>
          <w:rFonts w:hint="eastAsia" w:ascii="宋体" w:hAnsi="宋体" w:eastAsia="宋体" w:cs="宋体"/>
        </w:rPr>
      </w:pPr>
    </w:p>
    <w:p w14:paraId="08C3E355">
      <w:pPr>
        <w:rPr>
          <w:rFonts w:hint="eastAsia"/>
        </w:rPr>
      </w:pPr>
    </w:p>
    <w:p w14:paraId="485C9EFA">
      <w:pPr>
        <w:rPr>
          <w:rFonts w:hint="eastAsia" w:ascii="宋体" w:hAnsi="宋体" w:eastAsia="宋体" w:cs="宋体"/>
        </w:rPr>
      </w:pPr>
    </w:p>
    <w:p w14:paraId="3FA24F54">
      <w:pPr>
        <w:rPr>
          <w:rFonts w:hint="eastAsia" w:ascii="宋体" w:hAnsi="宋体" w:eastAsia="宋体" w:cs="宋体"/>
        </w:rPr>
      </w:pPr>
    </w:p>
    <w:p w14:paraId="787C6182">
      <w:pPr>
        <w:pStyle w:val="3"/>
        <w:rPr>
          <w:rFonts w:hint="eastAsia" w:ascii="宋体" w:hAnsi="宋体" w:eastAsia="宋体" w:cs="宋体"/>
          <w:lang w:eastAsia="zh-CN"/>
        </w:rPr>
      </w:pPr>
      <w:bookmarkStart w:id="13" w:name="_Toc14959"/>
      <w:r>
        <w:rPr>
          <w:rFonts w:hint="eastAsia" w:ascii="宋体" w:hAnsi="宋体" w:eastAsia="宋体" w:cs="宋体"/>
        </w:rPr>
        <w:t>第二部分  供应商须知</w:t>
      </w:r>
      <w:bookmarkEnd w:id="5"/>
      <w:bookmarkEnd w:id="6"/>
      <w:bookmarkEnd w:id="7"/>
      <w:bookmarkStart w:id="14" w:name="_Toc256000016"/>
      <w:bookmarkStart w:id="15" w:name="_Toc256000002"/>
      <w:r>
        <w:rPr>
          <w:rFonts w:hint="eastAsia" w:ascii="宋体" w:hAnsi="宋体" w:eastAsia="宋体" w:cs="宋体"/>
          <w:lang w:eastAsia="zh-CN"/>
        </w:rPr>
        <w:t>前附表</w:t>
      </w:r>
      <w:bookmarkEnd w:id="13"/>
    </w:p>
    <w:bookmarkEnd w:id="14"/>
    <w:bookmarkEnd w:id="15"/>
    <w:tbl>
      <w:tblPr>
        <w:tblStyle w:val="2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664"/>
        <w:gridCol w:w="6518"/>
      </w:tblGrid>
      <w:tr w14:paraId="5611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89AE66D">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序号</w:t>
            </w:r>
          </w:p>
        </w:tc>
        <w:tc>
          <w:tcPr>
            <w:tcW w:w="2664" w:type="dxa"/>
            <w:tcBorders>
              <w:top w:val="single" w:color="auto" w:sz="4" w:space="0"/>
              <w:left w:val="single" w:color="auto" w:sz="4" w:space="0"/>
              <w:bottom w:val="single" w:color="auto" w:sz="4" w:space="0"/>
              <w:right w:val="single" w:color="auto" w:sz="4" w:space="0"/>
            </w:tcBorders>
            <w:vAlign w:val="center"/>
          </w:tcPr>
          <w:p w14:paraId="2F844666">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内容</w:t>
            </w:r>
          </w:p>
        </w:tc>
        <w:tc>
          <w:tcPr>
            <w:tcW w:w="6518" w:type="dxa"/>
            <w:tcBorders>
              <w:top w:val="single" w:color="auto" w:sz="4" w:space="0"/>
              <w:left w:val="single" w:color="auto" w:sz="4" w:space="0"/>
              <w:bottom w:val="single" w:color="auto" w:sz="4" w:space="0"/>
              <w:right w:val="single" w:color="auto" w:sz="4" w:space="0"/>
            </w:tcBorders>
            <w:vAlign w:val="center"/>
          </w:tcPr>
          <w:p w14:paraId="0D0F97CB">
            <w:pPr>
              <w:pStyle w:val="34"/>
              <w:adjustRightInd w:val="0"/>
              <w:spacing w:line="360" w:lineRule="auto"/>
              <w:jc w:val="center"/>
              <w:outlineLvl w:val="3"/>
              <w:rPr>
                <w:rFonts w:hint="eastAsia" w:ascii="宋体" w:hAnsi="宋体" w:eastAsia="宋体" w:cs="宋体"/>
                <w:b/>
                <w:kern w:val="0"/>
                <w:sz w:val="24"/>
              </w:rPr>
            </w:pPr>
            <w:r>
              <w:rPr>
                <w:rFonts w:hint="eastAsia" w:ascii="宋体" w:hAnsi="宋体" w:eastAsia="宋体" w:cs="宋体"/>
                <w:b/>
                <w:kern w:val="0"/>
                <w:sz w:val="24"/>
                <w:highlight w:val="white"/>
              </w:rPr>
              <w:t>说明与要求</w:t>
            </w:r>
          </w:p>
        </w:tc>
      </w:tr>
      <w:tr w14:paraId="4829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3E4A5B80">
            <w:pPr>
              <w:pStyle w:val="34"/>
              <w:spacing w:line="360" w:lineRule="auto"/>
              <w:jc w:val="center"/>
              <w:rPr>
                <w:rFonts w:hint="eastAsia" w:ascii="宋体" w:hAnsi="宋体" w:eastAsia="宋体" w:cs="宋体"/>
                <w:b/>
                <w:kern w:val="0"/>
                <w:sz w:val="24"/>
                <w:szCs w:val="24"/>
                <w:highlight w:val="white"/>
                <w:lang w:val="en-US" w:eastAsia="zh-CN" w:bidi="ar-SA"/>
              </w:rPr>
            </w:pPr>
            <w:r>
              <w:rPr>
                <w:rFonts w:hint="eastAsia" w:ascii="宋体" w:hAnsi="宋体" w:eastAsia="宋体" w:cs="宋体"/>
                <w:b/>
                <w:kern w:val="0"/>
                <w:sz w:val="24"/>
                <w:highlight w:val="white"/>
                <w:lang w:val="en-US" w:eastAsia="zh-CN"/>
              </w:rPr>
              <w:t>1</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66ABCFBF">
            <w:pPr>
              <w:pStyle w:val="34"/>
              <w:spacing w:line="360" w:lineRule="auto"/>
              <w:jc w:val="center"/>
              <w:rPr>
                <w:rFonts w:hint="eastAsia" w:ascii="宋体" w:hAnsi="宋体" w:eastAsia="宋体" w:cs="宋体"/>
                <w:b/>
                <w:kern w:val="0"/>
                <w:sz w:val="24"/>
                <w:szCs w:val="24"/>
                <w:highlight w:val="white"/>
                <w:lang w:val="en-US" w:eastAsia="zh-CN" w:bidi="ar-SA"/>
              </w:rPr>
            </w:pPr>
            <w:r>
              <w:rPr>
                <w:rFonts w:hint="eastAsia" w:ascii="宋体" w:hAnsi="宋体" w:eastAsia="宋体" w:cs="宋体"/>
                <w:b/>
                <w:kern w:val="0"/>
                <w:sz w:val="24"/>
                <w:highlight w:val="white"/>
                <w:lang w:val="en-US" w:eastAsia="zh-CN"/>
              </w:rPr>
              <w:t>重点提示</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51B66EE1">
            <w:pPr>
              <w:keepNext w:val="0"/>
              <w:keepLines w:val="0"/>
              <w:pageBreakBefore w:val="0"/>
              <w:kinsoku/>
              <w:wordWrap/>
              <w:overflowPunct/>
              <w:topLinePunct w:val="0"/>
              <w:bidi w:val="0"/>
              <w:snapToGrid/>
              <w:spacing w:line="360" w:lineRule="auto"/>
              <w:jc w:val="both"/>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请各供应商仔细阅读招标文件全部内容，按照竞争性谈判文件要求提供相关证明材料和有关资质材料，投标文件要严格执行竞争性谈判文件规定格式，严防因授权委托书格式不正确、投标文件未签字或盖章、投标文件必须提供的材料未提供等导致废标的情况发生，如出现以上情况，责任自行承担。</w:t>
            </w:r>
          </w:p>
          <w:p w14:paraId="61195F63">
            <w:pPr>
              <w:keepNext w:val="0"/>
              <w:keepLines w:val="0"/>
              <w:pageBreakBefore w:val="0"/>
              <w:kinsoku/>
              <w:wordWrap/>
              <w:overflowPunct/>
              <w:topLinePunct w:val="0"/>
              <w:bidi w:val="0"/>
              <w:snapToGrid/>
              <w:spacing w:line="360" w:lineRule="auto"/>
              <w:jc w:val="both"/>
              <w:rPr>
                <w:rFonts w:hint="eastAsia" w:ascii="仿宋" w:hAnsi="仿宋" w:eastAsia="仿宋" w:cs="仿宋"/>
                <w:color w:val="auto"/>
                <w:kern w:val="0"/>
                <w:sz w:val="21"/>
                <w:szCs w:val="21"/>
                <w:highlight w:val="none"/>
                <w:lang w:val="en-US" w:eastAsia="zh-CN" w:bidi="ar-SA"/>
              </w:rPr>
            </w:pPr>
            <w:r>
              <w:rPr>
                <w:rFonts w:hint="eastAsia" w:ascii="宋体" w:hAnsi="宋体" w:eastAsia="宋体" w:cs="宋体"/>
                <w:kern w:val="0"/>
                <w:sz w:val="24"/>
                <w:szCs w:val="20"/>
                <w:lang w:val="en-US" w:eastAsia="zh-CN" w:bidi="ar-SA"/>
              </w:rPr>
              <w:t>2、投标文件中有弄虚作假的内容，其投标文件作废并自行承担一切后果（如假证书、假业绩、隐瞒不良行为记录、夸大荣誉、使用非本单位在职员工的相关证件及不符合采购文件规定的条款等）；在签订合同之前，投标人如发现投标人的投标文件有弄虚作假内容，招标人可拒绝与其签订合同。并将其报送相关监管部门予以处罚。</w:t>
            </w:r>
          </w:p>
        </w:tc>
      </w:tr>
      <w:tr w14:paraId="7C66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010EBE8">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2</w:t>
            </w:r>
          </w:p>
        </w:tc>
        <w:tc>
          <w:tcPr>
            <w:tcW w:w="2664" w:type="dxa"/>
            <w:tcBorders>
              <w:top w:val="single" w:color="auto" w:sz="4" w:space="0"/>
              <w:left w:val="single" w:color="auto" w:sz="4" w:space="0"/>
              <w:bottom w:val="single" w:color="auto" w:sz="4" w:space="0"/>
              <w:right w:val="single" w:color="auto" w:sz="4" w:space="0"/>
            </w:tcBorders>
            <w:vAlign w:val="center"/>
          </w:tcPr>
          <w:p w14:paraId="6B8C1ECC">
            <w:pPr>
              <w:pStyle w:val="34"/>
              <w:adjustRightInd w:val="0"/>
              <w:spacing w:line="360" w:lineRule="auto"/>
              <w:jc w:val="center"/>
              <w:outlineLvl w:val="3"/>
              <w:rPr>
                <w:rFonts w:hint="eastAsia" w:ascii="宋体" w:hAnsi="宋体" w:eastAsia="宋体" w:cs="宋体"/>
                <w:b/>
                <w:kern w:val="0"/>
                <w:sz w:val="24"/>
              </w:rPr>
            </w:pPr>
            <w:r>
              <w:rPr>
                <w:rFonts w:hint="eastAsia" w:ascii="宋体" w:hAnsi="宋体" w:eastAsia="宋体" w:cs="宋体"/>
                <w:b/>
                <w:kern w:val="0"/>
                <w:sz w:val="24"/>
                <w:highlight w:val="white"/>
              </w:rPr>
              <w:t>项目名称及编号</w:t>
            </w:r>
          </w:p>
        </w:tc>
        <w:tc>
          <w:tcPr>
            <w:tcW w:w="6518" w:type="dxa"/>
            <w:tcBorders>
              <w:top w:val="single" w:color="auto" w:sz="4" w:space="0"/>
              <w:left w:val="single" w:color="auto" w:sz="4" w:space="0"/>
              <w:bottom w:val="single" w:color="auto" w:sz="4" w:space="0"/>
              <w:right w:val="single" w:color="auto" w:sz="4" w:space="0"/>
            </w:tcBorders>
            <w:vAlign w:val="center"/>
          </w:tcPr>
          <w:p w14:paraId="6E1E6857">
            <w:pPr>
              <w:pStyle w:val="35"/>
              <w:widowControl/>
              <w:spacing w:line="360" w:lineRule="auto"/>
              <w:jc w:val="left"/>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color w:val="auto"/>
                <w:kern w:val="0"/>
                <w:sz w:val="24"/>
                <w:highlight w:val="white"/>
                <w:lang w:eastAsia="zh-CN"/>
              </w:rPr>
              <w:t>博州边境管理支队轮训队营房及附属设施维修项目（二次）</w:t>
            </w:r>
          </w:p>
          <w:p w14:paraId="4B9AD5DD">
            <w:pPr>
              <w:pStyle w:val="35"/>
              <w:widowControl/>
              <w:spacing w:line="360" w:lineRule="auto"/>
              <w:jc w:val="left"/>
              <w:rPr>
                <w:rFonts w:hint="default" w:ascii="宋体" w:hAnsi="宋体" w:eastAsia="宋体" w:cs="宋体"/>
                <w:color w:val="000000"/>
                <w:sz w:val="24"/>
                <w:szCs w:val="24"/>
                <w:lang w:val="en-US" w:eastAsia="zh-CN"/>
              </w:rPr>
            </w:pPr>
            <w:r>
              <w:rPr>
                <w:rFonts w:hint="eastAsia" w:ascii="宋体" w:hAnsi="宋体" w:eastAsia="宋体" w:cs="宋体"/>
                <w:sz w:val="24"/>
              </w:rPr>
              <w:t>项目编号：</w:t>
            </w:r>
            <w:r>
              <w:rPr>
                <w:rFonts w:hint="eastAsia" w:ascii="宋体" w:hAnsi="宋体" w:eastAsia="宋体" w:cs="宋体"/>
                <w:sz w:val="24"/>
                <w:lang w:eastAsia="zh-CN"/>
              </w:rPr>
              <w:t>ZCTP2026-00</w:t>
            </w:r>
            <w:r>
              <w:rPr>
                <w:rFonts w:hint="eastAsia" w:ascii="宋体" w:hAnsi="宋体" w:eastAsia="宋体" w:cs="宋体"/>
                <w:sz w:val="24"/>
                <w:lang w:val="en-US" w:eastAsia="zh-CN"/>
              </w:rPr>
              <w:t>0</w:t>
            </w:r>
            <w:r>
              <w:rPr>
                <w:rFonts w:hint="eastAsia" w:ascii="宋体" w:hAnsi="宋体" w:eastAsia="宋体" w:cs="宋体"/>
                <w:sz w:val="24"/>
                <w:lang w:eastAsia="zh-CN"/>
              </w:rPr>
              <w:t>5</w:t>
            </w:r>
          </w:p>
        </w:tc>
      </w:tr>
      <w:tr w14:paraId="3D5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EA3AF02">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3</w:t>
            </w:r>
          </w:p>
        </w:tc>
        <w:tc>
          <w:tcPr>
            <w:tcW w:w="2664" w:type="dxa"/>
            <w:tcBorders>
              <w:top w:val="single" w:color="auto" w:sz="4" w:space="0"/>
              <w:left w:val="single" w:color="auto" w:sz="4" w:space="0"/>
              <w:bottom w:val="single" w:color="auto" w:sz="4" w:space="0"/>
              <w:right w:val="single" w:color="auto" w:sz="4" w:space="0"/>
            </w:tcBorders>
            <w:vAlign w:val="center"/>
          </w:tcPr>
          <w:p w14:paraId="571D1699">
            <w:pPr>
              <w:pStyle w:val="34"/>
              <w:adjustRightInd w:val="0"/>
              <w:spacing w:line="360" w:lineRule="auto"/>
              <w:jc w:val="center"/>
              <w:outlineLvl w:val="3"/>
              <w:rPr>
                <w:rFonts w:hint="eastAsia" w:ascii="宋体" w:hAnsi="宋体" w:eastAsia="宋体" w:cs="宋体"/>
                <w:b/>
                <w:kern w:val="0"/>
                <w:sz w:val="24"/>
              </w:rPr>
            </w:pPr>
            <w:r>
              <w:rPr>
                <w:rFonts w:hint="eastAsia" w:ascii="宋体" w:hAnsi="宋体" w:eastAsia="宋体" w:cs="宋体"/>
                <w:b/>
                <w:kern w:val="0"/>
                <w:sz w:val="24"/>
                <w:highlight w:val="white"/>
              </w:rPr>
              <w:t>采购人</w:t>
            </w:r>
          </w:p>
        </w:tc>
        <w:tc>
          <w:tcPr>
            <w:tcW w:w="6518" w:type="dxa"/>
            <w:tcBorders>
              <w:top w:val="single" w:color="auto" w:sz="4" w:space="0"/>
              <w:left w:val="single" w:color="auto" w:sz="4" w:space="0"/>
              <w:bottom w:val="single" w:color="auto" w:sz="4" w:space="0"/>
              <w:right w:val="single" w:color="auto" w:sz="4" w:space="0"/>
            </w:tcBorders>
            <w:vAlign w:val="center"/>
          </w:tcPr>
          <w:p w14:paraId="2959CA66">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名 称：博州边境管理支队</w:t>
            </w:r>
          </w:p>
          <w:p w14:paraId="52FF9619">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地 址：新疆博乐市和平路183号</w:t>
            </w:r>
          </w:p>
          <w:p w14:paraId="49A48EB7">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联系人：</w:t>
            </w:r>
            <w:r>
              <w:rPr>
                <w:rFonts w:hint="eastAsia" w:hAnsi="宋体" w:cs="宋体"/>
                <w:kern w:val="2"/>
                <w:sz w:val="24"/>
                <w:szCs w:val="24"/>
                <w:lang w:val="en-US" w:eastAsia="zh-CN" w:bidi="ar-SA"/>
              </w:rPr>
              <w:t>张警官</w:t>
            </w:r>
          </w:p>
          <w:p w14:paraId="145A8C3D">
            <w:pPr>
              <w:pStyle w:val="35"/>
              <w:spacing w:before="75" w:after="75" w:line="360" w:lineRule="auto"/>
              <w:rPr>
                <w:rFonts w:hint="eastAsia" w:ascii="宋体" w:hAnsi="宋体" w:eastAsia="宋体" w:cs="宋体"/>
                <w:color w:val="000000"/>
                <w:sz w:val="24"/>
                <w:szCs w:val="24"/>
              </w:rPr>
            </w:pPr>
            <w:r>
              <w:rPr>
                <w:rFonts w:hint="default" w:ascii="宋体" w:hAnsi="宋体" w:eastAsia="宋体" w:cs="宋体"/>
                <w:kern w:val="2"/>
                <w:sz w:val="24"/>
                <w:szCs w:val="24"/>
                <w:lang w:val="en-US" w:eastAsia="zh-CN" w:bidi="ar-SA"/>
              </w:rPr>
              <w:t>联系方式：0909-2237370</w:t>
            </w:r>
          </w:p>
        </w:tc>
      </w:tr>
      <w:tr w14:paraId="7DA7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8CD3146">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4</w:t>
            </w:r>
          </w:p>
        </w:tc>
        <w:tc>
          <w:tcPr>
            <w:tcW w:w="2664" w:type="dxa"/>
            <w:tcBorders>
              <w:top w:val="single" w:color="auto" w:sz="4" w:space="0"/>
              <w:left w:val="single" w:color="auto" w:sz="4" w:space="0"/>
              <w:bottom w:val="single" w:color="auto" w:sz="4" w:space="0"/>
              <w:right w:val="single" w:color="auto" w:sz="4" w:space="0"/>
            </w:tcBorders>
            <w:vAlign w:val="center"/>
          </w:tcPr>
          <w:p w14:paraId="2340DC7A">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采购代理机构</w:t>
            </w:r>
          </w:p>
        </w:tc>
        <w:tc>
          <w:tcPr>
            <w:tcW w:w="6518" w:type="dxa"/>
            <w:tcBorders>
              <w:top w:val="single" w:color="auto" w:sz="4" w:space="0"/>
              <w:left w:val="single" w:color="auto" w:sz="4" w:space="0"/>
              <w:bottom w:val="single" w:color="auto" w:sz="4" w:space="0"/>
              <w:right w:val="single" w:color="auto" w:sz="4" w:space="0"/>
            </w:tcBorders>
            <w:vAlign w:val="center"/>
          </w:tcPr>
          <w:p w14:paraId="690AE3DA">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名 称：</w:t>
            </w:r>
            <w:r>
              <w:rPr>
                <w:rFonts w:hint="eastAsia" w:ascii="宋体" w:hAnsi="宋体" w:cs="宋体"/>
                <w:kern w:val="2"/>
                <w:sz w:val="24"/>
                <w:szCs w:val="24"/>
                <w:lang w:val="en-US" w:eastAsia="zh-CN" w:bidi="ar-SA"/>
              </w:rPr>
              <w:t>中创名建工程管理集团有限公司</w:t>
            </w:r>
          </w:p>
          <w:p w14:paraId="7FB84A06">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地 址：</w:t>
            </w:r>
            <w:r>
              <w:rPr>
                <w:rFonts w:hint="eastAsia" w:ascii="宋体" w:hAnsi="宋体" w:cs="宋体"/>
                <w:kern w:val="2"/>
                <w:sz w:val="24"/>
                <w:szCs w:val="24"/>
                <w:lang w:val="en-US" w:eastAsia="zh-CN" w:bidi="ar-SA"/>
              </w:rPr>
              <w:t>新疆博州博乐市克尔根卓街道文化路中央名筑42 号楼 4 层 12 号</w:t>
            </w:r>
          </w:p>
          <w:p w14:paraId="2E87D949">
            <w:pPr>
              <w:widowControl w:val="0"/>
              <w:tabs>
                <w:tab w:val="left" w:pos="1680"/>
              </w:tabs>
              <w:spacing w:before="107"/>
              <w:ind w:left="103" w:right="102"/>
              <w:jc w:val="both"/>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联系人：</w:t>
            </w:r>
            <w:r>
              <w:rPr>
                <w:rFonts w:hint="eastAsia" w:ascii="宋体" w:hAnsi="宋体" w:cs="宋体"/>
                <w:kern w:val="2"/>
                <w:sz w:val="24"/>
                <w:szCs w:val="24"/>
                <w:lang w:val="en-US" w:eastAsia="zh-CN" w:bidi="ar-SA"/>
              </w:rPr>
              <w:t>谷芳</w:t>
            </w:r>
          </w:p>
          <w:p w14:paraId="242B0914">
            <w:pPr>
              <w:pStyle w:val="37"/>
              <w:spacing w:line="360" w:lineRule="auto"/>
              <w:rPr>
                <w:rFonts w:hint="default" w:ascii="宋体" w:hAnsi="宋体" w:eastAsia="宋体" w:cs="宋体"/>
                <w:sz w:val="24"/>
                <w:lang w:val="en-US"/>
              </w:rPr>
            </w:pPr>
            <w:r>
              <w:rPr>
                <w:rFonts w:hint="default" w:ascii="宋体" w:hAnsi="宋体" w:eastAsia="宋体" w:cs="宋体"/>
                <w:kern w:val="2"/>
                <w:sz w:val="24"/>
                <w:szCs w:val="24"/>
                <w:lang w:val="en-US" w:eastAsia="zh-CN" w:bidi="ar-SA"/>
              </w:rPr>
              <w:t>联系方式：</w:t>
            </w:r>
            <w:r>
              <w:rPr>
                <w:rFonts w:hint="eastAsia" w:ascii="宋体" w:hAnsi="宋体" w:cs="宋体"/>
                <w:kern w:val="2"/>
                <w:sz w:val="24"/>
                <w:szCs w:val="24"/>
                <w:lang w:val="en-US" w:eastAsia="zh-CN" w:bidi="ar-SA"/>
              </w:rPr>
              <w:t>17399097222</w:t>
            </w:r>
          </w:p>
        </w:tc>
      </w:tr>
      <w:tr w14:paraId="2E6E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F156E52">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5</w:t>
            </w:r>
          </w:p>
        </w:tc>
        <w:tc>
          <w:tcPr>
            <w:tcW w:w="2664" w:type="dxa"/>
            <w:tcBorders>
              <w:top w:val="single" w:color="auto" w:sz="4" w:space="0"/>
              <w:left w:val="single" w:color="auto" w:sz="4" w:space="0"/>
              <w:bottom w:val="single" w:color="auto" w:sz="4" w:space="0"/>
              <w:right w:val="single" w:color="auto" w:sz="4" w:space="0"/>
            </w:tcBorders>
            <w:vAlign w:val="center"/>
          </w:tcPr>
          <w:p w14:paraId="7922B5AF">
            <w:pPr>
              <w:pStyle w:val="34"/>
              <w:spacing w:line="360" w:lineRule="auto"/>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采购内容</w:t>
            </w:r>
          </w:p>
        </w:tc>
        <w:tc>
          <w:tcPr>
            <w:tcW w:w="6518" w:type="dxa"/>
            <w:tcBorders>
              <w:top w:val="single" w:color="auto" w:sz="4" w:space="0"/>
              <w:left w:val="single" w:color="auto" w:sz="4" w:space="0"/>
              <w:bottom w:val="single" w:color="auto" w:sz="4" w:space="0"/>
              <w:right w:val="single" w:color="auto" w:sz="4" w:space="0"/>
            </w:tcBorders>
            <w:vAlign w:val="center"/>
          </w:tcPr>
          <w:p w14:paraId="02EFD71A">
            <w:pPr>
              <w:pStyle w:val="34"/>
              <w:widowControl/>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lang w:val="pt-BR"/>
              </w:rPr>
              <w:t>轮训队营房及附属设施维修</w:t>
            </w:r>
            <w:r>
              <w:rPr>
                <w:rFonts w:hint="eastAsia" w:ascii="宋体" w:hAnsi="宋体" w:eastAsia="宋体" w:cs="宋体"/>
                <w:sz w:val="24"/>
                <w:highlight w:val="none"/>
                <w:lang w:val="en-US" w:eastAsia="zh-CN"/>
              </w:rPr>
              <w:t>升级改造。</w:t>
            </w:r>
            <w:r>
              <w:rPr>
                <w:rFonts w:hint="eastAsia" w:ascii="宋体" w:hAnsi="宋体" w:eastAsia="宋体" w:cs="宋体"/>
                <w:sz w:val="24"/>
                <w:highlight w:val="none"/>
              </w:rPr>
              <w:t>具体内容详见工程量清单。</w:t>
            </w:r>
          </w:p>
        </w:tc>
      </w:tr>
      <w:tr w14:paraId="1EFB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81F2B2C">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6</w:t>
            </w:r>
          </w:p>
        </w:tc>
        <w:tc>
          <w:tcPr>
            <w:tcW w:w="2664" w:type="dxa"/>
            <w:tcBorders>
              <w:top w:val="single" w:color="auto" w:sz="4" w:space="0"/>
              <w:left w:val="single" w:color="auto" w:sz="4" w:space="0"/>
              <w:bottom w:val="single" w:color="auto" w:sz="4" w:space="0"/>
              <w:right w:val="single" w:color="auto" w:sz="4" w:space="0"/>
            </w:tcBorders>
            <w:vAlign w:val="center"/>
          </w:tcPr>
          <w:p w14:paraId="03F313E1">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供应商资格要求</w:t>
            </w:r>
          </w:p>
        </w:tc>
        <w:tc>
          <w:tcPr>
            <w:tcW w:w="6518" w:type="dxa"/>
            <w:tcBorders>
              <w:top w:val="single" w:color="auto" w:sz="4" w:space="0"/>
              <w:left w:val="single" w:color="auto" w:sz="4" w:space="0"/>
              <w:bottom w:val="single" w:color="auto" w:sz="4" w:space="0"/>
              <w:right w:val="single" w:color="auto" w:sz="4" w:space="0"/>
            </w:tcBorders>
            <w:vAlign w:val="center"/>
          </w:tcPr>
          <w:p w14:paraId="399653B9">
            <w:pPr>
              <w:adjustRightInd w:val="0"/>
              <w:snapToGrid w:val="0"/>
              <w:spacing w:line="360" w:lineRule="auto"/>
              <w:rPr>
                <w:rFonts w:hint="eastAsia" w:ascii="宋体" w:hAnsi="宋体" w:eastAsia="宋体" w:cs="宋体"/>
                <w:color w:val="000000"/>
                <w:sz w:val="24"/>
                <w:lang w:val="en-US" w:eastAsia="zh-CN"/>
              </w:rPr>
            </w:pPr>
            <w:bookmarkStart w:id="16" w:name="EBd77b448698ab48f2a21fe1279362a7db"/>
            <w:bookmarkEnd w:id="16"/>
            <w:r>
              <w:rPr>
                <w:rFonts w:hint="eastAsia" w:ascii="宋体" w:hAnsi="宋体" w:eastAsia="宋体" w:cs="宋体"/>
                <w:color w:val="000000"/>
                <w:sz w:val="24"/>
                <w:lang w:val="en-US" w:eastAsia="zh-CN"/>
              </w:rPr>
              <w:t>1.满足《中华人民共和国政府采购法》第二十二条规定</w:t>
            </w:r>
          </w:p>
          <w:p w14:paraId="4A7FF604">
            <w:pPr>
              <w:pStyle w:val="35"/>
              <w:spacing w:before="75" w:after="75" w:line="360" w:lineRule="auto"/>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2.落实政府采购政策需满足的资格要求：</w:t>
            </w:r>
            <w:r>
              <w:rPr>
                <w:rFonts w:hint="eastAsia"/>
                <w:color w:val="auto"/>
                <w:sz w:val="24"/>
                <w:szCs w:val="24"/>
                <w:highlight w:val="none"/>
                <w:lang w:val="en-US" w:eastAsia="zh-CN"/>
              </w:rPr>
              <w:t>本项目全额面向中小企业</w:t>
            </w:r>
            <w:r>
              <w:rPr>
                <w:rFonts w:hint="eastAsia" w:ascii="宋体" w:hAnsi="宋体" w:eastAsia="宋体" w:cs="宋体"/>
                <w:kern w:val="2"/>
                <w:sz w:val="24"/>
                <w:szCs w:val="24"/>
                <w:lang w:val="en-US" w:eastAsia="zh-CN" w:bidi="ar-SA"/>
              </w:rPr>
              <w:t>（监狱、戒毒企业、残疾人福利性单位视同小微企业）</w:t>
            </w:r>
            <w:r>
              <w:rPr>
                <w:rFonts w:hint="eastAsia" w:hAnsi="宋体" w:cs="宋体"/>
                <w:kern w:val="2"/>
                <w:sz w:val="24"/>
                <w:szCs w:val="24"/>
                <w:lang w:val="en-US" w:eastAsia="zh-CN" w:bidi="ar-SA"/>
              </w:rPr>
              <w:t>。</w:t>
            </w:r>
          </w:p>
          <w:p w14:paraId="344BFB69">
            <w:pPr>
              <w:pStyle w:val="35"/>
              <w:spacing w:before="75" w:after="75"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本项目的特定资格要求：（1）投标人须具备住房城乡建设主管部门颁发的房屋建筑工程施工总承包叁级（含叁级）以上资质，具备有效的安全生产许可证，并在人员、设备、资金等方面具有相应的施工能力。（2）项目负责人须具备建筑工程专业注册二级建造师及以上执业资格，具备有效的安全生产考核合格证书（B证），且未担任其他在施建设工程项目的项目负责人、项目经理。</w:t>
            </w:r>
          </w:p>
          <w:p w14:paraId="50B2989B">
            <w:pPr>
              <w:pStyle w:val="35"/>
              <w:spacing w:before="75" w:after="75"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供应商未被列入“信用中国”网站(www.creditchina.gov.cn)证记录失信被执行人或重大税收违法案件当事人名单或政府采购严重违法失信行为”记录名单；未处于中国政府采购 网(www.ccgp.gov.cn)当政府采购严重违法失信行为信息记录”中；</w:t>
            </w:r>
          </w:p>
          <w:p w14:paraId="00C6C0C4">
            <w:pPr>
              <w:pStyle w:val="35"/>
              <w:spacing w:before="75" w:after="75"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单位负责人为同一人或者存在控股、管理关系的不同单位，不得同时参加本项目的投标。为本项目提供整体设计、规范编制或者项目管理、监理、检测等服务的投标人，不得再参加本项目投标；</w:t>
            </w:r>
          </w:p>
          <w:p w14:paraId="29911B0E">
            <w:pPr>
              <w:pStyle w:val="35"/>
              <w:spacing w:before="75" w:after="75" w:line="360" w:lineRule="auto"/>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 xml:space="preserve">本项目不接受联合体投标。  </w:t>
            </w:r>
            <w:r>
              <w:rPr>
                <w:rFonts w:hint="eastAsia" w:ascii="宋体" w:hAnsi="宋体" w:eastAsia="宋体" w:cs="宋体"/>
                <w:b/>
                <w:bCs/>
                <w:sz w:val="24"/>
                <w:szCs w:val="24"/>
              </w:rPr>
              <w:t xml:space="preserve">  </w:t>
            </w:r>
          </w:p>
        </w:tc>
      </w:tr>
      <w:tr w14:paraId="0924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F293BDE">
            <w:pPr>
              <w:pStyle w:val="34"/>
              <w:spacing w:line="360" w:lineRule="auto"/>
              <w:jc w:val="center"/>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7</w:t>
            </w:r>
          </w:p>
        </w:tc>
        <w:tc>
          <w:tcPr>
            <w:tcW w:w="2664" w:type="dxa"/>
            <w:tcBorders>
              <w:top w:val="single" w:color="auto" w:sz="4" w:space="0"/>
              <w:left w:val="single" w:color="auto" w:sz="4" w:space="0"/>
              <w:bottom w:val="single" w:color="auto" w:sz="4" w:space="0"/>
              <w:right w:val="single" w:color="auto" w:sz="4" w:space="0"/>
            </w:tcBorders>
            <w:vAlign w:val="center"/>
          </w:tcPr>
          <w:p w14:paraId="170AEF9E">
            <w:pPr>
              <w:pStyle w:val="34"/>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highlight w:val="white"/>
              </w:rPr>
              <w:t>响应文件的组成部分</w:t>
            </w:r>
          </w:p>
        </w:tc>
        <w:tc>
          <w:tcPr>
            <w:tcW w:w="6518" w:type="dxa"/>
            <w:tcBorders>
              <w:top w:val="single" w:color="auto" w:sz="4" w:space="0"/>
              <w:left w:val="single" w:color="auto" w:sz="4" w:space="0"/>
              <w:bottom w:val="single" w:color="auto" w:sz="4" w:space="0"/>
              <w:right w:val="single" w:color="auto" w:sz="4" w:space="0"/>
            </w:tcBorders>
            <w:vAlign w:val="center"/>
          </w:tcPr>
          <w:p w14:paraId="160E173B">
            <w:pPr>
              <w:spacing w:before="28" w:line="239" w:lineRule="auto"/>
              <w:ind w:left="18"/>
              <w:rPr>
                <w:rFonts w:hint="eastAsia" w:ascii="宋体" w:hAnsi="宋体" w:eastAsia="宋体" w:cs="宋体"/>
                <w:color w:val="000000"/>
                <w:kern w:val="0"/>
                <w:sz w:val="24"/>
              </w:rPr>
            </w:pPr>
            <w:r>
              <w:rPr>
                <w:rFonts w:hint="eastAsia" w:ascii="宋体" w:hAnsi="宋体" w:eastAsia="宋体" w:cs="宋体"/>
                <w:color w:val="000000"/>
                <w:kern w:val="0"/>
                <w:sz w:val="24"/>
              </w:rPr>
              <w:t>具体详见“响应文件的编制”。</w:t>
            </w:r>
          </w:p>
        </w:tc>
      </w:tr>
      <w:tr w14:paraId="5B82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5B0DA42E">
            <w:pPr>
              <w:pStyle w:val="34"/>
              <w:spacing w:line="360" w:lineRule="auto"/>
              <w:jc w:val="center"/>
              <w:rPr>
                <w:rFonts w:hint="eastAsia" w:ascii="宋体" w:hAnsi="宋体" w:eastAsia="宋体" w:cs="宋体"/>
                <w:b/>
                <w:kern w:val="0"/>
                <w:sz w:val="24"/>
                <w:highlight w:val="white"/>
                <w:lang w:eastAsia="zh-CN"/>
              </w:rPr>
            </w:pPr>
            <w:r>
              <w:rPr>
                <w:rFonts w:hint="eastAsia" w:ascii="宋体" w:hAnsi="宋体" w:eastAsia="宋体" w:cs="宋体"/>
                <w:b/>
                <w:kern w:val="0"/>
                <w:sz w:val="24"/>
                <w:highlight w:val="white"/>
                <w:lang w:val="en-US" w:eastAsia="zh-CN"/>
              </w:rPr>
              <w:t>8</w:t>
            </w:r>
          </w:p>
        </w:tc>
        <w:tc>
          <w:tcPr>
            <w:tcW w:w="2664" w:type="dxa"/>
            <w:tcBorders>
              <w:top w:val="single" w:color="auto" w:sz="4" w:space="0"/>
              <w:left w:val="single" w:color="auto" w:sz="4" w:space="0"/>
              <w:bottom w:val="single" w:color="auto" w:sz="4" w:space="0"/>
              <w:right w:val="single" w:color="auto" w:sz="4" w:space="0"/>
            </w:tcBorders>
            <w:vAlign w:val="center"/>
          </w:tcPr>
          <w:p w14:paraId="3007FB1F">
            <w:pPr>
              <w:adjustRightInd w:val="0"/>
              <w:jc w:val="center"/>
              <w:rPr>
                <w:rFonts w:hint="eastAsia" w:ascii="宋体" w:hAnsi="宋体" w:eastAsia="宋体" w:cs="宋体"/>
                <w:color w:val="000000"/>
                <w:kern w:val="0"/>
                <w:sz w:val="24"/>
              </w:rPr>
            </w:pPr>
            <w:r>
              <w:rPr>
                <w:rFonts w:hint="eastAsia" w:ascii="宋体" w:hAnsi="宋体" w:cs="宋体"/>
                <w:color w:val="auto"/>
                <w:szCs w:val="21"/>
                <w:highlight w:val="none"/>
              </w:rPr>
              <w:t>★</w:t>
            </w:r>
            <w:r>
              <w:rPr>
                <w:rFonts w:hint="eastAsia" w:ascii="宋体" w:hAnsi="宋体" w:cs="宋体"/>
                <w:b/>
                <w:bCs/>
                <w:color w:val="000000"/>
                <w:kern w:val="0"/>
                <w:sz w:val="24"/>
                <w:lang w:val="en-US" w:eastAsia="zh-CN"/>
              </w:rPr>
              <w:t>最高</w:t>
            </w:r>
            <w:r>
              <w:rPr>
                <w:rFonts w:hint="eastAsia" w:ascii="宋体" w:hAnsi="宋体" w:eastAsia="宋体" w:cs="宋体"/>
                <w:b/>
                <w:bCs/>
                <w:color w:val="000000"/>
                <w:kern w:val="0"/>
                <w:sz w:val="24"/>
              </w:rPr>
              <w:t>报价</w:t>
            </w:r>
          </w:p>
        </w:tc>
        <w:tc>
          <w:tcPr>
            <w:tcW w:w="6518" w:type="dxa"/>
            <w:tcBorders>
              <w:top w:val="single" w:color="auto" w:sz="4" w:space="0"/>
              <w:left w:val="single" w:color="auto" w:sz="4" w:space="0"/>
              <w:bottom w:val="single" w:color="auto" w:sz="4" w:space="0"/>
              <w:right w:val="single" w:color="auto" w:sz="4" w:space="0"/>
            </w:tcBorders>
            <w:vAlign w:val="center"/>
          </w:tcPr>
          <w:p w14:paraId="5973D72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349041.29</w:t>
            </w:r>
            <w:r>
              <w:rPr>
                <w:rFonts w:hint="eastAsia" w:ascii="宋体" w:hAnsi="宋体" w:eastAsia="宋体" w:cs="宋体"/>
                <w:color w:val="000000"/>
                <w:kern w:val="0"/>
                <w:sz w:val="24"/>
                <w:szCs w:val="24"/>
                <w:lang w:val="en-US" w:eastAsia="zh-CN" w:bidi="ar-SA"/>
              </w:rPr>
              <w:t>元（大写：</w:t>
            </w:r>
            <w:r>
              <w:rPr>
                <w:rFonts w:hint="eastAsia" w:ascii="宋体" w:hAnsi="宋体" w:cs="宋体"/>
                <w:color w:val="000000"/>
                <w:kern w:val="0"/>
                <w:sz w:val="24"/>
                <w:szCs w:val="24"/>
                <w:lang w:val="en-US" w:eastAsia="zh-CN" w:bidi="ar-SA"/>
              </w:rPr>
              <w:t>叁拾肆万玖仟零肆拾壹元贰角玖分</w:t>
            </w:r>
            <w:r>
              <w:rPr>
                <w:rFonts w:hint="eastAsia" w:ascii="宋体" w:hAnsi="宋体" w:eastAsia="宋体" w:cs="宋体"/>
                <w:color w:val="000000"/>
                <w:kern w:val="0"/>
                <w:sz w:val="24"/>
                <w:szCs w:val="24"/>
                <w:lang w:val="en-US" w:eastAsia="zh-CN" w:bidi="ar-SA"/>
              </w:rPr>
              <w:t>）</w:t>
            </w:r>
          </w:p>
          <w:p w14:paraId="6632E8A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供应商的报价不得高于此最高限价，否则视为无效响应。</w:t>
            </w:r>
          </w:p>
          <w:p w14:paraId="4DADA23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b/>
                <w:bCs/>
                <w:color w:val="000000"/>
                <w:kern w:val="0"/>
                <w:sz w:val="24"/>
                <w:szCs w:val="24"/>
                <w:lang w:val="en-US" w:eastAsia="zh-CN" w:bidi="ar-SA"/>
              </w:rPr>
              <w:t>本次只进行两次报价</w:t>
            </w:r>
            <w:r>
              <w:rPr>
                <w:rFonts w:hint="eastAsia" w:ascii="宋体" w:hAnsi="宋体" w:eastAsia="宋体" w:cs="宋体"/>
                <w:color w:val="000000"/>
                <w:kern w:val="0"/>
                <w:sz w:val="24"/>
                <w:szCs w:val="24"/>
                <w:lang w:val="en-US" w:eastAsia="zh-CN" w:bidi="ar-SA"/>
              </w:rPr>
              <w:t>。小组认为响应人的最终报价（即第二次报价）明显低于其他通过符合性审查响应人的报价，有可能影响工程质量或者不能诚信履约的，应当要求其在合理的时间内提供书面说明，必要时提交相关证明材料；响应人不能证明其报价合理性的，其响应无效。</w:t>
            </w:r>
          </w:p>
          <w:p w14:paraId="77AEFA6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2.最终报价（第二次报价）的报价方式：</w:t>
            </w:r>
            <w:r>
              <w:rPr>
                <w:rFonts w:hint="eastAsia" w:ascii="宋体" w:hAnsi="宋体" w:eastAsia="宋体" w:cs="宋体"/>
                <w:b/>
                <w:bCs/>
                <w:color w:val="000000"/>
                <w:kern w:val="0"/>
                <w:sz w:val="24"/>
                <w:szCs w:val="24"/>
                <w:highlight w:val="none"/>
                <w:lang w:val="en-US" w:eastAsia="zh-CN" w:bidi="ar-SA"/>
              </w:rPr>
              <w:t>响应人在小组规定的时间内提交最终报价的总价金额。在履行合同过程中，工程计价按照第一次报价的已标价工程量清单中的单价执行，在工程竣工结算时按照最终报价相较于第一次报价的优惠比例，计算竣工结算合同总价。</w:t>
            </w:r>
          </w:p>
          <w:p w14:paraId="72A051BE">
            <w:pPr>
              <w:adjustRightInd w:val="0"/>
              <w:spacing w:line="360" w:lineRule="auto"/>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3.报价次数：二次报价（响应文件中的报价为一次报价），若在谈判过程中，谈判小组认为有必要增加谈判轮次，则在征得现场监督人员的同意后，进行新一轮次的谈判报价；</w:t>
            </w:r>
          </w:p>
          <w:p w14:paraId="162E0EC1">
            <w:pPr>
              <w:adjustRightInd w:val="0"/>
              <w:spacing w:line="360" w:lineRule="auto"/>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谈判结束后，参加竞争性谈判的供应商均须根据谈判小组的要求在规定的的时间内在新疆政采云平台提交第二次报价（该报价只允许有一个报价，任何有选择性的报价都将被拒绝）。二次报价必须填报，未填报二次报价或未在规定时长内填报，供应商自行承担未填报二次报价所导致的一切后果。</w:t>
            </w:r>
          </w:p>
          <w:p w14:paraId="025CFB3B">
            <w:pPr>
              <w:adjustRightInd w:val="0"/>
              <w:spacing w:line="360" w:lineRule="auto"/>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5.二次报价（最终报价）时长：30分钟。</w:t>
            </w:r>
          </w:p>
          <w:p w14:paraId="2C2F2E59">
            <w:pPr>
              <w:adjustRightInd w:val="0"/>
              <w:spacing w:line="360" w:lineRule="auto"/>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6.参加磋商活动的供应商代表了解计算机操作知识，并在开标时携带本单位的数字CA锁，用于二次报价的确认签章。</w:t>
            </w:r>
          </w:p>
          <w:p w14:paraId="3CDDF09F">
            <w:pPr>
              <w:adjustRightInd w:val="0"/>
              <w:spacing w:line="360" w:lineRule="auto"/>
              <w:rPr>
                <w:rFonts w:hint="eastAsia" w:ascii="宋体" w:hAnsi="宋体" w:eastAsia="宋体" w:cs="宋体"/>
                <w:color w:val="000000"/>
                <w:kern w:val="0"/>
                <w:sz w:val="24"/>
                <w:lang w:val="en-US"/>
              </w:rPr>
            </w:pPr>
            <w:r>
              <w:rPr>
                <w:rFonts w:hint="eastAsia" w:ascii="宋体" w:hAnsi="宋体" w:eastAsia="宋体" w:cs="宋体"/>
                <w:color w:val="000000"/>
                <w:kern w:val="0"/>
                <w:sz w:val="24"/>
                <w:szCs w:val="24"/>
                <w:lang w:val="en-US" w:eastAsia="zh-CN" w:bidi="ar-SA"/>
              </w:rPr>
              <w:t>注：响应人在现场重新调整“已标价的工程量清单”的，应当自行准备相关软硬件、单位公章等。如因响应人自身原因无法按时提交，响应人应当选择书面确认最终报价与第一次报价一致，或者书面说明退出本次，否则响应将被拒绝。</w:t>
            </w:r>
          </w:p>
        </w:tc>
      </w:tr>
      <w:tr w14:paraId="3B40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7E66C7A">
            <w:pPr>
              <w:pStyle w:val="34"/>
              <w:spacing w:line="360" w:lineRule="auto"/>
              <w:jc w:val="center"/>
              <w:rPr>
                <w:rFonts w:hint="eastAsia" w:ascii="宋体" w:hAnsi="宋体" w:eastAsia="宋体" w:cs="宋体"/>
                <w:b/>
                <w:kern w:val="0"/>
                <w:sz w:val="24"/>
                <w:highlight w:val="white"/>
                <w:lang w:eastAsia="zh-CN"/>
              </w:rPr>
            </w:pPr>
            <w:r>
              <w:rPr>
                <w:rFonts w:hint="eastAsia" w:ascii="宋体" w:hAnsi="宋体" w:eastAsia="宋体" w:cs="宋体"/>
                <w:b/>
                <w:kern w:val="0"/>
                <w:sz w:val="24"/>
                <w:highlight w:val="white"/>
                <w:lang w:val="en-US" w:eastAsia="zh-CN"/>
              </w:rPr>
              <w:t>9</w:t>
            </w:r>
          </w:p>
        </w:tc>
        <w:tc>
          <w:tcPr>
            <w:tcW w:w="2664" w:type="dxa"/>
            <w:tcBorders>
              <w:top w:val="single" w:color="auto" w:sz="4" w:space="0"/>
              <w:left w:val="single" w:color="auto" w:sz="4" w:space="0"/>
              <w:bottom w:val="single" w:color="auto" w:sz="4" w:space="0"/>
              <w:right w:val="single" w:color="auto" w:sz="4" w:space="0"/>
            </w:tcBorders>
            <w:vAlign w:val="center"/>
          </w:tcPr>
          <w:p w14:paraId="06A17D61">
            <w:pPr>
              <w:adjustRightInd w:val="0"/>
              <w:jc w:val="center"/>
              <w:rPr>
                <w:rFonts w:hint="eastAsia" w:ascii="宋体" w:hAnsi="宋体" w:eastAsia="宋体" w:cs="宋体"/>
                <w:b/>
                <w:sz w:val="24"/>
                <w:highlight w:val="white"/>
              </w:rPr>
            </w:pPr>
            <w:r>
              <w:rPr>
                <w:rFonts w:hint="eastAsia" w:ascii="宋体" w:hAnsi="宋体" w:eastAsia="宋体" w:cs="宋体"/>
                <w:b/>
                <w:sz w:val="24"/>
              </w:rPr>
              <w:t>资金来源</w:t>
            </w:r>
          </w:p>
        </w:tc>
        <w:tc>
          <w:tcPr>
            <w:tcW w:w="6518" w:type="dxa"/>
            <w:tcBorders>
              <w:top w:val="single" w:color="auto" w:sz="4" w:space="0"/>
              <w:left w:val="single" w:color="auto" w:sz="4" w:space="0"/>
              <w:bottom w:val="single" w:color="auto" w:sz="4" w:space="0"/>
              <w:right w:val="single" w:color="auto" w:sz="4" w:space="0"/>
            </w:tcBorders>
            <w:vAlign w:val="center"/>
          </w:tcPr>
          <w:p w14:paraId="06C3445B">
            <w:pPr>
              <w:adjustRightInd w:val="0"/>
              <w:jc w:val="left"/>
              <w:rPr>
                <w:rFonts w:hint="eastAsia" w:ascii="宋体" w:hAnsi="宋体" w:eastAsia="宋体" w:cs="宋体"/>
                <w:color w:val="000000"/>
                <w:kern w:val="0"/>
                <w:sz w:val="24"/>
              </w:rPr>
            </w:pPr>
            <w:r>
              <w:rPr>
                <w:rFonts w:hint="eastAsia" w:ascii="宋体" w:hAnsi="宋体" w:eastAsia="宋体" w:cs="宋体"/>
                <w:b/>
                <w:sz w:val="24"/>
              </w:rPr>
              <w:t>财政资金</w:t>
            </w:r>
          </w:p>
        </w:tc>
      </w:tr>
      <w:tr w14:paraId="3CD2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48587244">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lang w:val="en-US" w:eastAsia="zh-CN"/>
              </w:rPr>
              <w:t>10</w:t>
            </w:r>
          </w:p>
        </w:tc>
        <w:tc>
          <w:tcPr>
            <w:tcW w:w="2664" w:type="dxa"/>
            <w:tcBorders>
              <w:top w:val="single" w:color="auto" w:sz="4" w:space="0"/>
              <w:left w:val="single" w:color="auto" w:sz="4" w:space="0"/>
              <w:bottom w:val="single" w:color="auto" w:sz="4" w:space="0"/>
              <w:right w:val="single" w:color="auto" w:sz="4" w:space="0"/>
            </w:tcBorders>
            <w:vAlign w:val="center"/>
          </w:tcPr>
          <w:p w14:paraId="2F35CC79">
            <w:pPr>
              <w:pStyle w:val="34"/>
              <w:spacing w:line="360" w:lineRule="auto"/>
              <w:jc w:val="center"/>
              <w:rPr>
                <w:rFonts w:hint="eastAsia" w:ascii="宋体" w:hAnsi="宋体" w:eastAsia="宋体" w:cs="宋体"/>
                <w:b/>
                <w:sz w:val="24"/>
              </w:rPr>
            </w:pPr>
            <w:r>
              <w:rPr>
                <w:rFonts w:hint="eastAsia" w:ascii="宋体" w:hAnsi="宋体" w:eastAsia="宋体" w:cs="宋体"/>
                <w:b/>
                <w:sz w:val="24"/>
                <w:highlight w:val="white"/>
              </w:rPr>
              <w:t>是否允许联合体投标</w:t>
            </w:r>
          </w:p>
        </w:tc>
        <w:tc>
          <w:tcPr>
            <w:tcW w:w="6518" w:type="dxa"/>
            <w:tcBorders>
              <w:top w:val="single" w:color="auto" w:sz="4" w:space="0"/>
              <w:left w:val="single" w:color="auto" w:sz="4" w:space="0"/>
              <w:bottom w:val="single" w:color="auto" w:sz="4" w:space="0"/>
              <w:right w:val="single" w:color="auto" w:sz="4" w:space="0"/>
            </w:tcBorders>
            <w:vAlign w:val="center"/>
          </w:tcPr>
          <w:p w14:paraId="3E7F8130">
            <w:pPr>
              <w:pStyle w:val="34"/>
              <w:autoSpaceDE w:val="0"/>
              <w:autoSpaceDN w:val="0"/>
              <w:adjustRightInd w:val="0"/>
              <w:spacing w:line="360" w:lineRule="auto"/>
              <w:rPr>
                <w:rFonts w:hint="eastAsia" w:ascii="宋体" w:hAnsi="宋体" w:eastAsia="宋体" w:cs="宋体"/>
                <w:color w:val="000000"/>
                <w:kern w:val="0"/>
                <w:sz w:val="24"/>
              </w:rPr>
            </w:pPr>
            <w:bookmarkStart w:id="17" w:name="EB0f86f5f9a6b44b37825cf035703cfc15"/>
            <w:bookmarkEnd w:id="17"/>
            <w:r>
              <w:rPr>
                <w:rFonts w:hint="eastAsia" w:ascii="宋体" w:hAnsi="宋体" w:eastAsia="宋体" w:cs="宋体"/>
                <w:color w:val="000000"/>
                <w:kern w:val="0"/>
                <w:sz w:val="24"/>
              </w:rPr>
              <w:t>☐是。</w:t>
            </w:r>
          </w:p>
          <w:p w14:paraId="379DEDFE">
            <w:pPr>
              <w:pStyle w:val="34"/>
              <w:autoSpaceDE w:val="0"/>
              <w:autoSpaceDN w:val="0"/>
              <w:adjustRightIn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应满足要求：</w:t>
            </w:r>
            <w:bookmarkStart w:id="18" w:name="EB9d99000cce4c4ff692a082ab0ad4b727"/>
            <w:bookmarkEnd w:id="18"/>
            <w:r>
              <w:rPr>
                <w:rFonts w:hint="eastAsia" w:ascii="宋体" w:hAnsi="宋体" w:eastAsia="宋体" w:cs="宋体"/>
                <w:color w:val="000000"/>
                <w:kern w:val="0"/>
                <w:sz w:val="24"/>
              </w:rPr>
              <w:t xml:space="preserve">                     </w:t>
            </w:r>
          </w:p>
          <w:p w14:paraId="2346AE0F">
            <w:pPr>
              <w:pStyle w:val="34"/>
              <w:autoSpaceDE w:val="0"/>
              <w:autoSpaceDN w:val="0"/>
              <w:adjustRightInd w:val="0"/>
              <w:spacing w:line="360" w:lineRule="auto"/>
              <w:rPr>
                <w:rFonts w:hint="eastAsia" w:ascii="宋体" w:hAnsi="宋体" w:eastAsia="宋体" w:cs="宋体"/>
                <w:color w:val="000000"/>
                <w:kern w:val="0"/>
                <w:sz w:val="24"/>
              </w:rPr>
            </w:pPr>
            <w:bookmarkStart w:id="19" w:name="EBbabddb5118a847b6bdf4b49ae8647b6b"/>
            <w:bookmarkEnd w:id="19"/>
            <w:r>
              <w:rPr>
                <w:rFonts w:hint="eastAsia" w:ascii="宋体" w:hAnsi="宋体" w:eastAsia="宋体" w:cs="宋体"/>
                <w:color w:val="000000"/>
                <w:kern w:val="0"/>
                <w:sz w:val="24"/>
              </w:rPr>
              <w:t>☑否。</w:t>
            </w:r>
          </w:p>
        </w:tc>
      </w:tr>
      <w:tr w14:paraId="58A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0ED7D5A">
            <w:pPr>
              <w:pStyle w:val="34"/>
              <w:spacing w:line="360" w:lineRule="auto"/>
              <w:jc w:val="center"/>
              <w:rPr>
                <w:rFonts w:hint="default" w:ascii="宋体" w:hAnsi="宋体" w:eastAsia="宋体" w:cs="宋体"/>
                <w:b/>
                <w:kern w:val="0"/>
                <w:sz w:val="24"/>
                <w:highlight w:val="white"/>
                <w:lang w:val="en-US" w:eastAsia="zh-CN"/>
              </w:rPr>
            </w:pPr>
            <w:r>
              <w:rPr>
                <w:rFonts w:hint="eastAsia" w:ascii="宋体" w:hAnsi="宋体" w:eastAsia="宋体" w:cs="宋体"/>
                <w:b/>
                <w:kern w:val="0"/>
                <w:sz w:val="24"/>
                <w:highlight w:val="white"/>
                <w:lang w:val="en-US" w:eastAsia="zh-CN"/>
              </w:rPr>
              <w:t>11</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2DE63916">
            <w:pPr>
              <w:overflowPunct w:val="0"/>
              <w:jc w:val="center"/>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b/>
                <w:kern w:val="2"/>
                <w:sz w:val="24"/>
                <w:szCs w:val="24"/>
                <w:highlight w:val="white"/>
                <w:lang w:val="en-US" w:eastAsia="zh-CN" w:bidi="ar-SA"/>
              </w:rPr>
              <w:t>是否为专门面向中小企业采购</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0C24BFB9">
            <w:pPr>
              <w:pStyle w:val="34"/>
              <w:autoSpaceDE w:val="0"/>
              <w:autoSpaceDN w:val="0"/>
              <w:adjustRightIn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☑是。</w:t>
            </w:r>
            <w:r>
              <w:rPr>
                <w:rFonts w:hint="eastAsia" w:ascii="宋体" w:hAnsi="宋体" w:eastAsia="宋体" w:cs="宋体"/>
                <w:color w:val="000000"/>
                <w:kern w:val="0"/>
                <w:sz w:val="24"/>
                <w:lang w:val="en-US" w:eastAsia="zh-CN"/>
              </w:rPr>
              <w:t>全额面向中小企业采购</w:t>
            </w:r>
            <w:r>
              <w:rPr>
                <w:rFonts w:hint="eastAsia" w:ascii="宋体" w:hAnsi="宋体" w:eastAsia="宋体" w:cs="宋体"/>
                <w:color w:val="000000"/>
                <w:kern w:val="0"/>
                <w:sz w:val="24"/>
              </w:rPr>
              <w:t xml:space="preserve">                </w:t>
            </w:r>
          </w:p>
          <w:p w14:paraId="1D9075DB">
            <w:pPr>
              <w:overflowPunct w:val="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否。</w:t>
            </w:r>
          </w:p>
        </w:tc>
      </w:tr>
      <w:tr w14:paraId="4D15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DA02DE">
            <w:pPr>
              <w:pStyle w:val="34"/>
              <w:spacing w:line="360" w:lineRule="auto"/>
              <w:jc w:val="center"/>
              <w:rPr>
                <w:rFonts w:hint="default" w:ascii="宋体" w:hAnsi="宋体" w:eastAsia="宋体" w:cs="宋体"/>
                <w:b/>
                <w:kern w:val="0"/>
                <w:sz w:val="24"/>
                <w:highlight w:val="white"/>
                <w:lang w:val="en-US" w:eastAsia="zh-CN"/>
              </w:rPr>
            </w:pPr>
            <w:r>
              <w:rPr>
                <w:rFonts w:hint="eastAsia" w:ascii="宋体" w:hAnsi="宋体" w:eastAsia="宋体" w:cs="宋体"/>
                <w:b/>
                <w:kern w:val="0"/>
                <w:sz w:val="24"/>
                <w:highlight w:val="white"/>
                <w:lang w:val="en-US" w:eastAsia="zh-CN"/>
              </w:rPr>
              <w:t>12</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0A339619">
            <w:pPr>
              <w:pStyle w:val="34"/>
              <w:spacing w:line="360" w:lineRule="auto"/>
              <w:jc w:val="center"/>
              <w:rPr>
                <w:rFonts w:hint="eastAsia" w:ascii="宋体" w:hAnsi="宋体" w:eastAsia="宋体" w:cs="宋体"/>
                <w:b/>
                <w:sz w:val="24"/>
                <w:highlight w:val="white"/>
                <w:lang w:val="en-US" w:eastAsia="zh-CN"/>
              </w:rPr>
            </w:pPr>
            <w:r>
              <w:rPr>
                <w:rFonts w:hint="eastAsia" w:ascii="宋体" w:hAnsi="宋体" w:eastAsia="宋体" w:cs="宋体"/>
                <w:b/>
                <w:sz w:val="24"/>
                <w:highlight w:val="white"/>
                <w:lang w:val="en-US" w:eastAsia="zh-CN"/>
              </w:rPr>
              <w:t>本项目采购标的对应的中小企业划分标准所属行业</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4490D4F8">
            <w:pPr>
              <w:pStyle w:val="34"/>
              <w:spacing w:line="360" w:lineRule="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建筑业</w:t>
            </w:r>
          </w:p>
        </w:tc>
      </w:tr>
      <w:tr w14:paraId="38F2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A86823B">
            <w:pPr>
              <w:pStyle w:val="34"/>
              <w:spacing w:line="360" w:lineRule="auto"/>
              <w:jc w:val="center"/>
              <w:rPr>
                <w:rFonts w:hint="default" w:ascii="宋体" w:hAnsi="宋体" w:eastAsia="宋体" w:cs="宋体"/>
                <w:b/>
                <w:kern w:val="0"/>
                <w:sz w:val="24"/>
                <w:highlight w:val="white"/>
                <w:lang w:val="en-US" w:eastAsia="zh-CN"/>
              </w:rPr>
            </w:pPr>
            <w:r>
              <w:rPr>
                <w:rFonts w:hint="eastAsia" w:ascii="宋体" w:hAnsi="宋体" w:eastAsia="宋体" w:cs="宋体"/>
                <w:b/>
                <w:kern w:val="0"/>
                <w:sz w:val="24"/>
                <w:highlight w:val="white"/>
                <w:lang w:val="en-US" w:eastAsia="zh-CN"/>
              </w:rPr>
              <w:t>13</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33F7601F">
            <w:pPr>
              <w:pStyle w:val="34"/>
              <w:spacing w:line="360" w:lineRule="auto"/>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质量要求、验收方式及标准</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5B772A5E">
            <w:pPr>
              <w:pStyle w:val="34"/>
              <w:spacing w:line="360" w:lineRule="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质量标准：合格 </w:t>
            </w:r>
          </w:p>
          <w:p w14:paraId="1F3673BB">
            <w:pPr>
              <w:pStyle w:val="34"/>
              <w:spacing w:line="360" w:lineRule="auto"/>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验收方式及标准：按照国家相关标准开展验收。</w:t>
            </w:r>
          </w:p>
        </w:tc>
      </w:tr>
      <w:tr w14:paraId="19AC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5B94B339">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14</w:t>
            </w:r>
          </w:p>
        </w:tc>
        <w:tc>
          <w:tcPr>
            <w:tcW w:w="2664" w:type="dxa"/>
            <w:tcBorders>
              <w:top w:val="single" w:color="auto" w:sz="4" w:space="0"/>
              <w:left w:val="single" w:color="auto" w:sz="4" w:space="0"/>
              <w:bottom w:val="single" w:color="auto" w:sz="4" w:space="0"/>
              <w:right w:val="single" w:color="auto" w:sz="4" w:space="0"/>
            </w:tcBorders>
            <w:vAlign w:val="center"/>
          </w:tcPr>
          <w:p w14:paraId="50FAEAE6">
            <w:pPr>
              <w:pStyle w:val="34"/>
              <w:spacing w:line="360" w:lineRule="auto"/>
              <w:jc w:val="center"/>
              <w:rPr>
                <w:rFonts w:hint="eastAsia" w:ascii="宋体" w:hAnsi="宋体" w:eastAsia="宋体" w:cs="宋体"/>
                <w:b/>
                <w:sz w:val="24"/>
              </w:rPr>
            </w:pPr>
            <w:r>
              <w:rPr>
                <w:rFonts w:hint="eastAsia" w:ascii="宋体" w:hAnsi="宋体" w:eastAsia="宋体" w:cs="宋体"/>
                <w:b/>
                <w:sz w:val="24"/>
                <w:highlight w:val="white"/>
              </w:rPr>
              <w:t>是否允许供应商将项目非主体、非关键性工作交由他人完成</w:t>
            </w:r>
          </w:p>
        </w:tc>
        <w:tc>
          <w:tcPr>
            <w:tcW w:w="6518" w:type="dxa"/>
            <w:tcBorders>
              <w:top w:val="single" w:color="auto" w:sz="4" w:space="0"/>
              <w:left w:val="single" w:color="auto" w:sz="4" w:space="0"/>
              <w:bottom w:val="single" w:color="auto" w:sz="4" w:space="0"/>
              <w:right w:val="single" w:color="auto" w:sz="4" w:space="0"/>
            </w:tcBorders>
            <w:vAlign w:val="center"/>
          </w:tcPr>
          <w:p w14:paraId="78BB6608">
            <w:pPr>
              <w:pStyle w:val="34"/>
              <w:spacing w:line="360" w:lineRule="auto"/>
              <w:rPr>
                <w:rFonts w:hint="eastAsia" w:ascii="宋体" w:hAnsi="宋体" w:eastAsia="宋体" w:cs="宋体"/>
                <w:color w:val="000000"/>
                <w:kern w:val="0"/>
                <w:sz w:val="24"/>
              </w:rPr>
            </w:pPr>
            <w:bookmarkStart w:id="20" w:name="EB46de3bf2b5e44d249096c9a68bd8cf71"/>
            <w:bookmarkEnd w:id="20"/>
            <w:r>
              <w:rPr>
                <w:rFonts w:hint="eastAsia" w:ascii="宋体" w:hAnsi="宋体" w:eastAsia="宋体" w:cs="宋体"/>
                <w:color w:val="000000"/>
                <w:kern w:val="0"/>
                <w:sz w:val="24"/>
              </w:rPr>
              <w:t>☑否。</w:t>
            </w:r>
          </w:p>
          <w:p w14:paraId="43F44B83">
            <w:pPr>
              <w:pStyle w:val="34"/>
              <w:spacing w:line="360" w:lineRule="auto"/>
              <w:rPr>
                <w:rFonts w:hint="eastAsia" w:ascii="宋体" w:hAnsi="宋体" w:eastAsia="宋体" w:cs="宋体"/>
                <w:color w:val="000000"/>
                <w:kern w:val="0"/>
                <w:sz w:val="24"/>
              </w:rPr>
            </w:pPr>
            <w:bookmarkStart w:id="21" w:name="EB65a901bb2d1e4b94a96b402959e5078f"/>
            <w:bookmarkEnd w:id="21"/>
            <w:r>
              <w:rPr>
                <w:rFonts w:hint="eastAsia" w:ascii="宋体" w:hAnsi="宋体" w:eastAsia="宋体" w:cs="宋体"/>
                <w:color w:val="000000"/>
                <w:kern w:val="0"/>
                <w:sz w:val="24"/>
              </w:rPr>
              <w:t>☐是。成交人按照合同约定或者经采购人同意，可以将项目非主体、非关键性工作分包交由他人完成。此时，接受分包的人应当具备相应的资格条件，并不得再次分包。</w:t>
            </w:r>
          </w:p>
          <w:p w14:paraId="09F06128">
            <w:pPr>
              <w:pStyle w:val="34"/>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分包内容要求：</w:t>
            </w:r>
            <w:bookmarkStart w:id="22" w:name="EBa69c75a77835476bbdcb8c909a4a812c"/>
            <w:bookmarkEnd w:id="22"/>
            <w:r>
              <w:rPr>
                <w:rFonts w:hint="eastAsia" w:ascii="宋体" w:hAnsi="宋体" w:eastAsia="宋体" w:cs="宋体"/>
                <w:color w:val="000000"/>
                <w:kern w:val="0"/>
                <w:sz w:val="24"/>
                <w:u w:val="single"/>
              </w:rPr>
              <w:t xml:space="preserve">                     </w:t>
            </w:r>
          </w:p>
          <w:p w14:paraId="5EF3DB45">
            <w:pPr>
              <w:pStyle w:val="34"/>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分包金额要求：</w:t>
            </w:r>
            <w:bookmarkStart w:id="23" w:name="EBd3f56592b2054e50ad44ad4ca7d3f5c2"/>
            <w:bookmarkEnd w:id="23"/>
            <w:r>
              <w:rPr>
                <w:rFonts w:hint="eastAsia" w:ascii="宋体" w:hAnsi="宋体" w:eastAsia="宋体" w:cs="宋体"/>
                <w:color w:val="000000"/>
                <w:kern w:val="0"/>
                <w:sz w:val="24"/>
                <w:u w:val="single"/>
              </w:rPr>
              <w:t xml:space="preserve">                     </w:t>
            </w:r>
          </w:p>
          <w:p w14:paraId="4CCA8CF7">
            <w:pPr>
              <w:pStyle w:val="34"/>
              <w:autoSpaceDE w:val="0"/>
              <w:autoSpaceDN w:val="0"/>
              <w:adjustRightInd w:val="0"/>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rPr>
              <w:t>接受分包的第三人资质要求：</w:t>
            </w:r>
            <w:bookmarkStart w:id="24" w:name="EB5f6d947066154c69b5501788367db129"/>
            <w:bookmarkEnd w:id="24"/>
            <w:r>
              <w:rPr>
                <w:rFonts w:hint="eastAsia" w:ascii="宋体" w:hAnsi="宋体" w:eastAsia="宋体" w:cs="宋体"/>
                <w:color w:val="000000"/>
                <w:kern w:val="0"/>
                <w:sz w:val="24"/>
                <w:u w:val="single"/>
              </w:rPr>
              <w:t xml:space="preserve">             </w:t>
            </w:r>
          </w:p>
        </w:tc>
      </w:tr>
      <w:tr w14:paraId="5395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77AE7559">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15</w:t>
            </w:r>
          </w:p>
        </w:tc>
        <w:tc>
          <w:tcPr>
            <w:tcW w:w="2664" w:type="dxa"/>
            <w:tcBorders>
              <w:top w:val="single" w:color="auto" w:sz="4" w:space="0"/>
              <w:left w:val="single" w:color="auto" w:sz="4" w:space="0"/>
              <w:bottom w:val="single" w:color="auto" w:sz="4" w:space="0"/>
              <w:right w:val="single" w:color="auto" w:sz="4" w:space="0"/>
            </w:tcBorders>
            <w:vAlign w:val="center"/>
          </w:tcPr>
          <w:p w14:paraId="67AAB075">
            <w:pPr>
              <w:pStyle w:val="34"/>
              <w:spacing w:line="360" w:lineRule="auto"/>
              <w:jc w:val="center"/>
              <w:rPr>
                <w:rFonts w:hint="eastAsia" w:ascii="宋体" w:hAnsi="宋体" w:eastAsia="宋体" w:cs="宋体"/>
                <w:b/>
                <w:sz w:val="24"/>
              </w:rPr>
            </w:pPr>
            <w:r>
              <w:rPr>
                <w:rFonts w:hint="eastAsia" w:ascii="宋体" w:hAnsi="宋体" w:eastAsia="宋体" w:cs="宋体"/>
                <w:b/>
                <w:sz w:val="24"/>
                <w:highlight w:val="white"/>
              </w:rPr>
              <w:t>踏勘现场</w:t>
            </w:r>
          </w:p>
        </w:tc>
        <w:tc>
          <w:tcPr>
            <w:tcW w:w="6518" w:type="dxa"/>
            <w:tcBorders>
              <w:top w:val="single" w:color="auto" w:sz="4" w:space="0"/>
              <w:left w:val="single" w:color="auto" w:sz="4" w:space="0"/>
              <w:bottom w:val="single" w:color="auto" w:sz="4" w:space="0"/>
              <w:right w:val="single" w:color="auto" w:sz="4" w:space="0"/>
            </w:tcBorders>
            <w:vAlign w:val="center"/>
          </w:tcPr>
          <w:p w14:paraId="25964268">
            <w:pPr>
              <w:pStyle w:val="34"/>
              <w:autoSpaceDE w:val="0"/>
              <w:autoSpaceDN w:val="0"/>
              <w:adjustRightInd w:val="0"/>
              <w:spacing w:line="360" w:lineRule="auto"/>
              <w:rPr>
                <w:rFonts w:hint="eastAsia" w:ascii="宋体" w:hAnsi="宋体" w:eastAsia="宋体" w:cs="宋体"/>
                <w:kern w:val="0"/>
                <w:sz w:val="24"/>
              </w:rPr>
            </w:pPr>
            <w:bookmarkStart w:id="25" w:name="EB3654e13cae20475eac84fa83364d7833"/>
            <w:bookmarkEnd w:id="25"/>
            <w:r>
              <w:rPr>
                <w:rFonts w:hint="eastAsia" w:ascii="宋体" w:hAnsi="宋体" w:eastAsia="宋体" w:cs="宋体"/>
                <w:kern w:val="0"/>
                <w:sz w:val="24"/>
              </w:rPr>
              <w:t>☐是</w:t>
            </w:r>
          </w:p>
          <w:p w14:paraId="3F35CE09">
            <w:pPr>
              <w:pStyle w:val="34"/>
              <w:autoSpaceDE w:val="0"/>
              <w:autoSpaceDN w:val="0"/>
              <w:adjustRightInd w:val="0"/>
              <w:spacing w:line="360" w:lineRule="auto"/>
              <w:rPr>
                <w:rFonts w:hint="eastAsia" w:ascii="宋体" w:hAnsi="宋体" w:eastAsia="宋体" w:cs="宋体"/>
                <w:kern w:val="0"/>
                <w:sz w:val="24"/>
              </w:rPr>
            </w:pPr>
            <w:bookmarkStart w:id="26" w:name="EB3d7345a577da4ac491525e314b60b5e8"/>
            <w:bookmarkEnd w:id="26"/>
            <w:bookmarkStart w:id="27" w:name="EB642e2c6bf7f7421793376e830f8ca504"/>
            <w:bookmarkEnd w:id="27"/>
            <w:bookmarkStart w:id="28" w:name="EBbbb56eccde2746b583514c7e0b747330"/>
            <w:bookmarkEnd w:id="28"/>
            <w:bookmarkStart w:id="29" w:name="EBb49a8cdbac9d413c8a35f73ae703b18f"/>
            <w:bookmarkEnd w:id="29"/>
            <w:r>
              <w:rPr>
                <w:rFonts w:hint="eastAsia" w:ascii="宋体" w:hAnsi="宋体" w:eastAsia="宋体" w:cs="宋体"/>
                <w:kern w:val="0"/>
                <w:sz w:val="24"/>
              </w:rPr>
              <w:t xml:space="preserve">☑否 </w:t>
            </w:r>
          </w:p>
        </w:tc>
      </w:tr>
      <w:tr w14:paraId="3282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6F68404B">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16</w:t>
            </w:r>
          </w:p>
        </w:tc>
        <w:tc>
          <w:tcPr>
            <w:tcW w:w="2664" w:type="dxa"/>
            <w:tcBorders>
              <w:top w:val="single" w:color="auto" w:sz="4" w:space="0"/>
              <w:left w:val="single" w:color="auto" w:sz="4" w:space="0"/>
              <w:bottom w:val="single" w:color="auto" w:sz="4" w:space="0"/>
              <w:right w:val="single" w:color="auto" w:sz="4" w:space="0"/>
            </w:tcBorders>
            <w:vAlign w:val="center"/>
          </w:tcPr>
          <w:p w14:paraId="76681F75">
            <w:pPr>
              <w:pStyle w:val="34"/>
              <w:spacing w:line="360" w:lineRule="auto"/>
              <w:jc w:val="center"/>
              <w:rPr>
                <w:rFonts w:hint="eastAsia" w:ascii="宋体" w:hAnsi="宋体" w:eastAsia="宋体" w:cs="宋体"/>
                <w:b/>
                <w:sz w:val="24"/>
              </w:rPr>
            </w:pPr>
            <w:r>
              <w:rPr>
                <w:rFonts w:hint="eastAsia" w:ascii="宋体" w:hAnsi="宋体" w:eastAsia="宋体" w:cs="宋体"/>
                <w:b/>
                <w:sz w:val="24"/>
                <w:highlight w:val="white"/>
              </w:rPr>
              <w:t>答疑接受时间</w:t>
            </w:r>
          </w:p>
        </w:tc>
        <w:tc>
          <w:tcPr>
            <w:tcW w:w="6518" w:type="dxa"/>
            <w:tcBorders>
              <w:top w:val="single" w:color="auto" w:sz="4" w:space="0"/>
              <w:left w:val="single" w:color="auto" w:sz="4" w:space="0"/>
              <w:bottom w:val="single" w:color="auto" w:sz="4" w:space="0"/>
              <w:right w:val="single" w:color="auto" w:sz="4" w:space="0"/>
            </w:tcBorders>
            <w:vAlign w:val="center"/>
          </w:tcPr>
          <w:p w14:paraId="5370C69B">
            <w:pPr>
              <w:pStyle w:val="34"/>
              <w:spacing w:line="360" w:lineRule="auto"/>
              <w:rPr>
                <w:rFonts w:hint="eastAsia" w:ascii="宋体" w:hAnsi="宋体" w:eastAsia="宋体" w:cs="宋体"/>
                <w:bCs/>
                <w:sz w:val="24"/>
              </w:rPr>
            </w:pPr>
            <w:bookmarkStart w:id="30" w:name="EB17a0b1178f4e475ebd3db773a983cd6b"/>
            <w:bookmarkEnd w:id="30"/>
            <w:r>
              <w:rPr>
                <w:rFonts w:hint="eastAsia" w:ascii="宋体" w:hAnsi="宋体" w:eastAsia="宋体" w:cs="宋体"/>
                <w:sz w:val="24"/>
                <w:u w:val="single"/>
              </w:rPr>
              <w:t>投标截止时间3天</w:t>
            </w:r>
            <w:r>
              <w:rPr>
                <w:rFonts w:hint="eastAsia" w:ascii="宋体" w:hAnsi="宋体" w:eastAsia="宋体" w:cs="宋体"/>
                <w:bCs/>
                <w:sz w:val="24"/>
              </w:rPr>
              <w:t>前接受供应商疑问或澄清要求（逾期不予受理）。</w:t>
            </w:r>
          </w:p>
          <w:p w14:paraId="05AC605E">
            <w:pPr>
              <w:pStyle w:val="37"/>
              <w:spacing w:line="360" w:lineRule="auto"/>
              <w:rPr>
                <w:rFonts w:hint="eastAsia" w:ascii="宋体" w:hAnsi="宋体" w:eastAsia="宋体" w:cs="宋体"/>
                <w:kern w:val="0"/>
                <w:sz w:val="24"/>
                <w:lang w:val="en-US" w:eastAsia="zh-CN"/>
              </w:rPr>
            </w:pPr>
            <w:r>
              <w:rPr>
                <w:rFonts w:hint="eastAsia" w:ascii="宋体" w:hAnsi="宋体" w:eastAsia="宋体" w:cs="宋体"/>
                <w:kern w:val="0"/>
                <w:sz w:val="24"/>
              </w:rPr>
              <w:t>联系人：</w:t>
            </w:r>
            <w:bookmarkStart w:id="31" w:name="EB0c188acceba94be79a83f193a1d4aa98"/>
            <w:bookmarkEnd w:id="31"/>
            <w:r>
              <w:rPr>
                <w:rFonts w:hint="eastAsia" w:ascii="宋体" w:hAnsi="宋体" w:cs="宋体"/>
                <w:kern w:val="0"/>
                <w:sz w:val="24"/>
                <w:lang w:val="en-US" w:eastAsia="zh-CN"/>
              </w:rPr>
              <w:t>谷芳</w:t>
            </w:r>
          </w:p>
          <w:p w14:paraId="446D858D">
            <w:pPr>
              <w:pStyle w:val="37"/>
              <w:spacing w:line="360" w:lineRule="auto"/>
              <w:rPr>
                <w:rFonts w:hint="default" w:ascii="宋体" w:hAnsi="宋体" w:eastAsia="宋体" w:cs="宋体"/>
                <w:sz w:val="24"/>
                <w:lang w:val="en-US" w:eastAsia="zh-CN"/>
              </w:rPr>
            </w:pPr>
            <w:r>
              <w:rPr>
                <w:rFonts w:hint="eastAsia" w:ascii="宋体" w:hAnsi="宋体" w:eastAsia="宋体" w:cs="宋体"/>
                <w:kern w:val="0"/>
                <w:sz w:val="24"/>
              </w:rPr>
              <w:t>联系电话：</w:t>
            </w:r>
            <w:bookmarkStart w:id="32" w:name="EB901134491a6b4a88af871252f3f61d52"/>
            <w:bookmarkEnd w:id="32"/>
            <w:r>
              <w:rPr>
                <w:rFonts w:hint="eastAsia" w:ascii="宋体" w:hAnsi="宋体" w:cs="宋体"/>
                <w:kern w:val="0"/>
                <w:sz w:val="24"/>
                <w:lang w:val="en-US" w:eastAsia="zh-CN"/>
              </w:rPr>
              <w:t>17399097222</w:t>
            </w:r>
            <w:bookmarkStart w:id="456" w:name="_GoBack"/>
            <w:bookmarkEnd w:id="456"/>
          </w:p>
          <w:p w14:paraId="22D503FF">
            <w:pPr>
              <w:pStyle w:val="34"/>
              <w:autoSpaceDE w:val="0"/>
              <w:autoSpaceDN w:val="0"/>
              <w:adjustRightInd w:val="0"/>
              <w:spacing w:line="360" w:lineRule="auto"/>
              <w:rPr>
                <w:rFonts w:hint="eastAsia" w:ascii="宋体" w:hAnsi="宋体" w:eastAsia="宋体" w:cs="宋体"/>
                <w:sz w:val="24"/>
              </w:rPr>
            </w:pPr>
            <w:r>
              <w:rPr>
                <w:rFonts w:hint="eastAsia" w:ascii="宋体" w:hAnsi="宋体" w:eastAsia="宋体" w:cs="宋体"/>
                <w:kern w:val="0"/>
                <w:sz w:val="24"/>
              </w:rPr>
              <w:t>提交方式：</w:t>
            </w:r>
            <w:bookmarkStart w:id="33" w:name="EB6348f50b28d34fc2ae74793c8bd0070b"/>
            <w:bookmarkEnd w:id="33"/>
            <w:r>
              <w:rPr>
                <w:rFonts w:hint="eastAsia" w:ascii="宋体" w:hAnsi="宋体" w:eastAsia="宋体" w:cs="宋体"/>
                <w:sz w:val="24"/>
              </w:rPr>
              <w:t>网上提交后，电话通知。</w:t>
            </w:r>
          </w:p>
          <w:p w14:paraId="4068DB84">
            <w:pPr>
              <w:pStyle w:val="34"/>
              <w:autoSpaceDE w:val="0"/>
              <w:autoSpaceDN w:val="0"/>
              <w:adjustRightInd w:val="0"/>
              <w:spacing w:line="360" w:lineRule="auto"/>
              <w:rPr>
                <w:rFonts w:hint="eastAsia" w:ascii="宋体" w:hAnsi="宋体" w:eastAsia="宋体" w:cs="宋体"/>
                <w:kern w:val="0"/>
                <w:sz w:val="24"/>
              </w:rPr>
            </w:pPr>
            <w:r>
              <w:rPr>
                <w:rFonts w:hint="eastAsia" w:ascii="宋体" w:hAnsi="宋体" w:eastAsia="宋体" w:cs="宋体"/>
                <w:bCs/>
                <w:sz w:val="24"/>
              </w:rPr>
              <w:t>注：澄清、修改文件发出后，供应商必须使用最新的澄清文件制作电子响应文件，否则将无法完成上传。</w:t>
            </w:r>
          </w:p>
        </w:tc>
      </w:tr>
      <w:tr w14:paraId="51A4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B4C48CF">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17</w:t>
            </w:r>
          </w:p>
        </w:tc>
        <w:tc>
          <w:tcPr>
            <w:tcW w:w="2664" w:type="dxa"/>
            <w:tcBorders>
              <w:top w:val="single" w:color="auto" w:sz="4" w:space="0"/>
              <w:left w:val="single" w:color="auto" w:sz="4" w:space="0"/>
              <w:bottom w:val="single" w:color="auto" w:sz="4" w:space="0"/>
              <w:right w:val="single" w:color="auto" w:sz="4" w:space="0"/>
            </w:tcBorders>
            <w:vAlign w:val="center"/>
          </w:tcPr>
          <w:p w14:paraId="48E9EAA4">
            <w:pPr>
              <w:pStyle w:val="34"/>
              <w:spacing w:line="360" w:lineRule="auto"/>
              <w:jc w:val="center"/>
              <w:rPr>
                <w:rFonts w:hint="eastAsia" w:ascii="宋体" w:hAnsi="宋体" w:eastAsia="宋体" w:cs="宋体"/>
                <w:b/>
                <w:sz w:val="24"/>
              </w:rPr>
            </w:pPr>
            <w:r>
              <w:rPr>
                <w:rFonts w:hint="eastAsia" w:ascii="宋体" w:hAnsi="宋体" w:eastAsia="宋体" w:cs="宋体"/>
                <w:b/>
                <w:sz w:val="24"/>
                <w:highlight w:val="white"/>
              </w:rPr>
              <w:t>投标有效期</w:t>
            </w:r>
          </w:p>
        </w:tc>
        <w:tc>
          <w:tcPr>
            <w:tcW w:w="6518" w:type="dxa"/>
            <w:tcBorders>
              <w:top w:val="single" w:color="auto" w:sz="4" w:space="0"/>
              <w:left w:val="single" w:color="auto" w:sz="4" w:space="0"/>
              <w:bottom w:val="single" w:color="auto" w:sz="4" w:space="0"/>
              <w:right w:val="single" w:color="auto" w:sz="4" w:space="0"/>
            </w:tcBorders>
            <w:vAlign w:val="center"/>
          </w:tcPr>
          <w:p w14:paraId="538248FC">
            <w:pPr>
              <w:pStyle w:val="34"/>
              <w:spacing w:line="360" w:lineRule="auto"/>
              <w:rPr>
                <w:rFonts w:hint="eastAsia" w:ascii="宋体" w:hAnsi="宋体" w:eastAsia="宋体" w:cs="宋体"/>
                <w:b/>
                <w:bCs/>
                <w:sz w:val="24"/>
              </w:rPr>
            </w:pPr>
            <w:r>
              <w:rPr>
                <w:rFonts w:hint="eastAsia" w:ascii="宋体" w:hAnsi="宋体" w:eastAsia="宋体" w:cs="宋体"/>
                <w:sz w:val="24"/>
                <w:lang w:val="zh-CN"/>
              </w:rPr>
              <w:t>自投标截止之日起</w:t>
            </w:r>
            <w:bookmarkStart w:id="34" w:name="EB8c89669a7b2d4e7d97b13873e077b2f7"/>
            <w:bookmarkEnd w:id="34"/>
            <w:r>
              <w:rPr>
                <w:rFonts w:hint="eastAsia" w:ascii="宋体" w:hAnsi="宋体" w:eastAsia="宋体" w:cs="宋体"/>
                <w:kern w:val="0"/>
                <w:sz w:val="24"/>
                <w:u w:val="single"/>
              </w:rPr>
              <w:t xml:space="preserve"> 90</w:t>
            </w:r>
            <w:r>
              <w:rPr>
                <w:rFonts w:hint="eastAsia" w:ascii="宋体" w:hAnsi="宋体" w:eastAsia="宋体" w:cs="宋体"/>
                <w:sz w:val="24"/>
                <w:lang w:val="zh-CN"/>
              </w:rPr>
              <w:t>日历天。</w:t>
            </w:r>
          </w:p>
        </w:tc>
      </w:tr>
      <w:tr w14:paraId="3EC3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140701">
            <w:pPr>
              <w:pStyle w:val="34"/>
              <w:spacing w:line="360" w:lineRule="auto"/>
              <w:jc w:val="center"/>
              <w:rPr>
                <w:rFonts w:hint="eastAsia" w:ascii="宋体" w:hAnsi="宋体" w:eastAsia="宋体" w:cs="宋体"/>
                <w:b/>
                <w:kern w:val="0"/>
                <w:sz w:val="24"/>
                <w:lang w:eastAsia="zh-CN"/>
              </w:rPr>
            </w:pPr>
            <w:r>
              <w:rPr>
                <w:rFonts w:hint="eastAsia" w:ascii="宋体" w:hAnsi="宋体" w:eastAsia="宋体" w:cs="宋体"/>
                <w:b/>
                <w:kern w:val="0"/>
                <w:sz w:val="24"/>
                <w:highlight w:val="white"/>
              </w:rPr>
              <w:t>1</w:t>
            </w:r>
            <w:r>
              <w:rPr>
                <w:rFonts w:hint="eastAsia" w:ascii="宋体" w:hAnsi="宋体" w:eastAsia="宋体" w:cs="宋体"/>
                <w:b/>
                <w:kern w:val="0"/>
                <w:sz w:val="24"/>
                <w:highlight w:val="white"/>
                <w:lang w:val="en-US" w:eastAsia="zh-CN"/>
              </w:rPr>
              <w:t>8</w:t>
            </w:r>
          </w:p>
        </w:tc>
        <w:tc>
          <w:tcPr>
            <w:tcW w:w="2664" w:type="dxa"/>
            <w:tcBorders>
              <w:top w:val="single" w:color="auto" w:sz="4" w:space="0"/>
              <w:left w:val="single" w:color="auto" w:sz="4" w:space="0"/>
              <w:bottom w:val="single" w:color="auto" w:sz="4" w:space="0"/>
              <w:right w:val="single" w:color="auto" w:sz="4" w:space="0"/>
            </w:tcBorders>
            <w:vAlign w:val="center"/>
          </w:tcPr>
          <w:p w14:paraId="69AFA8A7">
            <w:pPr>
              <w:pStyle w:val="34"/>
              <w:spacing w:line="360" w:lineRule="auto"/>
              <w:jc w:val="center"/>
              <w:rPr>
                <w:rFonts w:hint="eastAsia" w:ascii="宋体" w:hAnsi="宋体" w:eastAsia="宋体" w:cs="宋体"/>
                <w:b/>
                <w:sz w:val="24"/>
              </w:rPr>
            </w:pPr>
            <w:r>
              <w:rPr>
                <w:rFonts w:hint="eastAsia" w:ascii="宋体" w:hAnsi="宋体" w:eastAsia="宋体" w:cs="宋体"/>
                <w:b/>
                <w:kern w:val="0"/>
                <w:sz w:val="24"/>
                <w:highlight w:val="white"/>
              </w:rPr>
              <w:t>投标截止时间（开标时间）</w:t>
            </w:r>
          </w:p>
        </w:tc>
        <w:tc>
          <w:tcPr>
            <w:tcW w:w="6518" w:type="dxa"/>
            <w:tcBorders>
              <w:top w:val="single" w:color="auto" w:sz="4" w:space="0"/>
              <w:left w:val="single" w:color="auto" w:sz="4" w:space="0"/>
              <w:bottom w:val="single" w:color="auto" w:sz="4" w:space="0"/>
              <w:right w:val="single" w:color="auto" w:sz="4" w:space="0"/>
            </w:tcBorders>
            <w:vAlign w:val="center"/>
          </w:tcPr>
          <w:p w14:paraId="5FFC9AF2">
            <w:pPr>
              <w:pStyle w:val="34"/>
              <w:spacing w:line="360" w:lineRule="auto"/>
              <w:rPr>
                <w:rFonts w:hint="eastAsia" w:ascii="宋体" w:hAnsi="宋体" w:eastAsia="宋体" w:cs="宋体"/>
                <w:sz w:val="24"/>
              </w:rPr>
            </w:pPr>
            <w:r>
              <w:rPr>
                <w:rFonts w:hint="eastAsia" w:ascii="宋体" w:hAnsi="宋体" w:eastAsia="宋体" w:cs="宋体"/>
                <w:sz w:val="24"/>
              </w:rPr>
              <w:t>截止时间：</w:t>
            </w:r>
            <w:bookmarkStart w:id="35" w:name="EB63b5c568556649b2bb3803aea9efb797"/>
            <w:bookmarkEnd w:id="35"/>
            <w:r>
              <w:rPr>
                <w:rFonts w:hint="eastAsia" w:ascii="宋体" w:hAnsi="宋体" w:eastAsia="宋体" w:cs="宋体"/>
                <w:sz w:val="24"/>
                <w:u w:val="single"/>
              </w:rPr>
              <w:t>202</w:t>
            </w:r>
            <w:r>
              <w:rPr>
                <w:rFonts w:hint="eastAsia" w:ascii="宋体" w:hAnsi="宋体" w:eastAsia="宋体" w:cs="宋体"/>
                <w:sz w:val="24"/>
                <w:u w:val="single"/>
                <w:lang w:val="en-US" w:eastAsia="zh-CN"/>
              </w:rPr>
              <w:t>6</w:t>
            </w:r>
            <w:r>
              <w:rPr>
                <w:rFonts w:hint="eastAsia" w:ascii="宋体" w:hAnsi="宋体" w:eastAsia="宋体" w:cs="宋体"/>
                <w:sz w:val="24"/>
                <w:u w:val="single"/>
              </w:rPr>
              <w:t>年</w:t>
            </w:r>
            <w:r>
              <w:rPr>
                <w:rFonts w:hint="eastAsia" w:ascii="宋体" w:hAnsi="宋体" w:eastAsia="宋体" w:cs="宋体"/>
                <w:sz w:val="24"/>
                <w:u w:val="single"/>
                <w:lang w:val="en-US" w:eastAsia="zh-CN"/>
              </w:rPr>
              <w:t xml:space="preserve"> 05</w:t>
            </w:r>
            <w:r>
              <w:rPr>
                <w:rFonts w:hint="eastAsia" w:ascii="宋体" w:hAnsi="宋体" w:eastAsia="宋体" w:cs="宋体"/>
                <w:sz w:val="24"/>
                <w:u w:val="single"/>
              </w:rPr>
              <w:t>月</w:t>
            </w:r>
            <w:r>
              <w:rPr>
                <w:rFonts w:hint="eastAsia" w:ascii="宋体" w:hAnsi="宋体" w:eastAsia="宋体" w:cs="宋体"/>
                <w:sz w:val="24"/>
                <w:u w:val="single"/>
                <w:lang w:val="en-US" w:eastAsia="zh-CN"/>
              </w:rPr>
              <w:t xml:space="preserve"> 12</w:t>
            </w:r>
            <w:r>
              <w:rPr>
                <w:rFonts w:hint="eastAsia" w:ascii="宋体" w:hAnsi="宋体" w:eastAsia="宋体" w:cs="宋体"/>
                <w:sz w:val="24"/>
                <w:u w:val="single"/>
              </w:rPr>
              <w:t>日</w:t>
            </w:r>
            <w:r>
              <w:rPr>
                <w:rFonts w:hint="eastAsia" w:ascii="宋体" w:hAnsi="宋体" w:eastAsia="宋体" w:cs="宋体"/>
                <w:sz w:val="24"/>
                <w:u w:val="single"/>
                <w:lang w:val="en-US" w:eastAsia="zh-CN"/>
              </w:rPr>
              <w:t>10:00</w:t>
            </w:r>
            <w:r>
              <w:rPr>
                <w:rFonts w:hint="eastAsia" w:ascii="宋体" w:hAnsi="宋体" w:eastAsia="宋体" w:cs="宋体"/>
                <w:sz w:val="24"/>
              </w:rPr>
              <w:t>（北京时间）</w:t>
            </w:r>
          </w:p>
        </w:tc>
      </w:tr>
      <w:tr w14:paraId="4C7B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C189E0F">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1</w:t>
            </w:r>
            <w:r>
              <w:rPr>
                <w:rFonts w:hint="eastAsia" w:ascii="宋体" w:hAnsi="宋体" w:eastAsia="宋体" w:cs="宋体"/>
                <w:b/>
                <w:kern w:val="0"/>
                <w:sz w:val="24"/>
                <w:highlight w:val="white"/>
                <w:lang w:val="en-US" w:eastAsia="zh-CN"/>
              </w:rPr>
              <w:t>9</w:t>
            </w:r>
          </w:p>
        </w:tc>
        <w:tc>
          <w:tcPr>
            <w:tcW w:w="2664" w:type="dxa"/>
            <w:tcBorders>
              <w:top w:val="single" w:color="auto" w:sz="4" w:space="0"/>
              <w:left w:val="single" w:color="auto" w:sz="4" w:space="0"/>
              <w:bottom w:val="single" w:color="auto" w:sz="4" w:space="0"/>
              <w:right w:val="single" w:color="auto" w:sz="4" w:space="0"/>
            </w:tcBorders>
            <w:vAlign w:val="center"/>
          </w:tcPr>
          <w:p w14:paraId="017709C2">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供应商在投标截止</w:t>
            </w:r>
          </w:p>
          <w:p w14:paraId="6FBF8922">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时间前提交的响应文件</w:t>
            </w:r>
          </w:p>
        </w:tc>
        <w:tc>
          <w:tcPr>
            <w:tcW w:w="6518" w:type="dxa"/>
            <w:tcBorders>
              <w:top w:val="single" w:color="auto" w:sz="4" w:space="0"/>
              <w:left w:val="single" w:color="auto" w:sz="4" w:space="0"/>
              <w:bottom w:val="single" w:color="auto" w:sz="4" w:space="0"/>
              <w:right w:val="single" w:color="auto" w:sz="4" w:space="0"/>
            </w:tcBorders>
            <w:vAlign w:val="center"/>
          </w:tcPr>
          <w:p w14:paraId="79D27DFD">
            <w:pPr>
              <w:pStyle w:val="34"/>
              <w:spacing w:line="360" w:lineRule="auto"/>
              <w:rPr>
                <w:rFonts w:hint="eastAsia" w:ascii="宋体" w:hAnsi="宋体" w:eastAsia="宋体" w:cs="宋体"/>
                <w:sz w:val="24"/>
              </w:rPr>
            </w:pPr>
            <w:r>
              <w:rPr>
                <w:rFonts w:hint="eastAsia" w:ascii="宋体" w:hAnsi="宋体" w:eastAsia="宋体" w:cs="宋体"/>
                <w:sz w:val="24"/>
              </w:rPr>
              <w:t>响应文件（具体要求见本表第14项）</w:t>
            </w:r>
          </w:p>
        </w:tc>
      </w:tr>
      <w:tr w14:paraId="757C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4B11B52">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20</w:t>
            </w:r>
          </w:p>
        </w:tc>
        <w:tc>
          <w:tcPr>
            <w:tcW w:w="2664" w:type="dxa"/>
            <w:tcBorders>
              <w:top w:val="single" w:color="auto" w:sz="4" w:space="0"/>
              <w:left w:val="single" w:color="auto" w:sz="4" w:space="0"/>
              <w:bottom w:val="single" w:color="auto" w:sz="4" w:space="0"/>
              <w:right w:val="single" w:color="auto" w:sz="4" w:space="0"/>
            </w:tcBorders>
            <w:vAlign w:val="center"/>
          </w:tcPr>
          <w:p w14:paraId="49329BA9">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投标要求</w:t>
            </w:r>
          </w:p>
        </w:tc>
        <w:tc>
          <w:tcPr>
            <w:tcW w:w="6518" w:type="dxa"/>
            <w:tcBorders>
              <w:top w:val="single" w:color="auto" w:sz="4" w:space="0"/>
              <w:left w:val="single" w:color="auto" w:sz="4" w:space="0"/>
              <w:bottom w:val="single" w:color="auto" w:sz="4" w:space="0"/>
              <w:right w:val="single" w:color="auto" w:sz="4" w:space="0"/>
            </w:tcBorders>
            <w:vAlign w:val="center"/>
          </w:tcPr>
          <w:p w14:paraId="489D7687">
            <w:pPr>
              <w:pStyle w:val="34"/>
              <w:spacing w:line="360" w:lineRule="auto"/>
              <w:ind w:left="2" w:hanging="2" w:hangingChars="1"/>
              <w:rPr>
                <w:rFonts w:hint="eastAsia" w:ascii="宋体" w:hAnsi="宋体" w:eastAsia="宋体" w:cs="宋体"/>
                <w:sz w:val="24"/>
              </w:rPr>
            </w:pPr>
            <w:r>
              <w:rPr>
                <w:rFonts w:hint="eastAsia" w:ascii="宋体" w:hAnsi="宋体" w:eastAsia="宋体" w:cs="宋体"/>
                <w:sz w:val="24"/>
              </w:rPr>
              <w:t>□采用见面开标：</w:t>
            </w:r>
          </w:p>
          <w:p w14:paraId="42DB9EFD">
            <w:pPr>
              <w:pStyle w:val="34"/>
              <w:spacing w:line="360" w:lineRule="auto"/>
              <w:rPr>
                <w:rFonts w:hint="eastAsia" w:ascii="宋体" w:hAnsi="宋体" w:eastAsia="宋体" w:cs="宋体"/>
                <w:sz w:val="24"/>
              </w:rPr>
            </w:pPr>
            <w:r>
              <w:rPr>
                <w:rFonts w:hint="eastAsia" w:ascii="宋体" w:hAnsi="宋体" w:eastAsia="宋体" w:cs="宋体"/>
                <w:sz w:val="24"/>
              </w:rPr>
              <w:t>响应文件包括：</w:t>
            </w:r>
          </w:p>
          <w:p w14:paraId="1AB85970">
            <w:pPr>
              <w:pStyle w:val="23"/>
              <w:spacing w:line="240" w:lineRule="atLeast"/>
              <w:rPr>
                <w:rFonts w:hint="eastAsia" w:ascii="宋体" w:hAnsi="宋体" w:eastAsia="宋体" w:cs="宋体"/>
              </w:rPr>
            </w:pPr>
            <w:r>
              <w:rPr>
                <w:rFonts w:hint="eastAsia" w:ascii="宋体" w:hAnsi="宋体" w:eastAsia="宋体" w:cs="宋体"/>
              </w:rPr>
              <w:t>1、加密的电子响应文件（文件格式为.PDF），在投标截止时间前上传政采云（https://www.zcygov.cn/）；</w:t>
            </w:r>
          </w:p>
          <w:p w14:paraId="237249C3">
            <w:pPr>
              <w:pStyle w:val="34"/>
              <w:spacing w:line="360" w:lineRule="auto"/>
              <w:rPr>
                <w:rFonts w:hint="eastAsia" w:ascii="宋体" w:hAnsi="宋体" w:eastAsia="宋体" w:cs="宋体"/>
                <w:sz w:val="24"/>
              </w:rPr>
            </w:pPr>
            <w:r>
              <w:rPr>
                <w:rFonts w:hint="eastAsia" w:ascii="宋体" w:hAnsi="宋体" w:eastAsia="宋体" w:cs="宋体"/>
                <w:sz w:val="24"/>
              </w:rPr>
              <w:t>2、未加密的电子响应文件（文件格式为.PDF）3份（光盘介质），做好标示，密封提交；</w:t>
            </w:r>
          </w:p>
          <w:p w14:paraId="13AA973A">
            <w:pPr>
              <w:pStyle w:val="34"/>
              <w:spacing w:line="360" w:lineRule="auto"/>
              <w:rPr>
                <w:rFonts w:hint="eastAsia" w:ascii="宋体" w:hAnsi="宋体" w:eastAsia="宋体" w:cs="宋体"/>
                <w:sz w:val="24"/>
              </w:rPr>
            </w:pPr>
            <w:r>
              <w:rPr>
                <w:rFonts w:hint="eastAsia" w:ascii="宋体" w:hAnsi="宋体" w:eastAsia="宋体" w:cs="宋体"/>
                <w:sz w:val="24"/>
              </w:rPr>
              <w:t>其中，未加密的电子响应文件光盘应密封。供应商应在密封袋上注明项目名称和供应商名称。</w:t>
            </w:r>
          </w:p>
          <w:p w14:paraId="62C5612A">
            <w:pPr>
              <w:pStyle w:val="34"/>
              <w:spacing w:line="360" w:lineRule="auto"/>
              <w:rPr>
                <w:rFonts w:hint="eastAsia" w:ascii="宋体" w:hAnsi="宋体" w:eastAsia="宋体" w:cs="宋体"/>
                <w:sz w:val="24"/>
              </w:rPr>
            </w:pPr>
            <w:r>
              <w:rPr>
                <w:rFonts w:hint="eastAsia" w:ascii="宋体" w:hAnsi="宋体" w:eastAsia="宋体" w:cs="宋体"/>
                <w:sz w:val="24"/>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3份），将导致投标被拒绝。</w:t>
            </w:r>
          </w:p>
          <w:p w14:paraId="3FB44D88">
            <w:pPr>
              <w:pStyle w:val="34"/>
              <w:widowControl/>
              <w:autoSpaceDE w:val="0"/>
              <w:autoSpaceDN w:val="0"/>
              <w:spacing w:line="360" w:lineRule="exact"/>
              <w:rPr>
                <w:rFonts w:hint="eastAsia"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采用不见面开标：</w:t>
            </w:r>
          </w:p>
          <w:p w14:paraId="2F7FB9BF">
            <w:pPr>
              <w:pStyle w:val="38"/>
              <w:spacing w:line="500" w:lineRule="exact"/>
              <w:rPr>
                <w:rFonts w:hint="eastAsia" w:ascii="宋体" w:hAnsi="宋体" w:eastAsia="宋体" w:cs="宋体"/>
                <w:kern w:val="0"/>
                <w:sz w:val="24"/>
                <w:szCs w:val="24"/>
              </w:rPr>
            </w:pPr>
            <w:r>
              <w:rPr>
                <w:rFonts w:hint="eastAsia" w:ascii="宋体" w:hAnsi="宋体" w:eastAsia="宋体" w:cs="宋体"/>
                <w:sz w:val="24"/>
                <w:szCs w:val="24"/>
              </w:rPr>
              <w:t>1．本项目采用不见面开标、供应商需要递交电子响应文件，</w:t>
            </w:r>
            <w:r>
              <w:rPr>
                <w:rFonts w:hint="eastAsia" w:ascii="宋体" w:hAnsi="宋体" w:eastAsia="宋体" w:cs="宋体"/>
                <w:kern w:val="0"/>
                <w:sz w:val="24"/>
                <w:szCs w:val="24"/>
              </w:rPr>
              <w:t>加密的电子响应文件（格式为.PDF），在投标截止时间前通过</w:t>
            </w:r>
            <w:r>
              <w:rPr>
                <w:rFonts w:hint="eastAsia" w:ascii="宋体" w:hAnsi="宋体" w:eastAsia="宋体" w:cs="宋体"/>
                <w:sz w:val="24"/>
                <w:szCs w:val="24"/>
              </w:rPr>
              <w:t>政采云（</w:t>
            </w:r>
            <w:r>
              <w:rPr>
                <w:rFonts w:hint="eastAsia" w:ascii="宋体" w:hAnsi="宋体" w:eastAsia="宋体" w:cs="宋体"/>
                <w:sz w:val="24"/>
              </w:rPr>
              <w:t>https://www.zcygov.cn/</w:t>
            </w:r>
            <w:r>
              <w:rPr>
                <w:rFonts w:hint="eastAsia" w:ascii="宋体" w:hAnsi="宋体" w:eastAsia="宋体" w:cs="宋体"/>
                <w:sz w:val="24"/>
                <w:szCs w:val="24"/>
              </w:rPr>
              <w:t>）</w:t>
            </w:r>
            <w:r>
              <w:rPr>
                <w:rFonts w:hint="eastAsia" w:ascii="宋体" w:hAnsi="宋体" w:eastAsia="宋体" w:cs="宋体"/>
                <w:kern w:val="0"/>
                <w:sz w:val="24"/>
                <w:szCs w:val="24"/>
              </w:rPr>
              <w:t>上传到指定位置。</w:t>
            </w:r>
          </w:p>
          <w:p w14:paraId="346A8265">
            <w:pPr>
              <w:pStyle w:val="34"/>
              <w:spacing w:line="360" w:lineRule="auto"/>
              <w:rPr>
                <w:rFonts w:hint="eastAsia" w:ascii="宋体" w:hAnsi="宋体" w:eastAsia="宋体" w:cs="宋体"/>
                <w:sz w:val="24"/>
              </w:rPr>
            </w:pPr>
            <w:r>
              <w:rPr>
                <w:rFonts w:hint="eastAsia" w:ascii="宋体" w:hAnsi="宋体" w:eastAsia="宋体" w:cs="宋体"/>
                <w:sz w:val="24"/>
              </w:rPr>
              <w:t>2.本项目采用远程不见面交易的模式。开标当日，供应商无需到达开标现场，仅需在任意地点通过政采云（https://www.zcygov.cn/）平台完成远程解密、提疑澄清、开标唱标、结果公布等交互环节。供应商必须使用能正确解密响应文件的“清、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2337B302">
            <w:pPr>
              <w:pStyle w:val="34"/>
              <w:spacing w:line="360" w:lineRule="auto"/>
              <w:jc w:val="left"/>
              <w:rPr>
                <w:rFonts w:hint="eastAsia" w:ascii="宋体" w:hAnsi="宋体" w:eastAsia="宋体" w:cs="宋体"/>
                <w:kern w:val="0"/>
                <w:sz w:val="24"/>
              </w:rPr>
            </w:pPr>
            <w:r>
              <w:rPr>
                <w:rFonts w:hint="eastAsia" w:ascii="宋体" w:hAnsi="宋体" w:eastAsia="宋体" w:cs="宋体"/>
                <w:sz w:val="24"/>
              </w:rPr>
              <w:t>3.远程开标前，供应商务必在政采云（https://www.zcygov.cn/）；响应文件上传模块中使用“模拟解密”功能，验证本机远程自助解密环境。</w:t>
            </w:r>
          </w:p>
        </w:tc>
      </w:tr>
      <w:tr w14:paraId="651C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C79A279">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21</w:t>
            </w:r>
          </w:p>
        </w:tc>
        <w:tc>
          <w:tcPr>
            <w:tcW w:w="2664" w:type="dxa"/>
            <w:tcBorders>
              <w:top w:val="single" w:color="auto" w:sz="4" w:space="0"/>
              <w:left w:val="single" w:color="auto" w:sz="4" w:space="0"/>
              <w:bottom w:val="single" w:color="auto" w:sz="4" w:space="0"/>
              <w:right w:val="single" w:color="auto" w:sz="4" w:space="0"/>
            </w:tcBorders>
            <w:vAlign w:val="center"/>
          </w:tcPr>
          <w:p w14:paraId="2E502352">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开标时间及地点</w:t>
            </w:r>
          </w:p>
        </w:tc>
        <w:tc>
          <w:tcPr>
            <w:tcW w:w="6518" w:type="dxa"/>
            <w:tcBorders>
              <w:top w:val="single" w:color="auto" w:sz="4" w:space="0"/>
              <w:left w:val="single" w:color="auto" w:sz="4" w:space="0"/>
              <w:bottom w:val="single" w:color="auto" w:sz="4" w:space="0"/>
              <w:right w:val="single" w:color="auto" w:sz="4" w:space="0"/>
            </w:tcBorders>
            <w:vAlign w:val="center"/>
          </w:tcPr>
          <w:p w14:paraId="4FD94204">
            <w:pPr>
              <w:pStyle w:val="34"/>
              <w:spacing w:line="360" w:lineRule="auto"/>
              <w:ind w:left="2" w:hanging="2" w:hangingChars="1"/>
              <w:rPr>
                <w:rFonts w:hint="eastAsia" w:ascii="宋体" w:hAnsi="宋体" w:eastAsia="宋体" w:cs="宋体"/>
                <w:sz w:val="24"/>
              </w:rPr>
            </w:pPr>
            <w:r>
              <w:rPr>
                <w:rFonts w:hint="eastAsia" w:ascii="宋体" w:hAnsi="宋体" w:eastAsia="宋体" w:cs="宋体"/>
                <w:sz w:val="24"/>
                <w:highlight w:val="white"/>
              </w:rPr>
              <w:t>□采用见面开标：</w:t>
            </w:r>
          </w:p>
          <w:p w14:paraId="247E85FE">
            <w:pPr>
              <w:pStyle w:val="34"/>
              <w:spacing w:line="360" w:lineRule="auto"/>
              <w:rPr>
                <w:rFonts w:hint="eastAsia" w:ascii="宋体" w:hAnsi="宋体" w:eastAsia="宋体" w:cs="宋体"/>
                <w:sz w:val="24"/>
              </w:rPr>
            </w:pPr>
            <w:r>
              <w:rPr>
                <w:rFonts w:hint="eastAsia" w:ascii="宋体" w:hAnsi="宋体" w:eastAsia="宋体" w:cs="宋体"/>
                <w:sz w:val="24"/>
                <w:highlight w:val="white"/>
              </w:rPr>
              <w:t>开标时间：同投标截止时间</w:t>
            </w:r>
          </w:p>
          <w:p w14:paraId="601A7579">
            <w:pPr>
              <w:pStyle w:val="34"/>
              <w:spacing w:line="360" w:lineRule="auto"/>
              <w:rPr>
                <w:rFonts w:hint="eastAsia" w:ascii="宋体" w:hAnsi="宋体" w:eastAsia="宋体" w:cs="宋体"/>
                <w:kern w:val="0"/>
                <w:sz w:val="24"/>
                <w:u w:val="single"/>
              </w:rPr>
            </w:pPr>
            <w:r>
              <w:rPr>
                <w:rFonts w:hint="eastAsia" w:ascii="宋体" w:hAnsi="宋体" w:eastAsia="宋体" w:cs="宋体"/>
                <w:sz w:val="24"/>
                <w:highlight w:val="white"/>
              </w:rPr>
              <w:t>开标地点：</w:t>
            </w:r>
            <w:bookmarkStart w:id="36" w:name="EBb9cb93a09e6f423386ef27e1ab12b20b"/>
            <w:bookmarkEnd w:id="36"/>
            <w:r>
              <w:rPr>
                <w:rFonts w:hint="eastAsia" w:ascii="宋体" w:hAnsi="宋体" w:eastAsia="宋体" w:cs="宋体"/>
                <w:kern w:val="0"/>
                <w:sz w:val="24"/>
                <w:highlight w:val="white"/>
                <w:u w:val="single"/>
              </w:rPr>
              <w:t xml:space="preserve">投标人登录政采云平台https://www.zcygov.cn/ ，进入“项目采购-开标评标-右边选择对应项目点击“进入项目”进入开标大厅。                  </w:t>
            </w:r>
          </w:p>
          <w:p w14:paraId="4A125AB5">
            <w:pPr>
              <w:pStyle w:val="34"/>
              <w:widowControl/>
              <w:spacing w:line="320" w:lineRule="exact"/>
              <w:rPr>
                <w:rFonts w:hint="eastAsia" w:ascii="宋体" w:hAnsi="宋体" w:eastAsia="宋体" w:cs="宋体"/>
                <w:sz w:val="24"/>
              </w:rPr>
            </w:pPr>
            <w:r>
              <w:rPr>
                <w:rFonts w:hint="eastAsia" w:ascii="宋体" w:hAnsi="宋体" w:eastAsia="宋体" w:cs="宋体"/>
                <w:kern w:val="0"/>
                <w:sz w:val="24"/>
                <w:highlight w:val="white"/>
              </w:rPr>
              <w:t>☑</w:t>
            </w:r>
            <w:r>
              <w:rPr>
                <w:rFonts w:hint="eastAsia" w:ascii="宋体" w:hAnsi="宋体" w:eastAsia="宋体" w:cs="宋体"/>
                <w:sz w:val="24"/>
                <w:highlight w:val="white"/>
              </w:rPr>
              <w:t>采用不见面开标：</w:t>
            </w:r>
          </w:p>
          <w:p w14:paraId="276D453A">
            <w:pPr>
              <w:pStyle w:val="34"/>
              <w:spacing w:line="360" w:lineRule="auto"/>
              <w:rPr>
                <w:rFonts w:hint="eastAsia" w:ascii="宋体" w:hAnsi="宋体" w:eastAsia="宋体" w:cs="宋体"/>
                <w:kern w:val="0"/>
                <w:sz w:val="24"/>
                <w:u w:val="single"/>
              </w:rPr>
            </w:pPr>
            <w:r>
              <w:rPr>
                <w:rFonts w:hint="eastAsia" w:ascii="宋体" w:hAnsi="宋体" w:eastAsia="宋体" w:cs="宋体"/>
                <w:sz w:val="24"/>
                <w:highlight w:val="white"/>
              </w:rPr>
              <w:t>开标时间：</w:t>
            </w:r>
            <w:r>
              <w:rPr>
                <w:rFonts w:hint="eastAsia" w:ascii="宋体" w:hAnsi="宋体" w:eastAsia="宋体" w:cs="宋体"/>
                <w:sz w:val="24"/>
                <w:u w:val="single"/>
              </w:rPr>
              <w:t>20</w:t>
            </w:r>
            <w:r>
              <w:rPr>
                <w:rFonts w:hint="eastAsia" w:ascii="宋体" w:hAnsi="宋体" w:eastAsia="宋体" w:cs="宋体"/>
                <w:sz w:val="24"/>
                <w:u w:val="single"/>
                <w:lang w:val="en-US" w:eastAsia="zh-CN"/>
              </w:rPr>
              <w:t>26</w:t>
            </w:r>
            <w:r>
              <w:rPr>
                <w:rFonts w:hint="eastAsia" w:ascii="宋体" w:hAnsi="宋体" w:eastAsia="宋体" w:cs="宋体"/>
                <w:sz w:val="24"/>
                <w:u w:val="single"/>
              </w:rPr>
              <w:t>年</w:t>
            </w:r>
            <w:r>
              <w:rPr>
                <w:rFonts w:hint="eastAsia" w:ascii="宋体" w:hAnsi="宋体" w:eastAsia="宋体" w:cs="宋体"/>
                <w:sz w:val="24"/>
                <w:u w:val="single"/>
                <w:lang w:val="en-US" w:eastAsia="zh-CN"/>
              </w:rPr>
              <w:t>05月12日10:00</w:t>
            </w:r>
            <w:r>
              <w:rPr>
                <w:rFonts w:hint="eastAsia" w:ascii="宋体" w:hAnsi="宋体" w:eastAsia="宋体" w:cs="宋体"/>
                <w:sz w:val="24"/>
                <w:highlight w:val="white"/>
              </w:rPr>
              <w:t>(北京时间)</w:t>
            </w:r>
          </w:p>
          <w:p w14:paraId="6C06BD5F">
            <w:pPr>
              <w:pStyle w:val="34"/>
              <w:spacing w:line="360" w:lineRule="auto"/>
              <w:rPr>
                <w:rFonts w:hint="eastAsia" w:ascii="宋体" w:hAnsi="宋体" w:eastAsia="宋体" w:cs="宋体"/>
                <w:sz w:val="24"/>
              </w:rPr>
            </w:pPr>
            <w:r>
              <w:rPr>
                <w:rFonts w:hint="eastAsia" w:ascii="宋体" w:hAnsi="宋体" w:eastAsia="宋体" w:cs="宋体"/>
                <w:sz w:val="24"/>
                <w:highlight w:val="white"/>
              </w:rPr>
              <w:t>开标地点：远程不见面开标大厅</w:t>
            </w:r>
          </w:p>
          <w:p w14:paraId="0F6374AB">
            <w:pPr>
              <w:pStyle w:val="34"/>
              <w:spacing w:line="360" w:lineRule="auto"/>
              <w:rPr>
                <w:rFonts w:hint="eastAsia" w:ascii="宋体" w:hAnsi="宋体" w:eastAsia="宋体" w:cs="宋体"/>
                <w:sz w:val="24"/>
              </w:rPr>
            </w:pPr>
            <w:r>
              <w:rPr>
                <w:rFonts w:hint="eastAsia" w:ascii="宋体" w:hAnsi="宋体" w:eastAsia="宋体" w:cs="宋体"/>
                <w:sz w:val="24"/>
                <w:highlight w:val="white"/>
              </w:rPr>
              <w:t>不见面开标默认解密时长：</w:t>
            </w:r>
            <w:r>
              <w:rPr>
                <w:rFonts w:hint="eastAsia" w:ascii="宋体" w:hAnsi="宋体" w:eastAsia="宋体" w:cs="宋体"/>
                <w:kern w:val="0"/>
                <w:sz w:val="24"/>
                <w:highlight w:val="white"/>
                <w:u w:val="single"/>
              </w:rPr>
              <w:t xml:space="preserve"> 30分钟  </w:t>
            </w:r>
          </w:p>
        </w:tc>
      </w:tr>
      <w:tr w14:paraId="2CA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3FB59897">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22</w:t>
            </w:r>
          </w:p>
        </w:tc>
        <w:tc>
          <w:tcPr>
            <w:tcW w:w="2664" w:type="dxa"/>
            <w:tcBorders>
              <w:top w:val="single" w:color="auto" w:sz="4" w:space="0"/>
              <w:left w:val="single" w:color="auto" w:sz="4" w:space="0"/>
              <w:bottom w:val="single" w:color="auto" w:sz="4" w:space="0"/>
              <w:right w:val="single" w:color="auto" w:sz="4" w:space="0"/>
            </w:tcBorders>
            <w:vAlign w:val="center"/>
          </w:tcPr>
          <w:p w14:paraId="339EECA1">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评标委员会的组成</w:t>
            </w:r>
          </w:p>
        </w:tc>
        <w:tc>
          <w:tcPr>
            <w:tcW w:w="6518" w:type="dxa"/>
            <w:tcBorders>
              <w:top w:val="single" w:color="auto" w:sz="4" w:space="0"/>
              <w:left w:val="single" w:color="auto" w:sz="4" w:space="0"/>
              <w:bottom w:val="single" w:color="auto" w:sz="4" w:space="0"/>
              <w:right w:val="single" w:color="auto" w:sz="4" w:space="0"/>
            </w:tcBorders>
            <w:vAlign w:val="center"/>
          </w:tcPr>
          <w:p w14:paraId="30B292AA">
            <w:pPr>
              <w:pStyle w:val="34"/>
              <w:spacing w:line="360" w:lineRule="auto"/>
              <w:rPr>
                <w:rFonts w:hint="eastAsia" w:ascii="宋体" w:hAnsi="宋体" w:eastAsia="宋体" w:cs="宋体"/>
                <w:sz w:val="24"/>
                <w:highlight w:val="white"/>
                <w:lang w:val="en-US" w:eastAsia="zh-CN"/>
              </w:rPr>
            </w:pPr>
            <w:r>
              <w:rPr>
                <w:rFonts w:hint="eastAsia" w:ascii="宋体" w:hAnsi="宋体" w:eastAsia="宋体" w:cs="宋体"/>
                <w:sz w:val="24"/>
                <w:highlight w:val="white"/>
                <w:lang w:val="en-US" w:eastAsia="zh-CN"/>
              </w:rPr>
              <w:t>1、本项目采用远程异地评审</w:t>
            </w:r>
          </w:p>
          <w:p w14:paraId="71002A0E">
            <w:pPr>
              <w:pStyle w:val="34"/>
              <w:spacing w:line="360" w:lineRule="auto"/>
              <w:rPr>
                <w:rFonts w:hint="eastAsia" w:ascii="宋体" w:hAnsi="宋体" w:eastAsia="宋体" w:cs="宋体"/>
                <w:sz w:val="24"/>
                <w:highlight w:val="white"/>
                <w:lang w:val="en-US" w:eastAsia="zh-CN"/>
              </w:rPr>
            </w:pPr>
            <w:r>
              <w:rPr>
                <w:rFonts w:hint="eastAsia" w:ascii="宋体" w:hAnsi="宋体" w:eastAsia="宋体" w:cs="宋体"/>
                <w:sz w:val="24"/>
                <w:highlight w:val="white"/>
                <w:lang w:val="en-US" w:eastAsia="zh-CN"/>
              </w:rPr>
              <w:t>2、主场地址：中创名建工程管理集团有限公司评标室（新疆博州博乐市克尔根卓街道文化路中央名筑42 号楼 4 层 12 号）</w:t>
            </w:r>
          </w:p>
          <w:p w14:paraId="3DA00CB0">
            <w:pPr>
              <w:pStyle w:val="34"/>
              <w:spacing w:line="360" w:lineRule="auto"/>
              <w:rPr>
                <w:rFonts w:hint="eastAsia" w:ascii="宋体" w:hAnsi="宋体" w:eastAsia="宋体" w:cs="宋体"/>
                <w:sz w:val="24"/>
                <w:highlight w:val="white"/>
                <w:lang w:val="en-US" w:eastAsia="zh-CN"/>
              </w:rPr>
            </w:pPr>
            <w:r>
              <w:rPr>
                <w:rFonts w:hint="eastAsia" w:ascii="宋体" w:hAnsi="宋体" w:eastAsia="宋体" w:cs="宋体"/>
                <w:sz w:val="24"/>
                <w:highlight w:val="white"/>
                <w:lang w:val="en-US" w:eastAsia="zh-CN"/>
              </w:rPr>
              <w:t>3、副场地址：新疆出入境边防检查总站评标室（乌鲁木齐团结路1551号）</w:t>
            </w:r>
          </w:p>
          <w:p w14:paraId="66F2FA34">
            <w:pPr>
              <w:pStyle w:val="34"/>
              <w:spacing w:line="360" w:lineRule="auto"/>
              <w:rPr>
                <w:rFonts w:hint="eastAsia" w:ascii="宋体" w:hAnsi="宋体" w:eastAsia="宋体" w:cs="宋体"/>
                <w:sz w:val="24"/>
                <w:highlight w:val="white"/>
                <w:lang w:val="en-US" w:eastAsia="zh-CN"/>
              </w:rPr>
            </w:pPr>
            <w:r>
              <w:rPr>
                <w:rFonts w:hint="eastAsia" w:ascii="宋体" w:hAnsi="宋体" w:eastAsia="宋体" w:cs="宋体"/>
                <w:sz w:val="24"/>
                <w:highlight w:val="white"/>
                <w:lang w:val="en-US" w:eastAsia="zh-CN"/>
              </w:rPr>
              <w:t>评标委员会构成： 3 人；（抽取乌鲁木齐市评审专家2名，其中采购人代表1人）</w:t>
            </w:r>
          </w:p>
          <w:p w14:paraId="62A9DF53">
            <w:pPr>
              <w:pStyle w:val="34"/>
              <w:spacing w:line="360" w:lineRule="auto"/>
              <w:rPr>
                <w:rFonts w:hint="eastAsia" w:ascii="宋体" w:hAnsi="宋体" w:eastAsia="宋体" w:cs="宋体"/>
                <w:sz w:val="24"/>
              </w:rPr>
            </w:pPr>
            <w:r>
              <w:rPr>
                <w:rFonts w:hint="eastAsia" w:ascii="宋体" w:hAnsi="宋体" w:eastAsia="宋体" w:cs="宋体"/>
                <w:sz w:val="24"/>
                <w:highlight w:val="white"/>
                <w:lang w:val="en-US" w:eastAsia="zh-CN"/>
              </w:rPr>
              <w:t>评委确定方式：政采云专家库内随机抽取</w:t>
            </w:r>
          </w:p>
        </w:tc>
      </w:tr>
      <w:tr w14:paraId="4F5F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2B61D52">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23</w:t>
            </w:r>
          </w:p>
        </w:tc>
        <w:tc>
          <w:tcPr>
            <w:tcW w:w="2664" w:type="dxa"/>
            <w:tcBorders>
              <w:top w:val="single" w:color="auto" w:sz="4" w:space="0"/>
              <w:left w:val="single" w:color="auto" w:sz="4" w:space="0"/>
              <w:bottom w:val="single" w:color="auto" w:sz="4" w:space="0"/>
              <w:right w:val="single" w:color="auto" w:sz="4" w:space="0"/>
            </w:tcBorders>
            <w:vAlign w:val="center"/>
          </w:tcPr>
          <w:p w14:paraId="55FE5494">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rPr>
              <w:t>投标保证金</w:t>
            </w:r>
          </w:p>
        </w:tc>
        <w:tc>
          <w:tcPr>
            <w:tcW w:w="6518" w:type="dxa"/>
            <w:tcBorders>
              <w:top w:val="single" w:color="auto" w:sz="4" w:space="0"/>
              <w:left w:val="single" w:color="auto" w:sz="4" w:space="0"/>
              <w:bottom w:val="single" w:color="auto" w:sz="4" w:space="0"/>
              <w:right w:val="single" w:color="auto" w:sz="4" w:space="0"/>
            </w:tcBorders>
            <w:vAlign w:val="center"/>
          </w:tcPr>
          <w:p w14:paraId="74CC01AE">
            <w:pPr>
              <w:pStyle w:val="67"/>
              <w:spacing w:line="364" w:lineRule="auto"/>
              <w:ind w:left="112" w:right="76"/>
              <w:jc w:val="left"/>
              <w:rPr>
                <w:rFonts w:hint="eastAsia" w:ascii="宋体" w:hAnsi="宋体" w:eastAsia="宋体" w:cs="宋体"/>
                <w:b/>
                <w:sz w:val="24"/>
              </w:rPr>
            </w:pPr>
            <w:r>
              <w:rPr>
                <w:rFonts w:hint="eastAsia" w:cs="宋体"/>
                <w:bCs/>
                <w:sz w:val="24"/>
                <w:lang w:val="en-US" w:eastAsia="zh-CN"/>
              </w:rPr>
              <w:t>不缴纳</w:t>
            </w:r>
          </w:p>
        </w:tc>
      </w:tr>
      <w:tr w14:paraId="2F0B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4AD1DA2">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4</w:t>
            </w:r>
          </w:p>
        </w:tc>
        <w:tc>
          <w:tcPr>
            <w:tcW w:w="2664" w:type="dxa"/>
            <w:tcBorders>
              <w:top w:val="single" w:color="auto" w:sz="4" w:space="0"/>
              <w:left w:val="single" w:color="auto" w:sz="4" w:space="0"/>
              <w:bottom w:val="single" w:color="auto" w:sz="4" w:space="0"/>
              <w:right w:val="single" w:color="auto" w:sz="4" w:space="0"/>
            </w:tcBorders>
            <w:vAlign w:val="center"/>
          </w:tcPr>
          <w:p w14:paraId="37181508">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评审方法</w:t>
            </w:r>
          </w:p>
        </w:tc>
        <w:tc>
          <w:tcPr>
            <w:tcW w:w="6518" w:type="dxa"/>
            <w:tcBorders>
              <w:top w:val="single" w:color="auto" w:sz="4" w:space="0"/>
              <w:left w:val="single" w:color="auto" w:sz="4" w:space="0"/>
              <w:bottom w:val="single" w:color="auto" w:sz="4" w:space="0"/>
              <w:right w:val="single" w:color="auto" w:sz="4" w:space="0"/>
            </w:tcBorders>
            <w:vAlign w:val="center"/>
          </w:tcPr>
          <w:p w14:paraId="77898D64">
            <w:pPr>
              <w:pStyle w:val="34"/>
              <w:spacing w:line="360" w:lineRule="auto"/>
              <w:rPr>
                <w:rFonts w:hint="eastAsia" w:ascii="宋体" w:hAnsi="宋体" w:eastAsia="宋体" w:cs="宋体"/>
                <w:kern w:val="0"/>
                <w:sz w:val="24"/>
              </w:rPr>
            </w:pPr>
            <w:bookmarkStart w:id="37" w:name="EB2e2814636ed449638e31aec0b86a9c79"/>
            <w:bookmarkEnd w:id="37"/>
            <w:r>
              <w:rPr>
                <w:rFonts w:hint="eastAsia" w:ascii="宋体" w:hAnsi="宋体" w:eastAsia="宋体" w:cs="宋体"/>
                <w:kern w:val="0"/>
                <w:sz w:val="24"/>
                <w:highlight w:val="white"/>
              </w:rPr>
              <w:t xml:space="preserve">☑资格后审         </w:t>
            </w:r>
            <w:bookmarkStart w:id="38" w:name="EB5195853e4e84408dabe7b38250913457"/>
            <w:bookmarkEnd w:id="38"/>
            <w:r>
              <w:rPr>
                <w:rFonts w:hint="eastAsia" w:ascii="宋体" w:hAnsi="宋体" w:eastAsia="宋体" w:cs="宋体"/>
                <w:kern w:val="0"/>
                <w:sz w:val="24"/>
                <w:highlight w:val="white"/>
              </w:rPr>
              <w:t>☐资格预审</w:t>
            </w:r>
          </w:p>
          <w:p w14:paraId="0EA55E72">
            <w:pPr>
              <w:pStyle w:val="34"/>
              <w:spacing w:line="360" w:lineRule="auto"/>
              <w:rPr>
                <w:rFonts w:hint="eastAsia" w:ascii="宋体" w:hAnsi="宋体" w:eastAsia="宋体" w:cs="宋体"/>
                <w:kern w:val="0"/>
                <w:sz w:val="24"/>
              </w:rPr>
            </w:pPr>
            <w:bookmarkStart w:id="39" w:name="EB5c39ed08c4e342aeacec8cbe6387f2ef"/>
            <w:bookmarkEnd w:id="39"/>
            <w:r>
              <w:rPr>
                <w:rFonts w:hint="eastAsia" w:ascii="宋体" w:hAnsi="宋体" w:eastAsia="宋体" w:cs="宋体"/>
                <w:kern w:val="0"/>
                <w:sz w:val="24"/>
                <w:highlight w:val="white"/>
              </w:rPr>
              <w:t xml:space="preserve">☐综合评分法       </w:t>
            </w:r>
            <w:bookmarkStart w:id="40" w:name="EB133c7794490f47f2984bbb8eeafc51a9"/>
            <w:bookmarkEnd w:id="40"/>
            <w:r>
              <w:rPr>
                <w:rFonts w:hint="eastAsia" w:ascii="宋体" w:hAnsi="宋体" w:eastAsia="宋体" w:cs="宋体"/>
                <w:kern w:val="0"/>
                <w:sz w:val="24"/>
                <w:highlight w:val="white"/>
              </w:rPr>
              <w:t>☑最低评标价法</w:t>
            </w:r>
          </w:p>
          <w:p w14:paraId="140357E4">
            <w:pPr>
              <w:pStyle w:val="34"/>
              <w:spacing w:line="360" w:lineRule="auto"/>
              <w:rPr>
                <w:rFonts w:hint="eastAsia" w:ascii="宋体" w:hAnsi="宋体" w:eastAsia="宋体" w:cs="宋体"/>
                <w:kern w:val="0"/>
                <w:sz w:val="24"/>
              </w:rPr>
            </w:pPr>
            <w:r>
              <w:rPr>
                <w:rFonts w:hint="eastAsia" w:ascii="宋体" w:hAnsi="宋体" w:eastAsia="宋体" w:cs="宋体"/>
                <w:kern w:val="0"/>
                <w:sz w:val="24"/>
                <w:highlight w:val="white"/>
              </w:rPr>
              <w:t>注：</w:t>
            </w:r>
          </w:p>
          <w:p w14:paraId="6C8239C7">
            <w:pPr>
              <w:pStyle w:val="34"/>
              <w:spacing w:line="360" w:lineRule="auto"/>
              <w:rPr>
                <w:rFonts w:hint="eastAsia" w:ascii="宋体" w:hAnsi="宋体" w:eastAsia="宋体" w:cs="宋体"/>
                <w:kern w:val="0"/>
                <w:sz w:val="24"/>
              </w:rPr>
            </w:pPr>
            <w:r>
              <w:rPr>
                <w:rFonts w:hint="eastAsia" w:ascii="宋体" w:hAnsi="宋体" w:eastAsia="宋体" w:cs="宋体"/>
                <w:sz w:val="24"/>
                <w:highlight w:val="white"/>
              </w:rPr>
              <w:t>1、最低评标价法，是指以价格为主要因素确定中标供应商的评标方法，即在全部满足文件实质性要求前提下，依据统一的价格要素评定最低报价，以提出最低报价的</w:t>
            </w:r>
            <w:r>
              <w:rPr>
                <w:rFonts w:hint="eastAsia" w:ascii="宋体" w:hAnsi="宋体" w:eastAsia="宋体" w:cs="宋体"/>
                <w:bCs/>
                <w:sz w:val="24"/>
              </w:rPr>
              <w:t>供应商</w:t>
            </w:r>
            <w:r>
              <w:rPr>
                <w:rFonts w:hint="eastAsia" w:ascii="宋体" w:hAnsi="宋体" w:eastAsia="宋体" w:cs="宋体"/>
                <w:sz w:val="24"/>
                <w:highlight w:val="white"/>
              </w:rPr>
              <w:t>作为</w:t>
            </w:r>
            <w:r>
              <w:rPr>
                <w:rFonts w:hint="eastAsia" w:ascii="宋体" w:hAnsi="宋体" w:eastAsia="宋体" w:cs="宋体"/>
                <w:sz w:val="24"/>
                <w:highlight w:val="white"/>
                <w:lang w:eastAsia="zh-CN"/>
              </w:rPr>
              <w:t>成交</w:t>
            </w:r>
            <w:r>
              <w:rPr>
                <w:rFonts w:hint="eastAsia" w:ascii="宋体" w:hAnsi="宋体" w:eastAsia="宋体" w:cs="宋体"/>
                <w:sz w:val="24"/>
                <w:highlight w:val="white"/>
              </w:rPr>
              <w:t>候选供应商或者</w:t>
            </w:r>
            <w:r>
              <w:rPr>
                <w:rFonts w:hint="eastAsia" w:ascii="宋体" w:hAnsi="宋体" w:eastAsia="宋体" w:cs="宋体"/>
                <w:sz w:val="24"/>
                <w:highlight w:val="white"/>
                <w:lang w:eastAsia="zh-CN"/>
              </w:rPr>
              <w:t>成交</w:t>
            </w:r>
            <w:r>
              <w:rPr>
                <w:rFonts w:hint="eastAsia" w:ascii="宋体" w:hAnsi="宋体" w:eastAsia="宋体" w:cs="宋体"/>
                <w:sz w:val="24"/>
                <w:highlight w:val="white"/>
              </w:rPr>
              <w:t>供应商的评标方法</w:t>
            </w:r>
            <w:r>
              <w:rPr>
                <w:rFonts w:hint="eastAsia" w:ascii="宋体" w:hAnsi="宋体" w:eastAsia="宋体" w:cs="宋体"/>
                <w:sz w:val="24"/>
                <w:highlight w:val="white"/>
                <w:lang w:eastAsia="zh-CN"/>
              </w:rPr>
              <w:t>，</w:t>
            </w:r>
            <w:r>
              <w:rPr>
                <w:rFonts w:hint="eastAsia" w:ascii="宋体" w:hAnsi="宋体" w:eastAsia="宋体" w:cs="宋体"/>
                <w:b/>
                <w:bCs/>
                <w:color w:val="auto"/>
                <w:spacing w:val="10"/>
                <w:sz w:val="24"/>
                <w:szCs w:val="24"/>
                <w:highlight w:val="none"/>
              </w:rPr>
              <w:t>落实政府采购政策进行价格调整的，以调整后的价格</w:t>
            </w:r>
            <w:r>
              <w:rPr>
                <w:rFonts w:hint="eastAsia" w:ascii="宋体" w:hAnsi="宋体" w:eastAsia="宋体" w:cs="宋体"/>
                <w:b/>
                <w:bCs/>
                <w:color w:val="auto"/>
                <w:spacing w:val="10"/>
                <w:sz w:val="24"/>
                <w:szCs w:val="24"/>
                <w:highlight w:val="none"/>
                <w:lang w:eastAsia="zh-CN"/>
              </w:rPr>
              <w:t>作为最终评审报价</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sz w:val="24"/>
                <w:highlight w:val="white"/>
              </w:rPr>
              <w:t>投标报价相同的，按技术指标优劣顺序排列，技术指标较优的一方为成交人。</w:t>
            </w:r>
          </w:p>
        </w:tc>
      </w:tr>
      <w:tr w14:paraId="15B4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1381764">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5</w:t>
            </w:r>
          </w:p>
        </w:tc>
        <w:tc>
          <w:tcPr>
            <w:tcW w:w="2664" w:type="dxa"/>
            <w:tcBorders>
              <w:top w:val="single" w:color="auto" w:sz="4" w:space="0"/>
              <w:left w:val="single" w:color="auto" w:sz="4" w:space="0"/>
              <w:bottom w:val="single" w:color="auto" w:sz="4" w:space="0"/>
              <w:right w:val="single" w:color="auto" w:sz="4" w:space="0"/>
            </w:tcBorders>
            <w:vAlign w:val="center"/>
          </w:tcPr>
          <w:p w14:paraId="1DE83920">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代理服务费</w:t>
            </w:r>
          </w:p>
        </w:tc>
        <w:tc>
          <w:tcPr>
            <w:tcW w:w="6518" w:type="dxa"/>
            <w:tcBorders>
              <w:top w:val="single" w:color="auto" w:sz="4" w:space="0"/>
              <w:left w:val="single" w:color="auto" w:sz="4" w:space="0"/>
              <w:bottom w:val="single" w:color="auto" w:sz="4" w:space="0"/>
              <w:right w:val="single" w:color="auto" w:sz="4" w:space="0"/>
            </w:tcBorders>
            <w:vAlign w:val="center"/>
          </w:tcPr>
          <w:p w14:paraId="3587A9A5">
            <w:pPr>
              <w:pStyle w:val="34"/>
              <w:spacing w:line="360" w:lineRule="auto"/>
              <w:rPr>
                <w:rFonts w:hint="eastAsia" w:ascii="宋体" w:hAnsi="宋体" w:eastAsia="宋体" w:cs="宋体"/>
                <w:sz w:val="24"/>
              </w:rPr>
            </w:pPr>
            <w:bookmarkStart w:id="41" w:name="EBab54cac318db41e28e6dac8386188fc3"/>
            <w:bookmarkEnd w:id="41"/>
            <w:r>
              <w:rPr>
                <w:rFonts w:hint="eastAsia" w:ascii="宋体" w:hAnsi="宋体" w:eastAsia="宋体" w:cs="宋体"/>
                <w:sz w:val="24"/>
                <w:highlight w:val="white"/>
              </w:rPr>
              <w:t>☐不缴纳</w:t>
            </w:r>
          </w:p>
          <w:p w14:paraId="4C78162C">
            <w:pPr>
              <w:pStyle w:val="34"/>
              <w:spacing w:line="360" w:lineRule="auto"/>
              <w:rPr>
                <w:rFonts w:hint="eastAsia" w:ascii="宋体" w:hAnsi="宋体" w:eastAsia="宋体" w:cs="宋体"/>
                <w:sz w:val="24"/>
              </w:rPr>
            </w:pPr>
            <w:r>
              <w:rPr>
                <w:rFonts w:hint="eastAsia" w:ascii="宋体" w:hAnsi="宋体" w:eastAsia="宋体" w:cs="宋体"/>
                <w:kern w:val="0"/>
                <w:sz w:val="24"/>
                <w:highlight w:val="white"/>
              </w:rPr>
              <w:t>☑</w:t>
            </w:r>
            <w:r>
              <w:rPr>
                <w:rFonts w:hint="eastAsia" w:ascii="宋体" w:hAnsi="宋体" w:eastAsia="宋体" w:cs="宋体"/>
                <w:sz w:val="24"/>
                <w:highlight w:val="white"/>
              </w:rPr>
              <w:t>缴纳</w:t>
            </w:r>
          </w:p>
          <w:p w14:paraId="1C0F52E1">
            <w:pPr>
              <w:pStyle w:val="37"/>
              <w:spacing w:line="360" w:lineRule="auto"/>
              <w:rPr>
                <w:rFonts w:hint="eastAsia" w:ascii="宋体" w:hAnsi="宋体" w:eastAsia="宋体" w:cs="宋体"/>
                <w:kern w:val="0"/>
                <w:sz w:val="24"/>
              </w:rPr>
            </w:pPr>
            <w:r>
              <w:rPr>
                <w:rFonts w:hint="eastAsia" w:ascii="宋体" w:hAnsi="宋体" w:eastAsia="宋体" w:cs="宋体"/>
                <w:sz w:val="24"/>
                <w:highlight w:val="white"/>
              </w:rPr>
              <w:t>交纳时间：</w:t>
            </w:r>
            <w:bookmarkStart w:id="42" w:name="EB80018a400e2944cca35737b83cee6afa"/>
            <w:r>
              <w:rPr>
                <w:rFonts w:hint="eastAsia" w:ascii="宋体" w:hAnsi="宋体" w:eastAsia="宋体" w:cs="宋体"/>
                <w:sz w:val="24"/>
                <w:highlight w:val="white"/>
              </w:rPr>
              <w:t>成交通知书发出时</w:t>
            </w:r>
            <w:bookmarkEnd w:id="42"/>
          </w:p>
          <w:p w14:paraId="2D040577">
            <w:pPr>
              <w:pStyle w:val="37"/>
              <w:spacing w:line="360" w:lineRule="auto"/>
              <w:rPr>
                <w:rFonts w:hint="eastAsia" w:ascii="宋体" w:hAnsi="宋体" w:eastAsia="宋体" w:cs="宋体"/>
                <w:sz w:val="24"/>
              </w:rPr>
            </w:pPr>
            <w:r>
              <w:rPr>
                <w:rFonts w:hint="eastAsia" w:ascii="宋体" w:hAnsi="宋体" w:eastAsia="宋体" w:cs="宋体"/>
                <w:kern w:val="0"/>
                <w:sz w:val="24"/>
                <w:highlight w:val="white"/>
              </w:rPr>
              <w:t>交纳金额：根据本公司与采购人的代理协议约定，采购代理服务费由成交人向代理机构支付，采购代理服务费以成交金额作为收费的计算基数，</w:t>
            </w:r>
            <w:r>
              <w:rPr>
                <w:rFonts w:hint="default" w:ascii="宋体" w:hAnsi="宋体" w:eastAsia="宋体" w:cs="宋体"/>
                <w:kern w:val="2"/>
                <w:sz w:val="24"/>
                <w:szCs w:val="24"/>
                <w:lang w:val="en-US" w:eastAsia="zh-CN" w:bidi="ar-SA"/>
              </w:rPr>
              <w:t>采用差额定率累差计算法收取参考标准为：100万*1%</w:t>
            </w:r>
          </w:p>
        </w:tc>
      </w:tr>
      <w:tr w14:paraId="6639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81B1DA6">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6</w:t>
            </w:r>
          </w:p>
        </w:tc>
        <w:tc>
          <w:tcPr>
            <w:tcW w:w="2664" w:type="dxa"/>
            <w:tcBorders>
              <w:top w:val="single" w:color="auto" w:sz="4" w:space="0"/>
              <w:left w:val="single" w:color="auto" w:sz="4" w:space="0"/>
              <w:bottom w:val="single" w:color="auto" w:sz="4" w:space="0"/>
              <w:right w:val="single" w:color="auto" w:sz="4" w:space="0"/>
            </w:tcBorders>
            <w:vAlign w:val="center"/>
          </w:tcPr>
          <w:p w14:paraId="3FA4AC3C">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质量保证金</w:t>
            </w:r>
          </w:p>
        </w:tc>
        <w:tc>
          <w:tcPr>
            <w:tcW w:w="6518" w:type="dxa"/>
            <w:tcBorders>
              <w:top w:val="single" w:color="auto" w:sz="4" w:space="0"/>
              <w:left w:val="single" w:color="auto" w:sz="4" w:space="0"/>
              <w:bottom w:val="single" w:color="auto" w:sz="4" w:space="0"/>
              <w:right w:val="single" w:color="auto" w:sz="4" w:space="0"/>
            </w:tcBorders>
            <w:vAlign w:val="center"/>
          </w:tcPr>
          <w:p w14:paraId="1B456684">
            <w:pPr>
              <w:pStyle w:val="34"/>
              <w:spacing w:line="360" w:lineRule="auto"/>
              <w:rPr>
                <w:rFonts w:hint="eastAsia" w:ascii="宋体" w:hAnsi="宋体" w:eastAsia="宋体" w:cs="宋体"/>
                <w:sz w:val="24"/>
              </w:rPr>
            </w:pPr>
            <w:bookmarkStart w:id="43" w:name="EB7dfe3b1190d64d418e01d0e21f4920d5"/>
            <w:bookmarkEnd w:id="43"/>
            <w:r>
              <w:rPr>
                <w:rFonts w:hint="eastAsia" w:ascii="宋体" w:hAnsi="宋体" w:eastAsia="宋体" w:cs="宋体"/>
                <w:sz w:val="24"/>
              </w:rPr>
              <w:t>结算审计后，成交供应商向支队指定账户对公转账缴纳结算定案价格的3%作为工程质量保证金或开具相同金额银行见索即付保函。</w:t>
            </w:r>
          </w:p>
        </w:tc>
      </w:tr>
      <w:tr w14:paraId="3A51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D27DB14">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27</w:t>
            </w:r>
          </w:p>
        </w:tc>
        <w:tc>
          <w:tcPr>
            <w:tcW w:w="2664" w:type="dxa"/>
            <w:tcBorders>
              <w:top w:val="single" w:color="auto" w:sz="4" w:space="0"/>
              <w:left w:val="single" w:color="auto" w:sz="4" w:space="0"/>
              <w:bottom w:val="single" w:color="auto" w:sz="4" w:space="0"/>
              <w:right w:val="single" w:color="auto" w:sz="4" w:space="0"/>
            </w:tcBorders>
            <w:vAlign w:val="center"/>
          </w:tcPr>
          <w:p w14:paraId="5518E503">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highlight w:val="white"/>
                <w:lang w:val="en-US" w:eastAsia="zh-CN"/>
              </w:rPr>
              <w:t>履约保证金</w:t>
            </w:r>
          </w:p>
        </w:tc>
        <w:tc>
          <w:tcPr>
            <w:tcW w:w="6518" w:type="dxa"/>
            <w:tcBorders>
              <w:top w:val="single" w:color="auto" w:sz="4" w:space="0"/>
              <w:left w:val="single" w:color="auto" w:sz="4" w:space="0"/>
              <w:bottom w:val="single" w:color="auto" w:sz="4" w:space="0"/>
              <w:right w:val="single" w:color="auto" w:sz="4" w:space="0"/>
            </w:tcBorders>
            <w:vAlign w:val="center"/>
          </w:tcPr>
          <w:p w14:paraId="0A4A0A25">
            <w:pPr>
              <w:pStyle w:val="34"/>
              <w:spacing w:line="360" w:lineRule="auto"/>
              <w:rPr>
                <w:rFonts w:hint="eastAsia" w:ascii="宋体" w:hAnsi="宋体" w:eastAsia="宋体" w:cs="宋体"/>
                <w:kern w:val="0"/>
                <w:sz w:val="24"/>
              </w:rPr>
            </w:pPr>
            <w:bookmarkStart w:id="44" w:name="EBc76fa37fba724b3f91217c2faa8df057"/>
            <w:bookmarkEnd w:id="44"/>
            <w:r>
              <w:rPr>
                <w:rFonts w:hint="eastAsia" w:ascii="宋体" w:hAnsi="宋体" w:eastAsia="宋体" w:cs="宋体"/>
                <w:kern w:val="0"/>
                <w:sz w:val="24"/>
              </w:rPr>
              <w:t xml:space="preserve">成交通知书发出3日内乙方向甲方账户缴纳成交金额的10%或开具成交金额10%履约保函作为该项目的履约保证金，乙方若能按照合同约定完成履约，该项目的履约保证金甲方无息退还至乙方账户。若乙方因人原因造成工期延误，逾期竣工违约金的计算方法为：每延误竣工1天支付违约金3000元。因承包人原因造成工期延误，逾期竣工违约金的上限：成交合同价的10% </w:t>
            </w:r>
          </w:p>
        </w:tc>
      </w:tr>
      <w:tr w14:paraId="0A38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9AC3906">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8</w:t>
            </w:r>
          </w:p>
        </w:tc>
        <w:tc>
          <w:tcPr>
            <w:tcW w:w="2664" w:type="dxa"/>
            <w:tcBorders>
              <w:top w:val="single" w:color="auto" w:sz="4" w:space="0"/>
              <w:left w:val="single" w:color="auto" w:sz="4" w:space="0"/>
              <w:bottom w:val="single" w:color="auto" w:sz="4" w:space="0"/>
              <w:right w:val="single" w:color="auto" w:sz="4" w:space="0"/>
            </w:tcBorders>
            <w:vAlign w:val="center"/>
          </w:tcPr>
          <w:p w14:paraId="5CB59D68">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争议的解决</w:t>
            </w:r>
          </w:p>
        </w:tc>
        <w:tc>
          <w:tcPr>
            <w:tcW w:w="6518" w:type="dxa"/>
            <w:tcBorders>
              <w:top w:val="single" w:color="auto" w:sz="4" w:space="0"/>
              <w:left w:val="single" w:color="auto" w:sz="4" w:space="0"/>
              <w:bottom w:val="single" w:color="auto" w:sz="4" w:space="0"/>
              <w:right w:val="single" w:color="auto" w:sz="4" w:space="0"/>
            </w:tcBorders>
            <w:vAlign w:val="center"/>
          </w:tcPr>
          <w:p w14:paraId="2D8251A7">
            <w:pPr>
              <w:pStyle w:val="34"/>
              <w:spacing w:line="360" w:lineRule="auto"/>
              <w:rPr>
                <w:rFonts w:hint="eastAsia" w:ascii="宋体" w:hAnsi="宋体" w:eastAsia="宋体" w:cs="宋体"/>
                <w:sz w:val="24"/>
              </w:rPr>
            </w:pPr>
            <w:bookmarkStart w:id="45" w:name="EB99761000dd4b46ac86a3f3daaf46418a"/>
            <w:bookmarkEnd w:id="45"/>
            <w:r>
              <w:rPr>
                <w:rFonts w:hint="eastAsia" w:ascii="宋体" w:hAnsi="宋体" w:eastAsia="宋体" w:cs="宋体"/>
                <w:kern w:val="0"/>
                <w:sz w:val="24"/>
                <w:highlight w:val="white"/>
                <w:u w:val="single"/>
              </w:rPr>
              <w:t xml:space="preserve">  1双方通过协商、调解；2、通过仲裁解决；3、通过甲方所在地诉讼解决。   </w:t>
            </w:r>
          </w:p>
        </w:tc>
      </w:tr>
      <w:tr w14:paraId="4C65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CC933EE">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2</w:t>
            </w:r>
            <w:r>
              <w:rPr>
                <w:rFonts w:hint="eastAsia" w:ascii="宋体" w:hAnsi="宋体" w:eastAsia="宋体" w:cs="宋体"/>
                <w:b/>
                <w:kern w:val="0"/>
                <w:sz w:val="24"/>
                <w:highlight w:val="white"/>
                <w:lang w:val="en-US" w:eastAsia="zh-CN"/>
              </w:rPr>
              <w:t>9</w:t>
            </w:r>
          </w:p>
        </w:tc>
        <w:tc>
          <w:tcPr>
            <w:tcW w:w="2664" w:type="dxa"/>
            <w:tcBorders>
              <w:top w:val="single" w:color="auto" w:sz="4" w:space="0"/>
              <w:left w:val="single" w:color="auto" w:sz="4" w:space="0"/>
              <w:bottom w:val="single" w:color="auto" w:sz="4" w:space="0"/>
              <w:right w:val="single" w:color="auto" w:sz="4" w:space="0"/>
            </w:tcBorders>
            <w:vAlign w:val="center"/>
          </w:tcPr>
          <w:p w14:paraId="4F295C75">
            <w:pPr>
              <w:pStyle w:val="34"/>
              <w:spacing w:line="360" w:lineRule="auto"/>
              <w:jc w:val="center"/>
              <w:rPr>
                <w:rFonts w:hint="eastAsia" w:ascii="宋体" w:hAnsi="宋体" w:eastAsia="宋体" w:cs="宋体"/>
                <w:b/>
                <w:kern w:val="0"/>
                <w:sz w:val="24"/>
              </w:rPr>
            </w:pPr>
            <w:r>
              <w:rPr>
                <w:rFonts w:hint="eastAsia" w:ascii="宋体" w:hAnsi="宋体" w:eastAsia="宋体" w:cs="宋体"/>
                <w:b/>
                <w:kern w:val="0"/>
                <w:sz w:val="24"/>
                <w:highlight w:val="white"/>
              </w:rPr>
              <w:t>现场陈述</w:t>
            </w:r>
          </w:p>
        </w:tc>
        <w:tc>
          <w:tcPr>
            <w:tcW w:w="6518" w:type="dxa"/>
            <w:tcBorders>
              <w:top w:val="single" w:color="auto" w:sz="4" w:space="0"/>
              <w:left w:val="single" w:color="auto" w:sz="4" w:space="0"/>
              <w:bottom w:val="single" w:color="auto" w:sz="4" w:space="0"/>
              <w:right w:val="single" w:color="auto" w:sz="4" w:space="0"/>
            </w:tcBorders>
            <w:vAlign w:val="center"/>
          </w:tcPr>
          <w:p w14:paraId="1525E42C">
            <w:pPr>
              <w:pStyle w:val="34"/>
              <w:spacing w:line="360" w:lineRule="auto"/>
              <w:rPr>
                <w:rFonts w:hint="eastAsia" w:ascii="宋体" w:hAnsi="宋体" w:eastAsia="宋体" w:cs="宋体"/>
                <w:sz w:val="24"/>
              </w:rPr>
            </w:pPr>
            <w:bookmarkStart w:id="46" w:name="EBb04aba7a60c0423082f0862a0509ef85"/>
            <w:bookmarkEnd w:id="46"/>
            <w:r>
              <w:rPr>
                <w:rFonts w:hint="eastAsia" w:ascii="宋体" w:hAnsi="宋体" w:eastAsia="宋体" w:cs="宋体"/>
                <w:kern w:val="0"/>
                <w:sz w:val="24"/>
              </w:rPr>
              <w:t>☑</w:t>
            </w:r>
            <w:r>
              <w:rPr>
                <w:rFonts w:hint="eastAsia" w:ascii="宋体" w:hAnsi="宋体" w:eastAsia="宋体" w:cs="宋体"/>
                <w:sz w:val="24"/>
              </w:rPr>
              <w:t>不需要</w:t>
            </w:r>
          </w:p>
          <w:p w14:paraId="4EED1A26">
            <w:pPr>
              <w:pStyle w:val="34"/>
              <w:spacing w:line="360" w:lineRule="auto"/>
              <w:rPr>
                <w:rFonts w:hint="eastAsia" w:ascii="宋体" w:hAnsi="宋体" w:eastAsia="宋体" w:cs="宋体"/>
                <w:sz w:val="24"/>
              </w:rPr>
            </w:pPr>
            <w:r>
              <w:rPr>
                <w:rFonts w:hint="eastAsia" w:ascii="宋体" w:hAnsi="宋体" w:eastAsia="宋体" w:cs="宋体"/>
                <w:sz w:val="24"/>
              </w:rPr>
              <w:t>☐需要,陈述要求如下：</w:t>
            </w:r>
          </w:p>
          <w:p w14:paraId="7EC353D5">
            <w:pPr>
              <w:pStyle w:val="34"/>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1、陈述内容：</w:t>
            </w:r>
            <w:bookmarkStart w:id="47" w:name="EB6c95caea33e547a589927e2dd5ae55fd"/>
            <w:bookmarkEnd w:id="47"/>
            <w:r>
              <w:rPr>
                <w:rFonts w:hint="eastAsia" w:ascii="宋体" w:hAnsi="宋体" w:eastAsia="宋体" w:cs="宋体"/>
                <w:kern w:val="0"/>
                <w:sz w:val="24"/>
                <w:u w:val="single"/>
              </w:rPr>
              <w:t xml:space="preserve">                             </w:t>
            </w:r>
          </w:p>
          <w:p w14:paraId="029B18C1">
            <w:pPr>
              <w:pStyle w:val="34"/>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2、陈述人员：</w:t>
            </w:r>
            <w:bookmarkStart w:id="48" w:name="EBa27f1c313730476694c9ea5ce6c46000"/>
            <w:bookmarkEnd w:id="48"/>
            <w:r>
              <w:rPr>
                <w:rFonts w:hint="eastAsia" w:ascii="宋体" w:hAnsi="宋体" w:eastAsia="宋体" w:cs="宋体"/>
                <w:kern w:val="0"/>
                <w:sz w:val="24"/>
                <w:u w:val="single"/>
              </w:rPr>
              <w:t xml:space="preserve">                             </w:t>
            </w:r>
          </w:p>
          <w:p w14:paraId="5CE91D54">
            <w:pPr>
              <w:pStyle w:val="34"/>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3、陈述时限：</w:t>
            </w:r>
            <w:bookmarkStart w:id="49" w:name="EB8e002186df5a41cc8dccc91c8be5ff9e"/>
            <w:bookmarkEnd w:id="49"/>
            <w:r>
              <w:rPr>
                <w:rFonts w:hint="eastAsia" w:ascii="宋体" w:hAnsi="宋体" w:eastAsia="宋体" w:cs="宋体"/>
                <w:kern w:val="0"/>
                <w:sz w:val="24"/>
                <w:u w:val="single"/>
              </w:rPr>
              <w:t xml:space="preserve">     </w:t>
            </w:r>
            <w:r>
              <w:rPr>
                <w:rFonts w:hint="eastAsia" w:ascii="宋体" w:hAnsi="宋体" w:eastAsia="宋体" w:cs="宋体"/>
                <w:sz w:val="24"/>
                <w:lang w:val="zh-CN"/>
              </w:rPr>
              <w:t>分钟。</w:t>
            </w:r>
          </w:p>
          <w:p w14:paraId="3AC340EA">
            <w:pPr>
              <w:pStyle w:val="34"/>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lang w:val="zh-CN"/>
              </w:rPr>
              <w:t>4、陈述形式：</w:t>
            </w:r>
            <w:bookmarkStart w:id="50" w:name="EB3b477031c8e448868dc45629f84f0896"/>
            <w:bookmarkEnd w:id="50"/>
            <w:r>
              <w:rPr>
                <w:rFonts w:hint="eastAsia" w:ascii="宋体" w:hAnsi="宋体" w:eastAsia="宋体" w:cs="宋体"/>
                <w:kern w:val="0"/>
                <w:sz w:val="24"/>
                <w:u w:val="single"/>
              </w:rPr>
              <w:t xml:space="preserve">                             </w:t>
            </w:r>
          </w:p>
        </w:tc>
      </w:tr>
      <w:tr w14:paraId="4A09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2F785854">
            <w:pPr>
              <w:pStyle w:val="34"/>
              <w:spacing w:line="360" w:lineRule="auto"/>
              <w:jc w:val="center"/>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30</w:t>
            </w:r>
          </w:p>
        </w:tc>
        <w:tc>
          <w:tcPr>
            <w:tcW w:w="2664" w:type="dxa"/>
            <w:tcBorders>
              <w:top w:val="single" w:color="auto" w:sz="4" w:space="0"/>
              <w:left w:val="single" w:color="auto" w:sz="4" w:space="0"/>
              <w:bottom w:val="single" w:color="auto" w:sz="4" w:space="0"/>
              <w:right w:val="single" w:color="auto" w:sz="4" w:space="0"/>
            </w:tcBorders>
            <w:vAlign w:val="center"/>
          </w:tcPr>
          <w:p w14:paraId="7E036C63">
            <w:pPr>
              <w:pStyle w:val="34"/>
              <w:autoSpaceDE w:val="0"/>
              <w:autoSpaceDN w:val="0"/>
              <w:adjustRightInd w:val="0"/>
              <w:spacing w:line="360" w:lineRule="auto"/>
              <w:jc w:val="center"/>
              <w:rPr>
                <w:rFonts w:hint="eastAsia" w:ascii="宋体" w:hAnsi="宋体" w:eastAsia="宋体" w:cs="宋体"/>
                <w:b/>
                <w:kern w:val="0"/>
                <w:sz w:val="24"/>
              </w:rPr>
            </w:pPr>
            <w:r>
              <w:rPr>
                <w:rFonts w:hint="eastAsia" w:ascii="宋体" w:hAnsi="宋体" w:eastAsia="宋体" w:cs="宋体"/>
                <w:b/>
                <w:color w:val="000000"/>
                <w:kern w:val="0"/>
                <w:sz w:val="24"/>
              </w:rPr>
              <w:t>项目预算</w:t>
            </w:r>
          </w:p>
        </w:tc>
        <w:tc>
          <w:tcPr>
            <w:tcW w:w="6518" w:type="dxa"/>
            <w:tcBorders>
              <w:top w:val="single" w:color="auto" w:sz="4" w:space="0"/>
              <w:left w:val="single" w:color="auto" w:sz="4" w:space="0"/>
              <w:bottom w:val="single" w:color="auto" w:sz="4" w:space="0"/>
              <w:right w:val="single" w:color="auto" w:sz="4" w:space="0"/>
            </w:tcBorders>
            <w:vAlign w:val="center"/>
          </w:tcPr>
          <w:p w14:paraId="3D14ED73">
            <w:pPr>
              <w:pStyle w:val="34"/>
              <w:autoSpaceDE w:val="0"/>
              <w:autoSpaceDN w:val="0"/>
              <w:adjustRightInd w:val="0"/>
              <w:spacing w:line="360" w:lineRule="auto"/>
              <w:rPr>
                <w:rFonts w:hint="eastAsia" w:ascii="宋体" w:hAnsi="宋体" w:eastAsia="宋体" w:cs="宋体"/>
                <w:bCs/>
                <w:sz w:val="24"/>
              </w:rPr>
            </w:pPr>
            <w:r>
              <w:rPr>
                <w:rFonts w:hint="eastAsia" w:ascii="宋体" w:hAnsi="宋体" w:eastAsia="宋体" w:cs="宋体"/>
                <w:bCs/>
                <w:sz w:val="24"/>
              </w:rPr>
              <w:t>预算金额（元）：</w:t>
            </w:r>
            <w:r>
              <w:rPr>
                <w:rFonts w:hint="eastAsia" w:ascii="宋体" w:hAnsi="宋体" w:eastAsia="宋体" w:cs="宋体"/>
                <w:bCs/>
                <w:sz w:val="24"/>
                <w:lang w:val="en-US" w:eastAsia="zh-CN"/>
              </w:rPr>
              <w:t>360000.00</w:t>
            </w:r>
            <w:r>
              <w:rPr>
                <w:rFonts w:hint="eastAsia" w:ascii="宋体" w:hAnsi="宋体" w:eastAsia="宋体" w:cs="宋体"/>
                <w:bCs/>
                <w:sz w:val="24"/>
              </w:rPr>
              <w:t xml:space="preserve">   </w:t>
            </w:r>
          </w:p>
          <w:p w14:paraId="4D2F63C0">
            <w:pPr>
              <w:pStyle w:val="34"/>
              <w:autoSpaceDE w:val="0"/>
              <w:autoSpaceDN w:val="0"/>
              <w:adjustRightInd w:val="0"/>
              <w:spacing w:line="360" w:lineRule="auto"/>
              <w:rPr>
                <w:rFonts w:hint="eastAsia" w:ascii="宋体" w:hAnsi="宋体" w:eastAsia="宋体" w:cs="宋体"/>
                <w:bCs/>
                <w:sz w:val="24"/>
              </w:rPr>
            </w:pPr>
            <w:r>
              <w:rPr>
                <w:rFonts w:hint="eastAsia" w:ascii="宋体" w:hAnsi="宋体" w:eastAsia="宋体" w:cs="宋体"/>
                <w:bCs/>
                <w:sz w:val="24"/>
              </w:rPr>
              <w:t>最高限价（元）：</w:t>
            </w:r>
            <w:r>
              <w:rPr>
                <w:rFonts w:hint="eastAsia" w:ascii="宋体" w:hAnsi="宋体" w:eastAsia="宋体" w:cs="宋体"/>
                <w:bCs/>
                <w:sz w:val="24"/>
                <w:lang w:val="en-US" w:eastAsia="zh-CN"/>
              </w:rPr>
              <w:t>349041.29</w:t>
            </w:r>
          </w:p>
          <w:p w14:paraId="6D203B67">
            <w:pPr>
              <w:pStyle w:val="34"/>
              <w:autoSpaceDE w:val="0"/>
              <w:autoSpaceDN w:val="0"/>
              <w:adjustRightInd w:val="0"/>
              <w:spacing w:line="360" w:lineRule="auto"/>
              <w:rPr>
                <w:rFonts w:hint="eastAsia" w:ascii="宋体" w:hAnsi="宋体" w:eastAsia="宋体" w:cs="宋体"/>
                <w:sz w:val="24"/>
              </w:rPr>
            </w:pPr>
            <w:r>
              <w:rPr>
                <w:rFonts w:hint="eastAsia" w:ascii="宋体" w:hAnsi="宋体" w:eastAsia="宋体" w:cs="宋体"/>
                <w:bCs/>
                <w:sz w:val="24"/>
              </w:rPr>
              <w:t>供应商</w:t>
            </w:r>
            <w:r>
              <w:rPr>
                <w:rFonts w:hint="eastAsia" w:ascii="宋体" w:hAnsi="宋体" w:eastAsia="宋体" w:cs="宋体"/>
                <w:color w:val="000000"/>
                <w:sz w:val="24"/>
                <w:lang w:val="zh-CN"/>
              </w:rPr>
              <w:t>投标报价超过</w:t>
            </w:r>
            <w:r>
              <w:rPr>
                <w:rFonts w:hint="eastAsia" w:ascii="宋体" w:hAnsi="宋体" w:eastAsia="宋体" w:cs="宋体"/>
                <w:b/>
                <w:bCs/>
                <w:color w:val="000000"/>
                <w:sz w:val="24"/>
                <w:lang w:val="zh-CN"/>
              </w:rPr>
              <w:t>最高限价</w:t>
            </w:r>
            <w:r>
              <w:rPr>
                <w:rFonts w:hint="eastAsia" w:ascii="宋体" w:hAnsi="宋体" w:eastAsia="宋体" w:cs="宋体"/>
                <w:color w:val="000000"/>
                <w:sz w:val="24"/>
                <w:lang w:val="zh-CN"/>
              </w:rPr>
              <w:t>的按无效投标处理。</w:t>
            </w:r>
          </w:p>
        </w:tc>
      </w:tr>
      <w:tr w14:paraId="0259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14:paraId="009E6607">
            <w:pPr>
              <w:pStyle w:val="34"/>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3</w:t>
            </w:r>
            <w:r>
              <w:rPr>
                <w:rFonts w:hint="eastAsia" w:ascii="宋体" w:hAnsi="宋体" w:eastAsia="宋体" w:cs="宋体"/>
                <w:b/>
                <w:kern w:val="0"/>
                <w:sz w:val="24"/>
                <w:highlight w:val="white"/>
                <w:lang w:val="en-US" w:eastAsia="zh-CN"/>
              </w:rPr>
              <w:t>1</w:t>
            </w:r>
          </w:p>
        </w:tc>
        <w:tc>
          <w:tcPr>
            <w:tcW w:w="2664" w:type="dxa"/>
            <w:tcBorders>
              <w:top w:val="single" w:color="auto" w:sz="4" w:space="0"/>
              <w:left w:val="single" w:color="auto" w:sz="4" w:space="0"/>
              <w:bottom w:val="single" w:color="auto" w:sz="4" w:space="0"/>
              <w:right w:val="single" w:color="auto" w:sz="4" w:space="0"/>
            </w:tcBorders>
            <w:vAlign w:val="center"/>
          </w:tcPr>
          <w:p w14:paraId="500C362E">
            <w:pPr>
              <w:pStyle w:val="34"/>
              <w:autoSpaceDE w:val="0"/>
              <w:autoSpaceDN w:val="0"/>
              <w:adjustRightInd w:val="0"/>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highlight w:val="white"/>
              </w:rPr>
              <w:t>其他</w:t>
            </w:r>
          </w:p>
        </w:tc>
        <w:tc>
          <w:tcPr>
            <w:tcW w:w="6518" w:type="dxa"/>
            <w:tcBorders>
              <w:top w:val="single" w:color="auto" w:sz="4" w:space="0"/>
              <w:left w:val="single" w:color="auto" w:sz="4" w:space="0"/>
              <w:bottom w:val="single" w:color="auto" w:sz="4" w:space="0"/>
              <w:right w:val="single" w:color="auto" w:sz="4" w:space="0"/>
            </w:tcBorders>
            <w:vAlign w:val="center"/>
          </w:tcPr>
          <w:p w14:paraId="4ABB1049">
            <w:pPr>
              <w:pStyle w:val="34"/>
              <w:autoSpaceDE w:val="0"/>
              <w:autoSpaceDN w:val="0"/>
              <w:adjustRightInd w:val="0"/>
              <w:spacing w:line="360" w:lineRule="auto"/>
              <w:rPr>
                <w:rFonts w:hint="eastAsia" w:ascii="宋体" w:hAnsi="宋体" w:eastAsia="宋体" w:cs="宋体"/>
                <w:sz w:val="24"/>
              </w:rPr>
            </w:pPr>
            <w:r>
              <w:rPr>
                <w:rFonts w:hint="eastAsia" w:ascii="宋体" w:hAnsi="宋体" w:eastAsia="宋体" w:cs="宋体"/>
                <w:color w:val="000000"/>
                <w:sz w:val="24"/>
                <w:highlight w:val="white"/>
                <w:lang w:val="zh-CN"/>
              </w:rPr>
              <w:t>本项目的招标投标活动以及相关当事人须接受财政监督部门依法实施的监督。</w:t>
            </w:r>
          </w:p>
        </w:tc>
      </w:tr>
      <w:tr w14:paraId="2BD9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4D73967">
            <w:pPr>
              <w:pStyle w:val="37"/>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3</w:t>
            </w:r>
            <w:r>
              <w:rPr>
                <w:rFonts w:hint="eastAsia" w:ascii="宋体" w:hAnsi="宋体" w:cs="宋体"/>
                <w:b/>
                <w:kern w:val="0"/>
                <w:sz w:val="24"/>
                <w:highlight w:val="white"/>
                <w:lang w:val="en-US" w:eastAsia="zh-CN"/>
              </w:rPr>
              <w:t>2</w:t>
            </w:r>
          </w:p>
        </w:tc>
        <w:tc>
          <w:tcPr>
            <w:tcW w:w="2664" w:type="dxa"/>
            <w:tcBorders>
              <w:top w:val="single" w:color="auto" w:sz="4" w:space="0"/>
              <w:left w:val="single" w:color="auto" w:sz="4" w:space="0"/>
              <w:bottom w:val="single" w:color="auto" w:sz="4" w:space="0"/>
              <w:right w:val="single" w:color="auto" w:sz="4" w:space="0"/>
            </w:tcBorders>
            <w:vAlign w:val="center"/>
          </w:tcPr>
          <w:p w14:paraId="0102B8D3">
            <w:pPr>
              <w:adjustRightInd w:val="0"/>
              <w:jc w:val="center"/>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项目地点</w:t>
            </w:r>
          </w:p>
        </w:tc>
        <w:tc>
          <w:tcPr>
            <w:tcW w:w="6518" w:type="dxa"/>
            <w:tcBorders>
              <w:top w:val="single" w:color="auto" w:sz="4" w:space="0"/>
              <w:left w:val="single" w:color="auto" w:sz="4" w:space="0"/>
              <w:bottom w:val="single" w:color="auto" w:sz="4" w:space="0"/>
              <w:right w:val="single" w:color="auto" w:sz="4" w:space="0"/>
            </w:tcBorders>
            <w:vAlign w:val="center"/>
          </w:tcPr>
          <w:p w14:paraId="2324AA67">
            <w:pPr>
              <w:adjustRightInd w:val="0"/>
              <w:jc w:val="left"/>
              <w:rPr>
                <w:rFonts w:hint="eastAsia" w:ascii="宋体" w:hAnsi="宋体" w:eastAsia="宋体" w:cs="宋体"/>
                <w:b/>
                <w:bCs/>
                <w:color w:val="000000"/>
                <w:sz w:val="24"/>
                <w:lang w:val="zh-CN"/>
              </w:rPr>
            </w:pPr>
            <w:r>
              <w:rPr>
                <w:rFonts w:hint="eastAsia" w:ascii="宋体" w:hAnsi="宋体" w:cs="宋体"/>
                <w:b w:val="0"/>
                <w:bCs w:val="0"/>
                <w:color w:val="000000"/>
                <w:sz w:val="24"/>
                <w:lang w:val="en-US" w:eastAsia="zh-CN"/>
              </w:rPr>
              <w:t>新疆博乐市赛里木湖州党校对面</w:t>
            </w:r>
            <w:r>
              <w:rPr>
                <w:rFonts w:hint="eastAsia" w:ascii="宋体" w:hAnsi="宋体" w:eastAsia="宋体" w:cs="宋体"/>
                <w:b w:val="0"/>
                <w:bCs w:val="0"/>
                <w:color w:val="000000"/>
                <w:sz w:val="24"/>
                <w:lang w:val="zh-CN"/>
              </w:rPr>
              <w:t>。</w:t>
            </w:r>
          </w:p>
        </w:tc>
      </w:tr>
      <w:tr w14:paraId="6301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1CCFC1F">
            <w:pPr>
              <w:pStyle w:val="37"/>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3</w:t>
            </w:r>
            <w:r>
              <w:rPr>
                <w:rFonts w:hint="eastAsia" w:ascii="宋体" w:hAnsi="宋体" w:cs="宋体"/>
                <w:b/>
                <w:kern w:val="0"/>
                <w:sz w:val="24"/>
                <w:highlight w:val="white"/>
                <w:lang w:val="en-US" w:eastAsia="zh-CN"/>
              </w:rPr>
              <w:t>3</w:t>
            </w:r>
          </w:p>
        </w:tc>
        <w:tc>
          <w:tcPr>
            <w:tcW w:w="2664" w:type="dxa"/>
            <w:tcBorders>
              <w:top w:val="single" w:color="auto" w:sz="4" w:space="0"/>
              <w:left w:val="single" w:color="auto" w:sz="4" w:space="0"/>
              <w:bottom w:val="single" w:color="auto" w:sz="4" w:space="0"/>
              <w:right w:val="single" w:color="auto" w:sz="4" w:space="0"/>
            </w:tcBorders>
            <w:vAlign w:val="center"/>
          </w:tcPr>
          <w:p w14:paraId="183D5E07">
            <w:pPr>
              <w:adjustRightInd w:val="0"/>
              <w:jc w:val="center"/>
              <w:rPr>
                <w:rFonts w:hint="eastAsia" w:ascii="宋体" w:hAnsi="宋体" w:eastAsia="宋体" w:cs="宋体"/>
                <w:b/>
                <w:bCs/>
                <w:color w:val="000000"/>
                <w:sz w:val="24"/>
              </w:rPr>
            </w:pPr>
            <w:r>
              <w:rPr>
                <w:rFonts w:hint="eastAsia" w:ascii="宋体" w:hAnsi="宋体" w:eastAsia="宋体" w:cs="宋体"/>
                <w:b/>
                <w:bCs/>
                <w:color w:val="000000"/>
                <w:sz w:val="24"/>
                <w:lang w:val="zh-CN"/>
              </w:rPr>
              <w:t>合同履约期限</w:t>
            </w:r>
          </w:p>
        </w:tc>
        <w:tc>
          <w:tcPr>
            <w:tcW w:w="6518" w:type="dxa"/>
            <w:tcBorders>
              <w:top w:val="single" w:color="auto" w:sz="4" w:space="0"/>
              <w:left w:val="single" w:color="auto" w:sz="4" w:space="0"/>
              <w:bottom w:val="single" w:color="auto" w:sz="4" w:space="0"/>
              <w:right w:val="single" w:color="auto" w:sz="4" w:space="0"/>
            </w:tcBorders>
            <w:vAlign w:val="center"/>
          </w:tcPr>
          <w:p w14:paraId="6EC719E0">
            <w:pPr>
              <w:adjustRightInd w:val="0"/>
              <w:spacing w:line="360" w:lineRule="auto"/>
              <w:rPr>
                <w:rFonts w:hint="eastAsia" w:ascii="宋体" w:hAnsi="宋体" w:eastAsia="宋体" w:cs="宋体"/>
                <w:b/>
                <w:bCs/>
                <w:color w:val="000000"/>
                <w:sz w:val="24"/>
                <w:lang w:val="zh-CN"/>
              </w:rPr>
            </w:pPr>
            <w:r>
              <w:rPr>
                <w:rFonts w:hint="eastAsia" w:ascii="宋体" w:hAnsi="宋体" w:cs="宋体"/>
                <w:color w:val="000000"/>
                <w:kern w:val="2"/>
                <w:sz w:val="24"/>
                <w:szCs w:val="24"/>
                <w:highlight w:val="white"/>
                <w:lang w:val="en-US" w:eastAsia="zh-CN" w:bidi="ar-SA"/>
              </w:rPr>
              <w:t>60日历天</w:t>
            </w:r>
            <w:r>
              <w:rPr>
                <w:rFonts w:hint="eastAsia" w:ascii="宋体" w:hAnsi="宋体" w:eastAsia="宋体" w:cs="宋体"/>
                <w:color w:val="000000"/>
                <w:kern w:val="2"/>
                <w:sz w:val="24"/>
                <w:szCs w:val="24"/>
                <w:highlight w:val="white"/>
                <w:lang w:val="en-US" w:eastAsia="zh-CN" w:bidi="ar-SA"/>
              </w:rPr>
              <w:t>。</w:t>
            </w:r>
          </w:p>
        </w:tc>
      </w:tr>
      <w:tr w14:paraId="4FE7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FD72D2A">
            <w:pPr>
              <w:pStyle w:val="37"/>
              <w:spacing w:line="360" w:lineRule="auto"/>
              <w:jc w:val="center"/>
              <w:rPr>
                <w:rFonts w:hint="eastAsia" w:ascii="宋体" w:hAnsi="宋体" w:eastAsia="宋体" w:cs="宋体"/>
                <w:b/>
                <w:kern w:val="0"/>
                <w:sz w:val="24"/>
                <w:lang w:val="en-US" w:eastAsia="zh-CN"/>
              </w:rPr>
            </w:pPr>
            <w:r>
              <w:rPr>
                <w:rFonts w:hint="eastAsia" w:ascii="宋体" w:hAnsi="宋体" w:eastAsia="宋体" w:cs="宋体"/>
                <w:b/>
                <w:kern w:val="0"/>
                <w:sz w:val="24"/>
                <w:highlight w:val="white"/>
              </w:rPr>
              <w:t>3</w:t>
            </w:r>
            <w:r>
              <w:rPr>
                <w:rFonts w:hint="eastAsia" w:ascii="宋体" w:hAnsi="宋体" w:cs="宋体"/>
                <w:b/>
                <w:kern w:val="0"/>
                <w:sz w:val="24"/>
                <w:highlight w:val="white"/>
                <w:lang w:val="en-US" w:eastAsia="zh-CN"/>
              </w:rPr>
              <w:t>4</w:t>
            </w:r>
          </w:p>
        </w:tc>
        <w:tc>
          <w:tcPr>
            <w:tcW w:w="2664" w:type="dxa"/>
            <w:tcBorders>
              <w:top w:val="single" w:color="auto" w:sz="4" w:space="0"/>
              <w:left w:val="single" w:color="auto" w:sz="4" w:space="0"/>
              <w:bottom w:val="single" w:color="auto" w:sz="4" w:space="0"/>
              <w:right w:val="single" w:color="auto" w:sz="4" w:space="0"/>
            </w:tcBorders>
            <w:vAlign w:val="center"/>
          </w:tcPr>
          <w:p w14:paraId="27BA8E37">
            <w:pPr>
              <w:adjustRightInd w:val="0"/>
              <w:jc w:val="center"/>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付款方式</w:t>
            </w:r>
          </w:p>
        </w:tc>
        <w:tc>
          <w:tcPr>
            <w:tcW w:w="6518" w:type="dxa"/>
            <w:tcBorders>
              <w:top w:val="single" w:color="auto" w:sz="4" w:space="0"/>
              <w:left w:val="single" w:color="auto" w:sz="4" w:space="0"/>
              <w:bottom w:val="single" w:color="auto" w:sz="4" w:space="0"/>
              <w:right w:val="single" w:color="auto" w:sz="4" w:space="0"/>
            </w:tcBorders>
            <w:vAlign w:val="center"/>
          </w:tcPr>
          <w:p w14:paraId="4A440B9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cs="宋体"/>
                <w:color w:val="000000"/>
                <w:kern w:val="2"/>
                <w:sz w:val="24"/>
                <w:szCs w:val="24"/>
                <w:highlight w:val="white"/>
                <w:lang w:val="en-US" w:eastAsia="zh-CN" w:bidi="ar-SA"/>
              </w:rPr>
              <w:t>按3期拨款方式付款，第一期：项目建设期间，已完成工程量达合同约定内容40%时，支付扣除暂列金合同总价款的40%；第二期：项目竣工验收交付后，进度款累计支付至扣除暂列金合同总价款的80%;第三期：工程结算审计完毕，由承包人向指定对公账户缴纳结算定案价的3%作为工程质量保修金或开具相同金额银行见索即付保函后，剩余工程款按照审计定案价一次性支付。</w:t>
            </w:r>
          </w:p>
        </w:tc>
      </w:tr>
      <w:tr w14:paraId="6C17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1550F44">
            <w:pPr>
              <w:pStyle w:val="37"/>
              <w:spacing w:line="360" w:lineRule="auto"/>
              <w:jc w:val="center"/>
              <w:rPr>
                <w:rFonts w:hint="eastAsia" w:ascii="宋体" w:hAnsi="宋体" w:eastAsia="宋体" w:cs="宋体"/>
                <w:b/>
                <w:kern w:val="0"/>
                <w:sz w:val="24"/>
                <w:highlight w:val="white"/>
                <w:lang w:val="en-US" w:eastAsia="zh-CN"/>
              </w:rPr>
            </w:pPr>
            <w:r>
              <w:rPr>
                <w:rFonts w:hint="eastAsia" w:ascii="宋体" w:hAnsi="宋体" w:eastAsia="宋体" w:cs="宋体"/>
                <w:b/>
                <w:kern w:val="0"/>
                <w:sz w:val="24"/>
                <w:highlight w:val="white"/>
              </w:rPr>
              <w:t>3</w:t>
            </w:r>
            <w:r>
              <w:rPr>
                <w:rFonts w:hint="eastAsia" w:ascii="宋体" w:hAnsi="宋体" w:cs="宋体"/>
                <w:b/>
                <w:kern w:val="0"/>
                <w:sz w:val="24"/>
                <w:highlight w:val="white"/>
                <w:lang w:val="en-US" w:eastAsia="zh-CN"/>
              </w:rPr>
              <w:t>5</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390A3B80">
            <w:pPr>
              <w:overflowPunct w:val="0"/>
              <w:jc w:val="center"/>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bCs/>
                <w:color w:val="000000"/>
                <w:sz w:val="24"/>
                <w:lang w:val="en-US" w:eastAsia="zh-CN"/>
              </w:rPr>
              <w:t>补充内容</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3B0F6E1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 xml:space="preserve">1、本项目的扬尘污染防治措施增加费计取，依据《自治区建筑工地施工现场扬尘治理工作实施方案》（新建质（2019）7 号、《建筑工程施工现场扬尘污染防治标准》（XJJ119-2020)等标准规定（注：此规定各项费用已按《关于新疆建设工程扬尘污染防治增加费计取方法的公告》新疆维吾尔自治区住房和城乡建设厅公告 2020 年第 120 号计取） </w:t>
            </w:r>
          </w:p>
          <w:p w14:paraId="7A01CD3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 xml:space="preserve">2、建筑工程施工现场扬尘污染防治的工作标准、各方主体责任、强化监管及工作保障措施标准必须严格执行《自治区建筑工地施工现场扬尘治理工作实施方案》（新建质〔2019〕7 号）、《建筑工程施工现场扬尘污染防治标准》（XJJ119-2020）等标准规定。 </w:t>
            </w:r>
          </w:p>
          <w:p w14:paraId="5E26812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 xml:space="preserve">3、各供应商需根据该项目实际情况填报施工各项措施费用，施工图纸、地勘报告、清单特征描述、工程现场已明确的，措施费结算不予调整。 </w:t>
            </w:r>
          </w:p>
          <w:p w14:paraId="38CC109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 xml:space="preserve">4、按照“谁用工谁负责”的原则，农民工工资支付主体为用工单位;支付方式以货币形式(通过银行转账或者现金支付给农民工本人，不得以实物或者有价证券等其他形式替代);支付周期按月支付。 </w:t>
            </w:r>
          </w:p>
          <w:p w14:paraId="3F18EDA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5、区外进疆建筑企业需按照自治区住房和城乡建设厅发布的《关于进一步推动自治区建筑市场统一开放的通知》，登录新疆建筑市场监管和诚信信息一 体化 平 台 （ 以 下 简 称 新 疆 工 程 建 设 云 ， 网 址 ：http://jsy.xjjs.gov.cn），注册报送企业基本信息和人员信息。</w:t>
            </w:r>
          </w:p>
        </w:tc>
      </w:tr>
      <w:tr w14:paraId="2228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4D674C4">
            <w:pPr>
              <w:pStyle w:val="37"/>
              <w:spacing w:line="360" w:lineRule="auto"/>
              <w:jc w:val="center"/>
              <w:rPr>
                <w:rFonts w:hint="default" w:ascii="宋体" w:hAnsi="宋体" w:eastAsia="宋体" w:cs="宋体"/>
                <w:b/>
                <w:kern w:val="0"/>
                <w:sz w:val="24"/>
                <w:highlight w:val="white"/>
                <w:lang w:val="en-US" w:eastAsia="zh-CN"/>
              </w:rPr>
            </w:pPr>
            <w:r>
              <w:rPr>
                <w:rFonts w:hint="eastAsia" w:ascii="宋体" w:hAnsi="宋体" w:cs="宋体"/>
                <w:b/>
                <w:kern w:val="0"/>
                <w:sz w:val="24"/>
                <w:highlight w:val="white"/>
                <w:lang w:val="en-US" w:eastAsia="zh-CN"/>
              </w:rPr>
              <w:t>36</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77455EF3">
            <w:pPr>
              <w:overflowPunct w:val="0"/>
              <w:jc w:val="center"/>
              <w:rPr>
                <w:rFonts w:hint="eastAsia" w:ascii="宋体" w:hAnsi="宋体" w:eastAsia="宋体" w:cs="宋体"/>
                <w:b/>
                <w:bCs/>
                <w:color w:val="000000"/>
                <w:sz w:val="24"/>
                <w:lang w:val="en-US" w:eastAsia="zh-CN"/>
              </w:rPr>
            </w:pPr>
            <w:r>
              <w:rPr>
                <w:rFonts w:hint="eastAsia" w:ascii="宋体" w:hAnsi="宋体" w:eastAsia="宋体" w:cs="宋体"/>
                <w:b/>
                <w:bCs/>
                <w:color w:val="auto"/>
                <w:kern w:val="0"/>
                <w:sz w:val="24"/>
                <w:szCs w:val="24"/>
                <w:u w:val="none"/>
                <w:lang w:val="zh-CN" w:eastAsia="zh-CN" w:bidi="ar-SA"/>
              </w:rPr>
              <w:t>不正当竞争预防措施</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561F1118">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在</w:t>
            </w:r>
            <w:r>
              <w:rPr>
                <w:rFonts w:hint="eastAsia" w:ascii="宋体" w:hAnsi="宋体" w:eastAsia="宋体" w:cs="宋体"/>
                <w:color w:val="000000"/>
                <w:kern w:val="2"/>
                <w:sz w:val="24"/>
                <w:szCs w:val="24"/>
                <w:highlight w:val="white"/>
                <w:lang w:val="en-US" w:eastAsia="zh-CN" w:bidi="ar-SA"/>
              </w:rPr>
              <w:t>评审</w:t>
            </w:r>
            <w:r>
              <w:rPr>
                <w:rFonts w:hint="eastAsia" w:ascii="宋体" w:hAnsi="宋体" w:eastAsia="宋体" w:cs="宋体"/>
                <w:color w:val="000000"/>
                <w:kern w:val="2"/>
                <w:sz w:val="24"/>
                <w:szCs w:val="24"/>
                <w:highlight w:val="white"/>
                <w:lang w:val="zh-CN" w:eastAsia="zh-CN" w:bidi="ar-SA"/>
              </w:rPr>
              <w:t>过程中，投标人报价低于其他有效投标人报价有可能影响</w:t>
            </w:r>
            <w:r>
              <w:rPr>
                <w:rFonts w:hint="eastAsia" w:ascii="宋体" w:hAnsi="宋体" w:eastAsia="宋体" w:cs="宋体"/>
                <w:color w:val="000000"/>
                <w:kern w:val="2"/>
                <w:sz w:val="24"/>
                <w:szCs w:val="24"/>
                <w:highlight w:val="white"/>
                <w:lang w:val="en-US" w:eastAsia="zh-CN" w:bidi="ar-SA"/>
              </w:rPr>
              <w:t>工程</w:t>
            </w:r>
            <w:r>
              <w:rPr>
                <w:rFonts w:hint="eastAsia" w:ascii="宋体" w:hAnsi="宋体" w:eastAsia="宋体" w:cs="宋体"/>
                <w:color w:val="000000"/>
                <w:kern w:val="2"/>
                <w:sz w:val="24"/>
                <w:szCs w:val="24"/>
                <w:highlight w:val="white"/>
                <w:lang w:val="zh-CN" w:eastAsia="zh-CN" w:bidi="ar-SA"/>
              </w:rPr>
              <w:t>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3A975F3">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3C142D89">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w:t>
            </w:r>
            <w:r>
              <w:rPr>
                <w:rFonts w:hint="eastAsia" w:ascii="宋体" w:hAnsi="宋体" w:eastAsia="宋体" w:cs="宋体"/>
                <w:color w:val="000000"/>
                <w:kern w:val="2"/>
                <w:sz w:val="24"/>
                <w:szCs w:val="24"/>
                <w:highlight w:val="white"/>
                <w:lang w:val="en-US" w:eastAsia="zh-CN" w:bidi="ar-SA"/>
              </w:rPr>
              <w:t>项目</w:t>
            </w:r>
            <w:r>
              <w:rPr>
                <w:rFonts w:hint="eastAsia" w:ascii="宋体" w:hAnsi="宋体" w:eastAsia="宋体" w:cs="宋体"/>
                <w:color w:val="000000"/>
                <w:kern w:val="2"/>
                <w:sz w:val="24"/>
                <w:szCs w:val="24"/>
                <w:highlight w:val="white"/>
                <w:lang w:val="zh-CN" w:eastAsia="zh-CN" w:bidi="ar-SA"/>
              </w:rPr>
              <w:t>在</w:t>
            </w:r>
            <w:r>
              <w:rPr>
                <w:rFonts w:hint="eastAsia" w:ascii="宋体" w:hAnsi="宋体" w:eastAsia="宋体" w:cs="宋体"/>
                <w:color w:val="000000"/>
                <w:kern w:val="2"/>
                <w:sz w:val="24"/>
                <w:szCs w:val="24"/>
                <w:highlight w:val="white"/>
                <w:lang w:val="en-US" w:eastAsia="zh-CN" w:bidi="ar-SA"/>
              </w:rPr>
              <w:t>其他项目的成交价格</w:t>
            </w:r>
            <w:r>
              <w:rPr>
                <w:rFonts w:hint="eastAsia" w:ascii="宋体" w:hAnsi="宋体" w:eastAsia="宋体" w:cs="宋体"/>
                <w:color w:val="000000"/>
                <w:kern w:val="2"/>
                <w:sz w:val="24"/>
                <w:szCs w:val="24"/>
                <w:highlight w:val="white"/>
                <w:lang w:val="zh-CN" w:eastAsia="zh-CN" w:bidi="ar-SA"/>
              </w:rPr>
              <w:t>、该行业当地薪资水平等情况，依据专业经验对报价合理性进行判断如果投标(响应)供应商不提供书面说明、证明材料，或者提供的书面说明、证明材料不能证明其报价合理性的，应当将其作为无效投标(响应)处理。</w:t>
            </w:r>
          </w:p>
          <w:p w14:paraId="6DFBB174">
            <w:pPr>
              <w:keepNext/>
              <w:widowControl/>
              <w:ind w:firstLine="480" w:firstLineChars="200"/>
              <w:jc w:val="left"/>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关于推动解决政府采购异常低价问题：</w:t>
            </w:r>
          </w:p>
          <w:p w14:paraId="086CBC88">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en-US" w:eastAsia="zh-CN" w:bidi="ar-SA"/>
              </w:rPr>
              <w:t>一、</w:t>
            </w:r>
            <w:r>
              <w:rPr>
                <w:rFonts w:hint="eastAsia" w:ascii="宋体" w:hAnsi="宋体" w:eastAsia="宋体" w:cs="宋体"/>
                <w:color w:val="000000"/>
                <w:kern w:val="2"/>
                <w:sz w:val="24"/>
                <w:szCs w:val="24"/>
                <w:highlight w:val="white"/>
                <w:lang w:val="zh-CN" w:eastAsia="zh-CN" w:bidi="ar-SA"/>
              </w:rPr>
              <w:t>政府采购评审中出现下列情形之一的，评审委员会应当启动异常低价投标审查程序：</w:t>
            </w:r>
          </w:p>
          <w:p w14:paraId="6D420EDD">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1.投标报价低于全部通过符合性审查供应商投标报价平均值50%的，即投标报价&lt;全部通过符合性审查供应商投标报价平均值×50%；</w:t>
            </w:r>
          </w:p>
          <w:p w14:paraId="02FDA624">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2.投标报价低于通过符合性审查的次低报价供应商投标报价50%的，即投标报价&lt;通过符合性审查的次低报价供应商投标报价×50%；</w:t>
            </w:r>
          </w:p>
          <w:p w14:paraId="45E778A6">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3.投标报价低于采购项目最高限价45%的，即投标报价&lt;采购项目最高限价×45%；</w:t>
            </w:r>
          </w:p>
          <w:p w14:paraId="3AC16D3A">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4.评审委员会基于专业判断，认为供应商报价过低，有可能影响</w:t>
            </w:r>
            <w:r>
              <w:rPr>
                <w:rFonts w:hint="eastAsia" w:ascii="宋体" w:hAnsi="宋体" w:eastAsia="宋体" w:cs="宋体"/>
                <w:color w:val="000000"/>
                <w:kern w:val="2"/>
                <w:sz w:val="24"/>
                <w:szCs w:val="24"/>
                <w:highlight w:val="white"/>
                <w:lang w:val="en-US" w:eastAsia="zh-CN" w:bidi="ar-SA"/>
              </w:rPr>
              <w:t>工程</w:t>
            </w:r>
            <w:r>
              <w:rPr>
                <w:rFonts w:hint="eastAsia" w:ascii="宋体" w:hAnsi="宋体" w:eastAsia="宋体" w:cs="宋体"/>
                <w:color w:val="000000"/>
                <w:kern w:val="2"/>
                <w:sz w:val="24"/>
                <w:szCs w:val="24"/>
                <w:highlight w:val="white"/>
                <w:lang w:val="zh-CN" w:eastAsia="zh-CN" w:bidi="ar-SA"/>
              </w:rPr>
              <w:t>质量或者不能诚信履约的其他情形。</w:t>
            </w:r>
          </w:p>
          <w:p w14:paraId="4DEAF1A3">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采购人可以结合具体项目实际情况，提高上述第1项至第3项中启动异常低价投标审查的数值标准，但是最高不得超过65%。 </w:t>
            </w:r>
          </w:p>
          <w:p w14:paraId="6224FCBA">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相关法律法规对供应商报价有规定的，从其规定。 </w:t>
            </w:r>
          </w:p>
          <w:p w14:paraId="1BA6DADA">
            <w:pPr>
              <w:keepNext/>
              <w:widowControl/>
              <w:ind w:firstLine="480" w:firstLineChars="200"/>
              <w:jc w:val="left"/>
              <w:rPr>
                <w:rFonts w:hint="eastAsia" w:ascii="宋体" w:hAnsi="宋体" w:eastAsia="宋体" w:cs="宋体"/>
                <w:color w:val="000000"/>
                <w:kern w:val="2"/>
                <w:sz w:val="24"/>
                <w:szCs w:val="24"/>
                <w:highlight w:val="white"/>
                <w:lang w:val="zh-CN" w:eastAsia="zh-CN" w:bidi="ar-SA"/>
              </w:rPr>
            </w:pPr>
            <w:r>
              <w:rPr>
                <w:rFonts w:hint="eastAsia" w:ascii="宋体" w:hAnsi="宋体" w:eastAsia="宋体" w:cs="宋体"/>
                <w:color w:val="000000"/>
                <w:kern w:val="2"/>
                <w:sz w:val="24"/>
                <w:szCs w:val="24"/>
                <w:highlight w:val="white"/>
                <w:lang w:val="zh-CN" w:eastAsia="zh-CN" w:bidi="ar-SA"/>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等，给予相关供应商的合理时间一般不少于30分钟。其中，属于第3项情形，供应商已随投标文件一并提交相关书面说明及必要的证明材料的，在评审现场可不再重复提交。</w:t>
            </w:r>
          </w:p>
          <w:p w14:paraId="59A596B2">
            <w:pPr>
              <w:pStyle w:val="85"/>
              <w:keepNext w:val="0"/>
              <w:keepLines w:val="0"/>
              <w:pageBreakBefore w:val="0"/>
              <w:widowControl/>
              <w:kinsoku/>
              <w:wordWrap w:val="0"/>
              <w:overflowPunct/>
              <w:topLinePunct/>
              <w:autoSpaceDE/>
              <w:autoSpaceDN/>
              <w:bidi w:val="0"/>
              <w:adjustRightInd/>
              <w:snapToGrid/>
              <w:spacing w:line="240" w:lineRule="auto"/>
              <w:ind w:left="0" w:leftChars="0" w:right="0" w:rightChars="0" w:firstLine="0" w:firstLineChars="0"/>
              <w:jc w:val="both"/>
              <w:textAlignment w:val="baseline"/>
              <w:outlineLvl w:val="9"/>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zh-CN" w:eastAsia="zh-CN" w:bidi="ar-SA"/>
              </w:rPr>
              <w:t>评审委员会依据专业经验，参考同类项目成交价格、类似</w:t>
            </w:r>
            <w:r>
              <w:rPr>
                <w:rFonts w:hint="eastAsia" w:ascii="宋体" w:hAnsi="宋体" w:eastAsia="宋体" w:cs="宋体"/>
                <w:color w:val="000000"/>
                <w:kern w:val="2"/>
                <w:sz w:val="24"/>
                <w:szCs w:val="24"/>
                <w:highlight w:val="white"/>
                <w:lang w:val="en-US" w:eastAsia="zh-CN" w:bidi="ar-SA"/>
              </w:rPr>
              <w:t>工程</w:t>
            </w:r>
            <w:r>
              <w:rPr>
                <w:rFonts w:hint="eastAsia" w:ascii="宋体" w:hAnsi="宋体" w:eastAsia="宋体" w:cs="宋体"/>
                <w:color w:val="000000"/>
                <w:kern w:val="2"/>
                <w:sz w:val="24"/>
                <w:szCs w:val="24"/>
                <w:highlight w:val="white"/>
                <w:lang w:val="zh-CN" w:eastAsia="zh-CN" w:bidi="ar-SA"/>
              </w:rPr>
              <w:t>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6060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3CCE50D">
            <w:pPr>
              <w:pStyle w:val="34"/>
              <w:spacing w:line="360" w:lineRule="auto"/>
              <w:jc w:val="center"/>
              <w:rPr>
                <w:rFonts w:hint="eastAsia" w:ascii="宋体" w:hAnsi="宋体" w:eastAsia="宋体" w:cs="宋体"/>
                <w:b/>
                <w:bCs/>
                <w:kern w:val="0"/>
                <w:sz w:val="24"/>
                <w:highlight w:val="white"/>
                <w:lang w:val="en-US" w:eastAsia="zh-CN"/>
              </w:rPr>
            </w:pPr>
            <w:r>
              <w:rPr>
                <w:rFonts w:hint="eastAsia" w:ascii="宋体" w:hAnsi="宋体" w:eastAsia="宋体" w:cs="宋体"/>
                <w:b/>
                <w:bCs/>
                <w:kern w:val="0"/>
                <w:sz w:val="24"/>
                <w:highlight w:val="white"/>
              </w:rPr>
              <w:t>3</w:t>
            </w:r>
            <w:r>
              <w:rPr>
                <w:rFonts w:hint="eastAsia" w:ascii="宋体" w:hAnsi="宋体" w:eastAsia="宋体" w:cs="宋体"/>
                <w:b/>
                <w:bCs/>
                <w:kern w:val="0"/>
                <w:sz w:val="24"/>
                <w:highlight w:val="white"/>
                <w:lang w:val="en-US" w:eastAsia="zh-CN"/>
              </w:rPr>
              <w:t>7</w:t>
            </w:r>
          </w:p>
        </w:tc>
        <w:tc>
          <w:tcPr>
            <w:tcW w:w="2664" w:type="dxa"/>
            <w:tcBorders>
              <w:top w:val="single" w:color="auto" w:sz="4" w:space="0"/>
              <w:left w:val="single" w:color="auto" w:sz="4" w:space="0"/>
              <w:bottom w:val="single" w:color="auto" w:sz="4" w:space="0"/>
              <w:right w:val="single" w:color="auto" w:sz="4" w:space="0"/>
            </w:tcBorders>
            <w:vAlign w:val="center"/>
          </w:tcPr>
          <w:p w14:paraId="180BED98">
            <w:pPr>
              <w:overflowPunct w:val="0"/>
              <w:jc w:val="center"/>
              <w:rPr>
                <w:rFonts w:hint="eastAsia" w:ascii="宋体" w:hAnsi="宋体" w:eastAsia="宋体" w:cs="宋体"/>
                <w:b/>
                <w:bCs/>
                <w:sz w:val="24"/>
                <w:lang w:eastAsia="zh-CN"/>
              </w:rPr>
            </w:pPr>
            <w:r>
              <w:rPr>
                <w:rFonts w:hint="eastAsia" w:ascii="宋体" w:hAnsi="宋体" w:eastAsia="宋体" w:cs="宋体"/>
                <w:b/>
                <w:bCs/>
                <w:color w:val="auto"/>
                <w:kern w:val="0"/>
                <w:sz w:val="24"/>
                <w:szCs w:val="24"/>
                <w:u w:val="none"/>
                <w:lang w:val="en-US" w:eastAsia="zh-CN" w:bidi="ar-SA"/>
              </w:rPr>
              <w:t>质疑投诉</w:t>
            </w:r>
          </w:p>
        </w:tc>
        <w:tc>
          <w:tcPr>
            <w:tcW w:w="6518" w:type="dxa"/>
            <w:tcBorders>
              <w:top w:val="single" w:color="auto" w:sz="4" w:space="0"/>
              <w:left w:val="single" w:color="auto" w:sz="4" w:space="0"/>
              <w:bottom w:val="single" w:color="auto" w:sz="4" w:space="0"/>
              <w:right w:val="single" w:color="auto" w:sz="4" w:space="0"/>
            </w:tcBorders>
            <w:vAlign w:val="center"/>
          </w:tcPr>
          <w:p w14:paraId="4BDF48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 xml:space="preserve">1.供应商认为采购文件、采购过程、成交或者成交结果使自己的权益受到损害的，可以在知道或者应知其权益受到损害之日起 7个工作日内，以书面形式向采购人、采购代理机构提出质疑。 </w:t>
            </w:r>
          </w:p>
          <w:p w14:paraId="77E6A0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 xml:space="preserve">2.供应商应在法定质疑期内一次性提出针对同一采购程序环节的质疑。 </w:t>
            </w:r>
          </w:p>
          <w:p w14:paraId="28A229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 xml:space="preserve">3.质疑供应商应按照财政部制定的《政府采购质疑函范本》格式10（可从财政部官方网站下载）和《政府采购质疑和投诉办法》（财政部令第 94 号）的要求，在法定质疑期内以书面形式提出质疑。 </w:t>
            </w:r>
          </w:p>
          <w:p w14:paraId="574AC9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4.超出法定质疑期、重复或分次提出的、内容或形式不符合《政府采购质疑和投诉办法》规定的质疑将被拒绝。</w:t>
            </w:r>
          </w:p>
          <w:p w14:paraId="0DA22B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成交或者成交结果提出质疑的，为成交或者成交结果公告期限届满之日。</w:t>
            </w:r>
          </w:p>
          <w:p w14:paraId="5A1C5F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6.采购代理机构质疑函接收信息</w:t>
            </w:r>
          </w:p>
          <w:p w14:paraId="3D3780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接收部门：创名建工程管理集团有限公司　</w:t>
            </w:r>
          </w:p>
          <w:p w14:paraId="592BA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联系人：谷芳</w:t>
            </w:r>
          </w:p>
          <w:p w14:paraId="0AEAF0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联系电话：17399097222</w:t>
            </w:r>
          </w:p>
          <w:p w14:paraId="6BF625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地址：新疆博州博乐市克尔根卓街道文化路中央名筑42 号楼 4 层 12 号</w:t>
            </w:r>
          </w:p>
          <w:p w14:paraId="7240CD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提交方式：提交盖章的纸质版原件，在法定质疑期内一次性提出针对同一采购程序环节的质疑。逾期未提出的视同理解和接受。</w:t>
            </w:r>
          </w:p>
          <w:p w14:paraId="1671F8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z w:val="24"/>
              </w:rPr>
            </w:pPr>
            <w:r>
              <w:rPr>
                <w:rFonts w:hint="eastAsia" w:ascii="宋体" w:hAnsi="宋体" w:eastAsia="宋体" w:cs="宋体"/>
                <w:color w:val="000000"/>
                <w:kern w:val="2"/>
                <w:sz w:val="24"/>
                <w:szCs w:val="24"/>
                <w:highlight w:val="white"/>
                <w:lang w:val="en-US" w:eastAsia="zh-CN" w:bidi="ar-SA"/>
              </w:rPr>
              <w:t>7.澄清、修改文件发出后（若有），供应商必须使用最新的澄清文件制作电子投标文件。</w:t>
            </w:r>
          </w:p>
        </w:tc>
      </w:tr>
      <w:tr w14:paraId="289C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A72770A">
            <w:pPr>
              <w:pStyle w:val="34"/>
              <w:spacing w:line="360" w:lineRule="auto"/>
              <w:jc w:val="center"/>
              <w:rPr>
                <w:rFonts w:hint="default" w:ascii="宋体" w:hAnsi="宋体" w:eastAsia="宋体" w:cs="宋体"/>
                <w:b/>
                <w:bCs/>
                <w:kern w:val="0"/>
                <w:sz w:val="24"/>
                <w:highlight w:val="white"/>
                <w:lang w:val="en-US" w:eastAsia="zh-CN"/>
              </w:rPr>
            </w:pPr>
            <w:r>
              <w:rPr>
                <w:rFonts w:hint="eastAsia" w:ascii="宋体" w:hAnsi="宋体" w:eastAsia="宋体" w:cs="宋体"/>
                <w:b/>
                <w:bCs/>
                <w:kern w:val="0"/>
                <w:sz w:val="24"/>
                <w:highlight w:val="white"/>
                <w:lang w:val="en-US" w:eastAsia="zh-CN"/>
              </w:rPr>
              <w:t>38</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0E62E95C">
            <w:pPr>
              <w:overflowPunct w:val="0"/>
              <w:jc w:val="center"/>
              <w:rPr>
                <w:rFonts w:hint="eastAsia" w:ascii="宋体" w:hAnsi="宋体" w:eastAsia="宋体" w:cs="宋体"/>
                <w:b/>
                <w:bCs/>
                <w:kern w:val="2"/>
                <w:sz w:val="24"/>
                <w:szCs w:val="24"/>
                <w:lang w:val="en-US" w:eastAsia="zh-CN" w:bidi="ar-SA"/>
              </w:rPr>
            </w:pPr>
            <w:r>
              <w:rPr>
                <w:rFonts w:hint="eastAsia" w:ascii="宋体" w:hAnsi="宋体" w:eastAsia="宋体" w:cs="宋体"/>
                <w:b/>
                <w:sz w:val="24"/>
                <w:lang w:val="en-US" w:eastAsia="zh-CN"/>
              </w:rPr>
              <w:t>成交公告及成交通知书</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505576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kern w:val="2"/>
                <w:sz w:val="24"/>
                <w:szCs w:val="24"/>
                <w:highlight w:val="white"/>
                <w:lang w:val="pt-BR" w:eastAsia="zh-CN" w:bidi="ar-SA"/>
              </w:rPr>
              <w:t>成交公告在新疆政府采购网、中国政府采购网上公示，公示期为1个工作日，同时向成交单位发出成交通知书。</w:t>
            </w:r>
          </w:p>
        </w:tc>
      </w:tr>
      <w:tr w14:paraId="1061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8C90E9A">
            <w:pPr>
              <w:pStyle w:val="34"/>
              <w:spacing w:line="360" w:lineRule="auto"/>
              <w:jc w:val="center"/>
              <w:rPr>
                <w:rFonts w:hint="default" w:ascii="宋体" w:hAnsi="宋体" w:eastAsia="宋体" w:cs="宋体"/>
                <w:b/>
                <w:bCs/>
                <w:kern w:val="0"/>
                <w:sz w:val="24"/>
                <w:highlight w:val="white"/>
                <w:lang w:val="en-US" w:eastAsia="zh-CN"/>
              </w:rPr>
            </w:pPr>
            <w:r>
              <w:rPr>
                <w:rFonts w:hint="eastAsia" w:ascii="宋体" w:hAnsi="宋体" w:eastAsia="宋体" w:cs="宋体"/>
                <w:b/>
                <w:bCs/>
                <w:kern w:val="0"/>
                <w:sz w:val="24"/>
                <w:highlight w:val="white"/>
                <w:lang w:val="en-US" w:eastAsia="zh-CN"/>
              </w:rPr>
              <w:t>39</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1C3BBE5C">
            <w:pPr>
              <w:overflowPunct w:val="0"/>
              <w:jc w:val="center"/>
              <w:rPr>
                <w:rFonts w:hint="eastAsia" w:ascii="宋体" w:hAnsi="宋体" w:eastAsia="宋体" w:cs="宋体"/>
                <w:bCs/>
                <w:kern w:val="2"/>
                <w:sz w:val="24"/>
                <w:szCs w:val="24"/>
                <w:highlight w:val="white"/>
                <w:lang w:val="en-US" w:eastAsia="zh-CN" w:bidi="ar-SA"/>
              </w:rPr>
            </w:pPr>
            <w:r>
              <w:rPr>
                <w:rFonts w:hint="eastAsia" w:ascii="宋体" w:hAnsi="宋体" w:eastAsia="宋体" w:cs="宋体"/>
                <w:b/>
                <w:sz w:val="24"/>
                <w:lang w:val="en-US" w:eastAsia="zh-CN"/>
              </w:rPr>
              <w:t>投标文件的签署规定</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17D581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1. 投标文件应按招标文件要求在签字盖章处加盖公章和由法定代表人或其授权代表签字。</w:t>
            </w:r>
          </w:p>
          <w:p w14:paraId="6C2E2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white"/>
                <w:lang w:val="pt-BR" w:eastAsia="zh-CN" w:bidi="ar-SA"/>
              </w:rPr>
            </w:pPr>
            <w:r>
              <w:rPr>
                <w:rFonts w:hint="eastAsia" w:ascii="宋体" w:hAnsi="宋体" w:eastAsia="宋体" w:cs="宋体"/>
                <w:color w:val="000000"/>
                <w:kern w:val="2"/>
                <w:sz w:val="24"/>
                <w:szCs w:val="24"/>
                <w:highlight w:val="white"/>
                <w:lang w:val="en-US" w:eastAsia="zh-CN" w:bidi="ar-SA"/>
              </w:rPr>
              <w:t>2.投标文件中的任何行间插字、涂改和增删，应加盖公章或由供应商的法定代表人或其授权的代理人签字确认。否则，在评标时将其视为无效投标。</w:t>
            </w:r>
          </w:p>
        </w:tc>
      </w:tr>
      <w:tr w14:paraId="7AE1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291F29C">
            <w:pPr>
              <w:pStyle w:val="34"/>
              <w:spacing w:line="360" w:lineRule="auto"/>
              <w:jc w:val="center"/>
              <w:rPr>
                <w:rFonts w:hint="default" w:ascii="宋体" w:hAnsi="宋体" w:eastAsia="宋体" w:cs="宋体"/>
                <w:b/>
                <w:bCs/>
                <w:kern w:val="0"/>
                <w:sz w:val="24"/>
                <w:highlight w:val="white"/>
                <w:lang w:val="en-US" w:eastAsia="zh-CN"/>
              </w:rPr>
            </w:pPr>
            <w:r>
              <w:rPr>
                <w:rFonts w:hint="eastAsia" w:ascii="宋体" w:hAnsi="宋体" w:eastAsia="宋体" w:cs="宋体"/>
                <w:b/>
                <w:bCs/>
                <w:kern w:val="0"/>
                <w:sz w:val="24"/>
                <w:highlight w:val="white"/>
                <w:lang w:val="en-US" w:eastAsia="zh-CN"/>
              </w:rPr>
              <w:t>40</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14:paraId="5958CC3E">
            <w:pPr>
              <w:overflowPunct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sz w:val="24"/>
                <w:lang w:val="en-US" w:eastAsia="zh-CN"/>
              </w:rPr>
              <w:t>投标文件格式</w:t>
            </w:r>
          </w:p>
        </w:tc>
        <w:tc>
          <w:tcPr>
            <w:tcW w:w="6518" w:type="dxa"/>
            <w:tcBorders>
              <w:top w:val="single" w:color="auto" w:sz="4" w:space="0"/>
              <w:left w:val="single" w:color="auto" w:sz="4" w:space="0"/>
              <w:bottom w:val="single" w:color="auto" w:sz="4" w:space="0"/>
              <w:right w:val="single" w:color="auto" w:sz="4" w:space="0"/>
            </w:tcBorders>
            <w:shd w:val="clear" w:color="auto" w:fill="auto"/>
            <w:vAlign w:val="center"/>
          </w:tcPr>
          <w:p w14:paraId="52AD10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1.供应商应按竞争性谈判文件中提供的投标文件格式填写。</w:t>
            </w:r>
          </w:p>
          <w:p w14:paraId="01E45D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2.如竞争性谈判文件没有提供格式的，供应商可自行设置。</w:t>
            </w:r>
          </w:p>
          <w:p w14:paraId="01BD75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white"/>
                <w:lang w:val="en-US" w:eastAsia="zh-CN" w:bidi="ar-SA"/>
              </w:rPr>
            </w:pPr>
            <w:r>
              <w:rPr>
                <w:rFonts w:hint="eastAsia" w:ascii="宋体" w:hAnsi="宋体" w:eastAsia="宋体" w:cs="宋体"/>
                <w:color w:val="000000"/>
                <w:kern w:val="2"/>
                <w:sz w:val="24"/>
                <w:szCs w:val="24"/>
                <w:highlight w:val="white"/>
                <w:lang w:val="en-US" w:eastAsia="zh-CN" w:bidi="ar-SA"/>
              </w:rPr>
              <w:t>3.供应商应将投标文件按规定的顺序编排、并应编制目录、逐页标注连续页码。</w:t>
            </w:r>
          </w:p>
          <w:p w14:paraId="0DDD26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kern w:val="2"/>
                <w:sz w:val="24"/>
                <w:szCs w:val="24"/>
                <w:highlight w:val="white"/>
                <w:lang w:val="en-US" w:eastAsia="zh-CN" w:bidi="ar-SA"/>
              </w:rPr>
              <w:t>4.电报、电话、传真、电子邮件等形式的投标概不接受。</w:t>
            </w:r>
          </w:p>
        </w:tc>
      </w:tr>
      <w:tr w14:paraId="23BA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left w:val="single" w:color="auto" w:sz="4" w:space="0"/>
              <w:bottom w:val="single" w:color="auto" w:sz="4" w:space="0"/>
              <w:right w:val="single" w:color="auto" w:sz="4" w:space="0"/>
            </w:tcBorders>
            <w:vAlign w:val="center"/>
          </w:tcPr>
          <w:p w14:paraId="02C424C3">
            <w:pPr>
              <w:pStyle w:val="34"/>
              <w:spacing w:line="360" w:lineRule="auto"/>
              <w:jc w:val="center"/>
              <w:rPr>
                <w:rFonts w:hint="eastAsia" w:ascii="宋体" w:hAnsi="宋体" w:eastAsia="宋体" w:cs="宋体"/>
                <w:b/>
                <w:kern w:val="0"/>
                <w:sz w:val="24"/>
              </w:rPr>
            </w:pPr>
          </w:p>
        </w:tc>
        <w:tc>
          <w:tcPr>
            <w:tcW w:w="2664" w:type="dxa"/>
            <w:tcBorders>
              <w:top w:val="single" w:color="auto" w:sz="4" w:space="0"/>
              <w:left w:val="single" w:color="auto" w:sz="4" w:space="0"/>
              <w:bottom w:val="single" w:color="auto" w:sz="4" w:space="0"/>
              <w:right w:val="single" w:color="auto" w:sz="4" w:space="0"/>
            </w:tcBorders>
            <w:vAlign w:val="center"/>
          </w:tcPr>
          <w:p w14:paraId="22DB9C64">
            <w:pPr>
              <w:snapToGrid w:val="0"/>
              <w:spacing w:line="360" w:lineRule="auto"/>
              <w:jc w:val="center"/>
              <w:rPr>
                <w:rFonts w:hint="eastAsia" w:ascii="宋体" w:hAnsi="宋体" w:eastAsia="宋体" w:cs="宋体"/>
                <w:b w:val="0"/>
                <w:bCs/>
                <w:sz w:val="24"/>
                <w:lang w:val="zh-CN"/>
              </w:rPr>
            </w:pPr>
            <w:r>
              <w:rPr>
                <w:rFonts w:hint="eastAsia" w:ascii="宋体" w:hAnsi="宋体" w:eastAsia="宋体" w:cs="宋体"/>
                <w:b w:val="0"/>
                <w:bCs/>
                <w:sz w:val="24"/>
                <w:lang w:val="zh-CN"/>
              </w:rPr>
              <w:t>注意事项</w:t>
            </w:r>
          </w:p>
          <w:p w14:paraId="02FEBC46">
            <w:pPr>
              <w:pStyle w:val="34"/>
              <w:widowControl/>
              <w:wordWrap w:val="0"/>
              <w:rPr>
                <w:rFonts w:hint="eastAsia" w:ascii="宋体" w:hAnsi="宋体" w:eastAsia="宋体" w:cs="宋体"/>
                <w:b/>
                <w:bCs/>
                <w:kern w:val="0"/>
                <w:sz w:val="24"/>
                <w:highlight w:val="white"/>
              </w:rPr>
            </w:pPr>
          </w:p>
        </w:tc>
        <w:tc>
          <w:tcPr>
            <w:tcW w:w="6518" w:type="dxa"/>
            <w:tcBorders>
              <w:top w:val="single" w:color="auto" w:sz="4" w:space="0"/>
              <w:left w:val="single" w:color="auto" w:sz="4" w:space="0"/>
              <w:bottom w:val="single" w:color="auto" w:sz="4" w:space="0"/>
              <w:right w:val="single" w:color="auto" w:sz="4" w:space="0"/>
            </w:tcBorders>
            <w:vAlign w:val="top"/>
          </w:tcPr>
          <w:p w14:paraId="2478338E">
            <w:pPr>
              <w:pStyle w:val="47"/>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注意事项：</w:t>
            </w:r>
          </w:p>
          <w:p w14:paraId="33250C08">
            <w:pPr>
              <w:pStyle w:val="47"/>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）本项目采用远程不见面电子标的方式开标。</w:t>
            </w:r>
          </w:p>
          <w:p w14:paraId="04E18BB0">
            <w:pPr>
              <w:pStyle w:val="47"/>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0A53D4BD">
            <w:pPr>
              <w:pStyle w:val="47"/>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（3）供应商操作指南详见政府采购网办事指南、操作指南</w:t>
            </w:r>
          </w:p>
          <w:p w14:paraId="6FAD79B1">
            <w:pPr>
              <w:pStyle w:val="47"/>
              <w:spacing w:line="360" w:lineRule="auto"/>
              <w:rPr>
                <w:rFonts w:hint="eastAsia" w:ascii="宋体" w:hAnsi="宋体" w:eastAsia="宋体" w:cs="宋体"/>
                <w:sz w:val="24"/>
                <w:szCs w:val="24"/>
                <w:highlight w:val="white"/>
              </w:rPr>
            </w:pPr>
            <w:r>
              <w:rPr>
                <w:rFonts w:hint="eastAsia" w:ascii="宋体" w:hAnsi="宋体" w:eastAsia="宋体" w:cs="宋体"/>
                <w:sz w:val="24"/>
                <w:szCs w:val="24"/>
                <w:lang w:val="zh-CN"/>
              </w:rPr>
              <w:t>（4）系统操作问题请咨询技术支持电话0991-2899144，CA办理问题请咨询新疆CA服务电话0991-2819290</w:t>
            </w:r>
          </w:p>
        </w:tc>
      </w:tr>
    </w:tbl>
    <w:p w14:paraId="659FE8AE">
      <w:pPr>
        <w:spacing w:line="360" w:lineRule="auto"/>
        <w:rPr>
          <w:rFonts w:hint="eastAsia" w:ascii="宋体" w:hAnsi="宋体" w:eastAsia="宋体" w:cs="宋体"/>
          <w:b/>
          <w:sz w:val="24"/>
        </w:rPr>
      </w:pPr>
    </w:p>
    <w:p w14:paraId="010F1870">
      <w:pPr>
        <w:jc w:val="left"/>
        <w:rPr>
          <w:rFonts w:hint="eastAsia" w:ascii="宋体" w:hAnsi="宋体" w:eastAsia="宋体" w:cs="宋体"/>
          <w:b/>
          <w:sz w:val="32"/>
          <w:szCs w:val="32"/>
        </w:rPr>
      </w:pPr>
      <w:r>
        <w:rPr>
          <w:rFonts w:hint="eastAsia" w:ascii="宋体" w:hAnsi="宋体" w:eastAsia="宋体" w:cs="宋体"/>
          <w:b/>
          <w:sz w:val="32"/>
          <w:szCs w:val="32"/>
        </w:rPr>
        <w:br w:type="page"/>
      </w:r>
    </w:p>
    <w:p w14:paraId="7A0C14E6">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一、总则</w:t>
      </w:r>
      <w:bookmarkStart w:id="51" w:name="_Toc12439"/>
      <w:bookmarkStart w:id="52" w:name="_Toc24105"/>
    </w:p>
    <w:p w14:paraId="5AC142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bookmarkEnd w:id="51"/>
      <w:bookmarkEnd w:id="52"/>
      <w:r>
        <w:rPr>
          <w:rFonts w:hint="eastAsia" w:ascii="宋体" w:hAnsi="宋体" w:eastAsia="宋体" w:cs="宋体"/>
          <w:color w:val="auto"/>
          <w:sz w:val="24"/>
          <w:szCs w:val="24"/>
          <w:highlight w:val="none"/>
          <w:lang w:val="en-US" w:eastAsia="zh-CN"/>
        </w:rPr>
        <w:t>1. 项目说明</w:t>
      </w:r>
    </w:p>
    <w:p w14:paraId="266B3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本项目的说明详见投标须知前附表（以下简称“前附表”）所述。</w:t>
      </w:r>
    </w:p>
    <w:p w14:paraId="1CB04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1.2本采购项目已经批准，采购单位为</w:t>
      </w:r>
      <w:r>
        <w:rPr>
          <w:rFonts w:hint="eastAsia" w:ascii="宋体" w:hAnsi="宋体" w:cs="宋体"/>
          <w:color w:val="auto"/>
          <w:sz w:val="24"/>
          <w:szCs w:val="24"/>
          <w:highlight w:val="none"/>
          <w:lang w:val="en-US" w:eastAsia="zh-CN"/>
        </w:rPr>
        <w:t>博州边境管理支队</w:t>
      </w:r>
      <w:r>
        <w:rPr>
          <w:rFonts w:hint="eastAsia" w:ascii="宋体" w:hAnsi="宋体" w:eastAsia="宋体" w:cs="宋体"/>
          <w:color w:val="auto"/>
          <w:sz w:val="24"/>
          <w:szCs w:val="24"/>
          <w:highlight w:val="none"/>
          <w:lang w:val="en-US" w:eastAsia="zh-CN"/>
        </w:rPr>
        <w:t>，该项目已具备采购条件，现对该项目进行竞争性采购。</w:t>
      </w:r>
    </w:p>
    <w:p w14:paraId="4A0F23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1.3本采购项目供应商的资格审查采取资格后审方式。本次采购不接受联合体投标、不接受备选方案。</w:t>
      </w:r>
    </w:p>
    <w:p w14:paraId="7626F2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供应商必须符合供应商须知前附表说明，通过资格后审的供应商为合格的供应商。合格的供应商必须符合采购文件中对供应商的规定，且具备独立完成所投项目或所投标段的能力，中标后不允许转包、违法分包。</w:t>
      </w:r>
    </w:p>
    <w:p w14:paraId="72C4D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 资格后审包括下列的内容</w:t>
      </w:r>
    </w:p>
    <w:p w14:paraId="353CE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 供应商具有独立法人资格并满足“前附表”规定的资格要求 ；</w:t>
      </w:r>
    </w:p>
    <w:p w14:paraId="46DC3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1.4.2文件有要求供应商法定代表人或其授权代表签字或盖章和加盖供应商公章要求的，供应商须按采购文件要求签署；</w:t>
      </w:r>
    </w:p>
    <w:p w14:paraId="1D7ABE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1.4.3</w:t>
      </w:r>
      <w:r>
        <w:rPr>
          <w:rFonts w:hint="eastAsia" w:ascii="宋体" w:hAnsi="宋体" w:eastAsia="宋体" w:cs="宋体"/>
          <w:color w:val="auto"/>
          <w:sz w:val="24"/>
          <w:szCs w:val="24"/>
          <w:highlight w:val="none"/>
          <w:lang w:val="zh-CN" w:eastAsia="zh-CN"/>
        </w:rPr>
        <w:t>合同履约期限</w:t>
      </w:r>
      <w:r>
        <w:rPr>
          <w:rFonts w:hint="eastAsia" w:ascii="宋体" w:hAnsi="宋体" w:eastAsia="宋体" w:cs="宋体"/>
          <w:color w:val="auto"/>
          <w:sz w:val="24"/>
          <w:szCs w:val="24"/>
          <w:highlight w:val="none"/>
          <w:lang w:val="en-US" w:eastAsia="zh-CN"/>
        </w:rPr>
        <w:t>符合文件要求；</w:t>
      </w:r>
    </w:p>
    <w:p w14:paraId="7E62E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1.4.4项目地点符合文件规定；</w:t>
      </w:r>
    </w:p>
    <w:p w14:paraId="05BD0B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1.4.5投标内容、数量、质量、工程要求等满足文件要求；</w:t>
      </w:r>
    </w:p>
    <w:p w14:paraId="4BF52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1.4.6响应文件中所提条件均须符合采购人的要求；</w:t>
      </w:r>
    </w:p>
    <w:p w14:paraId="0535E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1.4.7符合文件中规定的其他实质性要求；</w:t>
      </w:r>
    </w:p>
    <w:p w14:paraId="3F4AD1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1.4.8无法律、法规和规章禁止的其他情况。</w:t>
      </w:r>
    </w:p>
    <w:p w14:paraId="61E4F9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采购范围</w:t>
      </w:r>
    </w:p>
    <w:p w14:paraId="4AA528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2.1本采购项目采购范围已通过文件第四部分所述，指本项目文件中范围内所要求的所有工作内容。</w:t>
      </w:r>
    </w:p>
    <w:p w14:paraId="5B5851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适用法律及约束力</w:t>
      </w:r>
    </w:p>
    <w:p w14:paraId="0AE5C2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本次采购及由本次采购产生的合同受中华人民共和国的相关法律、法规制约和保护。供应商一旦领取了文件并参加本项目，即被认为接受了文件中的所有条件和规定。</w:t>
      </w:r>
    </w:p>
    <w:p w14:paraId="16E9E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采购项目实施要求</w:t>
      </w:r>
    </w:p>
    <w:p w14:paraId="494655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zh-CN" w:eastAsia="zh-CN"/>
        </w:rPr>
        <w:t>合同履约期</w:t>
      </w:r>
      <w:r>
        <w:rPr>
          <w:rFonts w:hint="eastAsia" w:ascii="宋体" w:hAnsi="宋体" w:eastAsia="宋体" w:cs="宋体"/>
          <w:color w:val="auto"/>
          <w:sz w:val="24"/>
          <w:szCs w:val="24"/>
          <w:highlight w:val="none"/>
          <w:lang w:val="en-US" w:eastAsia="zh-CN"/>
        </w:rPr>
        <w:t>要求已在文件第四部分所述。</w:t>
      </w:r>
    </w:p>
    <w:p w14:paraId="7A5EC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 供应方与采购人签订合同后，按照文件及合同相关的要求到项目实施地点完成项目实施。</w:t>
      </w:r>
    </w:p>
    <w:p w14:paraId="3561A0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合同履约期</w:t>
      </w:r>
    </w:p>
    <w:p w14:paraId="249AC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val="zh-CN" w:eastAsia="zh-CN"/>
        </w:rPr>
        <w:t>合同履约期</w:t>
      </w:r>
      <w:r>
        <w:rPr>
          <w:rFonts w:hint="eastAsia" w:ascii="宋体" w:hAnsi="宋体" w:eastAsia="宋体" w:cs="宋体"/>
          <w:color w:val="auto"/>
          <w:sz w:val="24"/>
          <w:szCs w:val="24"/>
          <w:highlight w:val="none"/>
          <w:lang w:val="en-US" w:eastAsia="zh-CN"/>
        </w:rPr>
        <w:t>已通过“前附表”所述，是指项目验收合格并移交采购人的时间；项目地点已通过“前附表”所述。</w:t>
      </w:r>
    </w:p>
    <w:p w14:paraId="05FC07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资金来源</w:t>
      </w:r>
    </w:p>
    <w:p w14:paraId="3AD04C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6.1采购单位的资金通过“前附表”第 8 项所述的方式获得，并将部分资金用于本项目合同下的合格支付。</w:t>
      </w:r>
    </w:p>
    <w:p w14:paraId="77EE00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7.供应商资格要求</w:t>
      </w:r>
    </w:p>
    <w:p w14:paraId="06A37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7.1满足《中华人民共和国政府采购法》第二十二条规定；</w:t>
      </w:r>
    </w:p>
    <w:p w14:paraId="2FC59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本项目专门面向</w:t>
      </w:r>
      <w:r>
        <w:rPr>
          <w:rFonts w:hint="eastAsia" w:ascii="宋体" w:hAnsi="宋体" w:cs="宋体"/>
          <w:color w:val="auto"/>
          <w:sz w:val="24"/>
          <w:szCs w:val="24"/>
          <w:highlight w:val="none"/>
          <w:lang w:val="en-US" w:eastAsia="zh-CN"/>
        </w:rPr>
        <w:t>中小</w:t>
      </w:r>
      <w:r>
        <w:rPr>
          <w:rFonts w:hint="eastAsia" w:ascii="宋体" w:hAnsi="宋体" w:eastAsia="宋体" w:cs="宋体"/>
          <w:color w:val="auto"/>
          <w:sz w:val="24"/>
          <w:szCs w:val="24"/>
          <w:highlight w:val="none"/>
          <w:lang w:val="en-US" w:eastAsia="zh-CN"/>
        </w:rPr>
        <w:t>企业采购；</w:t>
      </w:r>
    </w:p>
    <w:p w14:paraId="615C63C3">
      <w:pPr>
        <w:pStyle w:val="23"/>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7.3本项目的特定资格要求：</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投标人须具备住房城乡建设主管部门颁发的房屋建筑工程施工总承包叁级（含叁级）以上资质，具备有效的安全生产许可证，并在人员、设备、资金等方面具有相应的施工能力。</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项目负责人须具备建筑工程专业注册二级建造师及以上执业资格，具备有效的安全生产考核合格证书（B证），且未担任其他在施建设工程项目的项目负责人、项目经理。</w:t>
      </w:r>
    </w:p>
    <w:p w14:paraId="39761E3F">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供应商未被列入“信用中国”网站(www.creditchina.gov.cn)证记录失信被执行人或重大税收违法案件当事人名单或政府采购严重违法失信行为”记录名单；未处于中国政府采购 网(www.ccgp.gov.cn)当政府采购严重违法失信行为信息记录”中；</w:t>
      </w:r>
    </w:p>
    <w:p w14:paraId="260B3C5E">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7.5</w:t>
      </w:r>
      <w:r>
        <w:rPr>
          <w:rFonts w:hint="eastAsia" w:ascii="宋体" w:hAnsi="宋体" w:eastAsia="宋体" w:cs="宋体"/>
          <w:sz w:val="24"/>
          <w:szCs w:val="24"/>
        </w:rPr>
        <w:t>单位负责人为同一人或者存在控股、管理关系的不同单位，不得同时参加本项目的投标。为本项目提供整体设计、规范编制或者项目管理、监理、检测等服务的投标人，不得再参加本项目投标；</w:t>
      </w:r>
    </w:p>
    <w:p w14:paraId="422268DB">
      <w:pPr>
        <w:pStyle w:val="23"/>
        <w:adjustRightInd w:val="0"/>
        <w:snapToGrid w:val="0"/>
        <w:spacing w:before="0" w:beforeAutospacing="0" w:after="0" w:afterAutospacing="0" w:line="360" w:lineRule="auto"/>
        <w:ind w:firstLine="480" w:firstLineChars="200"/>
        <w:rPr>
          <w:rFonts w:hint="eastAsia" w:ascii="宋体" w:hAnsi="宋体" w:eastAsia="宋体" w:cs="宋体"/>
        </w:rPr>
      </w:pPr>
      <w:r>
        <w:rPr>
          <w:rFonts w:hint="eastAsia" w:ascii="宋体" w:hAnsi="宋体" w:eastAsia="宋体" w:cs="宋体"/>
          <w:sz w:val="24"/>
          <w:szCs w:val="24"/>
          <w:lang w:val="en-US" w:eastAsia="zh-CN"/>
        </w:rPr>
        <w:t>7.6</w:t>
      </w:r>
      <w:r>
        <w:rPr>
          <w:rFonts w:hint="eastAsia" w:ascii="宋体" w:hAnsi="宋体" w:eastAsia="宋体" w:cs="宋体"/>
          <w:sz w:val="24"/>
          <w:szCs w:val="24"/>
        </w:rPr>
        <w:t>本项目不接受联合体投标。</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r>
        <w:rPr>
          <w:rFonts w:hint="eastAsia" w:ascii="宋体" w:hAnsi="宋体" w:eastAsia="宋体" w:cs="宋体"/>
        </w:rPr>
        <w:t xml:space="preserve">               </w:t>
      </w:r>
    </w:p>
    <w:p w14:paraId="48C32C68">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8. 投标费用</w:t>
      </w:r>
    </w:p>
    <w:p w14:paraId="5C5B6AED">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供应商应承担其编制响应文件与递交响应文件所涉及的一切费用，不论投标结果如何，采购人或采购代理机构均无义务和责任承担这些费用。</w:t>
      </w:r>
    </w:p>
    <w:p w14:paraId="7B04DD74">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 授权委托</w:t>
      </w:r>
    </w:p>
    <w:p w14:paraId="73DD0CF6">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 供应商代表为法定代表人的，应有法定代表人身份证明书和法定代表人身份证；供应商代表不是供应商的法定代表人的，应持有授权委托书和授权代表人的身份证。</w:t>
      </w:r>
    </w:p>
    <w:p w14:paraId="00466DB7">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联合体投标</w:t>
      </w:r>
    </w:p>
    <w:p w14:paraId="5FDE91F0">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10.1投标须知前附表规定接受联合体投标的，供应商可以联合体形式投标；联合体投标的，除应符合本章第9</w:t>
      </w:r>
      <w:r>
        <w:rPr>
          <w:rFonts w:hint="eastAsia" w:ascii="宋体" w:hAnsi="宋体" w:eastAsia="宋体" w:cs="宋体"/>
          <w:sz w:val="24"/>
          <w:szCs w:val="24"/>
          <w:lang w:val="zh-CN"/>
        </w:rPr>
        <w:t>款</w:t>
      </w:r>
      <w:r>
        <w:rPr>
          <w:rFonts w:hint="eastAsia" w:ascii="宋体" w:hAnsi="宋体" w:eastAsia="宋体" w:cs="宋体"/>
          <w:sz w:val="24"/>
          <w:szCs w:val="24"/>
        </w:rPr>
        <w:t xml:space="preserve">规定外，还应遵守以下规定： </w:t>
      </w:r>
    </w:p>
    <w:p w14:paraId="1ADAB6A2">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（l）联合体各方应按文件提供的格式签订联合协议，明确联合体牵头人和各方的权利义务、合同工作量比例；</w:t>
      </w:r>
    </w:p>
    <w:p w14:paraId="07CDCCEE">
      <w:pPr>
        <w:pStyle w:val="23"/>
        <w:adjustRightInd w:val="0"/>
        <w:snapToGrid w:val="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（2）联合体各方中至少应当有一方符合本章第7.3款规定的供应商特定资格条件；</w:t>
      </w:r>
    </w:p>
    <w:p w14:paraId="5CB73371">
      <w:pPr>
        <w:pStyle w:val="23"/>
        <w:adjustRightInd w:val="0"/>
        <w:snapToGrid w:val="0"/>
        <w:spacing w:before="0" w:beforeAutospacing="0" w:after="0" w:afterAutospacing="0" w:line="360" w:lineRule="auto"/>
        <w:ind w:firstLine="480" w:firstLineChars="200"/>
        <w:rPr>
          <w:rFonts w:hint="eastAsia" w:ascii="宋体" w:hAnsi="宋体" w:eastAsia="宋体" w:cs="宋体"/>
          <w:sz w:val="24"/>
        </w:rPr>
      </w:pPr>
      <w:r>
        <w:rPr>
          <w:rFonts w:hint="eastAsia" w:ascii="宋体" w:hAnsi="宋体" w:eastAsia="宋体" w:cs="宋体"/>
          <w:sz w:val="24"/>
          <w:szCs w:val="24"/>
        </w:rPr>
        <w:t>（3）联合体各方签订联合体协议书后，不得再单独参加或者与其他供应商组成</w:t>
      </w:r>
      <w:r>
        <w:rPr>
          <w:rFonts w:hint="eastAsia" w:ascii="宋体" w:hAnsi="宋体" w:eastAsia="宋体" w:cs="宋体"/>
          <w:bCs/>
          <w:kern w:val="0"/>
          <w:sz w:val="24"/>
        </w:rPr>
        <w:t>新的联合体参加同一项目的采购活动。</w:t>
      </w:r>
    </w:p>
    <w:p w14:paraId="78565B61">
      <w:pPr>
        <w:spacing w:line="360" w:lineRule="auto"/>
        <w:jc w:val="center"/>
        <w:rPr>
          <w:rFonts w:hint="eastAsia" w:ascii="宋体" w:hAnsi="宋体" w:eastAsia="宋体" w:cs="宋体"/>
          <w:b/>
          <w:bCs/>
          <w:sz w:val="24"/>
        </w:rPr>
      </w:pPr>
      <w:r>
        <w:rPr>
          <w:rFonts w:hint="eastAsia" w:ascii="宋体" w:hAnsi="宋体" w:eastAsia="宋体" w:cs="宋体"/>
          <w:b/>
          <w:sz w:val="32"/>
          <w:szCs w:val="32"/>
        </w:rPr>
        <w:t>二、文件</w:t>
      </w:r>
    </w:p>
    <w:p w14:paraId="5A6DECCD">
      <w:pPr>
        <w:spacing w:line="360" w:lineRule="auto"/>
        <w:ind w:firstLine="482" w:firstLineChars="200"/>
        <w:jc w:val="left"/>
        <w:outlineLvl w:val="0"/>
        <w:rPr>
          <w:rFonts w:hint="eastAsia" w:ascii="宋体" w:hAnsi="宋体" w:eastAsia="宋体" w:cs="宋体"/>
          <w:sz w:val="24"/>
        </w:rPr>
      </w:pPr>
      <w:bookmarkStart w:id="53" w:name="_Toc20940"/>
      <w:bookmarkStart w:id="54" w:name="_Toc21951"/>
      <w:bookmarkStart w:id="55" w:name="_Toc30887"/>
      <w:bookmarkStart w:id="56" w:name="_Toc22169"/>
      <w:bookmarkStart w:id="57" w:name="_Toc10962"/>
      <w:bookmarkStart w:id="58" w:name="_Toc490155531"/>
      <w:bookmarkStart w:id="59" w:name="_Toc489694828"/>
      <w:bookmarkStart w:id="60" w:name="_Toc8983598"/>
      <w:bookmarkStart w:id="61" w:name="_Toc22645"/>
      <w:bookmarkStart w:id="62" w:name="_Toc30290"/>
      <w:r>
        <w:rPr>
          <w:rFonts w:hint="eastAsia" w:ascii="宋体" w:hAnsi="宋体" w:eastAsia="宋体" w:cs="宋体"/>
          <w:b/>
          <w:bCs/>
          <w:sz w:val="24"/>
        </w:rPr>
        <w:t>1.文件构成</w:t>
      </w:r>
      <w:bookmarkEnd w:id="53"/>
      <w:bookmarkEnd w:id="54"/>
      <w:bookmarkEnd w:id="55"/>
      <w:bookmarkEnd w:id="56"/>
      <w:bookmarkEnd w:id="57"/>
      <w:bookmarkEnd w:id="58"/>
      <w:bookmarkEnd w:id="59"/>
      <w:bookmarkEnd w:id="60"/>
      <w:bookmarkEnd w:id="61"/>
      <w:bookmarkEnd w:id="62"/>
    </w:p>
    <w:p w14:paraId="0CC77804">
      <w:pPr>
        <w:spacing w:line="360" w:lineRule="auto"/>
        <w:jc w:val="left"/>
        <w:rPr>
          <w:rFonts w:hint="eastAsia" w:ascii="宋体" w:hAnsi="宋体" w:eastAsia="宋体" w:cs="宋体"/>
          <w:sz w:val="24"/>
        </w:rPr>
      </w:pPr>
      <w:r>
        <w:rPr>
          <w:rFonts w:hint="eastAsia" w:ascii="宋体" w:hAnsi="宋体" w:eastAsia="宋体" w:cs="宋体"/>
          <w:sz w:val="24"/>
        </w:rPr>
        <w:t xml:space="preserve">    第一部分 公告；</w:t>
      </w:r>
    </w:p>
    <w:p w14:paraId="2E43BED8">
      <w:pPr>
        <w:spacing w:line="360" w:lineRule="auto"/>
        <w:jc w:val="left"/>
        <w:rPr>
          <w:rFonts w:hint="eastAsia" w:ascii="宋体" w:hAnsi="宋体" w:eastAsia="宋体" w:cs="宋体"/>
          <w:sz w:val="24"/>
        </w:rPr>
      </w:pPr>
      <w:r>
        <w:rPr>
          <w:rFonts w:hint="eastAsia" w:ascii="宋体" w:hAnsi="宋体" w:eastAsia="宋体" w:cs="宋体"/>
          <w:sz w:val="24"/>
        </w:rPr>
        <w:t xml:space="preserve">    第二部分 供应商须知；</w:t>
      </w:r>
    </w:p>
    <w:p w14:paraId="5CD292B4">
      <w:pPr>
        <w:spacing w:line="360" w:lineRule="auto"/>
        <w:ind w:firstLine="480" w:firstLineChars="200"/>
        <w:jc w:val="left"/>
        <w:rPr>
          <w:rFonts w:hint="eastAsia" w:ascii="宋体" w:hAnsi="宋体" w:eastAsia="宋体" w:cs="宋体"/>
          <w:b/>
          <w:sz w:val="24"/>
        </w:rPr>
      </w:pPr>
      <w:r>
        <w:rPr>
          <w:rFonts w:hint="eastAsia" w:ascii="宋体" w:hAnsi="宋体" w:eastAsia="宋体" w:cs="宋体"/>
          <w:sz w:val="24"/>
        </w:rPr>
        <w:t>第三部分 授予合同；</w:t>
      </w:r>
    </w:p>
    <w:p w14:paraId="36AC420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第四部分 技术要求；</w:t>
      </w:r>
    </w:p>
    <w:p w14:paraId="5900A19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第五部分 </w:t>
      </w:r>
      <w:r>
        <w:rPr>
          <w:rFonts w:hint="eastAsia" w:ascii="宋体" w:hAnsi="宋体" w:eastAsia="宋体" w:cs="宋体"/>
          <w:kern w:val="0"/>
          <w:sz w:val="24"/>
        </w:rPr>
        <w:t>响应文件</w:t>
      </w:r>
      <w:r>
        <w:rPr>
          <w:rFonts w:hint="eastAsia" w:ascii="宋体" w:hAnsi="宋体" w:eastAsia="宋体" w:cs="宋体"/>
          <w:sz w:val="24"/>
        </w:rPr>
        <w:t>格式。</w:t>
      </w:r>
    </w:p>
    <w:p w14:paraId="7B26262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供应商获取文件后，应仔细检查文件页数和附件数量，如发现有缺漏，请及时与采购人联系补全。如果供应商不按上述要求操作而造成不良后果，采购人不承担责任。</w:t>
      </w:r>
    </w:p>
    <w:p w14:paraId="51FB853C">
      <w:pPr>
        <w:spacing w:line="360" w:lineRule="auto"/>
        <w:ind w:firstLine="482" w:firstLineChars="200"/>
        <w:outlineLvl w:val="0"/>
        <w:rPr>
          <w:rFonts w:hint="eastAsia" w:ascii="宋体" w:hAnsi="宋体" w:eastAsia="宋体" w:cs="宋体"/>
          <w:sz w:val="24"/>
        </w:rPr>
      </w:pPr>
      <w:bookmarkStart w:id="63" w:name="_Toc3299"/>
      <w:bookmarkStart w:id="64" w:name="_Toc1191"/>
      <w:bookmarkStart w:id="65" w:name="_Toc11971"/>
      <w:bookmarkStart w:id="66" w:name="_Toc8885"/>
      <w:bookmarkStart w:id="67" w:name="_Toc490155532"/>
      <w:bookmarkStart w:id="68" w:name="_Toc11320"/>
      <w:bookmarkStart w:id="69" w:name="_Toc17002"/>
      <w:bookmarkStart w:id="70" w:name="_Toc489694829"/>
      <w:bookmarkStart w:id="71" w:name="_Toc8983599"/>
      <w:bookmarkStart w:id="72" w:name="_Toc9319"/>
      <w:r>
        <w:rPr>
          <w:rFonts w:hint="eastAsia" w:ascii="宋体" w:hAnsi="宋体" w:eastAsia="宋体" w:cs="宋体"/>
          <w:b/>
          <w:bCs/>
          <w:sz w:val="24"/>
        </w:rPr>
        <w:t>2.文件的澄清</w:t>
      </w:r>
      <w:bookmarkEnd w:id="63"/>
      <w:bookmarkEnd w:id="64"/>
      <w:bookmarkEnd w:id="65"/>
      <w:bookmarkEnd w:id="66"/>
      <w:bookmarkEnd w:id="67"/>
      <w:bookmarkEnd w:id="68"/>
      <w:bookmarkEnd w:id="69"/>
      <w:bookmarkEnd w:id="70"/>
      <w:bookmarkEnd w:id="71"/>
      <w:bookmarkEnd w:id="72"/>
    </w:p>
    <w:p w14:paraId="5BBA7F5D">
      <w:pPr>
        <w:spacing w:line="360" w:lineRule="auto"/>
        <w:ind w:firstLine="480" w:firstLineChars="200"/>
        <w:jc w:val="left"/>
        <w:outlineLvl w:val="0"/>
        <w:rPr>
          <w:rFonts w:hint="eastAsia" w:ascii="宋体" w:hAnsi="宋体" w:eastAsia="宋体" w:cs="宋体"/>
          <w:sz w:val="24"/>
        </w:rPr>
      </w:pPr>
      <w:bookmarkStart w:id="73" w:name="_Toc2360"/>
      <w:bookmarkStart w:id="74" w:name="_Toc490155533"/>
      <w:bookmarkStart w:id="75" w:name="_Toc5743"/>
      <w:bookmarkStart w:id="76" w:name="_Toc28654"/>
      <w:bookmarkStart w:id="77" w:name="_Toc8379"/>
      <w:bookmarkStart w:id="78" w:name="_Toc8983600"/>
      <w:bookmarkStart w:id="79" w:name="_Toc489694830"/>
      <w:bookmarkStart w:id="80" w:name="_Toc29687"/>
      <w:bookmarkStart w:id="81" w:name="_Toc25023"/>
      <w:bookmarkStart w:id="82" w:name="_Toc8138"/>
      <w:r>
        <w:rPr>
          <w:rFonts w:hint="eastAsia" w:ascii="宋体" w:hAnsi="宋体" w:eastAsia="宋体" w:cs="宋体"/>
          <w:sz w:val="24"/>
        </w:rPr>
        <w:t>2.1 任何要求对文件进行澄清的供应商，均应在投标截止时间至少3日前以书面形式通知采购代理机构，采购代理机构负责答复所提问题，但不包括问题的来源。</w:t>
      </w:r>
      <w:bookmarkEnd w:id="73"/>
      <w:bookmarkEnd w:id="74"/>
      <w:bookmarkEnd w:id="75"/>
      <w:bookmarkEnd w:id="76"/>
      <w:bookmarkEnd w:id="77"/>
      <w:bookmarkEnd w:id="78"/>
      <w:bookmarkEnd w:id="79"/>
    </w:p>
    <w:p w14:paraId="5B6CA033">
      <w:pPr>
        <w:spacing w:line="360" w:lineRule="auto"/>
        <w:ind w:firstLine="480" w:firstLineChars="200"/>
        <w:jc w:val="left"/>
        <w:outlineLvl w:val="0"/>
        <w:rPr>
          <w:rFonts w:hint="eastAsia" w:ascii="宋体" w:hAnsi="宋体" w:eastAsia="宋体" w:cs="宋体"/>
          <w:sz w:val="24"/>
        </w:rPr>
      </w:pPr>
      <w:bookmarkStart w:id="83" w:name="_Toc14409"/>
      <w:bookmarkStart w:id="84" w:name="_Toc8983601"/>
      <w:bookmarkStart w:id="85" w:name="_Toc490155534"/>
      <w:bookmarkStart w:id="86" w:name="_Toc31105"/>
      <w:bookmarkStart w:id="87" w:name="_Toc1006"/>
      <w:bookmarkStart w:id="88" w:name="_Toc489694831"/>
      <w:bookmarkStart w:id="89" w:name="_Toc32317"/>
      <w:r>
        <w:rPr>
          <w:rFonts w:hint="eastAsia" w:ascii="宋体" w:hAnsi="宋体" w:eastAsia="宋体" w:cs="宋体"/>
          <w:sz w:val="24"/>
        </w:rPr>
        <w:t>2.2 文件的澄清内容可能影响响应文件编制且澄清发出时间距投标截止时间不足3日的，为使供应商在准备响应文件时有合理的时间考虑文件的澄清，采购人/采购代理机构可顺延投标截止时间。</w:t>
      </w:r>
      <w:bookmarkEnd w:id="83"/>
      <w:bookmarkEnd w:id="84"/>
      <w:bookmarkEnd w:id="85"/>
      <w:bookmarkEnd w:id="86"/>
      <w:bookmarkEnd w:id="87"/>
      <w:bookmarkEnd w:id="88"/>
      <w:bookmarkEnd w:id="89"/>
    </w:p>
    <w:p w14:paraId="178E0733">
      <w:pPr>
        <w:spacing w:line="360" w:lineRule="auto"/>
        <w:ind w:firstLine="482" w:firstLineChars="200"/>
        <w:jc w:val="left"/>
        <w:outlineLvl w:val="0"/>
        <w:rPr>
          <w:rFonts w:hint="eastAsia" w:ascii="宋体" w:hAnsi="宋体" w:eastAsia="宋体" w:cs="宋体"/>
          <w:b/>
          <w:bCs/>
          <w:sz w:val="24"/>
        </w:rPr>
      </w:pPr>
      <w:bookmarkStart w:id="90" w:name="_Toc23548"/>
      <w:bookmarkStart w:id="91" w:name="_Toc8983602"/>
      <w:bookmarkStart w:id="92" w:name="_Toc27010"/>
      <w:bookmarkStart w:id="93" w:name="_Toc490155535"/>
      <w:bookmarkStart w:id="94" w:name="_Toc489694832"/>
      <w:bookmarkStart w:id="95" w:name="_Toc23254"/>
      <w:bookmarkStart w:id="96" w:name="_Toc19987"/>
      <w:r>
        <w:rPr>
          <w:rFonts w:hint="eastAsia" w:ascii="宋体" w:hAnsi="宋体" w:eastAsia="宋体" w:cs="宋体"/>
          <w:b/>
          <w:bCs/>
          <w:sz w:val="24"/>
        </w:rPr>
        <w:t>3.文件的修改</w:t>
      </w:r>
      <w:bookmarkEnd w:id="80"/>
      <w:bookmarkEnd w:id="81"/>
      <w:bookmarkEnd w:id="82"/>
      <w:bookmarkEnd w:id="90"/>
      <w:bookmarkEnd w:id="91"/>
      <w:bookmarkEnd w:id="92"/>
      <w:bookmarkEnd w:id="93"/>
      <w:bookmarkEnd w:id="94"/>
      <w:bookmarkEnd w:id="95"/>
      <w:bookmarkEnd w:id="96"/>
    </w:p>
    <w:p w14:paraId="532AD1B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3.1在响应文件接收截止日期前，采购人可以更正公告或补充文件的形式对文件进行修改。</w:t>
      </w:r>
    </w:p>
    <w:p w14:paraId="3040ACF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3.2文件的</w:t>
      </w:r>
      <w:r>
        <w:rPr>
          <w:rFonts w:hint="default" w:hAnsi="宋体" w:cs="宋体"/>
          <w:sz w:val="24"/>
          <w:szCs w:val="24"/>
        </w:rPr>
        <w:t>澄清或修改</w:t>
      </w:r>
      <w:r>
        <w:rPr>
          <w:rFonts w:hint="eastAsia" w:ascii="宋体" w:hAnsi="宋体" w:eastAsia="宋体" w:cs="宋体"/>
          <w:sz w:val="24"/>
        </w:rPr>
        <w:t>采购人或者采购代理机构应当在投标截止时间至少3日前</w:t>
      </w:r>
      <w:r>
        <w:rPr>
          <w:rFonts w:hint="default" w:hAnsi="宋体" w:cs="宋体"/>
          <w:sz w:val="24"/>
          <w:szCs w:val="24"/>
        </w:rPr>
        <w:t>以发布澄清或变更公告为准（同招标公告发布网站），</w:t>
      </w:r>
      <w:r>
        <w:rPr>
          <w:rFonts w:hint="eastAsia" w:ascii="宋体" w:hAnsi="宋体" w:eastAsia="宋体" w:cs="宋体"/>
          <w:sz w:val="24"/>
        </w:rPr>
        <w:t>不足3日的，采购人或者采购代理机构应当顺延提交响应文件的截止时间。</w:t>
      </w:r>
    </w:p>
    <w:p w14:paraId="5F73E98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3.3代理机构发出的所有补充、修改和变更文件均作为文件的组成部分，与文件具有同等法律效力。</w:t>
      </w:r>
    </w:p>
    <w:p w14:paraId="03427268">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三、响应文件的编制</w:t>
      </w:r>
    </w:p>
    <w:p w14:paraId="29EFDE0D">
      <w:pPr>
        <w:spacing w:line="360" w:lineRule="auto"/>
        <w:ind w:firstLine="482" w:firstLineChars="200"/>
        <w:jc w:val="left"/>
        <w:outlineLvl w:val="0"/>
        <w:rPr>
          <w:rFonts w:hint="eastAsia" w:ascii="宋体" w:hAnsi="宋体" w:eastAsia="宋体" w:cs="宋体"/>
          <w:b/>
          <w:bCs/>
          <w:sz w:val="24"/>
        </w:rPr>
      </w:pPr>
      <w:bookmarkStart w:id="97" w:name="_Toc490155536"/>
      <w:bookmarkStart w:id="98" w:name="_Toc4613"/>
      <w:bookmarkStart w:id="99" w:name="_Toc16774"/>
      <w:bookmarkStart w:id="100" w:name="_Toc16867"/>
      <w:bookmarkStart w:id="101" w:name="_Toc489694833"/>
      <w:bookmarkStart w:id="102" w:name="_Toc29360"/>
      <w:bookmarkStart w:id="103" w:name="_Toc2521"/>
      <w:bookmarkStart w:id="104" w:name="_Toc8983603"/>
      <w:bookmarkStart w:id="105" w:name="_Toc1710"/>
      <w:bookmarkStart w:id="106" w:name="_Toc16886"/>
      <w:r>
        <w:rPr>
          <w:rFonts w:hint="eastAsia" w:ascii="宋体" w:hAnsi="宋体" w:eastAsia="宋体" w:cs="宋体"/>
          <w:b/>
          <w:bCs/>
          <w:sz w:val="24"/>
        </w:rPr>
        <w:t>1.响应文件的编制要求</w:t>
      </w:r>
      <w:bookmarkEnd w:id="97"/>
      <w:bookmarkEnd w:id="98"/>
      <w:bookmarkEnd w:id="99"/>
      <w:bookmarkEnd w:id="100"/>
      <w:bookmarkEnd w:id="101"/>
      <w:bookmarkEnd w:id="102"/>
      <w:bookmarkEnd w:id="103"/>
      <w:bookmarkEnd w:id="104"/>
      <w:bookmarkEnd w:id="105"/>
      <w:bookmarkEnd w:id="106"/>
    </w:p>
    <w:p w14:paraId="197E59A2">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仔细阅读“文件”的所有内容，响应文件应用中文编写。响应文件的书面内容不得有加行、涂抹或改写。响应文件应当采用政采云线上上传方式；采购人及采购代理机构不接受电报、电话、传真投标。供应商应按“文件”的要求编制“响应文件”，并保证所提供的全部资料的真实性、完整性及有效性，以使其投标对“文件”作出实质性响应。否则，响应文件可能被拒绝。对同项目以同一供应商名义，上传两套或以上的响应文件，其投标无效。</w:t>
      </w:r>
    </w:p>
    <w:p w14:paraId="79643F8C">
      <w:pPr>
        <w:spacing w:line="360" w:lineRule="auto"/>
        <w:ind w:firstLine="482" w:firstLineChars="200"/>
        <w:jc w:val="left"/>
        <w:outlineLvl w:val="0"/>
        <w:rPr>
          <w:rFonts w:hint="eastAsia" w:ascii="宋体" w:hAnsi="宋体" w:eastAsia="宋体" w:cs="宋体"/>
          <w:b/>
          <w:bCs/>
          <w:sz w:val="24"/>
        </w:rPr>
      </w:pPr>
      <w:bookmarkStart w:id="107" w:name="_Toc489694834"/>
      <w:bookmarkStart w:id="108" w:name="_Toc8983604"/>
      <w:bookmarkStart w:id="109" w:name="_Toc490155537"/>
      <w:bookmarkStart w:id="110" w:name="_Toc24459"/>
      <w:bookmarkStart w:id="111" w:name="_Toc11034"/>
      <w:bookmarkStart w:id="112" w:name="_Toc10201"/>
      <w:bookmarkStart w:id="113" w:name="_Toc1320"/>
      <w:bookmarkStart w:id="114" w:name="_Toc4819"/>
      <w:bookmarkStart w:id="115" w:name="_Toc12827"/>
      <w:bookmarkStart w:id="116" w:name="_Toc26523"/>
      <w:r>
        <w:rPr>
          <w:rFonts w:hint="eastAsia" w:ascii="宋体" w:hAnsi="宋体" w:eastAsia="宋体" w:cs="宋体"/>
          <w:b/>
          <w:bCs/>
          <w:sz w:val="24"/>
        </w:rPr>
        <w:t>2.</w:t>
      </w:r>
      <w:bookmarkEnd w:id="107"/>
      <w:bookmarkEnd w:id="108"/>
      <w:bookmarkEnd w:id="109"/>
      <w:bookmarkEnd w:id="110"/>
      <w:bookmarkEnd w:id="111"/>
      <w:bookmarkEnd w:id="112"/>
      <w:r>
        <w:rPr>
          <w:rFonts w:hint="eastAsia" w:ascii="宋体" w:hAnsi="宋体" w:eastAsia="宋体" w:cs="宋体"/>
          <w:b/>
          <w:bCs/>
          <w:sz w:val="24"/>
        </w:rPr>
        <w:t>响应文件的组成</w:t>
      </w:r>
      <w:bookmarkEnd w:id="113"/>
      <w:bookmarkEnd w:id="114"/>
      <w:bookmarkEnd w:id="115"/>
      <w:bookmarkEnd w:id="116"/>
    </w:p>
    <w:p w14:paraId="7E69FA5F">
      <w:pPr>
        <w:spacing w:line="360" w:lineRule="auto"/>
        <w:ind w:firstLine="480" w:firstLineChars="200"/>
        <w:jc w:val="left"/>
        <w:outlineLvl w:val="0"/>
        <w:rPr>
          <w:rFonts w:hint="eastAsia" w:ascii="宋体" w:hAnsi="宋体" w:eastAsia="宋体" w:cs="宋体"/>
          <w:sz w:val="24"/>
        </w:rPr>
      </w:pPr>
      <w:bookmarkStart w:id="117" w:name="_Toc15370"/>
      <w:bookmarkStart w:id="118" w:name="_Toc31961"/>
      <w:bookmarkStart w:id="119" w:name="_Toc28390"/>
      <w:bookmarkStart w:id="120" w:name="_Toc13716"/>
      <w:bookmarkStart w:id="121" w:name="_Toc490155539"/>
      <w:bookmarkStart w:id="122" w:name="_Toc8983605"/>
      <w:bookmarkStart w:id="123" w:name="_Toc18022"/>
      <w:bookmarkStart w:id="124" w:name="_Toc26401"/>
      <w:bookmarkStart w:id="125" w:name="_Toc489694836"/>
      <w:bookmarkStart w:id="126" w:name="_Toc24426"/>
      <w:r>
        <w:rPr>
          <w:rFonts w:hint="eastAsia" w:ascii="宋体" w:hAnsi="宋体" w:eastAsia="宋体" w:cs="宋体"/>
          <w:sz w:val="24"/>
        </w:rPr>
        <w:t>响应文件应分为“商务文件”和“技术文件”两个部分组成。</w:t>
      </w:r>
      <w:bookmarkEnd w:id="117"/>
      <w:bookmarkEnd w:id="118"/>
      <w:bookmarkEnd w:id="119"/>
      <w:bookmarkEnd w:id="120"/>
    </w:p>
    <w:p w14:paraId="0AAF350B">
      <w:pPr>
        <w:spacing w:line="360" w:lineRule="auto"/>
        <w:ind w:firstLine="480" w:firstLineChars="200"/>
        <w:jc w:val="left"/>
        <w:outlineLvl w:val="0"/>
        <w:rPr>
          <w:rFonts w:hint="eastAsia" w:ascii="宋体" w:hAnsi="宋体" w:eastAsia="宋体" w:cs="宋体"/>
          <w:sz w:val="24"/>
          <w:lang w:eastAsia="zh-CN"/>
        </w:rPr>
      </w:pPr>
      <w:bookmarkStart w:id="127" w:name="_Toc150"/>
      <w:bookmarkStart w:id="128" w:name="_Toc21195"/>
      <w:bookmarkStart w:id="129" w:name="_Toc24899"/>
      <w:bookmarkStart w:id="130" w:name="_Toc1762"/>
      <w:r>
        <w:rPr>
          <w:rFonts w:hint="eastAsia" w:ascii="宋体" w:hAnsi="宋体" w:eastAsia="宋体" w:cs="宋体"/>
          <w:sz w:val="24"/>
        </w:rPr>
        <w:t>2.1</w:t>
      </w:r>
      <w:bookmarkEnd w:id="127"/>
      <w:bookmarkEnd w:id="128"/>
      <w:r>
        <w:rPr>
          <w:rFonts w:hint="eastAsia" w:ascii="宋体" w:hAnsi="宋体" w:eastAsia="宋体" w:cs="宋体"/>
          <w:sz w:val="24"/>
          <w:lang w:val="en-US" w:eastAsia="zh-CN"/>
        </w:rPr>
        <w:t>经济部分</w:t>
      </w:r>
      <w:bookmarkEnd w:id="129"/>
      <w:bookmarkEnd w:id="130"/>
    </w:p>
    <w:p w14:paraId="783C1F37">
      <w:pPr>
        <w:spacing w:line="360" w:lineRule="auto"/>
        <w:ind w:firstLine="480" w:firstLineChars="200"/>
        <w:jc w:val="left"/>
        <w:outlineLvl w:val="0"/>
        <w:rPr>
          <w:rFonts w:hint="eastAsia" w:ascii="宋体" w:hAnsi="宋体" w:eastAsia="宋体" w:cs="宋体"/>
          <w:sz w:val="24"/>
        </w:rPr>
      </w:pPr>
      <w:bookmarkStart w:id="131" w:name="_Toc9083"/>
      <w:bookmarkStart w:id="132" w:name="_Toc13486"/>
      <w:bookmarkStart w:id="133" w:name="_Toc31435"/>
      <w:bookmarkStart w:id="134" w:name="_Toc22546"/>
      <w:r>
        <w:rPr>
          <w:rFonts w:hint="eastAsia" w:ascii="宋体" w:hAnsi="宋体" w:eastAsia="宋体" w:cs="宋体"/>
          <w:sz w:val="24"/>
        </w:rPr>
        <w:t>2.2</w:t>
      </w:r>
      <w:r>
        <w:rPr>
          <w:rFonts w:hint="eastAsia" w:ascii="宋体" w:hAnsi="宋体" w:eastAsia="宋体" w:cs="宋体"/>
          <w:sz w:val="24"/>
          <w:lang w:val="en-US" w:eastAsia="zh-CN"/>
        </w:rPr>
        <w:t>商务</w:t>
      </w:r>
      <w:r>
        <w:rPr>
          <w:rFonts w:hint="eastAsia" w:ascii="宋体" w:hAnsi="宋体" w:eastAsia="宋体" w:cs="宋体"/>
          <w:sz w:val="24"/>
        </w:rPr>
        <w:t>技术文件</w:t>
      </w:r>
      <w:bookmarkEnd w:id="131"/>
      <w:bookmarkEnd w:id="132"/>
      <w:bookmarkEnd w:id="133"/>
      <w:bookmarkEnd w:id="134"/>
    </w:p>
    <w:p w14:paraId="55EF7E06">
      <w:pPr>
        <w:spacing w:line="360" w:lineRule="auto"/>
        <w:ind w:firstLine="482" w:firstLineChars="200"/>
        <w:jc w:val="left"/>
        <w:outlineLvl w:val="0"/>
        <w:rPr>
          <w:rFonts w:hint="eastAsia" w:ascii="宋体" w:hAnsi="宋体" w:eastAsia="宋体" w:cs="宋体"/>
          <w:sz w:val="24"/>
        </w:rPr>
      </w:pPr>
      <w:bookmarkStart w:id="135" w:name="_Toc26499"/>
      <w:bookmarkStart w:id="136" w:name="_Toc1204"/>
      <w:bookmarkStart w:id="137" w:name="_Toc9474"/>
      <w:bookmarkStart w:id="138" w:name="_Toc9441"/>
      <w:r>
        <w:rPr>
          <w:rFonts w:hint="eastAsia" w:ascii="宋体" w:hAnsi="宋体" w:eastAsia="宋体" w:cs="宋体"/>
          <w:b/>
          <w:bCs/>
          <w:sz w:val="24"/>
        </w:rPr>
        <w:t>3.响应文件格式</w:t>
      </w:r>
      <w:bookmarkEnd w:id="121"/>
      <w:bookmarkEnd w:id="122"/>
      <w:bookmarkEnd w:id="123"/>
      <w:bookmarkEnd w:id="124"/>
      <w:bookmarkEnd w:id="125"/>
      <w:bookmarkEnd w:id="126"/>
      <w:bookmarkEnd w:id="135"/>
      <w:bookmarkEnd w:id="136"/>
      <w:bookmarkEnd w:id="137"/>
      <w:bookmarkEnd w:id="138"/>
    </w:p>
    <w:p w14:paraId="2B8EF241">
      <w:pPr>
        <w:spacing w:before="28" w:line="360" w:lineRule="auto"/>
        <w:ind w:left="18" w:firstLine="470" w:firstLineChars="200"/>
        <w:rPr>
          <w:rFonts w:hint="eastAsia" w:ascii="宋体" w:hAnsi="宋体" w:eastAsia="宋体" w:cs="宋体"/>
          <w:b/>
          <w:bCs/>
          <w:color w:val="auto"/>
          <w:sz w:val="24"/>
          <w:szCs w:val="24"/>
          <w:highlight w:val="none"/>
        </w:rPr>
      </w:pPr>
      <w:bookmarkStart w:id="139" w:name="_Toc27609"/>
      <w:bookmarkStart w:id="140" w:name="_Toc5953"/>
      <w:bookmarkStart w:id="141" w:name="_Toc8983606"/>
      <w:r>
        <w:rPr>
          <w:rFonts w:hint="eastAsia" w:ascii="宋体" w:hAnsi="宋体" w:eastAsia="宋体" w:cs="宋体"/>
          <w:b/>
          <w:bCs/>
          <w:color w:val="auto"/>
          <w:spacing w:val="-3"/>
          <w:sz w:val="24"/>
          <w:szCs w:val="24"/>
          <w:highlight w:val="none"/>
        </w:rPr>
        <w:t>一、资格审查资料</w:t>
      </w:r>
    </w:p>
    <w:p w14:paraId="2B165851">
      <w:pPr>
        <w:spacing w:before="1" w:line="360" w:lineRule="auto"/>
        <w:ind w:left="17" w:firstLine="470" w:firstLineChars="200"/>
        <w:rPr>
          <w:rFonts w:hint="eastAsia" w:ascii="宋体" w:hAnsi="宋体" w:eastAsia="宋体" w:cs="宋体"/>
          <w:b/>
          <w:bCs/>
          <w:color w:val="auto"/>
          <w:sz w:val="24"/>
          <w:szCs w:val="24"/>
          <w:highlight w:val="none"/>
        </w:rPr>
      </w:pPr>
      <w:r>
        <w:rPr>
          <w:rFonts w:hint="eastAsia" w:ascii="宋体" w:hAnsi="宋体" w:cs="宋体"/>
          <w:b/>
          <w:bCs/>
          <w:color w:val="auto"/>
          <w:spacing w:val="-3"/>
          <w:sz w:val="24"/>
          <w:szCs w:val="24"/>
          <w:highlight w:val="none"/>
          <w:lang w:val="en-US" w:eastAsia="zh-CN"/>
        </w:rPr>
        <w:t>二</w:t>
      </w:r>
      <w:r>
        <w:rPr>
          <w:rFonts w:hint="eastAsia" w:ascii="宋体" w:hAnsi="宋体" w:eastAsia="宋体" w:cs="宋体"/>
          <w:b/>
          <w:bCs/>
          <w:color w:val="auto"/>
          <w:spacing w:val="-3"/>
          <w:sz w:val="24"/>
          <w:szCs w:val="24"/>
          <w:highlight w:val="none"/>
        </w:rPr>
        <w:t>、商务技术文件</w:t>
      </w:r>
    </w:p>
    <w:p w14:paraId="5CE44108">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1、投标函</w:t>
      </w:r>
    </w:p>
    <w:p w14:paraId="5EC9DE48">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2、☆开标一览表</w:t>
      </w:r>
    </w:p>
    <w:p w14:paraId="17954E6B">
      <w:pPr>
        <w:snapToGrid w:val="0"/>
        <w:spacing w:line="360" w:lineRule="auto"/>
        <w:ind w:left="23" w:leftChars="11" w:firstLine="494" w:firstLineChars="213"/>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3、☆</w:t>
      </w:r>
      <w:r>
        <w:rPr>
          <w:rFonts w:hint="eastAsia" w:ascii="宋体" w:hAnsi="宋体" w:cs="宋体"/>
          <w:color w:val="auto"/>
          <w:spacing w:val="-4"/>
          <w:sz w:val="24"/>
          <w:szCs w:val="24"/>
          <w:highlight w:val="none"/>
          <w:lang w:val="en-US" w:eastAsia="zh-CN"/>
        </w:rPr>
        <w:t>标价工程量清单</w:t>
      </w:r>
    </w:p>
    <w:p w14:paraId="18E09A90">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4、、投标人近年类似项目业绩（如有）</w:t>
      </w:r>
    </w:p>
    <w:p w14:paraId="7EC159F5">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、拟派项目负责人</w:t>
      </w:r>
    </w:p>
    <w:p w14:paraId="1DE3C0CA">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、拟派项目团队人员</w:t>
      </w:r>
    </w:p>
    <w:p w14:paraId="412B3BAF">
      <w:pPr>
        <w:snapToGrid w:val="0"/>
        <w:spacing w:line="360" w:lineRule="auto"/>
        <w:ind w:left="23" w:leftChars="11" w:firstLine="494" w:firstLineChars="213"/>
        <w:rPr>
          <w:rFonts w:hint="eastAsia" w:ascii="宋体" w:hAnsi="宋体" w:eastAsia="宋体" w:cs="宋体"/>
          <w:color w:val="auto"/>
          <w:spacing w:val="-4"/>
          <w:sz w:val="24"/>
          <w:szCs w:val="24"/>
          <w:highlight w:val="none"/>
        </w:rPr>
      </w:pPr>
      <w:r>
        <w:rPr>
          <w:rFonts w:hint="eastAsia" w:ascii="宋体" w:hAnsi="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、供应商认为有必要提供的声明及文件资料</w:t>
      </w:r>
      <w:r>
        <w:rPr>
          <w:rFonts w:hint="eastAsia" w:ascii="宋体" w:hAnsi="宋体" w:cs="宋体"/>
          <w:color w:val="auto"/>
          <w:spacing w:val="-4"/>
          <w:sz w:val="24"/>
          <w:szCs w:val="24"/>
          <w:highlight w:val="none"/>
          <w:lang w:val="en-US" w:eastAsia="zh-CN"/>
        </w:rPr>
        <w:t>及技术文件</w:t>
      </w:r>
      <w:r>
        <w:rPr>
          <w:rFonts w:hint="eastAsia" w:ascii="宋体" w:hAnsi="宋体" w:eastAsia="宋体" w:cs="宋体"/>
          <w:color w:val="auto"/>
          <w:spacing w:val="-4"/>
          <w:sz w:val="24"/>
          <w:szCs w:val="24"/>
          <w:highlight w:val="none"/>
        </w:rPr>
        <w:t>；</w:t>
      </w:r>
    </w:p>
    <w:p w14:paraId="4F5D3B8F">
      <w:pPr>
        <w:snapToGrid w:val="0"/>
        <w:spacing w:line="360" w:lineRule="auto"/>
        <w:ind w:left="23" w:leftChars="11" w:firstLine="494" w:firstLineChars="213"/>
        <w:rPr>
          <w:rFonts w:hint="eastAsia" w:ascii="宋体" w:hAnsi="宋体" w:eastAsia="宋体" w:cs="宋体"/>
          <w:b/>
          <w:sz w:val="24"/>
          <w:szCs w:val="24"/>
          <w:highlight w:val="none"/>
          <w:u w:val="single"/>
        </w:rPr>
      </w:pPr>
      <w:r>
        <w:rPr>
          <w:rFonts w:hint="eastAsia" w:ascii="宋体" w:hAnsi="宋体" w:eastAsia="宋体" w:cs="宋体"/>
          <w:color w:val="auto"/>
          <w:spacing w:val="-4"/>
          <w:sz w:val="24"/>
          <w:szCs w:val="24"/>
          <w:highlight w:val="none"/>
        </w:rPr>
        <w:t xml:space="preserve">其他：可根据项目招标参数要求自行编写标书内容  </w:t>
      </w:r>
      <w:r>
        <w:rPr>
          <w:rFonts w:hint="eastAsia" w:ascii="宋体" w:hAnsi="宋体" w:eastAsia="宋体" w:cs="宋体"/>
          <w:b/>
          <w:sz w:val="24"/>
          <w:szCs w:val="24"/>
          <w:highlight w:val="none"/>
          <w:u w:val="single"/>
        </w:rPr>
        <w:t>以上所需的各种营业执照、证书等证明材料需</w:t>
      </w:r>
      <w:r>
        <w:rPr>
          <w:rFonts w:hint="eastAsia" w:ascii="宋体" w:hAnsi="宋体" w:cs="宋体"/>
          <w:b/>
          <w:sz w:val="24"/>
          <w:szCs w:val="24"/>
          <w:highlight w:val="none"/>
          <w:u w:val="single"/>
          <w:lang w:val="en-US" w:eastAsia="zh-CN"/>
        </w:rPr>
        <w:t>加盖</w:t>
      </w:r>
      <w:r>
        <w:rPr>
          <w:rFonts w:hint="eastAsia" w:ascii="宋体" w:hAnsi="宋体" w:eastAsia="宋体" w:cs="宋体"/>
          <w:b/>
          <w:sz w:val="24"/>
          <w:szCs w:val="24"/>
          <w:highlight w:val="none"/>
          <w:u w:val="single"/>
        </w:rPr>
        <w:t>有效的</w:t>
      </w:r>
      <w:r>
        <w:rPr>
          <w:rFonts w:hint="eastAsia" w:ascii="宋体" w:hAnsi="宋体" w:cs="宋体"/>
          <w:b/>
          <w:sz w:val="24"/>
          <w:szCs w:val="24"/>
          <w:highlight w:val="none"/>
          <w:u w:val="single"/>
          <w:lang w:val="en-US" w:eastAsia="zh-CN"/>
        </w:rPr>
        <w:t>电子公</w:t>
      </w:r>
      <w:r>
        <w:rPr>
          <w:rFonts w:hint="eastAsia" w:ascii="宋体" w:hAnsi="宋体" w:eastAsia="宋体" w:cs="宋体"/>
          <w:b/>
          <w:sz w:val="24"/>
          <w:szCs w:val="24"/>
          <w:highlight w:val="none"/>
          <w:u w:val="single"/>
        </w:rPr>
        <w:t>章。</w:t>
      </w:r>
    </w:p>
    <w:bookmarkEnd w:id="139"/>
    <w:bookmarkEnd w:id="140"/>
    <w:p w14:paraId="63A4CFCC">
      <w:pPr>
        <w:spacing w:line="360" w:lineRule="auto"/>
        <w:ind w:firstLine="482" w:firstLineChars="200"/>
        <w:outlineLvl w:val="0"/>
        <w:rPr>
          <w:rFonts w:hint="eastAsia" w:ascii="宋体" w:hAnsi="宋体" w:eastAsia="宋体" w:cs="宋体"/>
          <w:b/>
          <w:bCs/>
          <w:sz w:val="24"/>
        </w:rPr>
      </w:pPr>
      <w:bookmarkStart w:id="142" w:name="_Toc31364"/>
      <w:bookmarkStart w:id="143" w:name="_Toc23026"/>
      <w:bookmarkStart w:id="144" w:name="_Toc3398"/>
      <w:bookmarkStart w:id="145" w:name="_Toc9924"/>
      <w:r>
        <w:rPr>
          <w:rFonts w:hint="eastAsia" w:ascii="宋体" w:hAnsi="宋体" w:eastAsia="宋体" w:cs="宋体"/>
          <w:b/>
          <w:bCs/>
          <w:sz w:val="24"/>
        </w:rPr>
        <w:t>4.投标报价</w:t>
      </w:r>
      <w:bookmarkEnd w:id="141"/>
      <w:bookmarkEnd w:id="142"/>
      <w:bookmarkEnd w:id="143"/>
      <w:bookmarkEnd w:id="144"/>
      <w:bookmarkEnd w:id="145"/>
    </w:p>
    <w:p w14:paraId="79654DF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4.1投标报价为“招标范围”内的总报价。</w:t>
      </w:r>
    </w:p>
    <w:p w14:paraId="125D2E0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4.2凡要求供应商考虑在报价中的内容供应商在响应文件中没有考虑、没有计入的或未单独列出，采购人认为供应商已将此项费用涵盖在其它费用价格中。</w:t>
      </w:r>
    </w:p>
    <w:p w14:paraId="1CF0E7DC">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4.3投标报价应包含项目实施过程中涉及到的一切费用。</w:t>
      </w:r>
    </w:p>
    <w:p w14:paraId="35360564">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4.4报价注意事项：</w:t>
      </w:r>
    </w:p>
    <w:p w14:paraId="0D828713">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（1）价格一律以人民币计算，以元为单位标准；</w:t>
      </w:r>
    </w:p>
    <w:p w14:paraId="400E776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（2）供应商报价时应充分考虑所有可能影响到报价的报价因素，一旦招标结束最终成交，总价将固定，不予调整。如发生漏、缺、少项，都将被认为是成交人的报价让利行为，损失自负。</w:t>
      </w:r>
    </w:p>
    <w:p w14:paraId="3902E157">
      <w:pPr>
        <w:spacing w:line="360" w:lineRule="auto"/>
        <w:ind w:firstLine="482" w:firstLineChars="200"/>
        <w:outlineLvl w:val="0"/>
        <w:rPr>
          <w:rFonts w:hint="eastAsia" w:ascii="宋体" w:hAnsi="宋体" w:eastAsia="宋体" w:cs="宋体"/>
          <w:sz w:val="24"/>
        </w:rPr>
      </w:pPr>
      <w:bookmarkStart w:id="146" w:name="_Toc490155540"/>
      <w:bookmarkStart w:id="147" w:name="_Toc32177"/>
      <w:bookmarkStart w:id="148" w:name="_Toc26009"/>
      <w:bookmarkStart w:id="149" w:name="_Toc11554"/>
      <w:bookmarkStart w:id="150" w:name="_Toc12212"/>
      <w:bookmarkStart w:id="151" w:name="_Toc17395"/>
      <w:bookmarkStart w:id="152" w:name="_Toc489694837"/>
      <w:bookmarkStart w:id="153" w:name="_Toc14901"/>
      <w:bookmarkStart w:id="154" w:name="_Toc24174"/>
      <w:bookmarkStart w:id="155" w:name="_Toc8983607"/>
      <w:r>
        <w:rPr>
          <w:rFonts w:hint="eastAsia" w:ascii="宋体" w:hAnsi="宋体" w:eastAsia="宋体" w:cs="宋体"/>
          <w:b/>
          <w:bCs/>
          <w:sz w:val="24"/>
        </w:rPr>
        <w:t>5</w:t>
      </w:r>
      <w:r>
        <w:rPr>
          <w:rFonts w:hint="eastAsia" w:ascii="宋体" w:hAnsi="宋体" w:eastAsia="宋体" w:cs="宋体"/>
          <w:b/>
          <w:sz w:val="24"/>
        </w:rPr>
        <w:t>.代理服务费</w:t>
      </w:r>
      <w:bookmarkEnd w:id="146"/>
      <w:bookmarkEnd w:id="147"/>
      <w:bookmarkEnd w:id="148"/>
      <w:bookmarkEnd w:id="149"/>
      <w:bookmarkEnd w:id="150"/>
      <w:bookmarkEnd w:id="151"/>
      <w:bookmarkEnd w:id="152"/>
      <w:bookmarkEnd w:id="153"/>
      <w:bookmarkEnd w:id="154"/>
      <w:bookmarkEnd w:id="155"/>
    </w:p>
    <w:p w14:paraId="0D99CAE4">
      <w:pPr>
        <w:spacing w:line="360" w:lineRule="auto"/>
        <w:ind w:firstLine="480" w:firstLineChars="200"/>
        <w:outlineLvl w:val="0"/>
        <w:rPr>
          <w:rFonts w:hint="eastAsia" w:ascii="宋体" w:hAnsi="宋体" w:eastAsia="宋体" w:cs="宋体"/>
          <w:bCs/>
          <w:sz w:val="24"/>
        </w:rPr>
      </w:pPr>
      <w:bookmarkStart w:id="156" w:name="_Toc8983608"/>
      <w:bookmarkStart w:id="157" w:name="_Toc25432"/>
      <w:bookmarkStart w:id="158" w:name="_Toc21402"/>
      <w:bookmarkStart w:id="159" w:name="_Toc15772"/>
      <w:bookmarkStart w:id="160" w:name="_Toc11642"/>
      <w:bookmarkStart w:id="161" w:name="_Toc489694838"/>
      <w:bookmarkStart w:id="162" w:name="_Toc25070"/>
      <w:bookmarkStart w:id="163" w:name="_Toc11585"/>
      <w:bookmarkStart w:id="164" w:name="_Toc25301"/>
      <w:bookmarkStart w:id="165" w:name="_Toc490155541"/>
      <w:r>
        <w:rPr>
          <w:rFonts w:hint="eastAsia" w:ascii="宋体" w:hAnsi="宋体" w:eastAsia="宋体" w:cs="宋体"/>
          <w:bCs/>
          <w:sz w:val="24"/>
        </w:rPr>
        <w:t>按照前附表要求由成交企业向招标代理机构支付。</w:t>
      </w:r>
      <w:bookmarkEnd w:id="156"/>
      <w:bookmarkEnd w:id="157"/>
      <w:bookmarkEnd w:id="158"/>
      <w:bookmarkEnd w:id="159"/>
      <w:bookmarkEnd w:id="160"/>
    </w:p>
    <w:p w14:paraId="7B40DB27">
      <w:pPr>
        <w:spacing w:line="360" w:lineRule="auto"/>
        <w:ind w:firstLine="482" w:firstLineChars="200"/>
        <w:jc w:val="left"/>
        <w:rPr>
          <w:rFonts w:hint="eastAsia" w:ascii="宋体" w:hAnsi="宋体" w:eastAsia="宋体" w:cs="宋体"/>
          <w:sz w:val="24"/>
        </w:rPr>
      </w:pPr>
      <w:bookmarkStart w:id="166" w:name="_Toc6724"/>
      <w:bookmarkStart w:id="167" w:name="_Toc26636"/>
      <w:bookmarkStart w:id="168" w:name="_Toc8983609"/>
      <w:bookmarkStart w:id="169" w:name="_Toc25842"/>
      <w:bookmarkStart w:id="170" w:name="_Toc16674"/>
      <w:r>
        <w:rPr>
          <w:rFonts w:hint="eastAsia" w:ascii="宋体" w:hAnsi="宋体" w:eastAsia="宋体" w:cs="宋体"/>
          <w:b/>
          <w:bCs/>
          <w:sz w:val="24"/>
        </w:rPr>
        <w:t>6.</w:t>
      </w:r>
      <w:bookmarkEnd w:id="161"/>
      <w:bookmarkEnd w:id="162"/>
      <w:bookmarkEnd w:id="163"/>
      <w:bookmarkEnd w:id="164"/>
      <w:bookmarkEnd w:id="165"/>
      <w:bookmarkEnd w:id="166"/>
      <w:bookmarkEnd w:id="167"/>
      <w:bookmarkEnd w:id="168"/>
      <w:bookmarkEnd w:id="169"/>
      <w:bookmarkEnd w:id="170"/>
      <w:r>
        <w:rPr>
          <w:rFonts w:hint="eastAsia" w:ascii="宋体" w:hAnsi="宋体" w:eastAsia="宋体" w:cs="宋体"/>
          <w:b/>
          <w:bCs/>
          <w:sz w:val="24"/>
        </w:rPr>
        <w:t>.有效期</w:t>
      </w:r>
    </w:p>
    <w:p w14:paraId="1AE04311">
      <w:pPr>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.1有效期为文件规定的供应商提交响应文件截止之日起</w:t>
      </w:r>
      <w:r>
        <w:rPr>
          <w:rFonts w:hint="eastAsia" w:ascii="宋体" w:hAnsi="宋体" w:eastAsia="宋体" w:cs="宋体"/>
          <w:sz w:val="24"/>
          <w:u w:val="single"/>
        </w:rPr>
        <w:t>90</w:t>
      </w:r>
      <w:r>
        <w:rPr>
          <w:rFonts w:hint="eastAsia" w:ascii="宋体" w:hAnsi="宋体" w:eastAsia="宋体" w:cs="宋体"/>
          <w:sz w:val="24"/>
        </w:rPr>
        <w:t>天。有效期不满足文件要求的将视为非响应性文件而予以拒绝。</w:t>
      </w:r>
    </w:p>
    <w:p w14:paraId="168AA7D1">
      <w:pPr>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.2在特殊情况下，采购人于原投标有效期满之前，可向</w:t>
      </w:r>
      <w:r>
        <w:rPr>
          <w:rFonts w:hint="eastAsia" w:ascii="宋体" w:hAnsi="宋体" w:eastAsia="宋体" w:cs="宋体"/>
          <w:bCs/>
          <w:sz w:val="24"/>
        </w:rPr>
        <w:t>供应商</w:t>
      </w:r>
      <w:r>
        <w:rPr>
          <w:rFonts w:hint="eastAsia" w:ascii="宋体" w:hAnsi="宋体" w:eastAsia="宋体" w:cs="宋体"/>
          <w:sz w:val="24"/>
        </w:rPr>
        <w:t>提出延长有效期的要求，这种要求与答复均应采用书面形式（如信件、传真或电报等），供应商可以拒绝采购人的这一要求而放弃投标，保证金予以退回；同意延长的供应商既不能要求也不允许修改其响应文件。有关保证金的没收和退还的规定在延长期内继续有效。</w:t>
      </w:r>
    </w:p>
    <w:p w14:paraId="5C266046">
      <w:pPr>
        <w:spacing w:line="360" w:lineRule="auto"/>
        <w:ind w:firstLine="482" w:firstLineChars="200"/>
        <w:jc w:val="left"/>
        <w:rPr>
          <w:rFonts w:hint="eastAsia" w:ascii="宋体" w:hAnsi="宋体" w:eastAsia="宋体" w:cs="宋体"/>
          <w:sz w:val="24"/>
        </w:rPr>
      </w:pPr>
      <w:r>
        <w:rPr>
          <w:rFonts w:hint="eastAsia" w:ascii="宋体" w:hAnsi="宋体" w:cs="宋体"/>
          <w:b/>
          <w:bCs/>
          <w:sz w:val="24"/>
          <w:lang w:val="en-US" w:eastAsia="zh-CN"/>
        </w:rPr>
        <w:t>7</w:t>
      </w:r>
      <w:r>
        <w:rPr>
          <w:rFonts w:hint="eastAsia" w:ascii="宋体" w:hAnsi="宋体" w:eastAsia="宋体" w:cs="宋体"/>
          <w:b/>
          <w:bCs/>
          <w:sz w:val="24"/>
        </w:rPr>
        <w:t>.响应文件签署</w:t>
      </w:r>
    </w:p>
    <w:p w14:paraId="1094E962">
      <w:pPr>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.1除供应商对错处做必要修改外，响应文件不得行间插字、涂改或增删，必要的修改处必须有投标单位法定代表人或其被授权人签字并盖公章。</w:t>
      </w:r>
    </w:p>
    <w:p w14:paraId="1596C67E">
      <w:pPr>
        <w:spacing w:line="360" w:lineRule="auto"/>
        <w:ind w:firstLine="482" w:firstLineChars="200"/>
        <w:jc w:val="left"/>
        <w:outlineLvl w:val="9"/>
        <w:rPr>
          <w:rFonts w:hint="eastAsia" w:ascii="宋体" w:hAnsi="宋体" w:eastAsia="宋体" w:cs="宋体"/>
          <w:b/>
          <w:bCs/>
          <w:sz w:val="24"/>
        </w:rPr>
      </w:pPr>
      <w:bookmarkStart w:id="171" w:name="_Toc13706"/>
      <w:bookmarkStart w:id="172" w:name="_Toc14148"/>
      <w:bookmarkStart w:id="173" w:name="_Toc30721"/>
      <w:bookmarkStart w:id="174" w:name="_Toc12500"/>
      <w:bookmarkStart w:id="175" w:name="_Toc490155542"/>
      <w:bookmarkStart w:id="176" w:name="_Toc489694839"/>
      <w:bookmarkStart w:id="177" w:name="_Toc8983610"/>
      <w:bookmarkStart w:id="178" w:name="_Toc31802"/>
    </w:p>
    <w:bookmarkEnd w:id="171"/>
    <w:bookmarkEnd w:id="172"/>
    <w:bookmarkEnd w:id="173"/>
    <w:bookmarkEnd w:id="174"/>
    <w:bookmarkEnd w:id="175"/>
    <w:bookmarkEnd w:id="176"/>
    <w:bookmarkEnd w:id="177"/>
    <w:bookmarkEnd w:id="178"/>
    <w:p w14:paraId="004C80A8">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四、响应文件的递交</w:t>
      </w:r>
    </w:p>
    <w:p w14:paraId="2D7B7077">
      <w:pPr>
        <w:spacing w:line="360" w:lineRule="auto"/>
        <w:ind w:firstLine="482" w:firstLineChars="200"/>
        <w:jc w:val="left"/>
        <w:outlineLvl w:val="0"/>
        <w:rPr>
          <w:rFonts w:hint="eastAsia" w:ascii="宋体" w:hAnsi="宋体" w:eastAsia="宋体" w:cs="宋体"/>
          <w:b/>
          <w:bCs/>
          <w:sz w:val="24"/>
        </w:rPr>
      </w:pPr>
      <w:bookmarkStart w:id="179" w:name="_Toc8983611"/>
      <w:bookmarkStart w:id="180" w:name="_Toc7178"/>
      <w:bookmarkStart w:id="181" w:name="_Toc31171"/>
      <w:bookmarkStart w:id="182" w:name="_Toc489694842"/>
      <w:bookmarkStart w:id="183" w:name="_Toc16321"/>
      <w:bookmarkStart w:id="184" w:name="_Toc31233"/>
      <w:bookmarkStart w:id="185" w:name="_Toc490155545"/>
      <w:bookmarkStart w:id="186" w:name="_Toc14114"/>
      <w:bookmarkStart w:id="187" w:name="_Toc19523"/>
      <w:bookmarkStart w:id="188" w:name="_Toc1253"/>
      <w:r>
        <w:rPr>
          <w:rFonts w:hint="eastAsia" w:ascii="宋体" w:hAnsi="宋体" w:eastAsia="宋体" w:cs="宋体"/>
          <w:b/>
          <w:bCs/>
          <w:sz w:val="24"/>
        </w:rPr>
        <w:t>1.</w:t>
      </w:r>
      <w:bookmarkEnd w:id="179"/>
      <w:bookmarkEnd w:id="180"/>
      <w:bookmarkEnd w:id="181"/>
      <w:bookmarkEnd w:id="182"/>
      <w:bookmarkEnd w:id="183"/>
      <w:bookmarkEnd w:id="184"/>
      <w:bookmarkEnd w:id="185"/>
      <w:bookmarkEnd w:id="186"/>
      <w:r>
        <w:rPr>
          <w:rFonts w:hint="eastAsia" w:ascii="宋体" w:hAnsi="宋体" w:eastAsia="宋体" w:cs="宋体"/>
          <w:b/>
          <w:bCs/>
          <w:sz w:val="24"/>
        </w:rPr>
        <w:t>响应文件的密封与标记</w:t>
      </w:r>
      <w:bookmarkEnd w:id="187"/>
      <w:bookmarkEnd w:id="188"/>
    </w:p>
    <w:p w14:paraId="5103FA52">
      <w:pPr>
        <w:spacing w:line="360" w:lineRule="auto"/>
        <w:ind w:firstLine="480" w:firstLineChars="200"/>
        <w:rPr>
          <w:rFonts w:hint="eastAsia" w:ascii="宋体" w:hAnsi="宋体" w:eastAsia="宋体" w:cs="宋体"/>
          <w:sz w:val="24"/>
        </w:rPr>
      </w:pPr>
      <w:r>
        <w:rPr>
          <w:rFonts w:hint="eastAsia" w:ascii="宋体" w:hAnsi="宋体" w:eastAsia="宋体" w:cs="宋体"/>
          <w:sz w:val="24"/>
        </w:rPr>
        <w:t>1.1供应商需要递交电子响应文件，加密的电子响应文件，在投标截止时间前通过政采云（http://www.ccgp-xinjiang.gov.cn/）上传到指定位置。</w:t>
      </w:r>
    </w:p>
    <w:p w14:paraId="6414AD62">
      <w:pPr>
        <w:spacing w:line="360" w:lineRule="auto"/>
        <w:ind w:firstLine="480" w:firstLineChars="200"/>
        <w:rPr>
          <w:rFonts w:hint="eastAsia" w:ascii="宋体" w:hAnsi="宋体" w:eastAsia="宋体" w:cs="宋体"/>
          <w:b/>
          <w:sz w:val="24"/>
        </w:rPr>
      </w:pPr>
      <w:r>
        <w:rPr>
          <w:rFonts w:hint="eastAsia" w:ascii="宋体" w:hAnsi="宋体" w:eastAsia="宋体" w:cs="宋体"/>
          <w:sz w:val="24"/>
        </w:rPr>
        <w:t>1.2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5EC2000E">
      <w:pPr>
        <w:spacing w:line="360" w:lineRule="auto"/>
        <w:ind w:firstLine="480" w:firstLineChars="200"/>
        <w:jc w:val="left"/>
        <w:rPr>
          <w:rFonts w:hint="eastAsia" w:ascii="宋体" w:hAnsi="宋体" w:eastAsia="宋体" w:cs="宋体"/>
        </w:rPr>
      </w:pPr>
      <w:r>
        <w:rPr>
          <w:rFonts w:hint="eastAsia" w:ascii="宋体" w:hAnsi="宋体" w:eastAsia="宋体" w:cs="宋体"/>
          <w:sz w:val="24"/>
        </w:rPr>
        <w:t>1.3采购人可以通过修改文件酌情延长响应文件接收截止日期，在此情况下，供应商的所有权利和义务以及供应商受制约的截止日期均应以延长后新的截止日期为准。</w:t>
      </w:r>
    </w:p>
    <w:p w14:paraId="7FEB00F8">
      <w:pPr>
        <w:spacing w:line="360" w:lineRule="auto"/>
        <w:ind w:firstLine="482" w:firstLineChars="200"/>
        <w:jc w:val="left"/>
        <w:outlineLvl w:val="0"/>
        <w:rPr>
          <w:rFonts w:hint="eastAsia" w:ascii="宋体" w:hAnsi="宋体" w:eastAsia="宋体" w:cs="宋体"/>
          <w:sz w:val="24"/>
        </w:rPr>
      </w:pPr>
      <w:bookmarkStart w:id="189" w:name="_Toc490155546"/>
      <w:bookmarkStart w:id="190" w:name="_Toc489694843"/>
      <w:bookmarkStart w:id="191" w:name="_Toc15270"/>
      <w:bookmarkStart w:id="192" w:name="_Toc18567"/>
      <w:bookmarkStart w:id="193" w:name="_Toc2527"/>
      <w:bookmarkStart w:id="194" w:name="_Toc8983612"/>
      <w:bookmarkStart w:id="195" w:name="_Toc13732"/>
      <w:bookmarkStart w:id="196" w:name="_Toc32117"/>
      <w:bookmarkStart w:id="197" w:name="_Toc1688"/>
      <w:bookmarkStart w:id="198" w:name="_Toc30502"/>
      <w:r>
        <w:rPr>
          <w:rFonts w:hint="eastAsia" w:ascii="宋体" w:hAnsi="宋体" w:eastAsia="宋体" w:cs="宋体"/>
          <w:b/>
          <w:bCs/>
          <w:sz w:val="24"/>
        </w:rPr>
        <w:t>2.迟交的</w:t>
      </w:r>
      <w:bookmarkEnd w:id="189"/>
      <w:bookmarkEnd w:id="190"/>
      <w:bookmarkEnd w:id="191"/>
      <w:bookmarkEnd w:id="192"/>
      <w:bookmarkEnd w:id="193"/>
      <w:bookmarkEnd w:id="194"/>
      <w:r>
        <w:rPr>
          <w:rFonts w:hint="eastAsia" w:ascii="宋体" w:hAnsi="宋体" w:eastAsia="宋体" w:cs="宋体"/>
          <w:b/>
          <w:bCs/>
          <w:sz w:val="24"/>
        </w:rPr>
        <w:t>响应文件</w:t>
      </w:r>
      <w:bookmarkEnd w:id="195"/>
      <w:bookmarkEnd w:id="196"/>
      <w:bookmarkEnd w:id="197"/>
      <w:bookmarkEnd w:id="198"/>
    </w:p>
    <w:p w14:paraId="05FED961">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采购人将拒绝接收在规定的截止日期后递交的任何响应文件。</w:t>
      </w:r>
      <w:bookmarkStart w:id="199" w:name="_Toc213839733"/>
    </w:p>
    <w:p w14:paraId="1C1346CE">
      <w:pPr>
        <w:spacing w:line="360" w:lineRule="auto"/>
        <w:ind w:firstLine="482" w:firstLineChars="200"/>
        <w:outlineLvl w:val="0"/>
        <w:rPr>
          <w:rFonts w:hint="eastAsia" w:ascii="宋体" w:hAnsi="宋体" w:eastAsia="宋体" w:cs="宋体"/>
          <w:b/>
          <w:sz w:val="24"/>
        </w:rPr>
      </w:pPr>
      <w:bookmarkStart w:id="200" w:name="_Toc31341"/>
      <w:bookmarkStart w:id="201" w:name="_Toc489694844"/>
      <w:bookmarkStart w:id="202" w:name="_Toc8983613"/>
      <w:bookmarkStart w:id="203" w:name="_Toc27831"/>
      <w:bookmarkStart w:id="204" w:name="_Toc14895"/>
      <w:bookmarkStart w:id="205" w:name="_Toc22149"/>
      <w:bookmarkStart w:id="206" w:name="_Toc17938"/>
      <w:bookmarkStart w:id="207" w:name="_Toc19922"/>
      <w:bookmarkStart w:id="208" w:name="_Toc14716"/>
      <w:bookmarkStart w:id="209" w:name="_Toc490155547"/>
      <w:r>
        <w:rPr>
          <w:rFonts w:hint="eastAsia" w:ascii="宋体" w:hAnsi="宋体" w:eastAsia="宋体" w:cs="宋体"/>
          <w:b/>
          <w:sz w:val="24"/>
        </w:rPr>
        <w:t>3.响应文件的修改</w:t>
      </w:r>
      <w:bookmarkEnd w:id="199"/>
      <w:bookmarkEnd w:id="200"/>
      <w:bookmarkEnd w:id="201"/>
      <w:bookmarkEnd w:id="202"/>
      <w:bookmarkEnd w:id="203"/>
      <w:bookmarkEnd w:id="204"/>
      <w:bookmarkEnd w:id="205"/>
      <w:bookmarkEnd w:id="206"/>
      <w:bookmarkEnd w:id="207"/>
      <w:bookmarkEnd w:id="208"/>
      <w:bookmarkEnd w:id="209"/>
    </w:p>
    <w:p w14:paraId="5073F0F1">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供应商在递交响应文件截止时间之前，对所递交的响应文件可以补充、修改，补充、修改的内容为响应文件的组成部分，对供应商具有约束力。</w:t>
      </w:r>
      <w:bookmarkStart w:id="210" w:name="_Toc213839734"/>
    </w:p>
    <w:p w14:paraId="2596A832">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五、无效标、废标条款</w:t>
      </w:r>
    </w:p>
    <w:p w14:paraId="54D6606D">
      <w:pPr>
        <w:spacing w:line="360" w:lineRule="auto"/>
        <w:ind w:firstLine="482" w:firstLineChars="200"/>
        <w:jc w:val="left"/>
        <w:outlineLvl w:val="0"/>
        <w:rPr>
          <w:rFonts w:hint="eastAsia" w:ascii="宋体" w:hAnsi="宋体" w:eastAsia="宋体" w:cs="宋体"/>
          <w:b/>
          <w:bCs/>
          <w:sz w:val="24"/>
        </w:rPr>
      </w:pPr>
      <w:bookmarkStart w:id="211" w:name="_Toc18285"/>
      <w:bookmarkStart w:id="212" w:name="_Toc4106"/>
      <w:bookmarkStart w:id="213" w:name="_Toc7010"/>
      <w:bookmarkStart w:id="214" w:name="_Toc490155548"/>
      <w:bookmarkStart w:id="215" w:name="_Toc18383"/>
      <w:bookmarkStart w:id="216" w:name="_Toc19915"/>
      <w:bookmarkStart w:id="217" w:name="_Toc147"/>
      <w:bookmarkStart w:id="218" w:name="_Toc28196"/>
      <w:bookmarkStart w:id="219" w:name="_Toc8983614"/>
      <w:bookmarkStart w:id="220" w:name="_Toc489694845"/>
      <w:r>
        <w:rPr>
          <w:rFonts w:hint="eastAsia" w:ascii="宋体" w:hAnsi="宋体" w:eastAsia="宋体" w:cs="宋体"/>
          <w:b/>
          <w:bCs/>
          <w:sz w:val="24"/>
        </w:rPr>
        <w:t>1.无效投标条款</w:t>
      </w:r>
      <w:bookmarkEnd w:id="211"/>
      <w:bookmarkEnd w:id="212"/>
      <w:bookmarkEnd w:id="213"/>
      <w:bookmarkEnd w:id="214"/>
      <w:bookmarkEnd w:id="215"/>
      <w:bookmarkEnd w:id="216"/>
      <w:bookmarkEnd w:id="217"/>
      <w:bookmarkEnd w:id="218"/>
      <w:bookmarkEnd w:id="219"/>
      <w:bookmarkEnd w:id="220"/>
    </w:p>
    <w:p w14:paraId="3943717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1.1供应商资格不符合文件规定或未按规定提交证件的；</w:t>
      </w:r>
    </w:p>
    <w:p w14:paraId="172C750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1.2供应商未在规定的时间内提交保证金的；</w:t>
      </w:r>
    </w:p>
    <w:p w14:paraId="15C3E40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1.3响应文件出现重大偏差，未对文件进行实质性响应；</w:t>
      </w:r>
    </w:p>
    <w:p w14:paraId="2256B55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1.4被授权人不参加评标仪式及质询事宜的；</w:t>
      </w:r>
    </w:p>
    <w:p w14:paraId="7E736BB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1.5其它评标委员会认为有必要取消的投标；</w:t>
      </w:r>
    </w:p>
    <w:p w14:paraId="3344DE4B">
      <w:pPr>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1.6法律、法规规定的其他情况。</w:t>
      </w:r>
    </w:p>
    <w:p w14:paraId="2687967F">
      <w:pPr>
        <w:adjustRightInd w:val="0"/>
        <w:snapToGrid w:val="0"/>
        <w:spacing w:line="360" w:lineRule="auto"/>
        <w:ind w:firstLine="482" w:firstLineChars="200"/>
        <w:outlineLvl w:val="0"/>
        <w:rPr>
          <w:rFonts w:hint="eastAsia" w:ascii="宋体" w:hAnsi="宋体" w:eastAsia="宋体" w:cs="宋体"/>
          <w:b/>
          <w:sz w:val="24"/>
        </w:rPr>
      </w:pPr>
      <w:bookmarkStart w:id="221" w:name="_Toc8680"/>
      <w:bookmarkStart w:id="222" w:name="_Toc21595"/>
      <w:bookmarkStart w:id="223" w:name="_Toc8983615"/>
      <w:bookmarkStart w:id="224" w:name="_Toc24648"/>
      <w:bookmarkStart w:id="225" w:name="_Toc3014"/>
      <w:bookmarkStart w:id="226" w:name="_Toc15284"/>
      <w:bookmarkStart w:id="227" w:name="_Toc490155549"/>
      <w:bookmarkStart w:id="228" w:name="_Toc30360"/>
      <w:bookmarkStart w:id="229" w:name="_Toc489694846"/>
      <w:bookmarkStart w:id="230" w:name="_Toc22521"/>
      <w:r>
        <w:rPr>
          <w:rFonts w:hint="eastAsia" w:ascii="宋体" w:hAnsi="宋体" w:eastAsia="宋体" w:cs="宋体"/>
          <w:b/>
          <w:sz w:val="24"/>
        </w:rPr>
        <w:t>2.废标条款</w:t>
      </w:r>
      <w:bookmarkEnd w:id="221"/>
      <w:bookmarkEnd w:id="222"/>
      <w:bookmarkEnd w:id="223"/>
      <w:bookmarkEnd w:id="224"/>
      <w:bookmarkEnd w:id="225"/>
      <w:bookmarkEnd w:id="226"/>
      <w:bookmarkEnd w:id="227"/>
      <w:bookmarkEnd w:id="228"/>
      <w:bookmarkEnd w:id="229"/>
      <w:bookmarkEnd w:id="230"/>
    </w:p>
    <w:p w14:paraId="51AB7F30">
      <w:pPr>
        <w:adjustRightIn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2.1符合专业条件的供应商或者对文件作实质响应的供应商不足三家；</w:t>
      </w:r>
    </w:p>
    <w:p w14:paraId="6CB3C79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2.2出现影响采购公正的违法、违规行为的； </w:t>
      </w:r>
    </w:p>
    <w:p w14:paraId="00F13F8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2.3供应商的报价均超过了</w:t>
      </w:r>
      <w:r>
        <w:rPr>
          <w:rFonts w:hint="eastAsia" w:ascii="宋体" w:hAnsi="宋体" w:cs="宋体"/>
          <w:sz w:val="24"/>
          <w:lang w:eastAsia="zh-CN"/>
        </w:rPr>
        <w:t>最高限价</w:t>
      </w:r>
      <w:r>
        <w:rPr>
          <w:rFonts w:hint="eastAsia" w:ascii="宋体" w:hAnsi="宋体" w:eastAsia="宋体" w:cs="宋体"/>
          <w:sz w:val="24"/>
        </w:rPr>
        <w:t>，采购人不能支付的；</w:t>
      </w:r>
    </w:p>
    <w:p w14:paraId="7037787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2.4因重大变故，采购任务取消的。</w:t>
      </w:r>
    </w:p>
    <w:p w14:paraId="7D98E4BD">
      <w:pPr>
        <w:spacing w:line="360" w:lineRule="auto"/>
        <w:ind w:firstLine="482" w:firstLineChars="200"/>
        <w:jc w:val="left"/>
        <w:outlineLvl w:val="0"/>
        <w:rPr>
          <w:rFonts w:hint="eastAsia" w:ascii="宋体" w:hAnsi="宋体" w:eastAsia="宋体" w:cs="宋体"/>
          <w:b/>
          <w:bCs/>
          <w:sz w:val="24"/>
        </w:rPr>
      </w:pPr>
      <w:bookmarkStart w:id="231" w:name="_Toc19497"/>
      <w:bookmarkStart w:id="232" w:name="_Toc15294"/>
      <w:bookmarkStart w:id="233" w:name="_Toc490155550"/>
      <w:bookmarkStart w:id="234" w:name="_Toc19310"/>
      <w:bookmarkStart w:id="235" w:name="_Toc25174"/>
      <w:bookmarkStart w:id="236" w:name="_Toc26457"/>
      <w:bookmarkStart w:id="237" w:name="_Toc18804"/>
      <w:bookmarkStart w:id="238" w:name="_Toc13798"/>
      <w:bookmarkStart w:id="239" w:name="_Toc8983616"/>
      <w:bookmarkStart w:id="240" w:name="_Toc489694847"/>
      <w:r>
        <w:rPr>
          <w:rFonts w:hint="eastAsia" w:ascii="宋体" w:hAnsi="宋体" w:eastAsia="宋体" w:cs="宋体"/>
          <w:b/>
          <w:bCs/>
          <w:sz w:val="24"/>
        </w:rPr>
        <w:t>3.供应商不足三家情形处理</w:t>
      </w:r>
      <w:bookmarkEnd w:id="231"/>
      <w:bookmarkEnd w:id="232"/>
      <w:bookmarkEnd w:id="233"/>
      <w:bookmarkEnd w:id="234"/>
      <w:bookmarkEnd w:id="235"/>
      <w:bookmarkEnd w:id="236"/>
      <w:bookmarkEnd w:id="237"/>
      <w:bookmarkEnd w:id="238"/>
      <w:bookmarkEnd w:id="239"/>
      <w:bookmarkEnd w:id="240"/>
    </w:p>
    <w:p w14:paraId="18DA587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如出现投标截止时间结束后参加的供应商不足三家的，采购单位应当报告</w:t>
      </w:r>
      <w:r>
        <w:rPr>
          <w:rFonts w:hint="eastAsia" w:ascii="宋体" w:hAnsi="宋体" w:cs="宋体"/>
          <w:sz w:val="24"/>
          <w:lang w:val="en-US" w:eastAsia="zh-CN"/>
        </w:rPr>
        <w:t>上级</w:t>
      </w:r>
      <w:r>
        <w:rPr>
          <w:rFonts w:hint="eastAsia" w:ascii="宋体" w:hAnsi="宋体" w:eastAsia="宋体" w:cs="宋体"/>
          <w:sz w:val="24"/>
        </w:rPr>
        <w:t>部门，按照以下原则处理：</w:t>
      </w:r>
    </w:p>
    <w:p w14:paraId="33960F39">
      <w:pPr>
        <w:spacing w:line="360" w:lineRule="auto"/>
        <w:ind w:firstLine="480" w:firstLineChars="200"/>
        <w:rPr>
          <w:rFonts w:hint="eastAsia" w:ascii="宋体" w:hAnsi="宋体" w:eastAsia="宋体" w:cs="宋体"/>
          <w:sz w:val="24"/>
        </w:rPr>
      </w:pPr>
      <w:r>
        <w:rPr>
          <w:rFonts w:hint="eastAsia" w:ascii="宋体" w:hAnsi="宋体" w:eastAsia="宋体" w:cs="宋体"/>
          <w:sz w:val="24"/>
        </w:rPr>
        <w:t>3.1有效供应商不足三家的，除采购任务取消外，可废标后重新组织采购；</w:t>
      </w:r>
    </w:p>
    <w:p w14:paraId="260975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3.2响应文件存在不合理条款的，采购公告时间及程序不符合规定的，应予以废标。</w:t>
      </w:r>
    </w:p>
    <w:p w14:paraId="60867F64">
      <w:pPr>
        <w:snapToGrid w:val="0"/>
        <w:spacing w:line="360" w:lineRule="auto"/>
        <w:ind w:firstLine="482" w:firstLineChars="200"/>
        <w:outlineLvl w:val="0"/>
        <w:rPr>
          <w:rFonts w:hint="eastAsia" w:ascii="宋体" w:hAnsi="宋体" w:eastAsia="宋体" w:cs="宋体"/>
          <w:sz w:val="24"/>
        </w:rPr>
      </w:pPr>
      <w:bookmarkStart w:id="241" w:name="_Toc2393"/>
      <w:bookmarkStart w:id="242" w:name="_Toc490155551"/>
      <w:bookmarkStart w:id="243" w:name="_Toc8983617"/>
      <w:bookmarkStart w:id="244" w:name="_Toc5435"/>
      <w:bookmarkStart w:id="245" w:name="_Toc29023"/>
      <w:bookmarkStart w:id="246" w:name="_Toc11755"/>
      <w:bookmarkStart w:id="247" w:name="_Toc20238"/>
      <w:bookmarkStart w:id="248" w:name="_Toc21037"/>
      <w:bookmarkStart w:id="249" w:name="_Toc10336"/>
      <w:bookmarkStart w:id="250" w:name="_Toc489694848"/>
      <w:r>
        <w:rPr>
          <w:rFonts w:hint="eastAsia" w:ascii="宋体" w:hAnsi="宋体" w:eastAsia="宋体" w:cs="宋体"/>
          <w:b/>
          <w:bCs/>
          <w:sz w:val="24"/>
        </w:rPr>
        <w:t>4.取消成交人资格条款</w:t>
      </w:r>
      <w:bookmarkEnd w:id="241"/>
      <w:bookmarkEnd w:id="242"/>
      <w:bookmarkEnd w:id="243"/>
      <w:bookmarkEnd w:id="244"/>
      <w:bookmarkEnd w:id="245"/>
      <w:bookmarkEnd w:id="246"/>
      <w:bookmarkEnd w:id="247"/>
      <w:bookmarkEnd w:id="248"/>
      <w:bookmarkEnd w:id="249"/>
      <w:bookmarkEnd w:id="250"/>
    </w:p>
    <w:p w14:paraId="675A2E3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4.1提供虚假材料谋取成交的；</w:t>
      </w:r>
    </w:p>
    <w:p w14:paraId="3E7302C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4.2采取不正当手段诋毁、排挤其他供应商的；</w:t>
      </w:r>
    </w:p>
    <w:p w14:paraId="474C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4.3与采购人、其他供应商或者采购代理机构恶意串通的；</w:t>
      </w:r>
    </w:p>
    <w:p w14:paraId="2A700C7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4.4向采购人、采购代理机构行贿或者提供其他不正当利益的；</w:t>
      </w:r>
    </w:p>
    <w:p w14:paraId="1A07DAE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4.5在规定的时间内未与采购人签订采购合同的；</w:t>
      </w:r>
    </w:p>
    <w:p w14:paraId="2D8CA2F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4.6法律、法规规定的其他情况。</w:t>
      </w:r>
    </w:p>
    <w:p w14:paraId="5DA22BC1">
      <w:pPr>
        <w:spacing w:line="360" w:lineRule="auto"/>
        <w:jc w:val="center"/>
        <w:rPr>
          <w:rFonts w:hint="eastAsia" w:ascii="宋体" w:hAnsi="宋体" w:eastAsia="宋体" w:cs="宋体"/>
          <w:b/>
          <w:sz w:val="32"/>
          <w:szCs w:val="32"/>
        </w:rPr>
      </w:pPr>
    </w:p>
    <w:p w14:paraId="7077C6BB">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六、</w:t>
      </w:r>
      <w:bookmarkEnd w:id="210"/>
      <w:r>
        <w:rPr>
          <w:rFonts w:hint="eastAsia" w:ascii="宋体" w:hAnsi="宋体" w:eastAsia="宋体" w:cs="宋体"/>
          <w:b/>
          <w:sz w:val="32"/>
          <w:szCs w:val="32"/>
        </w:rPr>
        <w:t>开标和评标</w:t>
      </w:r>
    </w:p>
    <w:p w14:paraId="572D739A">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1、开标</w:t>
      </w:r>
    </w:p>
    <w:p w14:paraId="2E568F34">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　本次按竞争性文件中规定的时间和地点进行线上电子开标，</w:t>
      </w:r>
      <w:r>
        <w:rPr>
          <w:rFonts w:hint="eastAsia" w:ascii="宋体" w:hAnsi="宋体" w:eastAsia="宋体" w:cs="宋体"/>
          <w:sz w:val="24"/>
        </w:rPr>
        <w:t>采购单位代表及有关工作人员参加</w:t>
      </w:r>
      <w:r>
        <w:rPr>
          <w:rFonts w:hint="eastAsia" w:ascii="宋体" w:hAnsi="宋体" w:eastAsia="宋体" w:cs="宋体"/>
          <w:color w:val="000000"/>
          <w:sz w:val="24"/>
        </w:rPr>
        <w:t>。</w:t>
      </w:r>
    </w:p>
    <w:p w14:paraId="37F6094A">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　</w:t>
      </w:r>
      <w:r>
        <w:rPr>
          <w:rFonts w:hint="eastAsia" w:ascii="宋体" w:hAnsi="宋体" w:eastAsia="宋体" w:cs="宋体"/>
          <w:sz w:val="24"/>
        </w:rPr>
        <w:t>供应商应当在文件要求提交响应文件的截止时间前网上投标</w:t>
      </w:r>
      <w:r>
        <w:rPr>
          <w:rFonts w:hint="eastAsia" w:ascii="宋体" w:hAnsi="宋体" w:eastAsia="宋体" w:cs="宋体"/>
          <w:color w:val="000000"/>
          <w:sz w:val="24"/>
        </w:rPr>
        <w:t>。</w:t>
      </w:r>
    </w:p>
    <w:p w14:paraId="597FCEA3">
      <w:pPr>
        <w:spacing w:line="460" w:lineRule="exact"/>
        <w:ind w:firstLine="480" w:firstLineChars="200"/>
        <w:rPr>
          <w:rFonts w:hint="eastAsia" w:ascii="宋体" w:hAnsi="宋体" w:eastAsia="宋体" w:cs="宋体"/>
          <w:color w:val="000000"/>
          <w:sz w:val="24"/>
        </w:rPr>
      </w:pPr>
      <w:r>
        <w:rPr>
          <w:rFonts w:hint="eastAsia" w:ascii="宋体" w:hAnsi="宋体" w:eastAsia="宋体" w:cs="宋体"/>
          <w:sz w:val="24"/>
        </w:rPr>
        <w:t>1.3 开标时，由监督人员对开标全过程进行监督。</w:t>
      </w:r>
    </w:p>
    <w:p w14:paraId="17171752">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　投标时间截止后，提交响应性文件的供应商不足三家时，按照招标的相关法规的处理。</w:t>
      </w:r>
    </w:p>
    <w:p w14:paraId="19503AA6">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2、依据</w:t>
      </w:r>
    </w:p>
    <w:p w14:paraId="72BEA54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　的依据为竞争性文件（包括采购方的文件和供应商的响应性文件）。的因素主要包括下列内容：</w:t>
      </w:r>
    </w:p>
    <w:p w14:paraId="37D02048">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(1)对供应商响应性文件的审查和响应性的确定；</w:t>
      </w:r>
    </w:p>
    <w:p w14:paraId="79598A1F">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(2)对供应商响应性文件中财务、技术和生产能力的确定；</w:t>
      </w:r>
    </w:p>
    <w:p w14:paraId="2EA322CD">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(3)对产品质量的评估确定；</w:t>
      </w:r>
    </w:p>
    <w:p w14:paraId="7DDB2CC3">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(4)对供应商投标报价的确定；</w:t>
      </w:r>
    </w:p>
    <w:p w14:paraId="72B56042">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(5)对供应商响应性文件技术规格偏差的确定；</w:t>
      </w:r>
    </w:p>
    <w:p w14:paraId="31747ACE">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(6)对供应商递交文件商务偏差的调整确定；</w:t>
      </w:r>
    </w:p>
    <w:p w14:paraId="36D4564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(7)对供应商的技术、商务澄清内容答复的确定；</w:t>
      </w:r>
    </w:p>
    <w:p w14:paraId="0A349770">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(8)对供应商近两年的经营业绩评估确定；</w:t>
      </w:r>
    </w:p>
    <w:p w14:paraId="3FB7B00B">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(9)其他特殊要求因素（如节能、安全和环保等）。</w:t>
      </w:r>
    </w:p>
    <w:p w14:paraId="413DD4D6">
      <w:pPr>
        <w:spacing w:line="460" w:lineRule="exact"/>
        <w:ind w:firstLine="482" w:firstLineChars="200"/>
        <w:rPr>
          <w:rFonts w:hint="eastAsia" w:ascii="宋体" w:hAnsi="宋体" w:eastAsia="宋体" w:cs="宋体"/>
          <w:b/>
          <w:color w:val="000000"/>
          <w:sz w:val="24"/>
          <w:lang w:eastAsia="zh-CN"/>
        </w:rPr>
      </w:pPr>
      <w:r>
        <w:rPr>
          <w:rFonts w:hint="eastAsia" w:ascii="宋体" w:hAnsi="宋体" w:eastAsia="宋体" w:cs="宋体"/>
          <w:b/>
          <w:color w:val="000000"/>
          <w:sz w:val="24"/>
        </w:rPr>
        <w:t>3、</w:t>
      </w:r>
    </w:p>
    <w:p w14:paraId="4FFC1E49">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3.1　小组</w:t>
      </w:r>
    </w:p>
    <w:p w14:paraId="439468A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（1）采购方将根据《中华人民共和国政府采购法》的规定，依法组建本次招标的小组，负责本次招标的活动。小组负责向采购方推荐成交候选人，由采购方确定成交供应商。</w:t>
      </w:r>
    </w:p>
    <w:p w14:paraId="5EA889A4">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（2）小组人选于开标前确定。小组成员名单在成交结果确定前保密。</w:t>
      </w:r>
    </w:p>
    <w:p w14:paraId="2F7B83DD">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（3）小组有关技术、经济等方面的专家和采购人熟悉相关业务的代表人员组成，成员为三人以上的单数，其中技术、经济等方面的成员人数不少于成员总数的三分之二。</w:t>
      </w:r>
    </w:p>
    <w:p w14:paraId="7F6E5C7D">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（4）招标采购单位根据本项目的特点，于开标前48小时，从政采云评审专家库中随机抽取组建评标委员会。</w:t>
      </w:r>
      <w:r>
        <w:rPr>
          <w:rFonts w:hint="eastAsia" w:ascii="宋体" w:hAnsi="宋体" w:eastAsia="宋体" w:cs="宋体"/>
          <w:color w:val="000000"/>
          <w:spacing w:val="-2"/>
          <w:sz w:val="24"/>
        </w:rPr>
        <w:t>对于技术复杂、专业性要求较高或者国家有特殊要求的招标项目，采取随机抽取的方式抽取的专家不能满足工作需要时，将采取直接确定的方式选定小组的人选。</w:t>
      </w:r>
    </w:p>
    <w:p w14:paraId="723C6138">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（5）小组成员遵循法定的回避规定。</w:t>
      </w:r>
    </w:p>
    <w:p w14:paraId="762FE312">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3.2　小组应符合下列条件：</w:t>
      </w:r>
    </w:p>
    <w:p w14:paraId="39885AA3">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（1） </w:t>
      </w:r>
      <w:r>
        <w:rPr>
          <w:rFonts w:hint="eastAsia" w:ascii="宋体" w:hAnsi="宋体" w:eastAsia="宋体" w:cs="宋体"/>
          <w:color w:val="000000"/>
          <w:spacing w:val="-2"/>
          <w:sz w:val="24"/>
        </w:rPr>
        <w:t>熟悉有关政府采购和招标投标的法律法规；</w:t>
      </w:r>
    </w:p>
    <w:p w14:paraId="55B954D5">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（2） </w:t>
      </w:r>
      <w:r>
        <w:rPr>
          <w:rFonts w:hint="eastAsia" w:ascii="宋体" w:hAnsi="宋体" w:eastAsia="宋体" w:cs="宋体"/>
          <w:color w:val="000000"/>
          <w:spacing w:val="-2"/>
          <w:sz w:val="24"/>
        </w:rPr>
        <w:t>在相关专业领域工作满八年并具有高级职称或者同等专业水平；</w:t>
      </w:r>
    </w:p>
    <w:p w14:paraId="32288CE8">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（3） </w:t>
      </w:r>
      <w:r>
        <w:rPr>
          <w:rFonts w:hint="eastAsia" w:ascii="宋体" w:hAnsi="宋体" w:eastAsia="宋体" w:cs="宋体"/>
          <w:color w:val="000000"/>
          <w:spacing w:val="-2"/>
          <w:sz w:val="24"/>
        </w:rPr>
        <w:t>具有与招标项目相关的实践经验；</w:t>
      </w:r>
    </w:p>
    <w:p w14:paraId="358DA887">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（4） </w:t>
      </w:r>
      <w:r>
        <w:rPr>
          <w:rFonts w:hint="eastAsia" w:ascii="宋体" w:hAnsi="宋体" w:eastAsia="宋体" w:cs="宋体"/>
          <w:color w:val="000000"/>
          <w:spacing w:val="-2"/>
          <w:sz w:val="24"/>
        </w:rPr>
        <w:t>能够认真、公正、诚实、廉洁的履行职责。</w:t>
      </w:r>
    </w:p>
    <w:p w14:paraId="536E1D8B">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3.3  有下列情形之一的，不得担任小组成员：</w:t>
      </w:r>
    </w:p>
    <w:p w14:paraId="2FE432A2">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（1）</w:t>
      </w:r>
      <w:r>
        <w:rPr>
          <w:rFonts w:hint="eastAsia" w:ascii="宋体" w:hAnsi="宋体" w:eastAsia="宋体" w:cs="宋体"/>
          <w:color w:val="000000"/>
          <w:spacing w:val="-2"/>
          <w:sz w:val="24"/>
        </w:rPr>
        <w:t xml:space="preserve"> 与供应商或者供应商主要负责人有近亲关系的；</w:t>
      </w:r>
    </w:p>
    <w:p w14:paraId="41FDCE75">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（2）</w:t>
      </w:r>
      <w:r>
        <w:rPr>
          <w:rFonts w:hint="eastAsia" w:ascii="宋体" w:hAnsi="宋体" w:eastAsia="宋体" w:cs="宋体"/>
          <w:color w:val="000000"/>
          <w:spacing w:val="-2"/>
          <w:sz w:val="24"/>
        </w:rPr>
        <w:t xml:space="preserve"> 与项目主管部门或者行政监督部门的人员有近亲关系的；</w:t>
      </w:r>
    </w:p>
    <w:p w14:paraId="2BA1338B">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（3）</w:t>
      </w:r>
      <w:r>
        <w:rPr>
          <w:rFonts w:hint="eastAsia" w:ascii="宋体" w:hAnsi="宋体" w:eastAsia="宋体" w:cs="宋体"/>
          <w:color w:val="000000"/>
          <w:spacing w:val="-2"/>
          <w:sz w:val="24"/>
        </w:rPr>
        <w:t xml:space="preserve"> 与供应商有经济利益关系，可能影响对投标公正评审的；</w:t>
      </w:r>
    </w:p>
    <w:p w14:paraId="5373C5CD">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 xml:space="preserve">（4） </w:t>
      </w:r>
      <w:r>
        <w:rPr>
          <w:rFonts w:hint="eastAsia" w:ascii="宋体" w:hAnsi="宋体" w:eastAsia="宋体" w:cs="宋体"/>
          <w:color w:val="000000"/>
          <w:spacing w:val="-2"/>
          <w:sz w:val="24"/>
        </w:rPr>
        <w:t>曾因在招标、评标以及其他与招标投标有关活动中从事违法行为而受过行政处罚或刑事处罚的。</w:t>
      </w:r>
    </w:p>
    <w:p w14:paraId="087F34B0">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小组成员有前款规定情形之一的，应当主动提出回避。</w:t>
      </w:r>
    </w:p>
    <w:p w14:paraId="37DCFF0B">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bCs/>
          <w:color w:val="000000"/>
          <w:sz w:val="24"/>
        </w:rPr>
        <w:t>3.4</w:t>
      </w:r>
      <w:r>
        <w:rPr>
          <w:rFonts w:hint="eastAsia" w:ascii="宋体" w:hAnsi="宋体" w:eastAsia="宋体" w:cs="宋体"/>
          <w:color w:val="000000"/>
          <w:spacing w:val="-2"/>
          <w:sz w:val="24"/>
        </w:rPr>
        <w:t xml:space="preserve">  小组成员应当熟悉并认真研究文件，至少应了解和熟悉以下内容：</w:t>
      </w:r>
    </w:p>
    <w:p w14:paraId="7D93F518">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（1）</w:t>
      </w:r>
      <w:r>
        <w:rPr>
          <w:rFonts w:hint="eastAsia" w:ascii="宋体" w:hAnsi="宋体" w:eastAsia="宋体" w:cs="宋体"/>
          <w:color w:val="000000"/>
          <w:spacing w:val="-2"/>
          <w:sz w:val="24"/>
        </w:rPr>
        <w:t>采购目的；</w:t>
      </w:r>
    </w:p>
    <w:p w14:paraId="3187CF40">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（2）</w:t>
      </w:r>
      <w:r>
        <w:rPr>
          <w:rFonts w:hint="eastAsia" w:ascii="宋体" w:hAnsi="宋体" w:eastAsia="宋体" w:cs="宋体"/>
          <w:color w:val="000000"/>
          <w:spacing w:val="-2"/>
          <w:sz w:val="24"/>
        </w:rPr>
        <w:t xml:space="preserve"> 招标项目的范围、性质；</w:t>
      </w:r>
    </w:p>
    <w:p w14:paraId="2CF5D0AD">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（3）</w:t>
      </w:r>
      <w:r>
        <w:rPr>
          <w:rFonts w:hint="eastAsia" w:ascii="宋体" w:hAnsi="宋体" w:eastAsia="宋体" w:cs="宋体"/>
          <w:color w:val="000000"/>
          <w:spacing w:val="-2"/>
          <w:sz w:val="24"/>
        </w:rPr>
        <w:t xml:space="preserve"> 文件中规定的主要技术要求、标准和商务条款；</w:t>
      </w:r>
    </w:p>
    <w:p w14:paraId="18703FF9">
      <w:pPr>
        <w:spacing w:line="460" w:lineRule="exact"/>
        <w:ind w:firstLine="480" w:firstLineChars="200"/>
        <w:rPr>
          <w:rFonts w:hint="eastAsia" w:ascii="宋体" w:hAnsi="宋体" w:eastAsia="宋体" w:cs="宋体"/>
          <w:color w:val="000000"/>
          <w:spacing w:val="-2"/>
          <w:sz w:val="24"/>
        </w:rPr>
      </w:pPr>
      <w:r>
        <w:rPr>
          <w:rFonts w:hint="eastAsia" w:ascii="宋体" w:hAnsi="宋体" w:eastAsia="宋体" w:cs="宋体"/>
          <w:color w:val="000000"/>
          <w:sz w:val="24"/>
        </w:rPr>
        <w:t>（4）</w:t>
      </w:r>
      <w:r>
        <w:rPr>
          <w:rFonts w:hint="eastAsia" w:ascii="宋体" w:hAnsi="宋体" w:eastAsia="宋体" w:cs="宋体"/>
          <w:color w:val="000000"/>
          <w:spacing w:val="-2"/>
          <w:sz w:val="24"/>
        </w:rPr>
        <w:t xml:space="preserve"> 文件规定的评分标准、评标方法和在过程中应考虑的相关因素。</w:t>
      </w:r>
    </w:p>
    <w:p w14:paraId="6D014DB7">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3.5  采购方应当向小组提供所需的重要信息和数据。</w:t>
      </w:r>
    </w:p>
    <w:p w14:paraId="38CA7A6A">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3.6  小组应当根据文件规定的标准和方法，对响应性文件进行系统地评审和比较。文件中没有规定的标准和方法不得作为的依据。</w:t>
      </w:r>
    </w:p>
    <w:p w14:paraId="598C5E89">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3.7  小组成员应当客观、公正地履行职责，遵守职业道德，并对所提出的评审意见承担个人责任。小组成员不得与任何供应商或者与招标结果有利害关系的人员进行私下接触，不得收受供应商、中介人或其他有利害关系人的财物或好处。</w:t>
      </w:r>
    </w:p>
    <w:p w14:paraId="6825AB3A">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3.8  小组成员和与本次活动有关的工作人员，不得透露对响应性文件的评审和比较以及与有关的其他情况。</w:t>
      </w:r>
    </w:p>
    <w:p w14:paraId="76735CB1">
      <w:pPr>
        <w:spacing w:line="460" w:lineRule="exact"/>
        <w:ind w:firstLine="472" w:firstLineChars="200"/>
        <w:rPr>
          <w:rFonts w:hint="eastAsia" w:ascii="宋体" w:hAnsi="宋体" w:eastAsia="宋体" w:cs="宋体"/>
          <w:color w:val="000000"/>
          <w:spacing w:val="-2"/>
          <w:sz w:val="24"/>
        </w:rPr>
      </w:pPr>
      <w:r>
        <w:rPr>
          <w:rFonts w:hint="eastAsia" w:ascii="宋体" w:hAnsi="宋体" w:eastAsia="宋体" w:cs="宋体"/>
          <w:color w:val="000000"/>
          <w:spacing w:val="-2"/>
          <w:sz w:val="24"/>
        </w:rPr>
        <w:t>3.9　与活动有关的工作人员，是指小组成员以外的、因参与监督工作或者事务性工作而知悉有关评标情况的所有人员。</w:t>
      </w:r>
    </w:p>
    <w:p w14:paraId="29CA8398">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4、竞争性的报价方式</w:t>
      </w:r>
    </w:p>
    <w:p w14:paraId="3269C894">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4.1 采用报价的方式：</w:t>
      </w:r>
    </w:p>
    <w:p w14:paraId="72B3FB45">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 供应商在政采云平台提交响应性文件中的报价，在开标现场不予公布。该报价只允许有一个报价，任何有选择性的报价将不予接受。</w:t>
      </w:r>
    </w:p>
    <w:p w14:paraId="64101CC9">
      <w:pPr>
        <w:spacing w:line="460" w:lineRule="exact"/>
        <w:ind w:firstLine="480" w:firstLineChars="200"/>
        <w:rPr>
          <w:rFonts w:hint="eastAsia" w:ascii="宋体" w:hAnsi="宋体" w:eastAsia="宋体" w:cs="宋体"/>
          <w:sz w:val="24"/>
        </w:rPr>
      </w:pPr>
      <w:r>
        <w:rPr>
          <w:rFonts w:hint="eastAsia" w:ascii="宋体" w:hAnsi="宋体" w:eastAsia="宋体" w:cs="宋体"/>
          <w:color w:val="000000"/>
          <w:kern w:val="0"/>
          <w:sz w:val="24"/>
        </w:rPr>
        <w:t xml:space="preserve">（2） </w:t>
      </w:r>
      <w:r>
        <w:rPr>
          <w:rFonts w:hint="eastAsia" w:ascii="宋体" w:hAnsi="宋体" w:eastAsia="宋体" w:cs="宋体"/>
          <w:sz w:val="24"/>
        </w:rPr>
        <w:t xml:space="preserve"> 供应商可根据情况，进行第二次报价，该报价为的最终报价。</w:t>
      </w:r>
    </w:p>
    <w:p w14:paraId="094F762A">
      <w:pPr>
        <w:spacing w:line="460" w:lineRule="exact"/>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cs="宋体"/>
          <w:sz w:val="24"/>
          <w:lang w:val="en-US" w:eastAsia="zh-CN"/>
        </w:rPr>
        <w:t>2</w:t>
      </w:r>
      <w:r>
        <w:rPr>
          <w:rFonts w:hint="eastAsia" w:ascii="宋体" w:hAnsi="宋体" w:eastAsia="宋体" w:cs="宋体"/>
          <w:sz w:val="24"/>
        </w:rPr>
        <w:t>　供应商在进行二次报价时，报价应用小写和大写同时书写，大小写不相符时，以大写为准，同时二次报价上还应写明供应商名称，经授权委托人签字后盖章后，上传政采云平台。供应商在要求的规定时间内进行网上报价，报价结束后评标委员会进行评审，二次报价不公开。</w:t>
      </w:r>
    </w:p>
    <w:p w14:paraId="31BD1B8B">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4.4 二次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其保证金将被没收。</w:t>
      </w:r>
    </w:p>
    <w:p w14:paraId="66FC2ACF">
      <w:pPr>
        <w:keepNext w:val="0"/>
        <w:keepLines w:val="0"/>
        <w:pageBreakBefore w:val="0"/>
        <w:widowControl/>
        <w:kinsoku/>
        <w:wordWrap w:val="0"/>
        <w:overflowPunct/>
        <w:topLinePunct/>
        <w:autoSpaceDE/>
        <w:autoSpaceDN/>
        <w:bidi w:val="0"/>
        <w:adjustRightInd/>
        <w:snapToGrid/>
        <w:spacing w:line="240" w:lineRule="auto"/>
        <w:ind w:left="0" w:leftChars="0" w:right="0" w:firstLine="482" w:firstLineChars="200"/>
        <w:jc w:val="both"/>
        <w:textAlignment w:val="baseline"/>
        <w:outlineLvl w:val="9"/>
        <w:rPr>
          <w:rFonts w:hint="eastAsia" w:ascii="宋体" w:hAnsi="宋体" w:eastAsia="宋体" w:cs="宋体"/>
          <w:b/>
          <w:bCs/>
          <w:snapToGrid/>
          <w:spacing w:val="0"/>
          <w:w w:val="100"/>
          <w:position w:val="0"/>
          <w:sz w:val="24"/>
          <w:szCs w:val="24"/>
          <w:lang w:val="en-US" w:eastAsia="zh-CN"/>
        </w:rPr>
      </w:pPr>
      <w:r>
        <w:rPr>
          <w:rFonts w:hint="eastAsia" w:ascii="宋体" w:hAnsi="宋体" w:cs="宋体"/>
          <w:b/>
          <w:bCs/>
          <w:snapToGrid/>
          <w:spacing w:val="0"/>
          <w:w w:val="100"/>
          <w:position w:val="0"/>
          <w:sz w:val="24"/>
          <w:szCs w:val="24"/>
          <w:lang w:val="en-US" w:eastAsia="zh-CN"/>
        </w:rPr>
        <w:t>4.5</w:t>
      </w:r>
      <w:r>
        <w:rPr>
          <w:rFonts w:hint="eastAsia" w:ascii="宋体" w:hAnsi="宋体" w:eastAsia="宋体" w:cs="宋体"/>
          <w:b/>
          <w:bCs/>
          <w:snapToGrid/>
          <w:spacing w:val="0"/>
          <w:w w:val="100"/>
          <w:position w:val="0"/>
          <w:sz w:val="24"/>
          <w:szCs w:val="24"/>
          <w:lang w:val="en-US" w:eastAsia="zh-CN"/>
        </w:rPr>
        <w:t>政府采购评审中出现下列情形之一的，评审委员会应当启动异常低价投标（响应）审查程序：</w:t>
      </w:r>
    </w:p>
    <w:p w14:paraId="6EA79EB8">
      <w:pPr>
        <w:keepNext w:val="0"/>
        <w:keepLines w:val="0"/>
        <w:pageBreakBefore w:val="0"/>
        <w:widowControl/>
        <w:kinsoku/>
        <w:wordWrap w:val="0"/>
        <w:overflowPunct/>
        <w:topLinePunct/>
        <w:autoSpaceDE/>
        <w:autoSpaceDN/>
        <w:bidi w:val="0"/>
        <w:adjustRightInd/>
        <w:snapToGrid/>
        <w:spacing w:line="240" w:lineRule="auto"/>
        <w:ind w:left="0" w:leftChars="0" w:right="0" w:firstLine="482" w:firstLineChars="200"/>
        <w:jc w:val="both"/>
        <w:textAlignment w:val="baseline"/>
        <w:outlineLvl w:val="9"/>
        <w:rPr>
          <w:rFonts w:hint="eastAsia" w:ascii="宋体" w:hAnsi="宋体" w:eastAsia="宋体" w:cs="宋体"/>
          <w:b/>
          <w:bCs/>
          <w:snapToGrid/>
          <w:spacing w:val="0"/>
          <w:w w:val="100"/>
          <w:position w:val="0"/>
          <w:sz w:val="24"/>
          <w:szCs w:val="24"/>
          <w:lang w:val="en-US" w:eastAsia="zh-CN"/>
        </w:rPr>
      </w:pPr>
      <w:r>
        <w:rPr>
          <w:rFonts w:hint="eastAsia" w:ascii="宋体" w:hAnsi="宋体" w:eastAsia="宋体" w:cs="宋体"/>
          <w:b/>
          <w:bCs/>
          <w:snapToGrid/>
          <w:spacing w:val="0"/>
          <w:w w:val="100"/>
          <w:position w:val="0"/>
          <w:sz w:val="24"/>
          <w:szCs w:val="24"/>
          <w:lang w:val="en-US" w:eastAsia="zh-CN"/>
        </w:rPr>
        <w:t>1.投标报价低于全部通过符合性审查供应商投标报价平均值50%的，即投标报价&lt;全部通过符合性审查供应商投标报价平均值×50%；</w:t>
      </w:r>
    </w:p>
    <w:p w14:paraId="2EA6DAD8">
      <w:pPr>
        <w:keepNext w:val="0"/>
        <w:keepLines w:val="0"/>
        <w:pageBreakBefore w:val="0"/>
        <w:widowControl/>
        <w:kinsoku/>
        <w:wordWrap w:val="0"/>
        <w:overflowPunct/>
        <w:topLinePunct/>
        <w:autoSpaceDE/>
        <w:autoSpaceDN/>
        <w:bidi w:val="0"/>
        <w:adjustRightInd/>
        <w:snapToGrid/>
        <w:spacing w:line="240" w:lineRule="auto"/>
        <w:ind w:left="0" w:leftChars="0" w:right="0" w:firstLine="482" w:firstLineChars="200"/>
        <w:jc w:val="both"/>
        <w:textAlignment w:val="baseline"/>
        <w:outlineLvl w:val="9"/>
        <w:rPr>
          <w:rFonts w:hint="eastAsia" w:ascii="宋体" w:hAnsi="宋体" w:eastAsia="宋体" w:cs="宋体"/>
          <w:b/>
          <w:bCs/>
          <w:snapToGrid/>
          <w:spacing w:val="0"/>
          <w:w w:val="100"/>
          <w:position w:val="0"/>
          <w:sz w:val="24"/>
          <w:szCs w:val="24"/>
          <w:lang w:val="en-US" w:eastAsia="zh-CN"/>
        </w:rPr>
      </w:pPr>
      <w:r>
        <w:rPr>
          <w:rFonts w:hint="eastAsia" w:ascii="宋体" w:hAnsi="宋体" w:eastAsia="宋体" w:cs="宋体"/>
          <w:b/>
          <w:bCs/>
          <w:snapToGrid/>
          <w:spacing w:val="0"/>
          <w:w w:val="100"/>
          <w:position w:val="0"/>
          <w:sz w:val="24"/>
          <w:szCs w:val="24"/>
          <w:lang w:val="en-US" w:eastAsia="zh-CN"/>
        </w:rPr>
        <w:t>2.投标报价低于通过符合性审查的次低报价供应商投标报价50%的，即投标报价&lt;通过符合性审查的次低报价供应商投标报价×50%；</w:t>
      </w:r>
    </w:p>
    <w:p w14:paraId="4E46725F">
      <w:pPr>
        <w:keepNext w:val="0"/>
        <w:keepLines w:val="0"/>
        <w:pageBreakBefore w:val="0"/>
        <w:widowControl/>
        <w:kinsoku/>
        <w:wordWrap w:val="0"/>
        <w:overflowPunct/>
        <w:topLinePunct/>
        <w:autoSpaceDE/>
        <w:autoSpaceDN/>
        <w:bidi w:val="0"/>
        <w:adjustRightInd/>
        <w:snapToGrid/>
        <w:spacing w:line="240" w:lineRule="auto"/>
        <w:ind w:left="0" w:leftChars="0" w:right="0" w:firstLine="482" w:firstLineChars="200"/>
        <w:jc w:val="both"/>
        <w:textAlignment w:val="baseline"/>
        <w:outlineLvl w:val="9"/>
        <w:rPr>
          <w:rFonts w:hint="eastAsia" w:ascii="宋体" w:hAnsi="宋体" w:eastAsia="宋体" w:cs="宋体"/>
          <w:b/>
          <w:bCs/>
          <w:snapToGrid/>
          <w:spacing w:val="0"/>
          <w:w w:val="100"/>
          <w:position w:val="0"/>
          <w:sz w:val="24"/>
          <w:szCs w:val="24"/>
          <w:lang w:val="en-US" w:eastAsia="zh-CN"/>
        </w:rPr>
      </w:pPr>
      <w:r>
        <w:rPr>
          <w:rFonts w:hint="eastAsia" w:ascii="宋体" w:hAnsi="宋体" w:eastAsia="宋体" w:cs="宋体"/>
          <w:b/>
          <w:bCs/>
          <w:snapToGrid/>
          <w:spacing w:val="0"/>
          <w:w w:val="100"/>
          <w:position w:val="0"/>
          <w:sz w:val="24"/>
          <w:szCs w:val="24"/>
          <w:lang w:val="en-US" w:eastAsia="zh-CN"/>
        </w:rPr>
        <w:t>3.投标报价低于采购项目最高限价45%的，即投标报价&lt;采购项目最高限价×45%；</w:t>
      </w:r>
    </w:p>
    <w:p w14:paraId="7A23FFFD">
      <w:pPr>
        <w:keepNext w:val="0"/>
        <w:keepLines w:val="0"/>
        <w:pageBreakBefore w:val="0"/>
        <w:widowControl/>
        <w:kinsoku/>
        <w:wordWrap w:val="0"/>
        <w:overflowPunct/>
        <w:topLinePunct/>
        <w:autoSpaceDE/>
        <w:autoSpaceDN/>
        <w:bidi w:val="0"/>
        <w:adjustRightInd/>
        <w:snapToGrid/>
        <w:spacing w:line="240" w:lineRule="auto"/>
        <w:ind w:left="0" w:leftChars="0" w:right="0" w:firstLine="482" w:firstLineChars="200"/>
        <w:jc w:val="both"/>
        <w:textAlignment w:val="baseline"/>
        <w:outlineLvl w:val="9"/>
        <w:rPr>
          <w:rFonts w:hint="eastAsia" w:ascii="宋体" w:hAnsi="宋体" w:eastAsia="宋体" w:cs="宋体"/>
          <w:b/>
          <w:bCs/>
          <w:snapToGrid/>
          <w:spacing w:val="0"/>
          <w:w w:val="100"/>
          <w:position w:val="0"/>
          <w:sz w:val="24"/>
          <w:szCs w:val="24"/>
          <w:lang w:val="en-US" w:eastAsia="zh-CN"/>
        </w:rPr>
      </w:pPr>
      <w:r>
        <w:rPr>
          <w:rFonts w:hint="eastAsia" w:ascii="宋体" w:hAnsi="宋体" w:eastAsia="宋体" w:cs="宋体"/>
          <w:b/>
          <w:bCs/>
          <w:snapToGrid/>
          <w:spacing w:val="0"/>
          <w:w w:val="100"/>
          <w:position w:val="0"/>
          <w:sz w:val="24"/>
          <w:szCs w:val="24"/>
          <w:lang w:val="en-US" w:eastAsia="zh-CN"/>
        </w:rPr>
        <w:t>4.评审委员会基于专业判断，认为供应商报价过低，有可能影响工程质量或者不能诚信履约的其他情形。</w:t>
      </w:r>
    </w:p>
    <w:p w14:paraId="2414CA38">
      <w:pPr>
        <w:spacing w:line="460" w:lineRule="exact"/>
        <w:ind w:firstLine="482" w:firstLineChars="200"/>
        <w:rPr>
          <w:rFonts w:hint="eastAsia" w:ascii="宋体" w:hAnsi="宋体" w:eastAsia="宋体" w:cs="宋体"/>
          <w:b/>
          <w:sz w:val="24"/>
        </w:rPr>
      </w:pPr>
      <w:r>
        <w:rPr>
          <w:rFonts w:hint="eastAsia" w:ascii="宋体" w:hAnsi="宋体" w:eastAsia="宋体" w:cs="宋体"/>
          <w:b/>
          <w:bCs/>
          <w:snapToGrid/>
          <w:spacing w:val="0"/>
          <w:w w:val="100"/>
          <w:position w:val="0"/>
          <w:sz w:val="24"/>
          <w:szCs w:val="24"/>
          <w:lang w:val="en-US" w:eastAsia="zh-CN"/>
        </w:rPr>
        <w:t>采购人可以结合具体项目实际情况，提高上述第1项至第3项中启动异常低价投标审查的数值标准，但是最高不得超过65%。</w:t>
      </w:r>
    </w:p>
    <w:p w14:paraId="4945D530">
      <w:pPr>
        <w:spacing w:line="460" w:lineRule="exact"/>
        <w:ind w:firstLine="482" w:firstLineChars="200"/>
        <w:rPr>
          <w:rFonts w:hint="eastAsia" w:ascii="宋体" w:hAnsi="宋体" w:eastAsia="宋体" w:cs="宋体"/>
          <w:b/>
          <w:sz w:val="24"/>
        </w:rPr>
      </w:pPr>
      <w:r>
        <w:rPr>
          <w:rFonts w:hint="eastAsia" w:ascii="宋体" w:hAnsi="宋体" w:eastAsia="宋体" w:cs="宋体"/>
          <w:b/>
          <w:sz w:val="24"/>
        </w:rPr>
        <w:t>5、和评审过程的保密性</w:t>
      </w:r>
    </w:p>
    <w:p w14:paraId="674E1330">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5.1　所有与本次招标及有关的人员，均不得向供应商及与项目无关的其他人员，透露与有关的资料等。</w:t>
      </w:r>
    </w:p>
    <w:p w14:paraId="55E87BC7">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5.2　在过程中，供应商试图在响应性文件审查、澄清、比较等方面向采购人员施加影响的任何行为都可能导致其响应性文件被拒绝。</w:t>
      </w:r>
    </w:p>
    <w:p w14:paraId="3CCB29C2">
      <w:pPr>
        <w:spacing w:line="4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6、程序、报价确认和澄清及成交原则</w:t>
      </w:r>
    </w:p>
    <w:p w14:paraId="12604591">
      <w:pPr>
        <w:spacing w:line="4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开标结束后，采购人或采购代理机构将根据《资格审查要求》中的规定，对投标人进行资格审查，以确定投标人是否具备投标资格，并形成资格审查结果。资格审查中凡有其中任意一项未通过的，评审结果为未通过，未通过资格审查的投标人按无效投标处理，不进入符合性审查。资格审查要求如下：</w:t>
      </w:r>
    </w:p>
    <w:p w14:paraId="72E9780C">
      <w:pPr>
        <w:spacing w:line="460" w:lineRule="exact"/>
        <w:ind w:firstLine="480" w:firstLineChars="200"/>
        <w:rPr>
          <w:rFonts w:hint="eastAsia" w:ascii="宋体" w:hAnsi="宋体" w:eastAsia="宋体" w:cs="宋体"/>
          <w:color w:val="000000"/>
          <w:sz w:val="24"/>
        </w:rPr>
      </w:pPr>
    </w:p>
    <w:p w14:paraId="1E479FAE">
      <w:pPr>
        <w:spacing w:line="460" w:lineRule="exact"/>
        <w:ind w:firstLine="480" w:firstLineChars="200"/>
        <w:rPr>
          <w:rFonts w:hint="eastAsia" w:ascii="宋体" w:hAnsi="宋体" w:eastAsia="宋体" w:cs="宋体"/>
          <w:color w:val="000000"/>
          <w:sz w:val="24"/>
        </w:rPr>
      </w:pPr>
    </w:p>
    <w:p w14:paraId="716611D7">
      <w:pPr>
        <w:spacing w:line="460" w:lineRule="exact"/>
        <w:ind w:firstLine="480" w:firstLineChars="200"/>
        <w:rPr>
          <w:rFonts w:hint="eastAsia" w:ascii="宋体" w:hAnsi="宋体" w:eastAsia="宋体" w:cs="宋体"/>
          <w:color w:val="000000"/>
          <w:sz w:val="24"/>
        </w:rPr>
      </w:pPr>
    </w:p>
    <w:p w14:paraId="69E5A902">
      <w:pPr>
        <w:spacing w:line="460" w:lineRule="exact"/>
        <w:ind w:firstLine="480" w:firstLineChars="200"/>
        <w:rPr>
          <w:rFonts w:hint="eastAsia" w:ascii="宋体" w:hAnsi="宋体" w:eastAsia="宋体" w:cs="宋体"/>
          <w:color w:val="000000"/>
          <w:sz w:val="24"/>
        </w:rPr>
      </w:pPr>
    </w:p>
    <w:p w14:paraId="7A4601A6">
      <w:pPr>
        <w:spacing w:line="460" w:lineRule="exact"/>
        <w:ind w:firstLine="480" w:firstLineChars="200"/>
        <w:rPr>
          <w:rFonts w:hint="eastAsia" w:ascii="宋体" w:hAnsi="宋体" w:eastAsia="宋体" w:cs="宋体"/>
          <w:color w:val="000000"/>
          <w:sz w:val="24"/>
        </w:rPr>
      </w:pPr>
    </w:p>
    <w:p w14:paraId="61665570">
      <w:pPr>
        <w:spacing w:line="460" w:lineRule="exact"/>
        <w:ind w:firstLine="480" w:firstLineChars="200"/>
        <w:rPr>
          <w:rFonts w:hint="eastAsia" w:ascii="宋体" w:hAnsi="宋体" w:eastAsia="宋体" w:cs="宋体"/>
          <w:color w:val="000000"/>
          <w:sz w:val="24"/>
        </w:rPr>
      </w:pPr>
    </w:p>
    <w:p w14:paraId="45079F85">
      <w:pPr>
        <w:spacing w:line="460" w:lineRule="exact"/>
        <w:ind w:firstLine="480" w:firstLineChars="200"/>
        <w:rPr>
          <w:rFonts w:hint="eastAsia" w:ascii="宋体" w:hAnsi="宋体" w:eastAsia="宋体" w:cs="宋体"/>
          <w:color w:val="000000"/>
          <w:sz w:val="24"/>
        </w:rPr>
      </w:pPr>
    </w:p>
    <w:p w14:paraId="77EE4823">
      <w:pPr>
        <w:widowControl/>
        <w:kinsoku w:val="0"/>
        <w:autoSpaceDE w:val="0"/>
        <w:autoSpaceDN w:val="0"/>
        <w:adjustRightInd w:val="0"/>
        <w:snapToGrid w:val="0"/>
        <w:spacing w:before="248" w:line="224" w:lineRule="auto"/>
        <w:ind w:left="26"/>
        <w:jc w:val="center"/>
        <w:textAlignment w:val="baseline"/>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《资格审查标准》</w:t>
      </w:r>
    </w:p>
    <w:tbl>
      <w:tblPr>
        <w:tblStyle w:val="27"/>
        <w:tblW w:w="5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7"/>
        <w:gridCol w:w="3903"/>
        <w:gridCol w:w="5537"/>
      </w:tblGrid>
      <w:tr w14:paraId="14CC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noWrap w:val="0"/>
            <w:vAlign w:val="center"/>
          </w:tcPr>
          <w:p w14:paraId="00CAD91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1972" w:type="pct"/>
            <w:noWrap w:val="0"/>
            <w:vAlign w:val="center"/>
          </w:tcPr>
          <w:p w14:paraId="5E163C2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795" w:type="pct"/>
            <w:noWrap w:val="0"/>
            <w:vAlign w:val="center"/>
          </w:tcPr>
          <w:p w14:paraId="64A1E83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1F1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231" w:type="pct"/>
            <w:noWrap w:val="0"/>
            <w:vAlign w:val="center"/>
          </w:tcPr>
          <w:p w14:paraId="4554EC0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w:t>
            </w:r>
          </w:p>
        </w:tc>
        <w:tc>
          <w:tcPr>
            <w:tcW w:w="1972" w:type="pct"/>
            <w:shd w:val="clear" w:color="auto" w:fill="auto"/>
            <w:noWrap w:val="0"/>
            <w:vAlign w:val="center"/>
          </w:tcPr>
          <w:p w14:paraId="5AD81048">
            <w:pPr>
              <w:bidi w:val="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营业执照</w:t>
            </w:r>
          </w:p>
        </w:tc>
        <w:tc>
          <w:tcPr>
            <w:tcW w:w="2795" w:type="pct"/>
            <w:shd w:val="clear" w:color="auto" w:fill="auto"/>
            <w:noWrap w:val="0"/>
            <w:vAlign w:val="top"/>
          </w:tcPr>
          <w:p w14:paraId="2995F0C4">
            <w:pPr>
              <w:bidi w:val="0"/>
              <w:rPr>
                <w:rFonts w:hint="eastAsia" w:ascii="宋体" w:hAnsi="宋体" w:eastAsia="宋体" w:cs="宋体"/>
                <w:color w:val="auto"/>
                <w:sz w:val="24"/>
                <w:szCs w:val="24"/>
                <w:highlight w:val="none"/>
                <w:lang w:val="en-US" w:eastAsia="zh-TW"/>
              </w:rPr>
            </w:pPr>
            <w:r>
              <w:rPr>
                <w:rFonts w:hint="eastAsia" w:ascii="宋体" w:hAnsi="宋体" w:eastAsia="宋体" w:cs="宋体"/>
                <w:color w:val="auto"/>
                <w:sz w:val="24"/>
                <w:szCs w:val="24"/>
                <w:highlight w:val="none"/>
              </w:rPr>
              <w:t>供应商是否具备有效的营业执照</w:t>
            </w:r>
          </w:p>
        </w:tc>
      </w:tr>
      <w:tr w14:paraId="6793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231" w:type="pct"/>
            <w:noWrap w:val="0"/>
            <w:vAlign w:val="center"/>
          </w:tcPr>
          <w:p w14:paraId="6785E3A3">
            <w:pPr>
              <w:widowControl/>
              <w:shd w:val="clear" w:color="auto" w:fill="FFFFFF"/>
              <w:snapToGrid w:val="0"/>
              <w:spacing w:line="360" w:lineRule="auto"/>
              <w:jc w:val="center"/>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w:t>
            </w:r>
          </w:p>
        </w:tc>
        <w:tc>
          <w:tcPr>
            <w:tcW w:w="1972" w:type="pct"/>
            <w:shd w:val="clear" w:color="auto" w:fill="auto"/>
            <w:noWrap w:val="0"/>
            <w:vAlign w:val="center"/>
          </w:tcPr>
          <w:p w14:paraId="02E398B5">
            <w:pPr>
              <w:bidi w:val="0"/>
              <w:jc w:val="left"/>
            </w:pPr>
          </w:p>
          <w:p w14:paraId="50FAF8C8">
            <w:pPr>
              <w:bidi w:val="0"/>
              <w:jc w:val="left"/>
            </w:pPr>
          </w:p>
          <w:p w14:paraId="2D85F2A2">
            <w:pPr>
              <w:bidi w:val="0"/>
              <w:jc w:val="left"/>
              <w:rPr>
                <w:rFonts w:hint="eastAsia" w:ascii="Times New Roman" w:hAnsi="Times New Roman" w:eastAsia="宋体" w:cs="Times New Roman"/>
                <w:kern w:val="2"/>
                <w:sz w:val="21"/>
                <w:szCs w:val="24"/>
                <w:lang w:val="en-US" w:eastAsia="en-US" w:bidi="ar-SA"/>
              </w:rPr>
            </w:pPr>
            <w:r>
              <w:rPr>
                <w:rFonts w:hint="eastAsia" w:ascii="宋体" w:hAnsi="宋体" w:eastAsia="宋体" w:cs="宋体"/>
                <w:color w:val="auto"/>
                <w:sz w:val="24"/>
                <w:szCs w:val="24"/>
                <w:highlight w:val="none"/>
              </w:rPr>
              <w:t>法定代表人身份证明和授权委托书</w:t>
            </w:r>
          </w:p>
        </w:tc>
        <w:tc>
          <w:tcPr>
            <w:tcW w:w="2795" w:type="pct"/>
            <w:shd w:val="clear" w:color="auto" w:fill="auto"/>
            <w:noWrap w:val="0"/>
            <w:vAlign w:val="top"/>
          </w:tcPr>
          <w:p w14:paraId="1E722F19">
            <w:pPr>
              <w:bidi w:val="0"/>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auto"/>
                <w:sz w:val="24"/>
                <w:szCs w:val="24"/>
                <w:highlight w:val="none"/>
              </w:rPr>
              <w:t>是否提供了法定代表人身份证明和授权委托书，且委托书加盖供应商电子公章及法定代表人或单位负责人电子签名、身份证明加盖供应商电子公章。供应商代表由法定代表人本人担任的只需提供法定代表人或单位负责人身份证明</w:t>
            </w:r>
            <w:r>
              <w:rPr>
                <w:rFonts w:hint="eastAsia" w:ascii="宋体" w:hAnsi="宋体" w:eastAsia="宋体" w:cs="宋体"/>
                <w:color w:val="auto"/>
                <w:sz w:val="24"/>
                <w:szCs w:val="24"/>
                <w:highlight w:val="none"/>
                <w:lang w:eastAsia="zh-CN"/>
              </w:rPr>
              <w:t>。</w:t>
            </w:r>
          </w:p>
        </w:tc>
      </w:tr>
      <w:tr w14:paraId="67F9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231" w:type="pct"/>
            <w:noWrap w:val="0"/>
            <w:vAlign w:val="center"/>
          </w:tcPr>
          <w:p w14:paraId="594BE2CB">
            <w:pPr>
              <w:widowControl/>
              <w:shd w:val="clear" w:color="auto" w:fill="FFFFFF"/>
              <w:snapToGrid w:val="0"/>
              <w:spacing w:line="360" w:lineRule="auto"/>
              <w:jc w:val="center"/>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2</w:t>
            </w:r>
          </w:p>
        </w:tc>
        <w:tc>
          <w:tcPr>
            <w:tcW w:w="1972" w:type="pct"/>
            <w:shd w:val="clear" w:color="auto" w:fill="auto"/>
            <w:noWrap w:val="0"/>
            <w:vAlign w:val="center"/>
          </w:tcPr>
          <w:p w14:paraId="29F75CC1">
            <w:pPr>
              <w:bidi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采购政策</w:t>
            </w:r>
          </w:p>
        </w:tc>
        <w:tc>
          <w:tcPr>
            <w:tcW w:w="2795" w:type="pct"/>
            <w:shd w:val="clear" w:color="auto" w:fill="auto"/>
            <w:noWrap w:val="0"/>
            <w:vAlign w:val="top"/>
          </w:tcPr>
          <w:p w14:paraId="04176A0B">
            <w:pPr>
              <w:bidi w:val="0"/>
              <w:rPr>
                <w:rFonts w:hint="eastAsia"/>
                <w:kern w:val="2"/>
                <w:sz w:val="21"/>
                <w:lang w:val="en-US" w:eastAsia="zh-CN" w:bidi="ar-SA"/>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请根据要求单独上传《中小企业声明函》。格式以采购文件要求为准。</w:t>
            </w:r>
          </w:p>
        </w:tc>
      </w:tr>
      <w:tr w14:paraId="366D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noWrap w:val="0"/>
            <w:vAlign w:val="center"/>
          </w:tcPr>
          <w:p w14:paraId="070F911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w:t>
            </w:r>
          </w:p>
        </w:tc>
        <w:tc>
          <w:tcPr>
            <w:tcW w:w="1972" w:type="pct"/>
            <w:shd w:val="clear" w:color="auto" w:fill="auto"/>
            <w:noWrap w:val="0"/>
            <w:vAlign w:val="center"/>
          </w:tcPr>
          <w:p w14:paraId="583CEB11">
            <w:pPr>
              <w:bidi w:val="0"/>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rPr>
              <w:t>满足《中华人民共和国政府采购法》第二十二条规定。</w:t>
            </w:r>
          </w:p>
        </w:tc>
        <w:tc>
          <w:tcPr>
            <w:tcW w:w="2795" w:type="pct"/>
            <w:shd w:val="clear" w:color="auto" w:fill="auto"/>
            <w:noWrap w:val="0"/>
            <w:vAlign w:val="center"/>
          </w:tcPr>
          <w:p w14:paraId="7D42AC07">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TW"/>
              </w:rPr>
              <w:t>是否按谈判文件要求提供政府采购供应商信用承诺函</w:t>
            </w:r>
            <w:r>
              <w:rPr>
                <w:rFonts w:hint="eastAsia" w:ascii="宋体" w:hAnsi="宋体" w:eastAsia="宋体" w:cs="宋体"/>
                <w:color w:val="auto"/>
                <w:sz w:val="24"/>
                <w:szCs w:val="24"/>
                <w:highlight w:val="none"/>
                <w:lang w:val="en-US" w:eastAsia="zh-CN"/>
              </w:rPr>
              <w:t>。</w:t>
            </w:r>
          </w:p>
        </w:tc>
      </w:tr>
      <w:tr w14:paraId="65D0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noWrap w:val="0"/>
            <w:vAlign w:val="center"/>
          </w:tcPr>
          <w:p w14:paraId="79B7746B">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72" w:type="pct"/>
            <w:noWrap w:val="0"/>
            <w:vAlign w:val="center"/>
          </w:tcPr>
          <w:p w14:paraId="639F8A76">
            <w:pPr>
              <w:bidi w:val="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特定资格要求</w:t>
            </w:r>
          </w:p>
        </w:tc>
        <w:tc>
          <w:tcPr>
            <w:tcW w:w="2795" w:type="pct"/>
            <w:noWrap w:val="0"/>
            <w:vAlign w:val="top"/>
          </w:tcPr>
          <w:p w14:paraId="3FE2FD44">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须具备住房城乡建设主管部门颁发的房屋建筑工程施工总承包叁级（含叁级）以上资质，具备有效的安全生产许可证。项目负责人须具备建筑工程专业注册二级建造师及以上执业资格，具备有效的安全生产考核合格证书（B证）及无在建项目承诺（提供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tc>
      </w:tr>
      <w:tr w14:paraId="2C3B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noWrap w:val="0"/>
            <w:vAlign w:val="center"/>
          </w:tcPr>
          <w:p w14:paraId="14FB7E89">
            <w:pPr>
              <w:bidi w:val="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72" w:type="pct"/>
            <w:shd w:val="clear" w:color="auto" w:fill="auto"/>
            <w:noWrap w:val="0"/>
            <w:vAlign w:val="center"/>
          </w:tcPr>
          <w:p w14:paraId="72C545D2">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其他说明</w:t>
            </w:r>
          </w:p>
        </w:tc>
        <w:tc>
          <w:tcPr>
            <w:tcW w:w="2795" w:type="pct"/>
            <w:shd w:val="clear" w:color="auto" w:fill="auto"/>
            <w:noWrap w:val="0"/>
            <w:vAlign w:val="center"/>
          </w:tcPr>
          <w:p w14:paraId="60EF0D5D">
            <w:pPr>
              <w:bidi w:val="0"/>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rPr>
              <w:t>单位负责人为同一人或者存在控股、管理关系的不同单位，不得同时参加本项目的投标。为本项目提供整体设计、规范编制或者项目管理、监理、检测等服务的投标人，不得再参加本项目投标（提供声明函</w:t>
            </w:r>
            <w:r>
              <w:rPr>
                <w:rFonts w:hint="eastAsia" w:ascii="宋体" w:hAnsi="宋体" w:eastAsia="宋体" w:cs="宋体"/>
                <w:color w:val="auto"/>
                <w:sz w:val="24"/>
                <w:szCs w:val="24"/>
                <w:highlight w:val="none"/>
                <w:lang w:val="en-US" w:eastAsia="zh-CN"/>
              </w:rPr>
              <w:t>或承诺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rPr>
              <w:t>）</w:t>
            </w:r>
          </w:p>
        </w:tc>
      </w:tr>
      <w:tr w14:paraId="5B56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7" w:hRule="atLeast"/>
          <w:jc w:val="center"/>
        </w:trPr>
        <w:tc>
          <w:tcPr>
            <w:tcW w:w="231" w:type="pct"/>
            <w:noWrap w:val="0"/>
            <w:vAlign w:val="center"/>
          </w:tcPr>
          <w:p w14:paraId="5BD30E95">
            <w:pPr>
              <w:bidi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72" w:type="pct"/>
            <w:shd w:val="clear" w:color="auto" w:fill="auto"/>
            <w:noWrap w:val="0"/>
            <w:vAlign w:val="center"/>
          </w:tcPr>
          <w:p w14:paraId="67E9D592">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tc>
        <w:tc>
          <w:tcPr>
            <w:tcW w:w="2795" w:type="pct"/>
            <w:shd w:val="clear" w:color="auto" w:fill="auto"/>
            <w:noWrap w:val="0"/>
            <w:vAlign w:val="center"/>
          </w:tcPr>
          <w:p w14:paraId="623FDCE9">
            <w:pPr>
              <w:bidi w:val="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响应文件是否有附有不满足谈判文件实质性要求的其他情形</w:t>
            </w:r>
            <w:r>
              <w:rPr>
                <w:rFonts w:hint="eastAsia" w:ascii="宋体" w:hAnsi="宋体" w:eastAsia="宋体" w:cs="宋体"/>
                <w:color w:val="auto"/>
                <w:sz w:val="24"/>
                <w:szCs w:val="24"/>
                <w:highlight w:val="none"/>
                <w:lang w:val="en-US" w:eastAsia="zh-CN"/>
              </w:rPr>
              <w:t>；</w:t>
            </w:r>
          </w:p>
        </w:tc>
      </w:tr>
      <w:tr w14:paraId="2496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noWrap w:val="0"/>
            <w:vAlign w:val="center"/>
          </w:tcPr>
          <w:p w14:paraId="79A9040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 如果资格评审中有一项不满足审查标准的，采购人将认定该供应商不通过资格审查，投标文件将被拒绝评审。并且不允许供应商通过修改或撤销其不符合要求的差异或保留，使之成为具有响应性的投标。</w:t>
            </w:r>
          </w:p>
        </w:tc>
      </w:tr>
    </w:tbl>
    <w:p w14:paraId="38D96DFC">
      <w:pPr>
        <w:pStyle w:val="9"/>
        <w:spacing w:before="78" w:line="220" w:lineRule="auto"/>
        <w:ind w:left="94"/>
        <w:outlineLvl w:val="6"/>
        <w:rPr>
          <w:rFonts w:hint="eastAsia" w:ascii="宋体" w:hAnsi="宋体" w:eastAsia="宋体" w:cs="宋体"/>
          <w:b/>
          <w:color w:val="auto"/>
          <w:kern w:val="1"/>
          <w:sz w:val="24"/>
          <w:szCs w:val="24"/>
          <w:lang w:val="en-US" w:eastAsia="zh-CN" w:bidi="ar-SA"/>
        </w:rPr>
      </w:pPr>
    </w:p>
    <w:p w14:paraId="006AA384">
      <w:pPr>
        <w:widowControl/>
        <w:kinsoku w:val="0"/>
        <w:autoSpaceDE w:val="0"/>
        <w:autoSpaceDN w:val="0"/>
        <w:adjustRightInd w:val="0"/>
        <w:snapToGrid w:val="0"/>
        <w:spacing w:before="248" w:line="224" w:lineRule="auto"/>
        <w:ind w:left="26"/>
        <w:jc w:val="center"/>
        <w:textAlignment w:val="baseline"/>
        <w:rPr>
          <w:rFonts w:hint="eastAsia" w:ascii="宋体" w:hAnsi="宋体" w:eastAsia="宋体" w:cs="宋体"/>
          <w:b/>
          <w:bCs/>
          <w:color w:val="auto"/>
          <w:sz w:val="36"/>
          <w:szCs w:val="36"/>
          <w:highlight w:val="none"/>
          <w:lang w:eastAsia="en-US"/>
        </w:rPr>
      </w:pPr>
      <w:r>
        <w:rPr>
          <w:rFonts w:hint="eastAsia" w:ascii="宋体" w:hAnsi="宋体" w:eastAsia="宋体" w:cs="宋体"/>
          <w:b/>
          <w:bCs/>
          <w:color w:val="auto"/>
          <w:sz w:val="36"/>
          <w:szCs w:val="36"/>
          <w:highlight w:val="none"/>
          <w:lang w:eastAsia="en-US"/>
        </w:rPr>
        <w:t>《符合性审查标准》</w:t>
      </w:r>
    </w:p>
    <w:tbl>
      <w:tblPr>
        <w:tblStyle w:val="27"/>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0"/>
        <w:gridCol w:w="8335"/>
        <w:gridCol w:w="909"/>
      </w:tblGrid>
      <w:tr w14:paraId="451C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450" w:type="dxa"/>
            <w:noWrap w:val="0"/>
            <w:vAlign w:val="center"/>
          </w:tcPr>
          <w:p w14:paraId="1E4747E0">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335" w:type="dxa"/>
            <w:noWrap w:val="0"/>
            <w:vAlign w:val="center"/>
          </w:tcPr>
          <w:p w14:paraId="6D8B197C">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审查要求</w:t>
            </w:r>
          </w:p>
        </w:tc>
        <w:tc>
          <w:tcPr>
            <w:tcW w:w="909" w:type="dxa"/>
            <w:noWrap w:val="0"/>
            <w:vAlign w:val="center"/>
          </w:tcPr>
          <w:p w14:paraId="011E36C3">
            <w:pPr>
              <w:bidi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要求说明</w:t>
            </w:r>
          </w:p>
        </w:tc>
      </w:tr>
      <w:tr w14:paraId="3EEE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450" w:type="dxa"/>
            <w:noWrap w:val="0"/>
            <w:vAlign w:val="center"/>
          </w:tcPr>
          <w:p w14:paraId="27EAD3D2">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335" w:type="dxa"/>
            <w:noWrap w:val="0"/>
            <w:vAlign w:val="center"/>
          </w:tcPr>
          <w:p w14:paraId="18C23800">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投标文件必须按招标文件要求加盖供应商</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章、法人章。</w:t>
            </w:r>
          </w:p>
        </w:tc>
        <w:tc>
          <w:tcPr>
            <w:tcW w:w="909" w:type="dxa"/>
            <w:noWrap w:val="0"/>
            <w:vAlign w:val="center"/>
          </w:tcPr>
          <w:p w14:paraId="2E8040B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A9F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atLeast"/>
          <w:jc w:val="center"/>
        </w:trPr>
        <w:tc>
          <w:tcPr>
            <w:tcW w:w="450" w:type="dxa"/>
            <w:noWrap w:val="0"/>
            <w:vAlign w:val="center"/>
          </w:tcPr>
          <w:p w14:paraId="1426EDA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335" w:type="dxa"/>
            <w:noWrap w:val="0"/>
            <w:vAlign w:val="center"/>
          </w:tcPr>
          <w:p w14:paraId="5A0E2C98">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投标有效期符合供应商须知前附表的规定</w:t>
            </w:r>
            <w:r>
              <w:rPr>
                <w:rFonts w:hint="eastAsia" w:ascii="宋体" w:hAnsi="宋体" w:eastAsia="宋体" w:cs="宋体"/>
                <w:color w:val="auto"/>
                <w:sz w:val="24"/>
                <w:szCs w:val="24"/>
                <w:highlight w:val="none"/>
                <w:lang w:eastAsia="zh-CN"/>
              </w:rPr>
              <w:t>。</w:t>
            </w:r>
          </w:p>
        </w:tc>
        <w:tc>
          <w:tcPr>
            <w:tcW w:w="909" w:type="dxa"/>
            <w:noWrap w:val="0"/>
            <w:vAlign w:val="center"/>
          </w:tcPr>
          <w:p w14:paraId="4F43121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0C79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450" w:type="dxa"/>
            <w:noWrap w:val="0"/>
            <w:vAlign w:val="center"/>
          </w:tcPr>
          <w:p w14:paraId="7AF4F51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335" w:type="dxa"/>
            <w:noWrap w:val="0"/>
            <w:vAlign w:val="center"/>
          </w:tcPr>
          <w:p w14:paraId="25F768D5">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投标价格不得超过供应商须知前附表中的采购预算金额，且只有一个有效报价，不得提交选择性报价。</w:t>
            </w:r>
          </w:p>
        </w:tc>
        <w:tc>
          <w:tcPr>
            <w:tcW w:w="909" w:type="dxa"/>
            <w:noWrap w:val="0"/>
            <w:vAlign w:val="center"/>
          </w:tcPr>
          <w:p w14:paraId="70DAD52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5C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450" w:type="dxa"/>
            <w:noWrap w:val="0"/>
            <w:tcMar>
              <w:top w:w="0" w:type="dxa"/>
              <w:left w:w="28" w:type="dxa"/>
              <w:bottom w:w="0" w:type="dxa"/>
              <w:right w:w="28" w:type="dxa"/>
            </w:tcMar>
            <w:vAlign w:val="center"/>
          </w:tcPr>
          <w:p w14:paraId="564BA5D4">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335" w:type="dxa"/>
            <w:noWrap w:val="0"/>
            <w:vAlign w:val="center"/>
          </w:tcPr>
          <w:p w14:paraId="084E6F1A">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供应商按招标工程量清单填报价格，未改变</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文件提供的工程量清单内容。</w:t>
            </w:r>
          </w:p>
        </w:tc>
        <w:tc>
          <w:tcPr>
            <w:tcW w:w="909" w:type="dxa"/>
            <w:noWrap w:val="0"/>
            <w:tcMar>
              <w:top w:w="0" w:type="dxa"/>
              <w:left w:w="28" w:type="dxa"/>
              <w:bottom w:w="0" w:type="dxa"/>
              <w:right w:w="28" w:type="dxa"/>
            </w:tcMar>
            <w:vAlign w:val="center"/>
          </w:tcPr>
          <w:p w14:paraId="56A8BBD2">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B82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0" w:type="dxa"/>
            <w:noWrap w:val="0"/>
            <w:tcMar>
              <w:top w:w="0" w:type="dxa"/>
              <w:left w:w="28" w:type="dxa"/>
              <w:bottom w:w="0" w:type="dxa"/>
              <w:right w:w="28" w:type="dxa"/>
            </w:tcMar>
            <w:vAlign w:val="center"/>
          </w:tcPr>
          <w:p w14:paraId="1A3556B6">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335" w:type="dxa"/>
            <w:noWrap w:val="0"/>
            <w:vAlign w:val="center"/>
          </w:tcPr>
          <w:p w14:paraId="66990C1D">
            <w:pPr>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不可竞争费用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报价未将安全文明施工费、暂列金、暂估价、规费、税金列入</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竞争性费用</w:t>
            </w:r>
            <w:r>
              <w:rPr>
                <w:rFonts w:hint="eastAsia" w:ascii="宋体" w:hAnsi="宋体" w:eastAsia="宋体" w:cs="宋体"/>
                <w:color w:val="auto"/>
                <w:sz w:val="24"/>
                <w:szCs w:val="24"/>
                <w:highlight w:val="none"/>
                <w:lang w:eastAsia="zh-CN"/>
              </w:rPr>
              <w:t>。</w:t>
            </w:r>
          </w:p>
        </w:tc>
        <w:tc>
          <w:tcPr>
            <w:tcW w:w="909" w:type="dxa"/>
            <w:noWrap w:val="0"/>
            <w:tcMar>
              <w:top w:w="0" w:type="dxa"/>
              <w:left w:w="28" w:type="dxa"/>
              <w:bottom w:w="0" w:type="dxa"/>
              <w:right w:w="28" w:type="dxa"/>
            </w:tcMar>
            <w:vAlign w:val="center"/>
          </w:tcPr>
          <w:p w14:paraId="041DE9D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4EB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0" w:type="dxa"/>
            <w:noWrap w:val="0"/>
            <w:tcMar>
              <w:top w:w="0" w:type="dxa"/>
              <w:left w:w="28" w:type="dxa"/>
              <w:bottom w:w="0" w:type="dxa"/>
              <w:right w:w="28" w:type="dxa"/>
            </w:tcMar>
            <w:vAlign w:val="center"/>
          </w:tcPr>
          <w:p w14:paraId="176C4CDD">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335" w:type="dxa"/>
            <w:noWrap w:val="0"/>
            <w:vAlign w:val="center"/>
          </w:tcPr>
          <w:p w14:paraId="24FD8C31">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合同履约期限</w:t>
            </w:r>
            <w:r>
              <w:rPr>
                <w:rFonts w:hint="eastAsia" w:ascii="宋体" w:hAnsi="宋体" w:eastAsia="宋体" w:cs="宋体"/>
                <w:color w:val="auto"/>
                <w:sz w:val="24"/>
                <w:szCs w:val="24"/>
                <w:highlight w:val="none"/>
              </w:rPr>
              <w:t>必须满足招标文件要求。</w:t>
            </w:r>
          </w:p>
        </w:tc>
        <w:tc>
          <w:tcPr>
            <w:tcW w:w="909" w:type="dxa"/>
            <w:noWrap w:val="0"/>
            <w:tcMar>
              <w:top w:w="0" w:type="dxa"/>
              <w:left w:w="28" w:type="dxa"/>
              <w:bottom w:w="0" w:type="dxa"/>
              <w:right w:w="28" w:type="dxa"/>
            </w:tcMar>
            <w:vAlign w:val="center"/>
          </w:tcPr>
          <w:p w14:paraId="09238C67">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0C0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0" w:type="dxa"/>
            <w:noWrap w:val="0"/>
            <w:tcMar>
              <w:top w:w="0" w:type="dxa"/>
              <w:left w:w="28" w:type="dxa"/>
              <w:bottom w:w="0" w:type="dxa"/>
              <w:right w:w="28" w:type="dxa"/>
            </w:tcMar>
            <w:vAlign w:val="center"/>
          </w:tcPr>
          <w:p w14:paraId="36ADCB8E">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8335" w:type="dxa"/>
            <w:noWrap w:val="0"/>
            <w:vAlign w:val="center"/>
          </w:tcPr>
          <w:p w14:paraId="0EBAE1C8">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投标文件承诺的付款方式满足招标文件要求</w:t>
            </w:r>
            <w:r>
              <w:rPr>
                <w:rFonts w:hint="eastAsia" w:ascii="宋体" w:hAnsi="宋体" w:eastAsia="宋体" w:cs="宋体"/>
                <w:color w:val="auto"/>
                <w:sz w:val="24"/>
                <w:szCs w:val="24"/>
                <w:highlight w:val="none"/>
                <w:lang w:eastAsia="zh-CN"/>
              </w:rPr>
              <w:t>。</w:t>
            </w:r>
          </w:p>
        </w:tc>
        <w:tc>
          <w:tcPr>
            <w:tcW w:w="909" w:type="dxa"/>
            <w:noWrap w:val="0"/>
            <w:tcMar>
              <w:top w:w="0" w:type="dxa"/>
              <w:left w:w="28" w:type="dxa"/>
              <w:bottom w:w="0" w:type="dxa"/>
              <w:right w:w="28" w:type="dxa"/>
            </w:tcMar>
            <w:vAlign w:val="center"/>
          </w:tcPr>
          <w:p w14:paraId="36B25E59">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11CD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1" w:hRule="atLeast"/>
          <w:jc w:val="center"/>
        </w:trPr>
        <w:tc>
          <w:tcPr>
            <w:tcW w:w="450" w:type="dxa"/>
            <w:noWrap w:val="0"/>
            <w:tcMar>
              <w:top w:w="0" w:type="dxa"/>
              <w:left w:w="28" w:type="dxa"/>
              <w:bottom w:w="0" w:type="dxa"/>
              <w:right w:w="28" w:type="dxa"/>
            </w:tcMar>
            <w:vAlign w:val="center"/>
          </w:tcPr>
          <w:p w14:paraId="40931A55">
            <w:pP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8335" w:type="dxa"/>
            <w:noWrap w:val="0"/>
            <w:vAlign w:val="center"/>
          </w:tcPr>
          <w:p w14:paraId="4475D4E7">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投标文件符合招标文件全部实质性要求。</w:t>
            </w:r>
          </w:p>
        </w:tc>
        <w:tc>
          <w:tcPr>
            <w:tcW w:w="909" w:type="dxa"/>
            <w:noWrap w:val="0"/>
            <w:tcMar>
              <w:top w:w="0" w:type="dxa"/>
              <w:left w:w="28" w:type="dxa"/>
              <w:bottom w:w="0" w:type="dxa"/>
              <w:right w:w="28" w:type="dxa"/>
            </w:tcMar>
            <w:vAlign w:val="center"/>
          </w:tcPr>
          <w:p w14:paraId="285DD4E3">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17A5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694" w:type="dxa"/>
            <w:gridSpan w:val="3"/>
            <w:noWrap w:val="0"/>
            <w:vAlign w:val="center"/>
          </w:tcPr>
          <w:p w14:paraId="1D05D631">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符合性审查中有一项不满足评审标准的，评标委员会将认定该供应商不通过符合性审查，不得进入下一阶段评审。并且不允许供应商通过修改或撤销其不符合要求的差异或保留，使之成为具有响应性的投标。</w:t>
            </w:r>
          </w:p>
        </w:tc>
      </w:tr>
    </w:tbl>
    <w:p w14:paraId="54BAB776">
      <w:pPr>
        <w:spacing w:line="480" w:lineRule="exact"/>
        <w:rPr>
          <w:rFonts w:hint="eastAsia" w:ascii="宋体" w:hAnsi="宋体" w:eastAsia="宋体" w:cs="宋体"/>
          <w:color w:val="000000"/>
          <w:spacing w:val="-2"/>
          <w:sz w:val="24"/>
        </w:rPr>
      </w:pPr>
      <w:r>
        <w:rPr>
          <w:rFonts w:hint="eastAsia" w:ascii="宋体" w:hAnsi="宋体" w:eastAsia="宋体" w:cs="宋体"/>
          <w:color w:val="000000"/>
          <w:spacing w:val="-2"/>
          <w:sz w:val="24"/>
        </w:rPr>
        <w:t>响应性文件</w:t>
      </w:r>
      <w:r>
        <w:rPr>
          <w:rFonts w:hint="eastAsia" w:ascii="宋体" w:hAnsi="宋体" w:cs="宋体"/>
          <w:color w:val="000000"/>
          <w:spacing w:val="-2"/>
          <w:sz w:val="24"/>
          <w:lang w:val="en-US" w:eastAsia="zh-CN"/>
        </w:rPr>
        <w:t>初步</w:t>
      </w:r>
      <w:r>
        <w:rPr>
          <w:rFonts w:hint="eastAsia" w:ascii="宋体" w:hAnsi="宋体" w:eastAsia="宋体" w:cs="宋体"/>
          <w:color w:val="000000"/>
          <w:spacing w:val="-2"/>
          <w:sz w:val="24"/>
        </w:rPr>
        <w:t>审查通过的投标企业，进入下一步详细评审阶段，未通过响应文件审查的企业，其投标作为无效标，不进入后期评审阶段。</w:t>
      </w:r>
    </w:p>
    <w:p w14:paraId="6C3FC53E">
      <w:pPr>
        <w:pStyle w:val="9"/>
        <w:rPr>
          <w:rFonts w:hint="eastAsia" w:ascii="宋体" w:hAnsi="宋体" w:eastAsia="宋体" w:cs="宋体"/>
          <w:color w:val="000000"/>
          <w:spacing w:val="-2"/>
          <w:sz w:val="24"/>
        </w:rPr>
      </w:pPr>
    </w:p>
    <w:p w14:paraId="1FAD1A18">
      <w:pPr>
        <w:rPr>
          <w:rFonts w:hint="eastAsia" w:ascii="宋体" w:hAnsi="宋体" w:eastAsia="宋体" w:cs="宋体"/>
          <w:color w:val="000000"/>
          <w:spacing w:val="-2"/>
          <w:sz w:val="24"/>
        </w:rPr>
      </w:pPr>
    </w:p>
    <w:p w14:paraId="22668823">
      <w:pPr>
        <w:ind w:firstLine="2891" w:firstLineChars="900"/>
        <w:jc w:val="left"/>
        <w:rPr>
          <w:rFonts w:hint="eastAsia" w:ascii="宋体" w:hAnsi="宋体" w:eastAsia="宋体" w:cs="宋体"/>
          <w:b/>
          <w:sz w:val="32"/>
          <w:szCs w:val="32"/>
        </w:rPr>
      </w:pPr>
      <w:r>
        <w:rPr>
          <w:rFonts w:hint="eastAsia" w:ascii="宋体" w:hAnsi="宋体" w:eastAsia="宋体" w:cs="宋体"/>
          <w:b/>
          <w:sz w:val="32"/>
          <w:szCs w:val="32"/>
        </w:rPr>
        <w:t>七、成交及合同签订</w:t>
      </w:r>
    </w:p>
    <w:p w14:paraId="21EA36FE">
      <w:pPr>
        <w:spacing w:line="360" w:lineRule="auto"/>
        <w:ind w:firstLine="482" w:firstLineChars="200"/>
        <w:jc w:val="left"/>
        <w:outlineLvl w:val="0"/>
        <w:rPr>
          <w:rFonts w:hint="eastAsia" w:ascii="宋体" w:hAnsi="宋体" w:eastAsia="宋体" w:cs="宋体"/>
          <w:sz w:val="24"/>
        </w:rPr>
      </w:pPr>
      <w:bookmarkStart w:id="251" w:name="_Toc29542"/>
      <w:bookmarkStart w:id="252" w:name="_Toc24108"/>
      <w:bookmarkStart w:id="253" w:name="_Toc31101"/>
      <w:bookmarkStart w:id="254" w:name="_Toc4233"/>
      <w:bookmarkStart w:id="255" w:name="_Toc8983656"/>
      <w:bookmarkStart w:id="256" w:name="_Toc489694893"/>
      <w:bookmarkStart w:id="257" w:name="_Toc32642"/>
      <w:bookmarkStart w:id="258" w:name="_Toc490155596"/>
      <w:bookmarkStart w:id="259" w:name="_Toc2693"/>
      <w:bookmarkStart w:id="260" w:name="_Toc30271"/>
      <w:r>
        <w:rPr>
          <w:rFonts w:hint="eastAsia" w:ascii="宋体" w:hAnsi="宋体" w:eastAsia="宋体" w:cs="宋体"/>
          <w:b/>
          <w:bCs/>
          <w:sz w:val="24"/>
        </w:rPr>
        <w:t>1.</w:t>
      </w:r>
      <w:bookmarkEnd w:id="251"/>
      <w:bookmarkEnd w:id="252"/>
      <w:bookmarkEnd w:id="253"/>
      <w:bookmarkEnd w:id="254"/>
      <w:bookmarkEnd w:id="255"/>
      <w:bookmarkEnd w:id="256"/>
      <w:bookmarkEnd w:id="257"/>
      <w:bookmarkEnd w:id="258"/>
      <w:r>
        <w:rPr>
          <w:rFonts w:hint="eastAsia" w:ascii="宋体" w:hAnsi="宋体" w:eastAsia="宋体" w:cs="宋体"/>
          <w:b/>
          <w:bCs/>
          <w:sz w:val="24"/>
        </w:rPr>
        <w:t>成交人</w:t>
      </w:r>
      <w:bookmarkEnd w:id="259"/>
      <w:bookmarkEnd w:id="260"/>
    </w:p>
    <w:p w14:paraId="46AC5F3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根据评标小组对各供应商满足文件实质性响应【</w:t>
      </w:r>
      <w:r>
        <w:rPr>
          <w:rFonts w:hint="eastAsia" w:ascii="宋体" w:hAnsi="宋体" w:eastAsia="宋体" w:cs="宋体"/>
          <w:b/>
          <w:sz w:val="24"/>
        </w:rPr>
        <w:t>所谓实质性响应，是指响应文件应与文件的所有实质性条款、条件和要求相符，无显著差异或保留（由小组确定）、质量和交货期相等且符合文件要求的、报价最低的供应商。</w:t>
      </w:r>
      <w:r>
        <w:rPr>
          <w:rFonts w:hint="eastAsia" w:ascii="宋体" w:hAnsi="宋体" w:eastAsia="宋体" w:cs="宋体"/>
          <w:sz w:val="24"/>
        </w:rPr>
        <w:t>】</w:t>
      </w:r>
    </w:p>
    <w:p w14:paraId="5A1424E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采购人从评标委员会提出的成交候选人中根据符合采购需求、质量和交货期相关且综合排名最高的确定成交人。</w:t>
      </w:r>
    </w:p>
    <w:p w14:paraId="29969807">
      <w:pPr>
        <w:snapToGrid w:val="0"/>
        <w:spacing w:line="360" w:lineRule="auto"/>
        <w:ind w:firstLine="482" w:firstLineChars="200"/>
        <w:outlineLvl w:val="0"/>
        <w:rPr>
          <w:rFonts w:hint="eastAsia" w:ascii="宋体" w:hAnsi="宋体" w:eastAsia="宋体" w:cs="宋体"/>
          <w:sz w:val="24"/>
        </w:rPr>
      </w:pPr>
      <w:bookmarkStart w:id="261" w:name="_Toc29546"/>
      <w:bookmarkStart w:id="262" w:name="_Toc10463"/>
      <w:bookmarkStart w:id="263" w:name="_Toc3696"/>
      <w:bookmarkStart w:id="264" w:name="_Toc7384"/>
      <w:bookmarkStart w:id="265" w:name="_Toc11718"/>
      <w:bookmarkStart w:id="266" w:name="_Toc489694894"/>
      <w:bookmarkStart w:id="267" w:name="_Toc490155597"/>
      <w:bookmarkStart w:id="268" w:name="_Toc3926"/>
      <w:bookmarkStart w:id="269" w:name="_Toc12076"/>
      <w:bookmarkStart w:id="270" w:name="_Toc8983657"/>
      <w:r>
        <w:rPr>
          <w:rFonts w:hint="eastAsia" w:ascii="宋体" w:hAnsi="宋体" w:eastAsia="宋体" w:cs="宋体"/>
          <w:b/>
          <w:bCs/>
          <w:sz w:val="24"/>
        </w:rPr>
        <w:t>2.资格后审</w:t>
      </w:r>
      <w:bookmarkEnd w:id="261"/>
      <w:bookmarkEnd w:id="262"/>
      <w:bookmarkEnd w:id="263"/>
      <w:bookmarkEnd w:id="264"/>
      <w:bookmarkEnd w:id="265"/>
      <w:bookmarkEnd w:id="266"/>
      <w:bookmarkEnd w:id="267"/>
      <w:bookmarkEnd w:id="268"/>
      <w:bookmarkEnd w:id="269"/>
      <w:bookmarkEnd w:id="270"/>
    </w:p>
    <w:p w14:paraId="12034B0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采购人将在签订合同前对成交候选人是否能圆满地履行合同进行审查。审查包括成交候选人响应文件中提供的所有资格证明材料原件，成交候选人响应文件及补充承诺中涉及的其他相关资料原件，以及对本项目实施可能存在风险的其他因素。</w:t>
      </w:r>
    </w:p>
    <w:p w14:paraId="565587F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2.2采购人若发现成交候选人在投标过程中提供虚假证明文件，故意隐瞒公司不良信誉和财务状况，以及存在可能对合同圆满履行造成风险的其他因素等，则按规定取消其成交资格，监管部门依法进行处理。</w:t>
      </w:r>
    </w:p>
    <w:p w14:paraId="14E6A45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2.3如果成交候选人被确认为不具备执行合同的能力，采购人将考虑按同样的程序审查下一个成交候选人。</w:t>
      </w:r>
    </w:p>
    <w:p w14:paraId="277C4D24">
      <w:pPr>
        <w:spacing w:line="360" w:lineRule="auto"/>
        <w:ind w:firstLine="482" w:firstLineChars="200"/>
        <w:jc w:val="left"/>
        <w:outlineLvl w:val="0"/>
        <w:rPr>
          <w:rFonts w:hint="eastAsia" w:ascii="宋体" w:hAnsi="宋体" w:eastAsia="宋体" w:cs="宋体"/>
          <w:sz w:val="24"/>
        </w:rPr>
      </w:pPr>
      <w:bookmarkStart w:id="271" w:name="_Toc490155598"/>
      <w:bookmarkStart w:id="272" w:name="_Toc14019"/>
      <w:bookmarkStart w:id="273" w:name="_Toc489694895"/>
      <w:bookmarkStart w:id="274" w:name="_Toc3761"/>
      <w:bookmarkStart w:id="275" w:name="_Toc12865"/>
      <w:bookmarkStart w:id="276" w:name="_Toc16618"/>
      <w:bookmarkStart w:id="277" w:name="_Toc8983658"/>
      <w:bookmarkStart w:id="278" w:name="_Toc7149"/>
      <w:bookmarkStart w:id="279" w:name="_Toc17410"/>
      <w:bookmarkStart w:id="280" w:name="_Toc26591"/>
      <w:r>
        <w:rPr>
          <w:rFonts w:hint="eastAsia" w:ascii="宋体" w:hAnsi="宋体" w:eastAsia="宋体" w:cs="宋体"/>
          <w:b/>
          <w:bCs/>
          <w:sz w:val="24"/>
        </w:rPr>
        <w:t>3.</w:t>
      </w:r>
      <w:bookmarkEnd w:id="271"/>
      <w:bookmarkEnd w:id="272"/>
      <w:bookmarkEnd w:id="273"/>
      <w:bookmarkEnd w:id="274"/>
      <w:bookmarkEnd w:id="275"/>
      <w:bookmarkEnd w:id="276"/>
      <w:bookmarkEnd w:id="277"/>
      <w:bookmarkEnd w:id="278"/>
      <w:r>
        <w:rPr>
          <w:rFonts w:hint="eastAsia" w:ascii="宋体" w:hAnsi="宋体" w:eastAsia="宋体" w:cs="宋体"/>
          <w:b/>
          <w:bCs/>
          <w:sz w:val="24"/>
        </w:rPr>
        <w:t>成交通知书</w:t>
      </w:r>
      <w:bookmarkEnd w:id="279"/>
      <w:bookmarkEnd w:id="280"/>
    </w:p>
    <w:p w14:paraId="499E1847">
      <w:pPr>
        <w:snapToGrid w:val="0"/>
        <w:spacing w:line="360" w:lineRule="auto"/>
        <w:ind w:firstLine="480" w:firstLineChars="200"/>
        <w:jc w:val="left"/>
        <w:rPr>
          <w:rFonts w:hint="eastAsia" w:ascii="宋体" w:hAnsi="宋体" w:eastAsia="宋体" w:cs="宋体"/>
          <w:sz w:val="24"/>
        </w:rPr>
      </w:pPr>
      <w:bookmarkStart w:id="281" w:name="_Toc490155599"/>
      <w:bookmarkStart w:id="282" w:name="_Toc489694896"/>
      <w:bookmarkStart w:id="283" w:name="_Toc22669"/>
      <w:bookmarkStart w:id="284" w:name="_Toc20838"/>
      <w:bookmarkStart w:id="285" w:name="_Toc19456"/>
      <w:r>
        <w:rPr>
          <w:rFonts w:hint="eastAsia" w:ascii="宋体" w:hAnsi="宋体" w:eastAsia="宋体" w:cs="宋体"/>
          <w:sz w:val="24"/>
        </w:rPr>
        <w:t>3.1成交公示期1个工作日期满后，采购人或者采购代理机构应当向成交人发出成交通知书。</w:t>
      </w:r>
    </w:p>
    <w:p w14:paraId="6F8F0A5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3.2成交供应商应及时到采购代理机构领取成交通知书，成交通知书是签订合同的依据和组成部分。</w:t>
      </w:r>
    </w:p>
    <w:p w14:paraId="463AD515">
      <w:pPr>
        <w:spacing w:line="360" w:lineRule="auto"/>
        <w:ind w:firstLine="482" w:firstLineChars="200"/>
        <w:jc w:val="left"/>
        <w:outlineLvl w:val="0"/>
        <w:rPr>
          <w:rFonts w:hint="eastAsia" w:ascii="宋体" w:hAnsi="宋体" w:eastAsia="宋体" w:cs="宋体"/>
          <w:sz w:val="24"/>
        </w:rPr>
      </w:pPr>
      <w:bookmarkStart w:id="286" w:name="_Toc30154"/>
      <w:bookmarkStart w:id="287" w:name="_Toc24958"/>
      <w:bookmarkStart w:id="288" w:name="_Toc15366"/>
      <w:bookmarkStart w:id="289" w:name="_Toc5810"/>
      <w:bookmarkStart w:id="290" w:name="_Toc8983659"/>
      <w:r>
        <w:rPr>
          <w:rFonts w:hint="eastAsia" w:ascii="宋体" w:hAnsi="宋体" w:eastAsia="宋体" w:cs="宋体"/>
          <w:b/>
          <w:bCs/>
          <w:sz w:val="24"/>
        </w:rPr>
        <w:t>4.签订合同</w:t>
      </w:r>
      <w:bookmarkEnd w:id="281"/>
      <w:bookmarkEnd w:id="282"/>
      <w:bookmarkEnd w:id="283"/>
      <w:bookmarkEnd w:id="284"/>
      <w:bookmarkEnd w:id="285"/>
      <w:bookmarkEnd w:id="286"/>
      <w:bookmarkEnd w:id="287"/>
      <w:bookmarkEnd w:id="288"/>
      <w:bookmarkEnd w:id="289"/>
      <w:bookmarkEnd w:id="290"/>
    </w:p>
    <w:p w14:paraId="58B9B1F4">
      <w:pPr>
        <w:spacing w:line="360" w:lineRule="auto"/>
        <w:ind w:firstLine="480" w:firstLineChars="200"/>
        <w:rPr>
          <w:rFonts w:hint="eastAsia" w:ascii="宋体" w:hAnsi="宋体" w:eastAsia="宋体" w:cs="宋体"/>
          <w:b/>
          <w:sz w:val="24"/>
        </w:rPr>
      </w:pPr>
      <w:r>
        <w:rPr>
          <w:rFonts w:hint="eastAsia" w:ascii="宋体" w:hAnsi="宋体" w:eastAsia="宋体" w:cs="宋体"/>
          <w:sz w:val="24"/>
        </w:rPr>
        <w:t>成交人应在规定的时间、地点与采购人签订合同，文件、成交人的响应文件、分次报价及服务承诺文件以及评标过程中有关澄清文件均作为合同附件，</w:t>
      </w:r>
      <w:r>
        <w:rPr>
          <w:rFonts w:hint="eastAsia" w:ascii="宋体" w:hAnsi="宋体" w:eastAsia="宋体" w:cs="宋体"/>
          <w:b/>
          <w:sz w:val="24"/>
        </w:rPr>
        <w:t>合同经采购人审核盖章后实施</w:t>
      </w:r>
      <w:r>
        <w:rPr>
          <w:rFonts w:hint="eastAsia" w:ascii="宋体" w:hAnsi="宋体" w:eastAsia="宋体" w:cs="宋体"/>
          <w:sz w:val="24"/>
        </w:rPr>
        <w:t>。</w:t>
      </w:r>
      <w:r>
        <w:rPr>
          <w:rFonts w:hint="eastAsia" w:ascii="宋体" w:hAnsi="宋体" w:eastAsia="宋体" w:cs="宋体"/>
          <w:b/>
          <w:sz w:val="24"/>
        </w:rPr>
        <w:t>项目数量增减、合同条款变更、预算追加等按规定报批后，另行签订补充合同。</w:t>
      </w:r>
    </w:p>
    <w:p w14:paraId="1FE8F60A">
      <w:pPr>
        <w:spacing w:line="360" w:lineRule="auto"/>
        <w:ind w:left="2" w:firstLine="480" w:firstLineChars="200"/>
        <w:rPr>
          <w:rFonts w:hint="eastAsia" w:ascii="宋体" w:hAnsi="宋体" w:eastAsia="宋体" w:cs="宋体"/>
          <w:sz w:val="24"/>
        </w:rPr>
      </w:pPr>
      <w:r>
        <w:rPr>
          <w:rFonts w:hint="eastAsia" w:ascii="宋体" w:hAnsi="宋体" w:eastAsia="宋体" w:cs="宋体"/>
          <w:sz w:val="24"/>
        </w:rPr>
        <w:t>4.1成交人无正当理由未在规定时间内与采购人签订合同的，采购人有权建议取消其成交资格，监管部门将对其依法处理。</w:t>
      </w:r>
    </w:p>
    <w:p w14:paraId="68A53C6F">
      <w:pPr>
        <w:spacing w:line="360" w:lineRule="auto"/>
        <w:ind w:left="2" w:firstLine="480" w:firstLineChars="200"/>
        <w:rPr>
          <w:rFonts w:hint="eastAsia" w:ascii="宋体" w:hAnsi="宋体" w:eastAsia="宋体" w:cs="宋体"/>
          <w:sz w:val="24"/>
        </w:rPr>
      </w:pPr>
      <w:r>
        <w:rPr>
          <w:rFonts w:hint="eastAsia" w:ascii="宋体" w:hAnsi="宋体" w:eastAsia="宋体" w:cs="宋体"/>
          <w:sz w:val="24"/>
        </w:rPr>
        <w:t>4.2采购人不得向成交人提出任何不合理的要求，作为签订合同的条件；不得与成交人私下订立背离合同实质性内容的协议。</w:t>
      </w:r>
    </w:p>
    <w:p w14:paraId="7E4B3A56">
      <w:pPr>
        <w:spacing w:line="360" w:lineRule="auto"/>
        <w:ind w:left="1" w:firstLine="480" w:firstLineChars="200"/>
        <w:rPr>
          <w:rFonts w:hint="eastAsia" w:ascii="宋体" w:hAnsi="宋体" w:eastAsia="宋体" w:cs="宋体"/>
          <w:sz w:val="24"/>
        </w:rPr>
      </w:pPr>
      <w:r>
        <w:rPr>
          <w:rFonts w:hint="eastAsia" w:ascii="宋体" w:hAnsi="宋体" w:eastAsia="宋体" w:cs="宋体"/>
          <w:sz w:val="24"/>
        </w:rPr>
        <w:t>4.3成交人因不可抗力或自身原因不能签订采购合同或者不能履行合同的，参照《中华人民共和国政府采购法实施条例》第四十九条，采购人可以按成交候选顺序确定新的成交人并签订合同，以此类推，或重新进行采购。</w:t>
      </w:r>
    </w:p>
    <w:p w14:paraId="74969487">
      <w:pPr>
        <w:spacing w:line="360" w:lineRule="auto"/>
        <w:ind w:firstLine="360" w:firstLineChars="150"/>
        <w:rPr>
          <w:rFonts w:hint="eastAsia" w:ascii="宋体" w:hAnsi="宋体" w:eastAsia="宋体" w:cs="宋体"/>
          <w:sz w:val="24"/>
        </w:rPr>
      </w:pPr>
      <w:r>
        <w:rPr>
          <w:rFonts w:hint="eastAsia" w:ascii="宋体" w:hAnsi="宋体" w:eastAsia="宋体" w:cs="宋体"/>
          <w:sz w:val="24"/>
        </w:rPr>
        <w:t>4.4采购人在授予合同时有权对本文件规定的货物和服务予以适当的增加或减少，但不得改变单价或其他条款和条件。</w:t>
      </w:r>
    </w:p>
    <w:p w14:paraId="2803F746">
      <w:pPr>
        <w:spacing w:line="360" w:lineRule="auto"/>
        <w:ind w:left="2" w:firstLine="360" w:firstLineChars="150"/>
        <w:rPr>
          <w:rFonts w:hint="eastAsia" w:ascii="宋体" w:hAnsi="宋体" w:eastAsia="宋体" w:cs="宋体"/>
          <w:sz w:val="24"/>
        </w:rPr>
      </w:pPr>
      <w:r>
        <w:rPr>
          <w:rFonts w:hint="eastAsia" w:ascii="宋体" w:hAnsi="宋体" w:eastAsia="宋体" w:cs="宋体"/>
          <w:sz w:val="24"/>
        </w:rPr>
        <w:t>4.5成交人应当按照合同约定履行义务，完成成交项目，不得将成交项目转让给他人。除本文件另有规定外，也不得将中标项目进行分包给他人。</w:t>
      </w:r>
    </w:p>
    <w:p w14:paraId="2605C689">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八、验收及付款</w:t>
      </w:r>
    </w:p>
    <w:p w14:paraId="40808B69">
      <w:pPr>
        <w:spacing w:line="360" w:lineRule="auto"/>
        <w:ind w:firstLine="482" w:firstLineChars="200"/>
        <w:jc w:val="left"/>
        <w:outlineLvl w:val="0"/>
        <w:rPr>
          <w:rFonts w:hint="eastAsia" w:ascii="宋体" w:hAnsi="宋体" w:eastAsia="宋体" w:cs="宋体"/>
          <w:b/>
          <w:bCs/>
          <w:sz w:val="24"/>
        </w:rPr>
      </w:pPr>
      <w:bookmarkStart w:id="291" w:name="_Toc490155600"/>
      <w:bookmarkStart w:id="292" w:name="_Toc489694897"/>
      <w:bookmarkStart w:id="293" w:name="_Toc2761"/>
      <w:bookmarkStart w:id="294" w:name="_Toc17247"/>
      <w:bookmarkStart w:id="295" w:name="_Toc10138"/>
      <w:bookmarkStart w:id="296" w:name="_Toc24132"/>
      <w:bookmarkStart w:id="297" w:name="_Toc1577"/>
      <w:bookmarkStart w:id="298" w:name="_Toc8983660"/>
      <w:bookmarkStart w:id="299" w:name="_Toc31734"/>
      <w:bookmarkStart w:id="300" w:name="_Toc4855"/>
      <w:r>
        <w:rPr>
          <w:rFonts w:hint="eastAsia" w:ascii="宋体" w:hAnsi="宋体" w:eastAsia="宋体" w:cs="宋体"/>
          <w:b/>
          <w:bCs/>
          <w:sz w:val="24"/>
        </w:rPr>
        <w:t>1.验收</w:t>
      </w:r>
      <w:bookmarkEnd w:id="291"/>
      <w:bookmarkEnd w:id="292"/>
      <w:bookmarkEnd w:id="293"/>
      <w:bookmarkEnd w:id="294"/>
      <w:bookmarkEnd w:id="295"/>
      <w:bookmarkEnd w:id="296"/>
      <w:bookmarkEnd w:id="297"/>
      <w:bookmarkEnd w:id="298"/>
      <w:bookmarkEnd w:id="299"/>
      <w:bookmarkEnd w:id="300"/>
    </w:p>
    <w:p w14:paraId="253298BF">
      <w:pPr>
        <w:spacing w:line="360" w:lineRule="auto"/>
        <w:ind w:right="105" w:rightChars="50" w:firstLine="480" w:firstLineChars="200"/>
        <w:jc w:val="left"/>
        <w:rPr>
          <w:rFonts w:hint="eastAsia" w:ascii="宋体" w:hAnsi="宋体" w:eastAsia="宋体" w:cs="宋体"/>
          <w:sz w:val="24"/>
        </w:rPr>
      </w:pPr>
      <w:r>
        <w:rPr>
          <w:rFonts w:hint="eastAsia" w:ascii="宋体" w:hAnsi="宋体" w:eastAsia="宋体" w:cs="宋体"/>
          <w:sz w:val="24"/>
        </w:rPr>
        <w:t>成交单位根据初步验收的结果进行整改并满足合同技术要求后，由成交单位提交完备的项目实施文档及书面申请，经采购人审核通过后，由采购人组织开展验收工作，签署项目验收文件。</w:t>
      </w:r>
    </w:p>
    <w:p w14:paraId="2A7F2266">
      <w:pPr>
        <w:spacing w:line="360" w:lineRule="auto"/>
        <w:ind w:firstLine="482" w:firstLineChars="200"/>
        <w:jc w:val="left"/>
        <w:outlineLvl w:val="0"/>
        <w:rPr>
          <w:rFonts w:hint="eastAsia" w:ascii="宋体" w:hAnsi="宋体" w:eastAsia="宋体" w:cs="宋体"/>
          <w:b/>
          <w:bCs/>
          <w:sz w:val="24"/>
        </w:rPr>
      </w:pPr>
      <w:bookmarkStart w:id="301" w:name="_Toc12537"/>
      <w:bookmarkStart w:id="302" w:name="_Toc3365"/>
      <w:bookmarkStart w:id="303" w:name="_Toc489694898"/>
      <w:bookmarkStart w:id="304" w:name="_Toc16133"/>
      <w:bookmarkStart w:id="305" w:name="_Toc8983661"/>
      <w:bookmarkStart w:id="306" w:name="_Toc24582"/>
      <w:bookmarkStart w:id="307" w:name="_Toc1244"/>
      <w:bookmarkStart w:id="308" w:name="_Toc15374"/>
      <w:bookmarkStart w:id="309" w:name="_Toc4539"/>
      <w:bookmarkStart w:id="310" w:name="_Toc490155601"/>
      <w:r>
        <w:rPr>
          <w:rFonts w:hint="eastAsia" w:ascii="宋体" w:hAnsi="宋体" w:eastAsia="宋体" w:cs="宋体"/>
          <w:b/>
          <w:bCs/>
          <w:sz w:val="24"/>
        </w:rPr>
        <w:t>2.</w:t>
      </w:r>
      <w:bookmarkEnd w:id="301"/>
      <w:bookmarkEnd w:id="302"/>
      <w:bookmarkEnd w:id="303"/>
      <w:bookmarkEnd w:id="304"/>
      <w:r>
        <w:rPr>
          <w:rFonts w:hint="eastAsia" w:ascii="宋体" w:hAnsi="宋体" w:eastAsia="宋体" w:cs="宋体"/>
          <w:b/>
          <w:bCs/>
          <w:sz w:val="24"/>
        </w:rPr>
        <w:t>付款</w:t>
      </w:r>
      <w:bookmarkEnd w:id="305"/>
      <w:bookmarkEnd w:id="306"/>
      <w:bookmarkEnd w:id="307"/>
      <w:bookmarkEnd w:id="308"/>
      <w:bookmarkEnd w:id="309"/>
      <w:bookmarkEnd w:id="310"/>
    </w:p>
    <w:p w14:paraId="7E567C0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采购人凭项目合同、验收报告合同约定的时间内办理采购款支付手续。</w:t>
      </w:r>
    </w:p>
    <w:p w14:paraId="0F3A6116">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九、法律责任</w:t>
      </w:r>
    </w:p>
    <w:p w14:paraId="3E15F716">
      <w:pPr>
        <w:spacing w:line="360" w:lineRule="auto"/>
        <w:ind w:firstLine="482" w:firstLineChars="200"/>
        <w:jc w:val="left"/>
        <w:outlineLvl w:val="0"/>
        <w:rPr>
          <w:rFonts w:hint="eastAsia" w:ascii="宋体" w:hAnsi="宋体" w:eastAsia="宋体" w:cs="宋体"/>
          <w:b/>
          <w:sz w:val="24"/>
        </w:rPr>
      </w:pPr>
      <w:bookmarkStart w:id="311" w:name="_Toc9375"/>
      <w:bookmarkStart w:id="312" w:name="_Toc32052"/>
      <w:bookmarkStart w:id="313" w:name="_Toc23082"/>
      <w:bookmarkStart w:id="314" w:name="_Toc1915"/>
      <w:bookmarkStart w:id="315" w:name="_Toc19324"/>
      <w:bookmarkStart w:id="316" w:name="_Toc489694899"/>
      <w:bookmarkStart w:id="317" w:name="_Toc6019"/>
      <w:bookmarkStart w:id="318" w:name="_Toc8983662"/>
      <w:bookmarkStart w:id="319" w:name="_Toc15425"/>
      <w:bookmarkStart w:id="320" w:name="_Toc490155602"/>
      <w:r>
        <w:rPr>
          <w:rFonts w:hint="eastAsia" w:ascii="宋体" w:hAnsi="宋体" w:eastAsia="宋体" w:cs="宋体"/>
          <w:b/>
          <w:sz w:val="24"/>
        </w:rPr>
        <w:t>1.法律责任</w:t>
      </w:r>
      <w:bookmarkEnd w:id="311"/>
      <w:bookmarkEnd w:id="312"/>
      <w:bookmarkEnd w:id="313"/>
      <w:bookmarkEnd w:id="314"/>
      <w:bookmarkEnd w:id="315"/>
      <w:bookmarkEnd w:id="316"/>
      <w:bookmarkEnd w:id="317"/>
      <w:bookmarkEnd w:id="318"/>
      <w:bookmarkEnd w:id="319"/>
      <w:bookmarkEnd w:id="320"/>
    </w:p>
    <w:p w14:paraId="16E18911">
      <w:pPr>
        <w:snapToGrid w:val="0"/>
        <w:spacing w:line="360" w:lineRule="auto"/>
        <w:ind w:firstLine="480" w:firstLineChars="200"/>
        <w:outlineLvl w:val="0"/>
        <w:rPr>
          <w:rFonts w:hint="eastAsia" w:ascii="宋体" w:hAnsi="宋体" w:eastAsia="宋体" w:cs="宋体"/>
          <w:sz w:val="24"/>
        </w:rPr>
      </w:pPr>
      <w:bookmarkStart w:id="321" w:name="_Toc8983663"/>
      <w:bookmarkStart w:id="322" w:name="_Toc10339"/>
      <w:bookmarkStart w:id="323" w:name="_Toc12610"/>
      <w:bookmarkStart w:id="324" w:name="_Toc24826"/>
      <w:bookmarkStart w:id="325" w:name="_Toc17138"/>
      <w:r>
        <w:rPr>
          <w:rFonts w:hint="eastAsia" w:ascii="宋体" w:hAnsi="宋体" w:eastAsia="宋体" w:cs="宋体"/>
          <w:sz w:val="24"/>
        </w:rPr>
        <w:t>供应商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bookmarkEnd w:id="321"/>
      <w:bookmarkEnd w:id="322"/>
      <w:bookmarkEnd w:id="323"/>
      <w:bookmarkEnd w:id="324"/>
      <w:bookmarkEnd w:id="325"/>
    </w:p>
    <w:p w14:paraId="3EC35A89">
      <w:pPr>
        <w:snapToGrid w:val="0"/>
        <w:spacing w:line="360" w:lineRule="auto"/>
        <w:ind w:firstLine="480" w:firstLineChars="200"/>
        <w:outlineLvl w:val="0"/>
        <w:rPr>
          <w:rFonts w:hint="eastAsia" w:ascii="宋体" w:hAnsi="宋体" w:eastAsia="宋体" w:cs="宋体"/>
          <w:sz w:val="24"/>
        </w:rPr>
      </w:pPr>
      <w:bookmarkStart w:id="326" w:name="_Toc23264"/>
      <w:bookmarkStart w:id="327" w:name="_Toc16974"/>
      <w:bookmarkStart w:id="328" w:name="_Toc8983664"/>
      <w:bookmarkStart w:id="329" w:name="_Toc12083"/>
      <w:bookmarkStart w:id="330" w:name="_Toc1232"/>
      <w:r>
        <w:rPr>
          <w:rFonts w:hint="eastAsia" w:ascii="宋体" w:hAnsi="宋体" w:eastAsia="宋体" w:cs="宋体"/>
          <w:sz w:val="24"/>
        </w:rPr>
        <w:t>（1）提供虚假材料谋取中标的；</w:t>
      </w:r>
      <w:bookmarkEnd w:id="326"/>
      <w:bookmarkEnd w:id="327"/>
      <w:bookmarkEnd w:id="328"/>
      <w:bookmarkEnd w:id="329"/>
      <w:bookmarkEnd w:id="330"/>
    </w:p>
    <w:p w14:paraId="001E6354">
      <w:pPr>
        <w:snapToGrid w:val="0"/>
        <w:spacing w:line="360" w:lineRule="auto"/>
        <w:ind w:firstLine="480" w:firstLineChars="200"/>
        <w:outlineLvl w:val="0"/>
        <w:rPr>
          <w:rFonts w:hint="eastAsia" w:ascii="宋体" w:hAnsi="宋体" w:eastAsia="宋体" w:cs="宋体"/>
          <w:sz w:val="24"/>
        </w:rPr>
      </w:pPr>
      <w:bookmarkStart w:id="331" w:name="_Toc17068"/>
      <w:bookmarkStart w:id="332" w:name="_Toc5437"/>
      <w:bookmarkStart w:id="333" w:name="_Toc30711"/>
      <w:bookmarkStart w:id="334" w:name="_Toc8983665"/>
      <w:bookmarkStart w:id="335" w:name="_Toc5560"/>
      <w:r>
        <w:rPr>
          <w:rFonts w:hint="eastAsia" w:ascii="宋体" w:hAnsi="宋体" w:eastAsia="宋体" w:cs="宋体"/>
          <w:sz w:val="24"/>
        </w:rPr>
        <w:t>（2）采取不正当手段诋毁、排挤其他供应商的；</w:t>
      </w:r>
      <w:bookmarkEnd w:id="331"/>
      <w:bookmarkEnd w:id="332"/>
      <w:bookmarkEnd w:id="333"/>
      <w:bookmarkEnd w:id="334"/>
      <w:bookmarkEnd w:id="335"/>
    </w:p>
    <w:p w14:paraId="603B3C34">
      <w:pPr>
        <w:snapToGrid w:val="0"/>
        <w:spacing w:line="360" w:lineRule="auto"/>
        <w:ind w:firstLine="480" w:firstLineChars="200"/>
        <w:outlineLvl w:val="0"/>
        <w:rPr>
          <w:rFonts w:hint="eastAsia" w:ascii="宋体" w:hAnsi="宋体" w:eastAsia="宋体" w:cs="宋体"/>
          <w:sz w:val="24"/>
        </w:rPr>
      </w:pPr>
      <w:bookmarkStart w:id="336" w:name="_Toc9412"/>
      <w:bookmarkStart w:id="337" w:name="_Toc4593"/>
      <w:bookmarkStart w:id="338" w:name="_Toc12991"/>
      <w:bookmarkStart w:id="339" w:name="_Toc8983666"/>
      <w:bookmarkStart w:id="340" w:name="_Toc3864"/>
      <w:r>
        <w:rPr>
          <w:rFonts w:hint="eastAsia" w:ascii="宋体" w:hAnsi="宋体" w:eastAsia="宋体" w:cs="宋体"/>
          <w:sz w:val="24"/>
        </w:rPr>
        <w:t>（3）与采购人、其他供应商或采购代理机构恶意串通的；</w:t>
      </w:r>
      <w:bookmarkEnd w:id="336"/>
      <w:bookmarkEnd w:id="337"/>
      <w:bookmarkEnd w:id="338"/>
      <w:bookmarkEnd w:id="339"/>
      <w:bookmarkEnd w:id="340"/>
    </w:p>
    <w:p w14:paraId="10BDDAC0">
      <w:pPr>
        <w:snapToGrid w:val="0"/>
        <w:spacing w:line="360" w:lineRule="auto"/>
        <w:ind w:firstLine="480" w:firstLineChars="200"/>
        <w:outlineLvl w:val="0"/>
        <w:rPr>
          <w:rFonts w:hint="eastAsia" w:ascii="宋体" w:hAnsi="宋体" w:eastAsia="宋体" w:cs="宋体"/>
          <w:sz w:val="24"/>
        </w:rPr>
      </w:pPr>
      <w:bookmarkStart w:id="341" w:name="_Toc8983667"/>
      <w:bookmarkStart w:id="342" w:name="_Toc15042"/>
      <w:bookmarkStart w:id="343" w:name="_Toc14854"/>
      <w:bookmarkStart w:id="344" w:name="_Toc2915"/>
      <w:bookmarkStart w:id="345" w:name="_Toc21766"/>
      <w:r>
        <w:rPr>
          <w:rFonts w:hint="eastAsia" w:ascii="宋体" w:hAnsi="宋体" w:eastAsia="宋体" w:cs="宋体"/>
          <w:sz w:val="24"/>
        </w:rPr>
        <w:t>（4）向采购人、采购代理机构行贿或者提供其他不正当利益的；</w:t>
      </w:r>
      <w:bookmarkEnd w:id="341"/>
      <w:bookmarkEnd w:id="342"/>
      <w:bookmarkEnd w:id="343"/>
      <w:bookmarkEnd w:id="344"/>
      <w:bookmarkEnd w:id="345"/>
    </w:p>
    <w:p w14:paraId="6670784C">
      <w:pPr>
        <w:snapToGrid w:val="0"/>
        <w:spacing w:line="360" w:lineRule="auto"/>
        <w:ind w:firstLine="480" w:firstLineChars="200"/>
        <w:outlineLvl w:val="0"/>
        <w:rPr>
          <w:rFonts w:hint="eastAsia" w:ascii="宋体" w:hAnsi="宋体" w:eastAsia="宋体" w:cs="宋体"/>
          <w:sz w:val="24"/>
        </w:rPr>
      </w:pPr>
      <w:bookmarkStart w:id="346" w:name="_Toc21617"/>
      <w:bookmarkStart w:id="347" w:name="_Toc8983668"/>
      <w:bookmarkStart w:id="348" w:name="_Toc27359"/>
      <w:bookmarkStart w:id="349" w:name="_Toc1160"/>
      <w:bookmarkStart w:id="350" w:name="_Toc10462"/>
      <w:r>
        <w:rPr>
          <w:rFonts w:hint="eastAsia" w:ascii="宋体" w:hAnsi="宋体" w:eastAsia="宋体" w:cs="宋体"/>
          <w:sz w:val="24"/>
        </w:rPr>
        <w:t>（5）在招标过程中与招标采购单位进行协商、不按照文件和成交供应商的响应文件订立合同，或者与采购人另行订立背离合同实质性内容的协议的；</w:t>
      </w:r>
      <w:bookmarkEnd w:id="346"/>
      <w:bookmarkEnd w:id="347"/>
      <w:bookmarkEnd w:id="348"/>
      <w:bookmarkEnd w:id="349"/>
      <w:bookmarkEnd w:id="350"/>
    </w:p>
    <w:p w14:paraId="4C13A0AA">
      <w:pPr>
        <w:snapToGrid w:val="0"/>
        <w:spacing w:line="360" w:lineRule="auto"/>
        <w:ind w:firstLine="480" w:firstLineChars="200"/>
        <w:outlineLvl w:val="0"/>
        <w:rPr>
          <w:rFonts w:hint="eastAsia" w:ascii="宋体" w:hAnsi="宋体" w:eastAsia="宋体" w:cs="宋体"/>
          <w:sz w:val="24"/>
        </w:rPr>
      </w:pPr>
      <w:bookmarkStart w:id="351" w:name="_Toc27568"/>
      <w:bookmarkStart w:id="352" w:name="_Toc12039"/>
      <w:bookmarkStart w:id="353" w:name="_Toc8983669"/>
      <w:bookmarkStart w:id="354" w:name="_Toc24462"/>
      <w:bookmarkStart w:id="355" w:name="_Toc22917"/>
      <w:r>
        <w:rPr>
          <w:rFonts w:hint="eastAsia" w:ascii="宋体" w:hAnsi="宋体" w:eastAsia="宋体" w:cs="宋体"/>
          <w:sz w:val="24"/>
        </w:rPr>
        <w:t>（6）拒绝有关部门监督检查或者提供虚假情况的。供应商有前款情形之一的，成交无效。</w:t>
      </w:r>
      <w:bookmarkEnd w:id="351"/>
      <w:bookmarkEnd w:id="352"/>
      <w:bookmarkEnd w:id="353"/>
      <w:bookmarkEnd w:id="354"/>
      <w:bookmarkEnd w:id="355"/>
    </w:p>
    <w:p w14:paraId="57F64054">
      <w:pPr>
        <w:snapToGrid w:val="0"/>
        <w:spacing w:line="360" w:lineRule="auto"/>
        <w:ind w:firstLine="480" w:firstLineChars="200"/>
        <w:outlineLvl w:val="0"/>
        <w:rPr>
          <w:rFonts w:hint="eastAsia" w:ascii="宋体" w:hAnsi="宋体" w:eastAsia="宋体" w:cs="宋体"/>
          <w:sz w:val="24"/>
        </w:rPr>
      </w:pPr>
      <w:bookmarkStart w:id="356" w:name="_Toc18531"/>
      <w:bookmarkStart w:id="357" w:name="_Toc8983670"/>
      <w:bookmarkStart w:id="358" w:name="_Toc1974"/>
      <w:bookmarkStart w:id="359" w:name="_Toc27426"/>
      <w:bookmarkStart w:id="360" w:name="_Toc14452"/>
      <w:r>
        <w:rPr>
          <w:rFonts w:hint="eastAsia" w:ascii="宋体" w:hAnsi="宋体" w:eastAsia="宋体" w:cs="宋体"/>
          <w:sz w:val="24"/>
        </w:rPr>
        <w:t>2、成交人有下列情形之一的，招标采购单位不予退还其交纳的投标保证金；情节严重的，由财政部门将其列入不良行为记录名单，在一至三年内禁止参加政府采购活动，并予以通报：</w:t>
      </w:r>
      <w:bookmarkEnd w:id="356"/>
      <w:bookmarkEnd w:id="357"/>
      <w:bookmarkEnd w:id="358"/>
      <w:bookmarkEnd w:id="359"/>
      <w:bookmarkEnd w:id="360"/>
    </w:p>
    <w:p w14:paraId="6901BA4B">
      <w:pPr>
        <w:snapToGrid w:val="0"/>
        <w:spacing w:line="360" w:lineRule="auto"/>
        <w:ind w:firstLine="480" w:firstLineChars="200"/>
        <w:outlineLvl w:val="0"/>
        <w:rPr>
          <w:rFonts w:hint="eastAsia" w:ascii="宋体" w:hAnsi="宋体" w:eastAsia="宋体" w:cs="宋体"/>
          <w:sz w:val="24"/>
        </w:rPr>
      </w:pPr>
      <w:bookmarkStart w:id="361" w:name="_Toc8983671"/>
      <w:bookmarkStart w:id="362" w:name="_Toc19517"/>
      <w:bookmarkStart w:id="363" w:name="_Toc27241"/>
      <w:bookmarkStart w:id="364" w:name="_Toc30562"/>
      <w:bookmarkStart w:id="365" w:name="_Toc19601"/>
      <w:r>
        <w:rPr>
          <w:rFonts w:hint="eastAsia" w:ascii="宋体" w:hAnsi="宋体" w:eastAsia="宋体" w:cs="宋体"/>
          <w:sz w:val="24"/>
        </w:rPr>
        <w:t>（1）成交后无正当理由不与采购人签订合同，或者与采购人另行订立背离合同实质性内容的协议的；</w:t>
      </w:r>
      <w:bookmarkEnd w:id="361"/>
      <w:bookmarkEnd w:id="362"/>
      <w:bookmarkEnd w:id="363"/>
      <w:bookmarkEnd w:id="364"/>
      <w:bookmarkEnd w:id="365"/>
    </w:p>
    <w:p w14:paraId="23435305">
      <w:pPr>
        <w:snapToGrid w:val="0"/>
        <w:spacing w:line="360" w:lineRule="auto"/>
        <w:ind w:firstLine="480" w:firstLineChars="200"/>
        <w:outlineLvl w:val="0"/>
        <w:rPr>
          <w:rFonts w:hint="eastAsia" w:ascii="宋体" w:hAnsi="宋体" w:eastAsia="宋体" w:cs="宋体"/>
          <w:sz w:val="24"/>
        </w:rPr>
      </w:pPr>
      <w:bookmarkStart w:id="366" w:name="_Toc8983672"/>
      <w:bookmarkStart w:id="367" w:name="_Toc10093"/>
      <w:bookmarkStart w:id="368" w:name="_Toc15709"/>
      <w:bookmarkStart w:id="369" w:name="_Toc19258"/>
      <w:bookmarkStart w:id="370" w:name="_Toc20485"/>
      <w:r>
        <w:rPr>
          <w:rFonts w:hint="eastAsia" w:ascii="宋体" w:hAnsi="宋体" w:eastAsia="宋体" w:cs="宋体"/>
          <w:sz w:val="24"/>
        </w:rPr>
        <w:t>（2）将成交项目转让给他人，或者在响应文件中未说明，且未经采购人同意，将成交项目分包给他人的；</w:t>
      </w:r>
      <w:bookmarkEnd w:id="366"/>
      <w:bookmarkEnd w:id="367"/>
      <w:bookmarkEnd w:id="368"/>
      <w:bookmarkEnd w:id="369"/>
      <w:bookmarkEnd w:id="370"/>
    </w:p>
    <w:p w14:paraId="4A6F06D4">
      <w:pPr>
        <w:snapToGrid w:val="0"/>
        <w:spacing w:line="360" w:lineRule="auto"/>
        <w:ind w:firstLine="480" w:firstLineChars="200"/>
        <w:outlineLvl w:val="0"/>
        <w:rPr>
          <w:rFonts w:hint="eastAsia" w:ascii="宋体" w:hAnsi="宋体" w:eastAsia="宋体" w:cs="宋体"/>
          <w:sz w:val="24"/>
        </w:rPr>
      </w:pPr>
      <w:bookmarkStart w:id="371" w:name="_Toc31152"/>
      <w:bookmarkStart w:id="372" w:name="_Toc8983673"/>
      <w:bookmarkStart w:id="373" w:name="_Toc31290"/>
      <w:bookmarkStart w:id="374" w:name="_Toc1074"/>
      <w:bookmarkStart w:id="375" w:name="_Toc16148"/>
      <w:r>
        <w:rPr>
          <w:rFonts w:hint="eastAsia" w:ascii="宋体" w:hAnsi="宋体" w:eastAsia="宋体" w:cs="宋体"/>
          <w:sz w:val="24"/>
        </w:rPr>
        <w:t>（3）拒绝履行合同义务的。</w:t>
      </w:r>
      <w:bookmarkEnd w:id="371"/>
      <w:bookmarkEnd w:id="372"/>
      <w:bookmarkEnd w:id="373"/>
      <w:bookmarkEnd w:id="374"/>
      <w:bookmarkEnd w:id="375"/>
    </w:p>
    <w:p w14:paraId="14E2E236">
      <w:pPr>
        <w:snapToGrid w:val="0"/>
        <w:spacing w:line="360" w:lineRule="auto"/>
        <w:ind w:firstLine="480" w:firstLineChars="200"/>
        <w:outlineLvl w:val="0"/>
        <w:rPr>
          <w:rFonts w:hint="eastAsia" w:ascii="宋体" w:hAnsi="宋体" w:eastAsia="宋体" w:cs="宋体"/>
          <w:sz w:val="24"/>
        </w:rPr>
      </w:pPr>
      <w:bookmarkStart w:id="376" w:name="_Toc28754"/>
      <w:bookmarkStart w:id="377" w:name="_Toc29600"/>
      <w:bookmarkStart w:id="378" w:name="_Toc7343"/>
      <w:bookmarkStart w:id="379" w:name="_Toc8983674"/>
      <w:bookmarkStart w:id="380" w:name="_Toc30901"/>
      <w:r>
        <w:rPr>
          <w:rFonts w:hint="eastAsia" w:ascii="宋体" w:hAnsi="宋体" w:eastAsia="宋体" w:cs="宋体"/>
          <w:sz w:val="24"/>
        </w:rPr>
        <w:t>成交人有前款情形之一的，成交无效。</w:t>
      </w:r>
      <w:bookmarkEnd w:id="376"/>
      <w:bookmarkEnd w:id="377"/>
      <w:bookmarkEnd w:id="378"/>
      <w:bookmarkEnd w:id="379"/>
      <w:bookmarkEnd w:id="380"/>
    </w:p>
    <w:p w14:paraId="71D1F892">
      <w:pPr>
        <w:adjustRightInd w:val="0"/>
        <w:snapToGrid w:val="0"/>
        <w:spacing w:line="360" w:lineRule="auto"/>
        <w:ind w:firstLine="480" w:firstLineChars="200"/>
        <w:outlineLvl w:val="0"/>
        <w:rPr>
          <w:rFonts w:hint="eastAsia" w:ascii="宋体" w:hAnsi="宋体" w:eastAsia="宋体" w:cs="宋体"/>
          <w:sz w:val="24"/>
        </w:rPr>
      </w:pPr>
      <w:bookmarkStart w:id="381" w:name="_Toc24446"/>
      <w:bookmarkStart w:id="382" w:name="_Toc15871"/>
      <w:bookmarkStart w:id="383" w:name="_Toc6992"/>
      <w:bookmarkStart w:id="384" w:name="_Toc2375"/>
      <w:bookmarkStart w:id="385" w:name="_Toc8983675"/>
      <w:r>
        <w:rPr>
          <w:rFonts w:hint="eastAsia" w:ascii="宋体" w:hAnsi="宋体" w:eastAsia="宋体" w:cs="宋体"/>
          <w:sz w:val="24"/>
        </w:rPr>
        <w:t>按照以上条款规定，经同级或其上级财政部门认定成交无效的，可按成交候选顺序重新确定，或重新进行采购。</w:t>
      </w:r>
      <w:bookmarkEnd w:id="381"/>
      <w:bookmarkEnd w:id="382"/>
      <w:bookmarkEnd w:id="383"/>
      <w:bookmarkEnd w:id="384"/>
      <w:bookmarkEnd w:id="385"/>
    </w:p>
    <w:p w14:paraId="6DC4991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3、发生下列情况之一，供应商将被列入不良记录名单，在1～3年内禁止参加政府采购活动，并予以公告：</w:t>
      </w:r>
    </w:p>
    <w:p w14:paraId="272D465D">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(1)开标后在投标有效期内，供应商撤回其投标；</w:t>
      </w:r>
    </w:p>
    <w:p w14:paraId="47D962A1">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(2)中标后无正当理由不与采购人签订政府采购合同；</w:t>
      </w:r>
    </w:p>
    <w:p w14:paraId="5BE9D794">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(3)中标后未按照文件和中标供应商的响应文件订立政府采购合同，或者与采购人另行订立背离合同实质性内容的协议的；</w:t>
      </w:r>
    </w:p>
    <w:p w14:paraId="13CC0557">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(4)将中标项目转让给他人，或者在响应文件中未说明，且未经采购招标机构同意，将中标项目分包给他人；</w:t>
      </w:r>
    </w:p>
    <w:p w14:paraId="2A9664A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(5)拒绝履行合同义务的；</w:t>
      </w:r>
    </w:p>
    <w:p w14:paraId="4B27110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(6)《政府采购法》第七十七条和《政府采购法实施条例》第七十二条规定的其他情形；</w:t>
      </w:r>
    </w:p>
    <w:p w14:paraId="1ECB112F">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(7)其他违反法律法规相关规定的情形。</w:t>
      </w:r>
    </w:p>
    <w:p w14:paraId="7D5A65AA">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3.1 《政府采购法》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F82A6E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（1）提供虚假材料谋取中标、成交的；</w:t>
      </w:r>
    </w:p>
    <w:p w14:paraId="384E0616">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（2）采取不正当手段诋毁、排挤其他供应商的；</w:t>
      </w:r>
    </w:p>
    <w:p w14:paraId="6301B44F">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（3）与采购人、其他供应商或者采购代理机构恶意串通的；</w:t>
      </w:r>
    </w:p>
    <w:p w14:paraId="377B1DC5">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（4）向采购人、采购代理机构行贿或者提供其他不正当利益的；</w:t>
      </w:r>
    </w:p>
    <w:p w14:paraId="574F15F6">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（5）在招标采购过程中与采购人进行协商的；</w:t>
      </w:r>
    </w:p>
    <w:p w14:paraId="35BF91EE">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（6）拒绝有关部门监督检查或者提供虚假情况的。</w:t>
      </w:r>
    </w:p>
    <w:p w14:paraId="19696E4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3.2《政府采购法实施条例》第七十二条：供应商有下列情形之一的，依照政府采购法第七十七条第一款的规定追究法律责任：</w:t>
      </w:r>
    </w:p>
    <w:p w14:paraId="505C0667">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（1）向评标委员会、竞争性小组或者</w:t>
      </w:r>
      <w:r>
        <w:rPr>
          <w:rFonts w:hint="eastAsia" w:ascii="宋体" w:hAnsi="宋体" w:eastAsia="宋体" w:cs="宋体"/>
          <w:b/>
          <w:sz w:val="24"/>
          <w:lang w:eastAsia="zh-CN"/>
        </w:rPr>
        <w:t>竞争性</w:t>
      </w:r>
      <w:r>
        <w:rPr>
          <w:rFonts w:hint="eastAsia" w:ascii="宋体" w:hAnsi="宋体" w:eastAsia="宋体" w:cs="宋体"/>
          <w:b/>
          <w:sz w:val="24"/>
        </w:rPr>
        <w:t>小组成员行贿或者提供其他不正当利益；</w:t>
      </w:r>
    </w:p>
    <w:p w14:paraId="2178A84C">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（2）中标或者成交后无正当理由拒不与采购人签订政府采购合同；</w:t>
      </w:r>
    </w:p>
    <w:p w14:paraId="323E647D">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（3）未按照采购文件确定的事项签订政府采购合同；</w:t>
      </w:r>
    </w:p>
    <w:p w14:paraId="4D927687">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（4）将政府采购合同转包；</w:t>
      </w:r>
    </w:p>
    <w:p w14:paraId="6527CAB3">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（5）提供假冒伪劣产品；</w:t>
      </w:r>
    </w:p>
    <w:p w14:paraId="2688549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（6）擅自变更、中止或者终止政府采购合同。</w:t>
      </w:r>
    </w:p>
    <w:p w14:paraId="1FEB0A72">
      <w:pPr>
        <w:adjustRightInd w:val="0"/>
        <w:snapToGrid w:val="0"/>
        <w:spacing w:line="360" w:lineRule="auto"/>
        <w:ind w:firstLine="482" w:firstLineChars="200"/>
        <w:rPr>
          <w:rFonts w:hint="eastAsia" w:ascii="宋体" w:hAnsi="宋体" w:eastAsia="宋体" w:cs="宋体"/>
          <w:b/>
          <w:kern w:val="0"/>
          <w:sz w:val="22"/>
          <w:szCs w:val="20"/>
        </w:rPr>
      </w:pPr>
      <w:r>
        <w:rPr>
          <w:rFonts w:hint="eastAsia" w:ascii="宋体" w:hAnsi="宋体" w:eastAsia="宋体" w:cs="宋体"/>
          <w:b/>
          <w:sz w:val="24"/>
        </w:rPr>
        <w:t>供应商有前款第一项规定情形的，中标、成交无效，列入不良行为记录名单。</w:t>
      </w:r>
    </w:p>
    <w:p w14:paraId="2BAE4B33">
      <w:pPr>
        <w:rPr>
          <w:rFonts w:hint="eastAsia" w:ascii="宋体" w:hAnsi="宋体" w:eastAsia="宋体" w:cs="宋体"/>
        </w:rPr>
      </w:pPr>
      <w:bookmarkStart w:id="386" w:name="_Toc8983676"/>
      <w:bookmarkStart w:id="387" w:name="_Toc28778"/>
      <w:bookmarkStart w:id="388" w:name="_Toc6109"/>
      <w:r>
        <w:rPr>
          <w:rFonts w:hint="eastAsia" w:ascii="宋体" w:hAnsi="宋体" w:eastAsia="宋体" w:cs="宋体"/>
        </w:rPr>
        <w:br w:type="page"/>
      </w:r>
      <w:bookmarkEnd w:id="386"/>
      <w:bookmarkEnd w:id="387"/>
      <w:bookmarkEnd w:id="388"/>
    </w:p>
    <w:p w14:paraId="3AE57589">
      <w:pPr>
        <w:pStyle w:val="10"/>
        <w:jc w:val="center"/>
        <w:outlineLvl w:val="0"/>
        <w:rPr>
          <w:rFonts w:hint="eastAsia" w:ascii="宋体" w:hAnsi="宋体" w:eastAsia="宋体" w:cs="宋体"/>
          <w:b/>
          <w:bCs/>
          <w:lang w:val="en-US" w:eastAsia="zh-CN"/>
        </w:rPr>
      </w:pPr>
      <w:bookmarkStart w:id="389" w:name="_Toc11996"/>
      <w:r>
        <w:rPr>
          <w:rFonts w:hint="eastAsia" w:ascii="宋体" w:hAnsi="宋体" w:eastAsia="宋体" w:cs="宋体"/>
          <w:b/>
          <w:bCs/>
          <w:lang w:val="en-US" w:eastAsia="zh-CN"/>
        </w:rPr>
        <w:t>第三部分  采购需求</w:t>
      </w:r>
      <w:bookmarkEnd w:id="389"/>
    </w:p>
    <w:p w14:paraId="708E413E">
      <w:pPr>
        <w:rPr>
          <w:rFonts w:hint="eastAsia" w:ascii="宋体" w:hAnsi="宋体" w:eastAsia="宋体" w:cs="宋体"/>
        </w:rPr>
      </w:pPr>
    </w:p>
    <w:p w14:paraId="3216F87D">
      <w:pPr>
        <w:spacing w:before="151" w:line="231"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I</w:t>
      </w:r>
      <w:r>
        <w:rPr>
          <w:rFonts w:hint="eastAsia" w:ascii="宋体" w:hAnsi="宋体" w:eastAsia="宋体" w:cs="宋体"/>
          <w:color w:val="auto"/>
          <w:spacing w:val="32"/>
          <w:sz w:val="28"/>
          <w:szCs w:val="28"/>
          <w:highlight w:val="none"/>
        </w:rPr>
        <w:t xml:space="preserve"> </w:t>
      </w:r>
      <w:r>
        <w:rPr>
          <w:rFonts w:hint="eastAsia" w:ascii="宋体" w:hAnsi="宋体" w:eastAsia="宋体" w:cs="宋体"/>
          <w:color w:val="auto"/>
          <w:sz w:val="28"/>
          <w:szCs w:val="28"/>
          <w:highlight w:val="none"/>
        </w:rPr>
        <w:t>商务要求</w:t>
      </w:r>
    </w:p>
    <w:p w14:paraId="2B9C497A">
      <w:pPr>
        <w:spacing w:before="207"/>
        <w:rPr>
          <w:rFonts w:hint="eastAsia" w:ascii="宋体" w:hAnsi="宋体" w:eastAsia="宋体" w:cs="宋体"/>
          <w:color w:val="auto"/>
          <w:highlight w:val="none"/>
        </w:rPr>
      </w:pPr>
    </w:p>
    <w:tbl>
      <w:tblPr>
        <w:tblStyle w:val="82"/>
        <w:tblW w:w="98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866"/>
        <w:gridCol w:w="7154"/>
      </w:tblGrid>
      <w:tr w14:paraId="4B0F7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40" w:type="dxa"/>
            <w:noWrap w:val="0"/>
            <w:vAlign w:val="top"/>
          </w:tcPr>
          <w:p w14:paraId="13CF3A1C">
            <w:pPr>
              <w:pStyle w:val="85"/>
              <w:spacing w:before="149" w:line="360"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1866" w:type="dxa"/>
            <w:noWrap w:val="0"/>
            <w:vAlign w:val="top"/>
          </w:tcPr>
          <w:p w14:paraId="5962426C">
            <w:pPr>
              <w:pStyle w:val="85"/>
              <w:spacing w:before="150" w:line="360" w:lineRule="auto"/>
              <w:ind w:left="25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条款名称</w:t>
            </w:r>
          </w:p>
        </w:tc>
        <w:tc>
          <w:tcPr>
            <w:tcW w:w="7154" w:type="dxa"/>
            <w:noWrap w:val="0"/>
            <w:vAlign w:val="top"/>
          </w:tcPr>
          <w:p w14:paraId="5C23EE7B">
            <w:pPr>
              <w:pStyle w:val="85"/>
              <w:spacing w:before="149" w:line="360" w:lineRule="auto"/>
              <w:ind w:left="28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说</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rPr>
              <w:t>明</w:t>
            </w:r>
          </w:p>
        </w:tc>
      </w:tr>
      <w:tr w14:paraId="054FF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40" w:type="dxa"/>
            <w:noWrap w:val="0"/>
            <w:vAlign w:val="top"/>
          </w:tcPr>
          <w:p w14:paraId="3D95E611">
            <w:pPr>
              <w:pStyle w:val="85"/>
              <w:spacing w:before="185" w:line="360" w:lineRule="auto"/>
              <w:ind w:left="3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66" w:type="dxa"/>
            <w:noWrap w:val="0"/>
            <w:vAlign w:val="top"/>
          </w:tcPr>
          <w:p w14:paraId="3E5EF14D">
            <w:pPr>
              <w:pStyle w:val="85"/>
              <w:spacing w:before="144" w:line="360" w:lineRule="auto"/>
              <w:ind w:left="27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资格要求</w:t>
            </w:r>
          </w:p>
        </w:tc>
        <w:tc>
          <w:tcPr>
            <w:tcW w:w="7154" w:type="dxa"/>
            <w:noWrap w:val="0"/>
            <w:vAlign w:val="top"/>
          </w:tcPr>
          <w:p w14:paraId="0A523614">
            <w:pPr>
              <w:pStyle w:val="85"/>
              <w:spacing w:before="145" w:line="360"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详见本项目文件第</w:t>
            </w:r>
            <w:r>
              <w:rPr>
                <w:rFonts w:hint="eastAsia" w:ascii="宋体" w:hAnsi="宋体" w:eastAsia="宋体" w:cs="宋体"/>
                <w:color w:val="auto"/>
                <w:spacing w:val="9"/>
                <w:sz w:val="24"/>
                <w:szCs w:val="24"/>
                <w:highlight w:val="none"/>
                <w:lang w:eastAsia="zh-CN"/>
              </w:rPr>
              <w:t>二</w:t>
            </w:r>
            <w:r>
              <w:rPr>
                <w:rFonts w:hint="eastAsia" w:ascii="宋体" w:hAnsi="宋体" w:eastAsia="宋体" w:cs="宋体"/>
                <w:color w:val="auto"/>
                <w:spacing w:val="9"/>
                <w:sz w:val="24"/>
                <w:szCs w:val="24"/>
                <w:highlight w:val="none"/>
              </w:rPr>
              <w:t>部分</w:t>
            </w:r>
            <w:r>
              <w:rPr>
                <w:rFonts w:hint="eastAsia" w:ascii="宋体" w:hAnsi="宋体" w:eastAsia="宋体" w:cs="宋体"/>
                <w:color w:val="auto"/>
                <w:spacing w:val="9"/>
                <w:sz w:val="24"/>
                <w:szCs w:val="24"/>
                <w:highlight w:val="none"/>
                <w:lang w:eastAsia="zh-CN"/>
              </w:rPr>
              <w:t>供应商须知</w:t>
            </w:r>
            <w:r>
              <w:rPr>
                <w:rFonts w:hint="eastAsia" w:ascii="宋体" w:hAnsi="宋体" w:eastAsia="宋体" w:cs="宋体"/>
                <w:color w:val="auto"/>
                <w:spacing w:val="9"/>
                <w:sz w:val="24"/>
                <w:szCs w:val="24"/>
                <w:highlight w:val="none"/>
              </w:rPr>
              <w:t>“供应商资格要求</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9"/>
                <w:sz w:val="24"/>
                <w:szCs w:val="24"/>
                <w:highlight w:val="none"/>
              </w:rPr>
              <w:t>”。</w:t>
            </w:r>
          </w:p>
        </w:tc>
      </w:tr>
      <w:tr w14:paraId="39BCA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840" w:type="dxa"/>
            <w:noWrap w:val="0"/>
            <w:vAlign w:val="top"/>
          </w:tcPr>
          <w:p w14:paraId="4708E3D3">
            <w:pPr>
              <w:pStyle w:val="85"/>
              <w:spacing w:before="240" w:line="360" w:lineRule="auto"/>
              <w:ind w:left="3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66" w:type="dxa"/>
            <w:noWrap w:val="0"/>
            <w:vAlign w:val="top"/>
          </w:tcPr>
          <w:p w14:paraId="6C2A93BA">
            <w:pPr>
              <w:pStyle w:val="85"/>
              <w:spacing w:before="199" w:line="360" w:lineRule="auto"/>
              <w:ind w:left="26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★完工期</w:t>
            </w:r>
          </w:p>
        </w:tc>
        <w:tc>
          <w:tcPr>
            <w:tcW w:w="7154" w:type="dxa"/>
            <w:noWrap w:val="0"/>
            <w:vAlign w:val="top"/>
          </w:tcPr>
          <w:p w14:paraId="0A07E81F">
            <w:pPr>
              <w:pStyle w:val="85"/>
              <w:spacing w:before="145" w:line="360" w:lineRule="auto"/>
              <w:ind w:left="134"/>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60日历天</w:t>
            </w:r>
          </w:p>
        </w:tc>
      </w:tr>
      <w:tr w14:paraId="15F34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40" w:type="dxa"/>
            <w:noWrap w:val="0"/>
            <w:vAlign w:val="top"/>
          </w:tcPr>
          <w:p w14:paraId="7C241348">
            <w:pPr>
              <w:pStyle w:val="85"/>
              <w:spacing w:before="186" w:line="360" w:lineRule="auto"/>
              <w:ind w:left="3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66" w:type="dxa"/>
            <w:noWrap w:val="0"/>
            <w:vAlign w:val="top"/>
          </w:tcPr>
          <w:p w14:paraId="62429ED1">
            <w:pPr>
              <w:pStyle w:val="85"/>
              <w:spacing w:before="145" w:line="360" w:lineRule="auto"/>
              <w:ind w:left="26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质量</w:t>
            </w:r>
            <w:r>
              <w:rPr>
                <w:rFonts w:hint="eastAsia" w:ascii="宋体" w:hAnsi="宋体" w:eastAsia="宋体" w:cs="宋体"/>
                <w:color w:val="auto"/>
                <w:spacing w:val="6"/>
                <w:sz w:val="24"/>
                <w:szCs w:val="24"/>
                <w:highlight w:val="none"/>
              </w:rPr>
              <w:t>保修期</w:t>
            </w:r>
          </w:p>
        </w:tc>
        <w:tc>
          <w:tcPr>
            <w:tcW w:w="7154" w:type="dxa"/>
            <w:noWrap w:val="0"/>
            <w:vAlign w:val="top"/>
          </w:tcPr>
          <w:p w14:paraId="4C26C271">
            <w:pPr>
              <w:pStyle w:val="85"/>
              <w:spacing w:before="145" w:line="360" w:lineRule="auto"/>
              <w:ind w:left="137"/>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eastAsia="zh-CN"/>
              </w:rPr>
              <w:t>自工程验收合格之日起</w:t>
            </w:r>
            <w:r>
              <w:rPr>
                <w:rFonts w:hint="eastAsia" w:cs="宋体"/>
                <w:color w:val="auto"/>
                <w:sz w:val="24"/>
                <w:szCs w:val="24"/>
                <w:highlight w:val="none"/>
                <w:lang w:val="en-US" w:eastAsia="zh-CN"/>
              </w:rPr>
              <w:t>2年</w:t>
            </w:r>
          </w:p>
        </w:tc>
      </w:tr>
      <w:tr w14:paraId="4F3E0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840" w:type="dxa"/>
            <w:noWrap w:val="0"/>
            <w:vAlign w:val="top"/>
          </w:tcPr>
          <w:p w14:paraId="41EB067F">
            <w:pPr>
              <w:pStyle w:val="85"/>
              <w:spacing w:before="188" w:line="360" w:lineRule="auto"/>
              <w:ind w:left="3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66" w:type="dxa"/>
            <w:noWrap w:val="0"/>
            <w:vAlign w:val="top"/>
          </w:tcPr>
          <w:p w14:paraId="689DC6D7">
            <w:pPr>
              <w:pStyle w:val="85"/>
              <w:spacing w:before="147" w:line="360" w:lineRule="auto"/>
              <w:ind w:left="2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施工地点</w:t>
            </w:r>
          </w:p>
        </w:tc>
        <w:tc>
          <w:tcPr>
            <w:tcW w:w="7154" w:type="dxa"/>
            <w:noWrap w:val="0"/>
            <w:vAlign w:val="top"/>
          </w:tcPr>
          <w:p w14:paraId="44A27727">
            <w:pPr>
              <w:pStyle w:val="85"/>
              <w:spacing w:before="146" w:line="360" w:lineRule="auto"/>
              <w:ind w:left="12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pt-BR"/>
              </w:rPr>
              <w:t>轮训队营房</w:t>
            </w:r>
            <w:r>
              <w:rPr>
                <w:rFonts w:hint="eastAsia" w:ascii="宋体" w:hAnsi="宋体" w:eastAsia="宋体" w:cs="宋体"/>
                <w:color w:val="auto"/>
                <w:sz w:val="24"/>
                <w:szCs w:val="24"/>
                <w:highlight w:val="none"/>
              </w:rPr>
              <w:t>。</w:t>
            </w:r>
          </w:p>
        </w:tc>
      </w:tr>
      <w:tr w14:paraId="704BC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jc w:val="center"/>
        </w:trPr>
        <w:tc>
          <w:tcPr>
            <w:tcW w:w="840" w:type="dxa"/>
            <w:noWrap w:val="0"/>
            <w:vAlign w:val="center"/>
          </w:tcPr>
          <w:p w14:paraId="516333C8">
            <w:pPr>
              <w:spacing w:line="360" w:lineRule="auto"/>
              <w:jc w:val="both"/>
              <w:rPr>
                <w:rFonts w:hint="eastAsia" w:ascii="宋体" w:hAnsi="宋体" w:eastAsia="宋体" w:cs="宋体"/>
                <w:color w:val="auto"/>
                <w:sz w:val="24"/>
                <w:szCs w:val="24"/>
                <w:highlight w:val="none"/>
              </w:rPr>
            </w:pPr>
          </w:p>
          <w:p w14:paraId="4732FD27">
            <w:pPr>
              <w:pStyle w:val="85"/>
              <w:spacing w:before="75" w:line="360" w:lineRule="auto"/>
              <w:ind w:left="3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66" w:type="dxa"/>
            <w:noWrap w:val="0"/>
            <w:vAlign w:val="center"/>
          </w:tcPr>
          <w:p w14:paraId="7305055A">
            <w:pPr>
              <w:spacing w:line="360" w:lineRule="auto"/>
              <w:jc w:val="both"/>
              <w:rPr>
                <w:rFonts w:hint="eastAsia" w:ascii="宋体" w:hAnsi="宋体" w:eastAsia="宋体" w:cs="宋体"/>
                <w:color w:val="auto"/>
                <w:sz w:val="24"/>
                <w:szCs w:val="24"/>
                <w:highlight w:val="none"/>
              </w:rPr>
            </w:pPr>
          </w:p>
          <w:p w14:paraId="1DCDB714">
            <w:pPr>
              <w:pStyle w:val="85"/>
              <w:spacing w:before="75" w:line="360" w:lineRule="auto"/>
              <w:ind w:left="265"/>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报价要求</w:t>
            </w:r>
          </w:p>
        </w:tc>
        <w:tc>
          <w:tcPr>
            <w:tcW w:w="7154" w:type="dxa"/>
            <w:noWrap w:val="0"/>
            <w:vAlign w:val="top"/>
          </w:tcPr>
          <w:p w14:paraId="49727639">
            <w:pPr>
              <w:spacing w:line="360" w:lineRule="auto"/>
              <w:rPr>
                <w:rFonts w:hint="eastAsia" w:ascii="宋体" w:hAnsi="宋体" w:eastAsia="宋体" w:cs="宋体"/>
                <w:sz w:val="24"/>
                <w:szCs w:val="24"/>
              </w:rPr>
            </w:pPr>
            <w:r>
              <w:rPr>
                <w:rFonts w:hint="eastAsia" w:ascii="宋体" w:hAnsi="宋体" w:eastAsia="宋体" w:cs="宋体"/>
                <w:sz w:val="24"/>
                <w:szCs w:val="24"/>
              </w:rPr>
              <w:t>1、本项目的报价和结算支付均以人民币为货币单位。</w:t>
            </w:r>
          </w:p>
          <w:p w14:paraId="490C1B3F">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2、供应商报价应包括采购、运输、安装、</w:t>
            </w:r>
            <w:r>
              <w:rPr>
                <w:rFonts w:hint="eastAsia" w:ascii="宋体" w:hAnsi="宋体" w:eastAsia="宋体" w:cs="宋体"/>
                <w:sz w:val="24"/>
                <w:szCs w:val="24"/>
                <w:lang w:eastAsia="zh-CN"/>
              </w:rPr>
              <w:t>施工、</w:t>
            </w:r>
            <w:r>
              <w:rPr>
                <w:rFonts w:hint="eastAsia" w:ascii="宋体" w:hAnsi="宋体" w:eastAsia="宋体" w:cs="宋体"/>
                <w:sz w:val="24"/>
                <w:szCs w:val="24"/>
              </w:rPr>
              <w:t>相关部门验收及保修期内的维护保养等所有含税费用</w:t>
            </w:r>
            <w:r>
              <w:rPr>
                <w:rFonts w:hint="eastAsia" w:ascii="宋体" w:hAnsi="宋体" w:eastAsia="宋体" w:cs="宋体"/>
                <w:color w:val="auto"/>
                <w:spacing w:val="19"/>
                <w:sz w:val="24"/>
                <w:szCs w:val="24"/>
                <w:highlight w:val="none"/>
              </w:rPr>
              <w:t>，以及供应商认为必要的其他货</w:t>
            </w:r>
            <w:r>
              <w:rPr>
                <w:rFonts w:hint="eastAsia" w:ascii="宋体" w:hAnsi="宋体" w:eastAsia="宋体" w:cs="宋体"/>
                <w:color w:val="auto"/>
                <w:spacing w:val="5"/>
                <w:sz w:val="24"/>
                <w:szCs w:val="24"/>
                <w:highlight w:val="none"/>
              </w:rPr>
              <w:t>物、材料、工程、服务。</w:t>
            </w:r>
          </w:p>
          <w:p w14:paraId="53DF2213">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如出现任何遗漏内容需产生额外费用，均由成交供应</w:t>
            </w:r>
            <w:r>
              <w:rPr>
                <w:rFonts w:hint="eastAsia" w:ascii="宋体" w:hAnsi="宋体" w:eastAsia="宋体" w:cs="宋体"/>
                <w:sz w:val="24"/>
                <w:szCs w:val="24"/>
                <w:lang w:eastAsia="zh-CN"/>
              </w:rPr>
              <w:t>自</w:t>
            </w:r>
            <w:r>
              <w:rPr>
                <w:rFonts w:hint="eastAsia" w:ascii="宋体" w:hAnsi="宋体" w:eastAsia="宋体" w:cs="宋体"/>
                <w:sz w:val="24"/>
                <w:szCs w:val="24"/>
                <w:lang w:val="en-US" w:eastAsia="zh-CN"/>
              </w:rPr>
              <w:t>行承</w:t>
            </w:r>
            <w:r>
              <w:rPr>
                <w:rFonts w:hint="eastAsia" w:ascii="宋体" w:hAnsi="宋体" w:eastAsia="宋体" w:cs="宋体"/>
                <w:sz w:val="24"/>
                <w:szCs w:val="24"/>
              </w:rPr>
              <w:t>担，采购人将不再另支付任何费用。</w:t>
            </w:r>
          </w:p>
          <w:p w14:paraId="56F4349B">
            <w:pPr>
              <w:spacing w:line="360" w:lineRule="auto"/>
              <w:rPr>
                <w:rFonts w:hint="eastAsia" w:ascii="宋体" w:hAnsi="宋体" w:eastAsia="宋体" w:cs="宋体"/>
                <w:sz w:val="24"/>
                <w:szCs w:val="24"/>
              </w:rPr>
            </w:pPr>
            <w:r>
              <w:rPr>
                <w:rFonts w:hint="eastAsia" w:ascii="宋体" w:hAnsi="宋体" w:eastAsia="宋体" w:cs="宋体"/>
                <w:sz w:val="24"/>
                <w:szCs w:val="24"/>
              </w:rPr>
              <w:t>4、供应商的报价文件应包括单价和总价， 总价是对采购的所有内容所计算的总价，为合同总价；其填报的明细单价则应是供应商对本采购项目所包含的具体的服务进行详细列示的计算单价。</w:t>
            </w:r>
          </w:p>
          <w:p w14:paraId="0E5370FB">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5、供应商应被认为在填报报价之前，已经仔细阅读了本文件的 所有有关章节以及审查了所有相关资料， 已确保本次的所有范围内的各种价格风险均已包含在的报价内。</w:t>
            </w:r>
          </w:p>
        </w:tc>
      </w:tr>
      <w:tr w14:paraId="401CE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7" w:hRule="atLeast"/>
          <w:jc w:val="center"/>
        </w:trPr>
        <w:tc>
          <w:tcPr>
            <w:tcW w:w="840" w:type="dxa"/>
            <w:noWrap w:val="0"/>
            <w:vAlign w:val="center"/>
          </w:tcPr>
          <w:p w14:paraId="06CA6713">
            <w:pPr>
              <w:spacing w:line="360" w:lineRule="auto"/>
              <w:jc w:val="center"/>
              <w:rPr>
                <w:rFonts w:hint="eastAsia" w:ascii="宋体" w:hAnsi="宋体" w:eastAsia="宋体" w:cs="宋体"/>
                <w:color w:val="auto"/>
                <w:sz w:val="24"/>
                <w:szCs w:val="24"/>
                <w:highlight w:val="none"/>
              </w:rPr>
            </w:pPr>
          </w:p>
          <w:p w14:paraId="57942D00">
            <w:pPr>
              <w:pStyle w:val="85"/>
              <w:spacing w:before="75" w:line="360" w:lineRule="auto"/>
              <w:ind w:left="36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866" w:type="dxa"/>
            <w:noWrap w:val="0"/>
            <w:vAlign w:val="center"/>
          </w:tcPr>
          <w:p w14:paraId="431617D7">
            <w:pPr>
              <w:spacing w:line="360" w:lineRule="auto"/>
              <w:jc w:val="both"/>
              <w:rPr>
                <w:rFonts w:hint="eastAsia" w:ascii="宋体" w:hAnsi="宋体" w:eastAsia="宋体" w:cs="宋体"/>
                <w:color w:val="auto"/>
                <w:sz w:val="24"/>
                <w:szCs w:val="24"/>
                <w:highlight w:val="none"/>
              </w:rPr>
            </w:pPr>
          </w:p>
          <w:p w14:paraId="39A95074">
            <w:pPr>
              <w:spacing w:line="360" w:lineRule="auto"/>
              <w:jc w:val="center"/>
              <w:rPr>
                <w:rFonts w:hint="eastAsia" w:ascii="宋体" w:hAnsi="宋体" w:eastAsia="宋体" w:cs="宋体"/>
                <w:color w:val="auto"/>
                <w:sz w:val="24"/>
                <w:szCs w:val="24"/>
                <w:highlight w:val="none"/>
              </w:rPr>
            </w:pPr>
          </w:p>
          <w:p w14:paraId="6AA1C4BB">
            <w:pPr>
              <w:pStyle w:val="85"/>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质量要求和质量保修期</w:t>
            </w:r>
          </w:p>
        </w:tc>
        <w:tc>
          <w:tcPr>
            <w:tcW w:w="7154" w:type="dxa"/>
            <w:noWrap w:val="0"/>
            <w:vAlign w:val="top"/>
          </w:tcPr>
          <w:p w14:paraId="2816B68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1、质量： 符合国家有关施工质量验收标准的合格工程或合同约定。工程规范以现行的或承担具体施工任务期间国家和行业新颁布施行的规范、规程为准。</w:t>
            </w:r>
          </w:p>
          <w:p w14:paraId="7299BA2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2、材料、设备、施工须达到现行中华人民共和国以及省、自治区、直辖市或行业的工程建设标准、规范的要求及验收标准及有关规范为质量评定验收标准。</w:t>
            </w:r>
          </w:p>
          <w:p w14:paraId="0B6E8B2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3、质量保修期：按国务院《建设工程质量管理条例》第四十条相关规定执行。</w:t>
            </w:r>
          </w:p>
          <w:p w14:paraId="075068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4、质量保修响应时间：属于保修范围</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的项目，</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供应商应在接到采购人通知后的</w:t>
            </w:r>
            <w:r>
              <w:rPr>
                <w:rFonts w:hint="eastAsia" w:ascii="宋体" w:hAnsi="宋体" w:eastAsia="宋体" w:cs="宋体"/>
                <w:color w:val="auto"/>
                <w:sz w:val="24"/>
                <w:szCs w:val="24"/>
                <w:lang w:val="en-US" w:eastAsia="zh-CN"/>
              </w:rPr>
              <w:t>48</w:t>
            </w:r>
            <w:r>
              <w:rPr>
                <w:rFonts w:hint="eastAsia" w:ascii="宋体" w:hAnsi="宋体" w:eastAsia="宋体" w:cs="宋体"/>
                <w:color w:val="auto"/>
                <w:sz w:val="24"/>
                <w:szCs w:val="24"/>
              </w:rPr>
              <w:t>小时内派人保修。如未能在规定时间内派人保修的，采购人可自行或委托第三方保修，费用由成交供应商支付。发生紧急抢修事故的，成交供应商在接到通知后，应立即到达事故现场抢修。</w:t>
            </w:r>
          </w:p>
        </w:tc>
      </w:tr>
      <w:tr w14:paraId="63CD3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jc w:val="center"/>
        </w:trPr>
        <w:tc>
          <w:tcPr>
            <w:tcW w:w="840" w:type="dxa"/>
            <w:noWrap w:val="0"/>
            <w:vAlign w:val="center"/>
          </w:tcPr>
          <w:p w14:paraId="0AED32E6">
            <w:pPr>
              <w:pStyle w:val="85"/>
              <w:spacing w:before="75"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866" w:type="dxa"/>
            <w:noWrap w:val="0"/>
            <w:vAlign w:val="center"/>
          </w:tcPr>
          <w:p w14:paraId="7255D227">
            <w:pPr>
              <w:pStyle w:val="85"/>
              <w:spacing w:before="75"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验收</w:t>
            </w:r>
          </w:p>
        </w:tc>
        <w:tc>
          <w:tcPr>
            <w:tcW w:w="7154" w:type="dxa"/>
            <w:noWrap w:val="0"/>
            <w:vAlign w:val="top"/>
          </w:tcPr>
          <w:p w14:paraId="4F88714A">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履约验收时间</w:t>
            </w:r>
            <w:r>
              <w:rPr>
                <w:rFonts w:hint="eastAsia" w:ascii="宋体" w:hAnsi="宋体" w:eastAsia="宋体" w:cs="宋体"/>
                <w:color w:val="auto"/>
                <w:sz w:val="24"/>
                <w:szCs w:val="24"/>
                <w:lang w:eastAsia="zh-CN"/>
              </w:rPr>
              <w:t>：乙方完成阶段性施工和竣工施工后，</w:t>
            </w:r>
            <w:r>
              <w:rPr>
                <w:rFonts w:hint="eastAsia" w:ascii="宋体" w:hAnsi="宋体" w:eastAsia="宋体" w:cs="宋体"/>
                <w:color w:val="auto"/>
                <w:sz w:val="24"/>
                <w:szCs w:val="24"/>
              </w:rPr>
              <w:t>甲方提出需求后的7个工作日内</w:t>
            </w:r>
            <w:r>
              <w:rPr>
                <w:rFonts w:hint="eastAsia" w:ascii="宋体" w:hAnsi="宋体" w:eastAsia="宋体" w:cs="宋体"/>
                <w:color w:val="auto"/>
                <w:sz w:val="24"/>
                <w:szCs w:val="24"/>
                <w:lang w:eastAsia="zh-CN"/>
              </w:rPr>
              <w:t>。</w:t>
            </w:r>
          </w:p>
          <w:p w14:paraId="0C1D4F9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技术履约内容</w:t>
            </w:r>
            <w:r>
              <w:rPr>
                <w:rFonts w:hint="eastAsia" w:ascii="宋体" w:hAnsi="宋体" w:eastAsia="宋体" w:cs="宋体"/>
                <w:color w:val="auto"/>
                <w:sz w:val="24"/>
                <w:szCs w:val="24"/>
                <w:lang w:eastAsia="zh-CN"/>
              </w:rPr>
              <w:t>：符合《建设工程质量管理条例》要求。</w:t>
            </w:r>
            <w:r>
              <w:rPr>
                <w:rFonts w:hint="eastAsia" w:ascii="宋体" w:hAnsi="宋体" w:eastAsia="宋体" w:cs="宋体"/>
                <w:color w:val="auto"/>
                <w:spacing w:val="12"/>
                <w:sz w:val="24"/>
                <w:szCs w:val="24"/>
                <w:highlight w:val="none"/>
              </w:rPr>
              <w:t xml:space="preserve">  </w:t>
            </w:r>
          </w:p>
        </w:tc>
      </w:tr>
      <w:tr w14:paraId="68E03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840" w:type="dxa"/>
            <w:noWrap w:val="0"/>
            <w:vAlign w:val="center"/>
          </w:tcPr>
          <w:p w14:paraId="381B0EAC">
            <w:pPr>
              <w:pStyle w:val="85"/>
              <w:spacing w:before="75"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866" w:type="dxa"/>
            <w:noWrap w:val="0"/>
            <w:vAlign w:val="center"/>
          </w:tcPr>
          <w:p w14:paraId="01DA3D8C">
            <w:pPr>
              <w:pStyle w:val="85"/>
              <w:spacing w:before="75"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付款方式</w:t>
            </w:r>
          </w:p>
        </w:tc>
        <w:tc>
          <w:tcPr>
            <w:tcW w:w="7154" w:type="dxa"/>
            <w:noWrap w:val="0"/>
            <w:vAlign w:val="top"/>
          </w:tcPr>
          <w:p w14:paraId="26486FE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3期拨款方式付款，第一期：项目建设期间，已完成工程量达合同约定内容40%时，支付扣除暂列金合同总价款的40%；第二期：项目竣工验收交付后，进度款累计支付至扣除暂列金合同总价款的80%;第三期：工程结算审计完毕，由承包人向指定对公账户缴纳结算定案价的3%作为工程质量保修金或开具相同金额银行见索即付保函后，剩余工程款按照审计定案价一次性支付。</w:t>
            </w:r>
          </w:p>
        </w:tc>
      </w:tr>
      <w:tr w14:paraId="635AF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6" w:hRule="atLeast"/>
          <w:jc w:val="center"/>
        </w:trPr>
        <w:tc>
          <w:tcPr>
            <w:tcW w:w="840" w:type="dxa"/>
            <w:noWrap w:val="0"/>
            <w:vAlign w:val="top"/>
          </w:tcPr>
          <w:p w14:paraId="263AAC33">
            <w:pPr>
              <w:spacing w:line="360" w:lineRule="auto"/>
              <w:rPr>
                <w:rFonts w:hint="eastAsia" w:ascii="宋体" w:hAnsi="宋体" w:eastAsia="宋体" w:cs="宋体"/>
                <w:color w:val="auto"/>
                <w:sz w:val="24"/>
                <w:szCs w:val="24"/>
                <w:highlight w:val="none"/>
              </w:rPr>
            </w:pPr>
          </w:p>
          <w:p w14:paraId="7A1DEAE7">
            <w:pPr>
              <w:spacing w:line="360" w:lineRule="auto"/>
              <w:rPr>
                <w:rFonts w:hint="eastAsia" w:ascii="宋体" w:hAnsi="宋体" w:eastAsia="宋体" w:cs="宋体"/>
                <w:color w:val="auto"/>
                <w:sz w:val="24"/>
                <w:szCs w:val="24"/>
                <w:highlight w:val="none"/>
              </w:rPr>
            </w:pPr>
          </w:p>
          <w:p w14:paraId="5160404C">
            <w:pPr>
              <w:spacing w:line="360" w:lineRule="auto"/>
              <w:rPr>
                <w:rFonts w:hint="eastAsia" w:ascii="宋体" w:hAnsi="宋体" w:eastAsia="宋体" w:cs="宋体"/>
                <w:color w:val="auto"/>
                <w:sz w:val="24"/>
                <w:szCs w:val="24"/>
                <w:highlight w:val="none"/>
              </w:rPr>
            </w:pPr>
          </w:p>
          <w:p w14:paraId="27E347B7">
            <w:pPr>
              <w:spacing w:line="360" w:lineRule="auto"/>
              <w:rPr>
                <w:rFonts w:hint="eastAsia" w:ascii="宋体" w:hAnsi="宋体" w:eastAsia="宋体" w:cs="宋体"/>
                <w:color w:val="auto"/>
                <w:sz w:val="24"/>
                <w:szCs w:val="24"/>
                <w:highlight w:val="none"/>
              </w:rPr>
            </w:pPr>
          </w:p>
          <w:p w14:paraId="6C35F1C6">
            <w:pPr>
              <w:spacing w:line="360" w:lineRule="auto"/>
              <w:rPr>
                <w:rFonts w:hint="eastAsia" w:ascii="宋体" w:hAnsi="宋体" w:eastAsia="宋体" w:cs="宋体"/>
                <w:color w:val="auto"/>
                <w:sz w:val="24"/>
                <w:szCs w:val="24"/>
                <w:highlight w:val="none"/>
              </w:rPr>
            </w:pPr>
          </w:p>
          <w:p w14:paraId="4A7BD366">
            <w:pPr>
              <w:spacing w:line="360" w:lineRule="auto"/>
              <w:rPr>
                <w:rFonts w:hint="eastAsia" w:ascii="宋体" w:hAnsi="宋体" w:eastAsia="宋体" w:cs="宋体"/>
                <w:color w:val="auto"/>
                <w:sz w:val="24"/>
                <w:szCs w:val="24"/>
                <w:highlight w:val="none"/>
              </w:rPr>
            </w:pPr>
          </w:p>
          <w:p w14:paraId="10920103">
            <w:pPr>
              <w:spacing w:line="360" w:lineRule="auto"/>
              <w:rPr>
                <w:rFonts w:hint="eastAsia" w:ascii="宋体" w:hAnsi="宋体" w:eastAsia="宋体" w:cs="宋体"/>
                <w:color w:val="auto"/>
                <w:sz w:val="24"/>
                <w:szCs w:val="24"/>
                <w:highlight w:val="none"/>
              </w:rPr>
            </w:pPr>
          </w:p>
          <w:p w14:paraId="01ACBA14">
            <w:pPr>
              <w:pStyle w:val="85"/>
              <w:spacing w:before="75" w:line="360" w:lineRule="auto"/>
              <w:ind w:left="3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866" w:type="dxa"/>
            <w:noWrap w:val="0"/>
            <w:vAlign w:val="top"/>
          </w:tcPr>
          <w:p w14:paraId="292BF0F3">
            <w:pPr>
              <w:spacing w:line="360" w:lineRule="auto"/>
              <w:rPr>
                <w:rFonts w:hint="eastAsia" w:ascii="宋体" w:hAnsi="宋体" w:eastAsia="宋体" w:cs="宋体"/>
                <w:color w:val="auto"/>
                <w:sz w:val="24"/>
                <w:szCs w:val="24"/>
                <w:highlight w:val="none"/>
              </w:rPr>
            </w:pPr>
          </w:p>
          <w:p w14:paraId="2892DC50">
            <w:pPr>
              <w:spacing w:line="360" w:lineRule="auto"/>
              <w:rPr>
                <w:rFonts w:hint="eastAsia" w:ascii="宋体" w:hAnsi="宋体" w:eastAsia="宋体" w:cs="宋体"/>
                <w:color w:val="auto"/>
                <w:sz w:val="24"/>
                <w:szCs w:val="24"/>
                <w:highlight w:val="none"/>
              </w:rPr>
            </w:pPr>
          </w:p>
          <w:p w14:paraId="269EF3BA">
            <w:pPr>
              <w:spacing w:line="360" w:lineRule="auto"/>
              <w:rPr>
                <w:rFonts w:hint="eastAsia" w:ascii="宋体" w:hAnsi="宋体" w:eastAsia="宋体" w:cs="宋体"/>
                <w:color w:val="auto"/>
                <w:sz w:val="24"/>
                <w:szCs w:val="24"/>
                <w:highlight w:val="none"/>
              </w:rPr>
            </w:pPr>
          </w:p>
          <w:p w14:paraId="2D640093">
            <w:pPr>
              <w:spacing w:line="360" w:lineRule="auto"/>
              <w:rPr>
                <w:rFonts w:hint="eastAsia" w:ascii="宋体" w:hAnsi="宋体" w:eastAsia="宋体" w:cs="宋体"/>
                <w:color w:val="auto"/>
                <w:sz w:val="24"/>
                <w:szCs w:val="24"/>
                <w:highlight w:val="none"/>
              </w:rPr>
            </w:pPr>
          </w:p>
          <w:p w14:paraId="27CFEE80">
            <w:pPr>
              <w:spacing w:line="360" w:lineRule="auto"/>
              <w:rPr>
                <w:rFonts w:hint="eastAsia" w:ascii="宋体" w:hAnsi="宋体" w:eastAsia="宋体" w:cs="宋体"/>
                <w:color w:val="auto"/>
                <w:sz w:val="24"/>
                <w:szCs w:val="24"/>
                <w:highlight w:val="none"/>
              </w:rPr>
            </w:pPr>
          </w:p>
          <w:p w14:paraId="3BC482C2">
            <w:pPr>
              <w:spacing w:line="360" w:lineRule="auto"/>
              <w:rPr>
                <w:rFonts w:hint="eastAsia" w:ascii="宋体" w:hAnsi="宋体" w:eastAsia="宋体" w:cs="宋体"/>
                <w:color w:val="auto"/>
                <w:sz w:val="24"/>
                <w:szCs w:val="24"/>
                <w:highlight w:val="none"/>
              </w:rPr>
            </w:pPr>
          </w:p>
          <w:p w14:paraId="4A0F4019">
            <w:pPr>
              <w:spacing w:line="360" w:lineRule="auto"/>
              <w:rPr>
                <w:rFonts w:hint="eastAsia" w:ascii="宋体" w:hAnsi="宋体" w:eastAsia="宋体" w:cs="宋体"/>
                <w:color w:val="auto"/>
                <w:sz w:val="24"/>
                <w:szCs w:val="24"/>
                <w:highlight w:val="none"/>
              </w:rPr>
            </w:pPr>
          </w:p>
          <w:p w14:paraId="65E89EE1">
            <w:pPr>
              <w:pStyle w:val="85"/>
              <w:spacing w:before="75" w:line="360" w:lineRule="auto"/>
              <w:ind w:left="26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项目要求</w:t>
            </w:r>
          </w:p>
        </w:tc>
        <w:tc>
          <w:tcPr>
            <w:tcW w:w="7154" w:type="dxa"/>
            <w:noWrap w:val="0"/>
            <w:vAlign w:val="top"/>
          </w:tcPr>
          <w:p w14:paraId="25E576A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.包装和运输要求</w:t>
            </w:r>
          </w:p>
          <w:p w14:paraId="0BFF12BB">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所有施工材料进场均应符合质量安全文明施工规范要求。</w:t>
            </w:r>
            <w:r>
              <w:rPr>
                <w:rFonts w:hint="eastAsia" w:ascii="宋体" w:hAnsi="宋体" w:eastAsia="宋体" w:cs="宋体"/>
                <w:sz w:val="24"/>
                <w:szCs w:val="24"/>
              </w:rPr>
              <w:t xml:space="preserve"> </w:t>
            </w:r>
          </w:p>
          <w:p w14:paraId="0F437AC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售后服务标准要求</w:t>
            </w:r>
          </w:p>
          <w:p w14:paraId="76F878BE">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工程缺陷责任期为 24 个月，缺陷责任期自工程竣工验收合格之日起计算。</w:t>
            </w:r>
          </w:p>
          <w:p w14:paraId="7AE03694">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属于保修范围、内容的项目，承包人应当在接到保修通知之日起48小时内派人保修。承包人不在约定期限内派人保修的，发包人可以委托他人修理。</w:t>
            </w:r>
          </w:p>
          <w:p w14:paraId="240415AC">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发生紧急事故需抢修的，承包人在接到事故通知后，应当立即到达事故现场抢修。</w:t>
            </w:r>
          </w:p>
          <w:p w14:paraId="068FA91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376614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质量保修完成后，由发包人组织验收。</w:t>
            </w:r>
          </w:p>
          <w:p w14:paraId="7F4B82E5">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保险要求</w:t>
            </w:r>
          </w:p>
          <w:p w14:paraId="55A9288A">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发包人应投保建筑工程一切险或安装工程一切险，因投保产生的保险费和其他相关费用由承包人承担。</w:t>
            </w:r>
          </w:p>
        </w:tc>
      </w:tr>
    </w:tbl>
    <w:p w14:paraId="7310F8FE">
      <w:pPr>
        <w:spacing w:before="75" w:line="36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10.违约条款</w:t>
      </w:r>
    </w:p>
    <w:p w14:paraId="77FB3280">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在合同履行过程中发生的下列情形，属于承包人违约：</w:t>
      </w:r>
    </w:p>
    <w:p w14:paraId="4E7B0F73">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（1）承包人违反合同约定进行转包或违法分包的；</w:t>
      </w:r>
    </w:p>
    <w:p w14:paraId="7B58AF8E">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（2）承包人违反合同约定采购和使用不合格的材料和工程设备的；</w:t>
      </w:r>
    </w:p>
    <w:p w14:paraId="44A9D6E9">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（3）因承包人原因导致工程质量不符合合同要求的； </w:t>
      </w:r>
    </w:p>
    <w:p w14:paraId="62059EC9">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（4）承包人未能按施工进度计划及时完成合同约定的工作，造成工期延误的；</w:t>
      </w:r>
    </w:p>
    <w:p w14:paraId="17648608">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（5）承包人在缺陷责任期及保修期内，未能在合理期限对工程缺陷进行修复，或拒绝按发包人要求进行修复的；</w:t>
      </w:r>
    </w:p>
    <w:p w14:paraId="4560B03F">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（6）承包人明确表示或者以其行为表明不履行合同主要义务的；</w:t>
      </w:r>
    </w:p>
    <w:p w14:paraId="716C8D2B">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（7）承包人未能按照合同约定履行其他义务的。</w:t>
      </w:r>
    </w:p>
    <w:p w14:paraId="45D8060A">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其他违约情况时，监理人可向承包人发出整改通知，要求其在指定的期限内改正。</w:t>
      </w:r>
    </w:p>
    <w:p w14:paraId="56B172E0">
      <w:pPr>
        <w:spacing w:before="75"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承包人违约责任的承担方式和计算方法：逾期竣工违约金按照每日（合同价款的 1‰）计算，违约金额上限为合同价价款的 5%； 因承包人原因造成工程质量不合格，承包人应在发包人要求的期限内无条件返工达到合格标准，如经返工仍达不到合格标准或未在发包人要求的期限内返工达到合格标准的，发包人有权解除本合同，承包人应当赔偿发包人全部损失（包括但不限于诉讼费、交通费、保全费、诉责险费用、鉴定费、邮寄送达费、律师费等），并按照本合同签约总金额的5%向发包人支付违约金。 </w:t>
      </w:r>
    </w:p>
    <w:p w14:paraId="6D4B2577">
      <w:pPr>
        <w:spacing w:before="75" w:line="360" w:lineRule="auto"/>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11.</w:t>
      </w:r>
      <w:r>
        <w:rPr>
          <w:rFonts w:hint="default" w:ascii="宋体" w:hAnsi="宋体" w:eastAsia="宋体" w:cs="宋体"/>
          <w:b/>
          <w:bCs/>
          <w:color w:val="auto"/>
          <w:kern w:val="2"/>
          <w:sz w:val="24"/>
          <w:szCs w:val="24"/>
          <w:highlight w:val="none"/>
          <w:lang w:val="en-US" w:eastAsia="zh-CN" w:bidi="ar-SA"/>
        </w:rPr>
        <w:t>履约</w:t>
      </w:r>
    </w:p>
    <w:p w14:paraId="7B7D2174">
      <w:pPr>
        <w:spacing w:before="75" w:line="360" w:lineRule="auto"/>
        <w:jc w:val="both"/>
        <w:rPr>
          <w:rFonts w:hint="default" w:ascii="宋体" w:hAnsi="宋体" w:eastAsia="宋体" w:cs="宋体"/>
          <w:b w:val="0"/>
          <w:color w:val="auto"/>
          <w:kern w:val="2"/>
          <w:sz w:val="24"/>
          <w:szCs w:val="24"/>
          <w:highlight w:val="yellow"/>
          <w:lang w:val="en-US" w:eastAsia="zh-CN" w:bidi="ar-SA"/>
        </w:rPr>
      </w:pPr>
      <w:r>
        <w:rPr>
          <w:rFonts w:hint="eastAsia" w:ascii="宋体" w:hAnsi="宋体" w:eastAsia="宋体" w:cs="宋体"/>
          <w:b w:val="0"/>
          <w:color w:val="auto"/>
          <w:kern w:val="2"/>
          <w:sz w:val="24"/>
          <w:szCs w:val="24"/>
          <w:highlight w:val="none"/>
          <w:lang w:val="en-US" w:eastAsia="zh-CN" w:bidi="ar-SA"/>
        </w:rPr>
        <w:t>（1）</w:t>
      </w:r>
      <w:r>
        <w:rPr>
          <w:rFonts w:hint="default" w:ascii="宋体" w:hAnsi="宋体" w:eastAsia="宋体" w:cs="宋体"/>
          <w:b w:val="0"/>
          <w:color w:val="auto"/>
          <w:kern w:val="2"/>
          <w:sz w:val="24"/>
          <w:szCs w:val="24"/>
          <w:highlight w:val="none"/>
          <w:lang w:val="en-US" w:eastAsia="zh-CN" w:bidi="ar-SA"/>
        </w:rPr>
        <w:t>履约</w:t>
      </w:r>
      <w:r>
        <w:rPr>
          <w:rFonts w:hint="eastAsia" w:ascii="宋体" w:hAnsi="宋体" w:eastAsia="宋体" w:cs="宋体"/>
          <w:b w:val="0"/>
          <w:color w:val="auto"/>
          <w:kern w:val="2"/>
          <w:sz w:val="24"/>
          <w:szCs w:val="24"/>
          <w:highlight w:val="none"/>
          <w:lang w:val="en-US" w:eastAsia="zh-CN" w:bidi="ar-SA"/>
        </w:rPr>
        <w:t>期限：</w:t>
      </w:r>
      <w:r>
        <w:rPr>
          <w:rFonts w:hint="eastAsia" w:ascii="宋体" w:hAnsi="宋体" w:cs="宋体"/>
          <w:b w:val="0"/>
          <w:color w:val="auto"/>
          <w:kern w:val="2"/>
          <w:sz w:val="24"/>
          <w:szCs w:val="24"/>
          <w:highlight w:val="none"/>
          <w:lang w:val="en-US" w:eastAsia="zh-CN" w:bidi="ar-SA"/>
        </w:rPr>
        <w:t>60日历天</w:t>
      </w:r>
      <w:r>
        <w:rPr>
          <w:rFonts w:hint="default" w:ascii="宋体" w:hAnsi="宋体" w:eastAsia="宋体" w:cs="宋体"/>
          <w:b w:val="0"/>
          <w:color w:val="auto"/>
          <w:kern w:val="2"/>
          <w:sz w:val="24"/>
          <w:szCs w:val="24"/>
          <w:highlight w:val="none"/>
          <w:lang w:val="en-US" w:eastAsia="zh-CN" w:bidi="ar-SA"/>
        </w:rPr>
        <w:t>。</w:t>
      </w:r>
    </w:p>
    <w:p w14:paraId="545B9D31">
      <w:pPr>
        <w:spacing w:before="75" w:line="360" w:lineRule="auto"/>
        <w:jc w:val="both"/>
        <w:rPr>
          <w:rFonts w:hint="default" w:ascii="Times New Roman" w:hAnsi="Times New Roman" w:eastAsia="仿宋_GB2312" w:cs="Times New Roman"/>
          <w:color w:val="auto"/>
          <w:kern w:val="2"/>
          <w:sz w:val="32"/>
          <w:szCs w:val="32"/>
          <w:highlight w:val="none"/>
          <w:u w:val="none"/>
        </w:rPr>
      </w:pPr>
      <w:r>
        <w:rPr>
          <w:rFonts w:hint="eastAsia" w:ascii="宋体" w:hAnsi="宋体" w:eastAsia="宋体" w:cs="宋体"/>
          <w:b w:val="0"/>
          <w:color w:val="auto"/>
          <w:kern w:val="2"/>
          <w:sz w:val="24"/>
          <w:szCs w:val="24"/>
          <w:highlight w:val="none"/>
          <w:lang w:val="en-US" w:eastAsia="zh-CN" w:bidi="ar-SA"/>
        </w:rPr>
        <w:t>（2）</w:t>
      </w:r>
      <w:r>
        <w:rPr>
          <w:rFonts w:hint="default" w:ascii="宋体" w:hAnsi="宋体" w:eastAsia="宋体" w:cs="宋体"/>
          <w:b w:val="0"/>
          <w:color w:val="auto"/>
          <w:kern w:val="2"/>
          <w:sz w:val="24"/>
          <w:szCs w:val="24"/>
          <w:highlight w:val="none"/>
          <w:lang w:val="en-US" w:eastAsia="zh-CN" w:bidi="ar-SA"/>
        </w:rPr>
        <w:t>履约验收标准</w:t>
      </w:r>
      <w:r>
        <w:rPr>
          <w:rFonts w:hint="eastAsia" w:ascii="宋体" w:hAnsi="宋体" w:eastAsia="宋体" w:cs="宋体"/>
          <w:b w:val="0"/>
          <w:color w:val="auto"/>
          <w:kern w:val="2"/>
          <w:sz w:val="24"/>
          <w:szCs w:val="24"/>
          <w:highlight w:val="none"/>
          <w:lang w:val="en-US" w:eastAsia="zh-CN" w:bidi="ar-SA"/>
        </w:rPr>
        <w:t>：按照国家相关标准开展验收。</w:t>
      </w:r>
      <w:r>
        <w:rPr>
          <w:rFonts w:hint="default" w:ascii="Times New Roman" w:hAnsi="Times New Roman" w:eastAsia="仿宋_GB2312" w:cs="Times New Roman"/>
          <w:color w:val="auto"/>
          <w:kern w:val="2"/>
          <w:sz w:val="32"/>
          <w:szCs w:val="32"/>
          <w:highlight w:val="none"/>
          <w:u w:val="none"/>
        </w:rPr>
        <w:t xml:space="preserve"> </w:t>
      </w:r>
    </w:p>
    <w:p w14:paraId="0E7C05B5">
      <w:pPr>
        <w:spacing w:before="75" w:line="231"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12.其他其他技术、服务等要求</w:t>
      </w:r>
    </w:p>
    <w:p w14:paraId="4B349C78">
      <w:pPr>
        <w:spacing w:before="75" w:line="360" w:lineRule="auto"/>
        <w:jc w:val="both"/>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其他技术、服务等要求。</w:t>
      </w:r>
    </w:p>
    <w:p w14:paraId="46DF3B9A">
      <w:pPr>
        <w:spacing w:before="75" w:line="360" w:lineRule="auto"/>
        <w:jc w:val="both"/>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一是严格遵守合同约定。</w:t>
      </w:r>
      <w:r>
        <w:rPr>
          <w:rFonts w:hint="eastAsia" w:ascii="宋体" w:hAnsi="宋体" w:cs="宋体"/>
          <w:b w:val="0"/>
          <w:color w:val="auto"/>
          <w:kern w:val="2"/>
          <w:sz w:val="24"/>
          <w:szCs w:val="24"/>
          <w:highlight w:val="none"/>
          <w:lang w:val="en-US" w:eastAsia="zh-CN" w:bidi="ar-SA"/>
        </w:rPr>
        <w:t>成交</w:t>
      </w:r>
      <w:r>
        <w:rPr>
          <w:rFonts w:hint="default" w:ascii="宋体" w:hAnsi="宋体" w:eastAsia="宋体" w:cs="宋体"/>
          <w:b w:val="0"/>
          <w:color w:val="auto"/>
          <w:kern w:val="2"/>
          <w:sz w:val="24"/>
          <w:szCs w:val="24"/>
          <w:highlight w:val="none"/>
          <w:lang w:val="en-US" w:eastAsia="zh-CN" w:bidi="ar-SA"/>
        </w:rPr>
        <w:t>单位应严格遵守合同中约定的技术要求和质量标准，确保完成工程量清单全部内容。</w:t>
      </w:r>
    </w:p>
    <w:p w14:paraId="5D30344A">
      <w:pPr>
        <w:spacing w:before="75" w:line="360" w:lineRule="auto"/>
        <w:jc w:val="both"/>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二是及时履约义务。</w:t>
      </w:r>
      <w:r>
        <w:rPr>
          <w:rFonts w:hint="eastAsia" w:ascii="宋体" w:hAnsi="宋体" w:cs="宋体"/>
          <w:b w:val="0"/>
          <w:color w:val="auto"/>
          <w:kern w:val="2"/>
          <w:sz w:val="24"/>
          <w:szCs w:val="24"/>
          <w:highlight w:val="none"/>
          <w:lang w:val="en-US" w:eastAsia="zh-CN" w:bidi="ar-SA"/>
        </w:rPr>
        <w:t>成交</w:t>
      </w:r>
      <w:r>
        <w:rPr>
          <w:rFonts w:hint="default" w:ascii="宋体" w:hAnsi="宋体" w:eastAsia="宋体" w:cs="宋体"/>
          <w:b w:val="0"/>
          <w:color w:val="auto"/>
          <w:kern w:val="2"/>
          <w:sz w:val="24"/>
          <w:szCs w:val="24"/>
          <w:highlight w:val="none"/>
          <w:lang w:val="en-US" w:eastAsia="zh-CN" w:bidi="ar-SA"/>
        </w:rPr>
        <w:t>单位应按照合同约定的时间节点，及时履行技术履约义务，确保项目能够按照计划顺利进行。</w:t>
      </w:r>
    </w:p>
    <w:p w14:paraId="6195B3FA">
      <w:pPr>
        <w:spacing w:before="75" w:line="360" w:lineRule="auto"/>
        <w:jc w:val="both"/>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三是保证质量。</w:t>
      </w:r>
      <w:r>
        <w:rPr>
          <w:rFonts w:hint="eastAsia" w:ascii="宋体" w:hAnsi="宋体" w:cs="宋体"/>
          <w:b w:val="0"/>
          <w:color w:val="auto"/>
          <w:kern w:val="2"/>
          <w:sz w:val="24"/>
          <w:szCs w:val="24"/>
          <w:highlight w:val="none"/>
          <w:lang w:val="en-US" w:eastAsia="zh-CN" w:bidi="ar-SA"/>
        </w:rPr>
        <w:t>成交</w:t>
      </w:r>
      <w:r>
        <w:rPr>
          <w:rFonts w:hint="default" w:ascii="宋体" w:hAnsi="宋体" w:eastAsia="宋体" w:cs="宋体"/>
          <w:b w:val="0"/>
          <w:color w:val="auto"/>
          <w:kern w:val="2"/>
          <w:sz w:val="24"/>
          <w:szCs w:val="24"/>
          <w:highlight w:val="none"/>
          <w:lang w:val="en-US" w:eastAsia="zh-CN" w:bidi="ar-SA"/>
        </w:rPr>
        <w:t>单位应确保项目的施工质量符合《建设工程质量管理条例》要求。</w:t>
      </w:r>
    </w:p>
    <w:p w14:paraId="6B0CA8A8">
      <w:pPr>
        <w:spacing w:before="75" w:line="360" w:lineRule="auto"/>
        <w:jc w:val="left"/>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四是积极配合。</w:t>
      </w:r>
      <w:r>
        <w:rPr>
          <w:rFonts w:hint="eastAsia" w:ascii="宋体" w:hAnsi="宋体" w:cs="宋体"/>
          <w:b w:val="0"/>
          <w:color w:val="auto"/>
          <w:kern w:val="2"/>
          <w:sz w:val="24"/>
          <w:szCs w:val="24"/>
          <w:highlight w:val="none"/>
          <w:lang w:val="en-US" w:eastAsia="zh-CN" w:bidi="ar-SA"/>
        </w:rPr>
        <w:t>成交</w:t>
      </w:r>
      <w:r>
        <w:rPr>
          <w:rFonts w:hint="default" w:ascii="宋体" w:hAnsi="宋体" w:eastAsia="宋体" w:cs="宋体"/>
          <w:b w:val="0"/>
          <w:color w:val="auto"/>
          <w:kern w:val="2"/>
          <w:sz w:val="24"/>
          <w:szCs w:val="24"/>
          <w:highlight w:val="none"/>
          <w:lang w:val="en-US" w:eastAsia="zh-CN" w:bidi="ar-SA"/>
        </w:rPr>
        <w:t>单位应积极配合甲方进行技术履约过程汇总的各项工作，确保项目能够顺利推进。</w:t>
      </w:r>
    </w:p>
    <w:p w14:paraId="077EA493">
      <w:pPr>
        <w:spacing w:before="75" w:line="360" w:lineRule="auto"/>
        <w:jc w:val="center"/>
        <w:rPr>
          <w:rFonts w:hint="eastAsia" w:ascii="宋体" w:hAnsi="宋体" w:eastAsia="宋体" w:cs="宋体"/>
          <w:b w:val="0"/>
          <w:color w:val="auto"/>
          <w:kern w:val="2"/>
          <w:sz w:val="24"/>
          <w:szCs w:val="24"/>
          <w:highlight w:val="none"/>
          <w:lang w:val="en-US" w:eastAsia="zh-CN" w:bidi="ar-SA"/>
        </w:rPr>
      </w:pPr>
    </w:p>
    <w:p w14:paraId="45401783">
      <w:pPr>
        <w:spacing w:before="75" w:line="360" w:lineRule="auto"/>
        <w:jc w:val="center"/>
        <w:rPr>
          <w:rFonts w:hint="eastAsia" w:ascii="宋体" w:hAnsi="宋体" w:eastAsia="宋体" w:cs="宋体"/>
          <w:b w:val="0"/>
          <w:color w:val="auto"/>
          <w:kern w:val="2"/>
          <w:sz w:val="24"/>
          <w:szCs w:val="24"/>
          <w:highlight w:val="none"/>
          <w:lang w:val="en-US" w:eastAsia="zh-CN" w:bidi="ar-SA"/>
        </w:rPr>
      </w:pPr>
    </w:p>
    <w:p w14:paraId="3A8B8143">
      <w:pPr>
        <w:pStyle w:val="9"/>
        <w:rPr>
          <w:rFonts w:hint="eastAsia" w:ascii="宋体" w:hAnsi="宋体" w:eastAsia="宋体" w:cs="宋体"/>
          <w:b w:val="0"/>
          <w:color w:val="auto"/>
          <w:kern w:val="2"/>
          <w:sz w:val="24"/>
          <w:szCs w:val="24"/>
          <w:highlight w:val="none"/>
          <w:lang w:val="en-US" w:eastAsia="zh-CN" w:bidi="ar-SA"/>
        </w:rPr>
      </w:pPr>
    </w:p>
    <w:p w14:paraId="6E57D941">
      <w:pPr>
        <w:rPr>
          <w:rFonts w:hint="eastAsia" w:ascii="宋体" w:hAnsi="宋体" w:eastAsia="宋体" w:cs="宋体"/>
          <w:b w:val="0"/>
          <w:color w:val="auto"/>
          <w:kern w:val="2"/>
          <w:sz w:val="24"/>
          <w:szCs w:val="24"/>
          <w:highlight w:val="none"/>
          <w:lang w:val="en-US" w:eastAsia="zh-CN" w:bidi="ar-SA"/>
        </w:rPr>
      </w:pPr>
    </w:p>
    <w:p w14:paraId="7A7282B5">
      <w:pPr>
        <w:pStyle w:val="9"/>
        <w:rPr>
          <w:rFonts w:hint="eastAsia" w:ascii="宋体" w:hAnsi="宋体" w:eastAsia="宋体" w:cs="宋体"/>
          <w:b w:val="0"/>
          <w:color w:val="auto"/>
          <w:kern w:val="2"/>
          <w:sz w:val="24"/>
          <w:szCs w:val="24"/>
          <w:highlight w:val="none"/>
          <w:lang w:val="en-US" w:eastAsia="zh-CN" w:bidi="ar-SA"/>
        </w:rPr>
      </w:pPr>
    </w:p>
    <w:p w14:paraId="4FE8708A">
      <w:pPr>
        <w:rPr>
          <w:rFonts w:hint="eastAsia" w:ascii="宋体" w:hAnsi="宋体" w:eastAsia="宋体" w:cs="宋体"/>
          <w:b w:val="0"/>
          <w:color w:val="auto"/>
          <w:kern w:val="2"/>
          <w:sz w:val="24"/>
          <w:szCs w:val="24"/>
          <w:highlight w:val="none"/>
          <w:lang w:val="en-US" w:eastAsia="zh-CN" w:bidi="ar-SA"/>
        </w:rPr>
      </w:pPr>
    </w:p>
    <w:p w14:paraId="7DBE320F">
      <w:pPr>
        <w:pStyle w:val="9"/>
        <w:rPr>
          <w:rFonts w:hint="eastAsia" w:ascii="宋体" w:hAnsi="宋体" w:eastAsia="宋体" w:cs="宋体"/>
          <w:b w:val="0"/>
          <w:color w:val="auto"/>
          <w:kern w:val="2"/>
          <w:sz w:val="24"/>
          <w:szCs w:val="24"/>
          <w:highlight w:val="none"/>
          <w:lang w:val="en-US" w:eastAsia="zh-CN" w:bidi="ar-SA"/>
        </w:rPr>
      </w:pPr>
    </w:p>
    <w:p w14:paraId="33C999E6">
      <w:pPr>
        <w:rPr>
          <w:rFonts w:hint="eastAsia" w:ascii="宋体" w:hAnsi="宋体" w:eastAsia="宋体" w:cs="宋体"/>
          <w:b w:val="0"/>
          <w:color w:val="auto"/>
          <w:kern w:val="2"/>
          <w:sz w:val="24"/>
          <w:szCs w:val="24"/>
          <w:highlight w:val="none"/>
          <w:lang w:val="en-US" w:eastAsia="zh-CN" w:bidi="ar-SA"/>
        </w:rPr>
      </w:pPr>
    </w:p>
    <w:p w14:paraId="4FF4B32A">
      <w:pPr>
        <w:rPr>
          <w:rFonts w:hint="eastAsia" w:ascii="宋体" w:hAnsi="宋体" w:eastAsia="宋体" w:cs="宋体"/>
          <w:b w:val="0"/>
          <w:color w:val="auto"/>
          <w:kern w:val="2"/>
          <w:sz w:val="24"/>
          <w:szCs w:val="24"/>
          <w:highlight w:val="none"/>
          <w:lang w:val="en-US" w:eastAsia="zh-CN" w:bidi="ar-SA"/>
        </w:rPr>
      </w:pPr>
    </w:p>
    <w:p w14:paraId="44766E33">
      <w:pPr>
        <w:rPr>
          <w:rFonts w:hint="eastAsia" w:ascii="宋体" w:hAnsi="宋体" w:eastAsia="宋体" w:cs="宋体"/>
          <w:b w:val="0"/>
          <w:color w:val="auto"/>
          <w:kern w:val="2"/>
          <w:sz w:val="24"/>
          <w:szCs w:val="24"/>
          <w:highlight w:val="none"/>
          <w:lang w:val="en-US" w:eastAsia="zh-CN" w:bidi="ar-SA"/>
        </w:rPr>
      </w:pPr>
    </w:p>
    <w:p w14:paraId="34EC3B02">
      <w:pPr>
        <w:rPr>
          <w:rFonts w:hint="eastAsia" w:ascii="宋体" w:hAnsi="宋体" w:eastAsia="宋体" w:cs="宋体"/>
          <w:b w:val="0"/>
          <w:color w:val="auto"/>
          <w:kern w:val="2"/>
          <w:sz w:val="24"/>
          <w:szCs w:val="24"/>
          <w:highlight w:val="none"/>
          <w:lang w:val="en-US" w:eastAsia="zh-CN" w:bidi="ar-SA"/>
        </w:rPr>
      </w:pPr>
    </w:p>
    <w:p w14:paraId="25FB77EC">
      <w:pPr>
        <w:rPr>
          <w:rFonts w:hint="eastAsia" w:ascii="宋体" w:hAnsi="宋体" w:eastAsia="宋体" w:cs="宋体"/>
          <w:b w:val="0"/>
          <w:color w:val="auto"/>
          <w:kern w:val="2"/>
          <w:sz w:val="24"/>
          <w:szCs w:val="24"/>
          <w:highlight w:val="none"/>
          <w:lang w:val="en-US" w:eastAsia="zh-CN" w:bidi="ar-SA"/>
        </w:rPr>
      </w:pPr>
    </w:p>
    <w:p w14:paraId="115EB6D3">
      <w:pPr>
        <w:pStyle w:val="9"/>
        <w:rPr>
          <w:rFonts w:hint="eastAsia"/>
          <w:lang w:val="en-US" w:eastAsia="zh-CN"/>
        </w:rPr>
      </w:pPr>
    </w:p>
    <w:p w14:paraId="3EF5683D">
      <w:pPr>
        <w:spacing w:before="75"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II</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3"/>
          <w:sz w:val="24"/>
          <w:szCs w:val="24"/>
          <w:highlight w:val="none"/>
        </w:rPr>
        <w:t>技术要求</w:t>
      </w:r>
    </w:p>
    <w:p w14:paraId="7F738E5F">
      <w:pPr>
        <w:spacing w:before="154" w:line="229" w:lineRule="auto"/>
        <w:ind w:left="484"/>
        <w:rPr>
          <w:rFonts w:hint="eastAsia" w:ascii="宋体" w:hAnsi="宋体" w:eastAsia="宋体" w:cs="宋体"/>
          <w:b/>
          <w:bCs/>
          <w:color w:val="auto"/>
          <w:sz w:val="24"/>
          <w:szCs w:val="24"/>
          <w:highlight w:val="none"/>
        </w:rPr>
      </w:pPr>
      <w:r>
        <w:rPr>
          <w:rFonts w:hint="eastAsia" w:ascii="宋体" w:hAnsi="宋体" w:eastAsia="宋体" w:cs="宋体"/>
          <w:b/>
          <w:bCs/>
          <w:color w:val="auto"/>
          <w:spacing w:val="7"/>
          <w:sz w:val="24"/>
          <w:szCs w:val="24"/>
          <w:highlight w:val="none"/>
        </w:rPr>
        <w:t>一、工程量清单</w:t>
      </w:r>
    </w:p>
    <w:p w14:paraId="1355A15B">
      <w:pPr>
        <w:spacing w:before="153" w:line="229" w:lineRule="auto"/>
        <w:ind w:left="491"/>
        <w:outlineLvl w:val="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工程量清单说明</w:t>
      </w:r>
    </w:p>
    <w:p w14:paraId="34676732">
      <w:pPr>
        <w:spacing w:before="154" w:line="353" w:lineRule="auto"/>
        <w:ind w:firstLine="26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1.1 本工程量清单是根据文件中包括的、有合同约束力的图纸以及有关工</w:t>
      </w:r>
      <w:r>
        <w:rPr>
          <w:rFonts w:hint="eastAsia" w:ascii="宋体" w:hAnsi="宋体" w:eastAsia="宋体" w:cs="宋体"/>
          <w:color w:val="auto"/>
          <w:spacing w:val="15"/>
          <w:sz w:val="24"/>
          <w:szCs w:val="24"/>
          <w:highlight w:val="none"/>
        </w:rPr>
        <w:t>程量清单的国家标准、行业标准、合同条款中约定的工程量计算规则编制。约定计量规则中没有的子目，其工程量按照有合同约束力的图纸所标示尺寸的理论净量计</w:t>
      </w:r>
      <w:r>
        <w:rPr>
          <w:rFonts w:hint="eastAsia" w:ascii="宋体" w:hAnsi="宋体" w:eastAsia="宋体" w:cs="宋体"/>
          <w:color w:val="auto"/>
          <w:spacing w:val="7"/>
          <w:sz w:val="24"/>
          <w:szCs w:val="24"/>
          <w:highlight w:val="none"/>
        </w:rPr>
        <w:t>算。计量采用中华人民共和国法定计量单位。</w:t>
      </w:r>
    </w:p>
    <w:p w14:paraId="09C41A26">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1.2 本工程量清单应与文件中的供应商须知、通用合同条款、专用合同条</w:t>
      </w:r>
    </w:p>
    <w:p w14:paraId="4547A5C5">
      <w:pPr>
        <w:spacing w:line="360" w:lineRule="auto"/>
        <w:rPr>
          <w:rFonts w:hint="eastAsia" w:ascii="宋体" w:hAnsi="宋体" w:eastAsia="宋体" w:cs="宋体"/>
          <w:sz w:val="24"/>
          <w:szCs w:val="24"/>
        </w:rPr>
      </w:pPr>
      <w:r>
        <w:rPr>
          <w:rFonts w:hint="eastAsia" w:ascii="宋体" w:hAnsi="宋体" w:eastAsia="宋体" w:cs="宋体"/>
          <w:sz w:val="24"/>
          <w:szCs w:val="24"/>
        </w:rPr>
        <w:t>款、技术标准和要求及图纸等一起阅读和理解。</w:t>
      </w:r>
    </w:p>
    <w:p w14:paraId="1720D29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1.3 本工程量清单仅是投标报价的共同基础，实际工程计量和工程价款的支付</w:t>
      </w:r>
    </w:p>
    <w:p w14:paraId="6ADEC8FA">
      <w:pPr>
        <w:spacing w:line="360" w:lineRule="auto"/>
        <w:rPr>
          <w:rFonts w:hint="eastAsia" w:ascii="宋体" w:hAnsi="宋体" w:eastAsia="宋体" w:cs="宋体"/>
          <w:sz w:val="24"/>
          <w:szCs w:val="24"/>
        </w:rPr>
      </w:pPr>
      <w:r>
        <w:rPr>
          <w:rFonts w:hint="eastAsia" w:ascii="宋体" w:hAnsi="宋体" w:eastAsia="宋体" w:cs="宋体"/>
          <w:sz w:val="24"/>
          <w:szCs w:val="24"/>
        </w:rPr>
        <w:t>应遵循合同条款的约定和第七章“技术标准和要求 ”的有关规定。</w:t>
      </w:r>
    </w:p>
    <w:p w14:paraId="7D8E7E6E">
      <w:pPr>
        <w:spacing w:before="152" w:line="228" w:lineRule="auto"/>
        <w:ind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 补充子目工程量计算规则及子目工</w:t>
      </w:r>
      <w:r>
        <w:rPr>
          <w:rFonts w:hint="eastAsia" w:ascii="宋体" w:hAnsi="宋体" w:eastAsia="宋体" w:cs="宋体"/>
          <w:color w:val="auto"/>
          <w:sz w:val="24"/>
          <w:szCs w:val="24"/>
          <w:highlight w:val="none"/>
        </w:rPr>
        <w:t>作内容说明：</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w:t>
      </w:r>
    </w:p>
    <w:p w14:paraId="6B9B1BB3">
      <w:pPr>
        <w:spacing w:before="154" w:line="231" w:lineRule="auto"/>
        <w:ind w:left="476"/>
        <w:outlineLvl w:val="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6"/>
          <w:sz w:val="24"/>
          <w:szCs w:val="24"/>
          <w:highlight w:val="none"/>
        </w:rPr>
        <w:t>投标报价说明</w:t>
      </w:r>
    </w:p>
    <w:p w14:paraId="575BD26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2.1 投标报价应根据文件中的有关计价要求， 并按照下列依据自主报价</w:t>
      </w:r>
    </w:p>
    <w:p w14:paraId="6EB5F9B1">
      <w:pPr>
        <w:spacing w:line="360" w:lineRule="auto"/>
        <w:rPr>
          <w:rFonts w:hint="eastAsia" w:ascii="宋体" w:hAnsi="宋体" w:eastAsia="宋体" w:cs="宋体"/>
          <w:sz w:val="24"/>
          <w:szCs w:val="24"/>
        </w:rPr>
      </w:pPr>
      <w:r>
        <w:rPr>
          <w:rFonts w:hint="eastAsia" w:ascii="宋体" w:hAnsi="宋体" w:eastAsia="宋体" w:cs="宋体"/>
          <w:sz w:val="24"/>
          <w:szCs w:val="24"/>
        </w:rPr>
        <w:t>（另附）</w:t>
      </w:r>
    </w:p>
    <w:p w14:paraId="41EBF22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sz w:val="24"/>
          <w:szCs w:val="24"/>
        </w:rPr>
        <w:t>2.2 工程量清单</w:t>
      </w:r>
      <w:r>
        <w:rPr>
          <w:rFonts w:hint="eastAsia" w:ascii="宋体" w:hAnsi="宋体" w:eastAsia="宋体" w:cs="宋体"/>
          <w:color w:val="auto"/>
          <w:spacing w:val="15"/>
          <w:sz w:val="24"/>
          <w:szCs w:val="24"/>
          <w:highlight w:val="none"/>
        </w:rPr>
        <w:t>中的每一子目须填入单价或价格，且只允许有</w:t>
      </w:r>
      <w:r>
        <w:rPr>
          <w:rFonts w:hint="eastAsia" w:ascii="宋体" w:hAnsi="宋体" w:eastAsia="宋体" w:cs="宋体"/>
          <w:color w:val="auto"/>
          <w:spacing w:val="14"/>
          <w:sz w:val="24"/>
          <w:szCs w:val="24"/>
          <w:highlight w:val="none"/>
        </w:rPr>
        <w:t>一个报价。工程</w:t>
      </w:r>
      <w:r>
        <w:rPr>
          <w:rFonts w:hint="eastAsia" w:ascii="宋体" w:hAnsi="宋体" w:eastAsia="宋体" w:cs="宋体"/>
          <w:color w:val="auto"/>
          <w:spacing w:val="15"/>
          <w:sz w:val="24"/>
          <w:szCs w:val="24"/>
          <w:highlight w:val="none"/>
        </w:rPr>
        <w:t>量清单中供应商没有填入单价或价格的子目，其费用视为已分摊在工程量清单中其</w:t>
      </w:r>
      <w:r>
        <w:rPr>
          <w:rFonts w:hint="eastAsia" w:ascii="宋体" w:hAnsi="宋体" w:eastAsia="宋体" w:cs="宋体"/>
          <w:color w:val="auto"/>
          <w:spacing w:val="6"/>
          <w:sz w:val="24"/>
          <w:szCs w:val="24"/>
          <w:highlight w:val="none"/>
        </w:rPr>
        <w:t>他相关子目的单价或价格之中。</w:t>
      </w:r>
    </w:p>
    <w:p w14:paraId="68242EF3">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2.3 工程量清单中标价的单价或金额，应包括所需的人工费、材料和施工机具</w:t>
      </w:r>
    </w:p>
    <w:p w14:paraId="73E1F674">
      <w:pPr>
        <w:spacing w:line="360" w:lineRule="auto"/>
        <w:rPr>
          <w:rFonts w:hint="eastAsia" w:ascii="宋体" w:hAnsi="宋体" w:eastAsia="宋体" w:cs="宋体"/>
          <w:sz w:val="24"/>
          <w:szCs w:val="24"/>
        </w:rPr>
      </w:pPr>
      <w:r>
        <w:rPr>
          <w:rFonts w:hint="eastAsia" w:ascii="宋体" w:hAnsi="宋体" w:eastAsia="宋体" w:cs="宋体"/>
          <w:sz w:val="24"/>
          <w:szCs w:val="24"/>
        </w:rPr>
        <w:t>使用费和企业管理费、利润以及一定范围内的风险费用等。</w:t>
      </w:r>
    </w:p>
    <w:p w14:paraId="268FC441">
      <w:pPr>
        <w:spacing w:before="153" w:line="353" w:lineRule="auto"/>
        <w:ind w:firstLine="270"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2.4 投标总报价为供应商完成招标范围所述的全部工程内容的体现和</w:t>
      </w:r>
      <w:r>
        <w:rPr>
          <w:rFonts w:hint="eastAsia" w:ascii="宋体" w:hAnsi="宋体" w:eastAsia="宋体" w:cs="宋体"/>
          <w:color w:val="auto"/>
          <w:spacing w:val="14"/>
          <w:sz w:val="24"/>
          <w:szCs w:val="24"/>
          <w:highlight w:val="none"/>
        </w:rPr>
        <w:t>完成该工</w:t>
      </w:r>
      <w:r>
        <w:rPr>
          <w:rFonts w:hint="eastAsia" w:ascii="宋体" w:hAnsi="宋体" w:eastAsia="宋体" w:cs="宋体"/>
          <w:color w:val="auto"/>
          <w:spacing w:val="15"/>
          <w:sz w:val="24"/>
          <w:szCs w:val="24"/>
          <w:highlight w:val="none"/>
        </w:rPr>
        <w:t>程项目的成本、管理费、技术措施费、利润、风险费及政策性文件规定的不可竞争</w:t>
      </w:r>
      <w:r>
        <w:rPr>
          <w:rFonts w:hint="eastAsia" w:ascii="宋体" w:hAnsi="宋体" w:eastAsia="宋体" w:cs="宋体"/>
          <w:color w:val="auto"/>
          <w:spacing w:val="14"/>
          <w:sz w:val="24"/>
          <w:szCs w:val="24"/>
          <w:highlight w:val="none"/>
        </w:rPr>
        <w:t>费用、规费和税金等所有费用，</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4"/>
          <w:sz w:val="24"/>
          <w:szCs w:val="24"/>
          <w:highlight w:val="none"/>
        </w:rPr>
        <w:t>以及所有根</w:t>
      </w:r>
      <w:r>
        <w:rPr>
          <w:rFonts w:hint="eastAsia" w:ascii="宋体" w:hAnsi="宋体" w:eastAsia="宋体" w:cs="宋体"/>
          <w:color w:val="auto"/>
          <w:spacing w:val="13"/>
          <w:sz w:val="24"/>
          <w:szCs w:val="24"/>
          <w:highlight w:val="none"/>
        </w:rPr>
        <w:t>据合同或其它原因由供应商支付的税金</w:t>
      </w:r>
      <w:r>
        <w:rPr>
          <w:rFonts w:hint="eastAsia" w:ascii="宋体" w:hAnsi="宋体" w:eastAsia="宋体" w:cs="宋体"/>
          <w:color w:val="auto"/>
          <w:spacing w:val="4"/>
          <w:sz w:val="24"/>
          <w:szCs w:val="24"/>
          <w:highlight w:val="none"/>
        </w:rPr>
        <w:t>和其它应缴纳的费用。</w:t>
      </w:r>
    </w:p>
    <w:p w14:paraId="5DACA77A">
      <w:pPr>
        <w:spacing w:before="151" w:line="231" w:lineRule="auto"/>
        <w:ind w:left="47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2.5暂列金额的数量及拟用子目的说明</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7"/>
          <w:sz w:val="24"/>
          <w:szCs w:val="24"/>
          <w:highlight w:val="none"/>
        </w:rPr>
        <w:t>另附）</w:t>
      </w:r>
    </w:p>
    <w:p w14:paraId="77B221A2">
      <w:pPr>
        <w:spacing w:before="154" w:line="230" w:lineRule="auto"/>
        <w:ind w:left="478"/>
        <w:outlineLvl w:val="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其他说明</w:t>
      </w:r>
    </w:p>
    <w:p w14:paraId="4D307C15">
      <w:pPr>
        <w:spacing w:before="153" w:line="229" w:lineRule="auto"/>
        <w:ind w:left="472"/>
        <w:outlineLvl w:val="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4.</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5"/>
          <w:sz w:val="24"/>
          <w:szCs w:val="24"/>
          <w:highlight w:val="none"/>
        </w:rPr>
        <w:t>工程量清单（另附）</w:t>
      </w:r>
    </w:p>
    <w:p w14:paraId="7F338B03">
      <w:pPr>
        <w:pStyle w:val="9"/>
        <w:rPr>
          <w:rFonts w:hint="eastAsia" w:ascii="宋体" w:hAnsi="宋体" w:eastAsia="宋体" w:cs="宋体"/>
          <w:color w:val="auto"/>
          <w:spacing w:val="5"/>
          <w:sz w:val="24"/>
          <w:szCs w:val="24"/>
          <w:highlight w:val="none"/>
        </w:rPr>
      </w:pPr>
    </w:p>
    <w:p w14:paraId="2BC486E9">
      <w:pPr>
        <w:pStyle w:val="9"/>
        <w:rPr>
          <w:rFonts w:hint="eastAsia" w:ascii="宋体" w:hAnsi="宋体" w:eastAsia="宋体" w:cs="宋体"/>
          <w:color w:val="auto"/>
          <w:spacing w:val="5"/>
          <w:sz w:val="24"/>
          <w:szCs w:val="24"/>
          <w:highlight w:val="none"/>
        </w:rPr>
      </w:pPr>
    </w:p>
    <w:p w14:paraId="0EB5DE09">
      <w:pPr>
        <w:pStyle w:val="9"/>
        <w:rPr>
          <w:rFonts w:hint="eastAsia" w:ascii="宋体" w:hAnsi="宋体" w:eastAsia="宋体" w:cs="宋体"/>
          <w:color w:val="auto"/>
          <w:spacing w:val="5"/>
          <w:sz w:val="24"/>
          <w:szCs w:val="24"/>
          <w:highlight w:val="none"/>
        </w:rPr>
      </w:pPr>
    </w:p>
    <w:p w14:paraId="77376AAE">
      <w:pPr>
        <w:pStyle w:val="9"/>
        <w:rPr>
          <w:rFonts w:hint="eastAsia" w:ascii="宋体" w:hAnsi="宋体" w:eastAsia="宋体" w:cs="宋体"/>
          <w:color w:val="auto"/>
          <w:spacing w:val="5"/>
          <w:sz w:val="24"/>
          <w:szCs w:val="24"/>
          <w:highlight w:val="none"/>
        </w:rPr>
      </w:pPr>
    </w:p>
    <w:p w14:paraId="673886CC">
      <w:pPr>
        <w:spacing w:before="153" w:line="353" w:lineRule="auto"/>
        <w:ind w:firstLine="268" w:firstLineChars="10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二、图纸（另附）</w:t>
      </w:r>
    </w:p>
    <w:p w14:paraId="61B6012C">
      <w:pPr>
        <w:rPr>
          <w:rFonts w:hint="eastAsia" w:ascii="宋体" w:hAnsi="宋体" w:eastAsia="宋体" w:cs="宋体"/>
          <w:sz w:val="52"/>
          <w:szCs w:val="52"/>
        </w:rPr>
      </w:pPr>
    </w:p>
    <w:p w14:paraId="1DA01A53">
      <w:pPr>
        <w:pStyle w:val="3"/>
        <w:pageBreakBefore w:val="0"/>
        <w:kinsoku/>
        <w:wordWrap/>
        <w:overflowPunct/>
        <w:topLinePunct w:val="0"/>
        <w:autoSpaceDE/>
        <w:autoSpaceDN/>
        <w:bidi w:val="0"/>
        <w:adjustRightInd/>
        <w:snapToGrid/>
        <w:spacing w:before="0" w:beforeAutospacing="0" w:after="0" w:afterAutospacing="0" w:line="240" w:lineRule="auto"/>
        <w:ind w:left="0" w:leftChars="0" w:right="0" w:firstLine="643" w:firstLineChars="200"/>
        <w:textAlignment w:val="auto"/>
        <w:rPr>
          <w:color w:val="auto"/>
          <w:sz w:val="36"/>
          <w:szCs w:val="36"/>
        </w:rPr>
      </w:pPr>
      <w:bookmarkStart w:id="390" w:name="_Toc26583"/>
      <w:r>
        <w:rPr>
          <w:rFonts w:hint="eastAsia" w:ascii="宋体" w:hAnsi="宋体" w:eastAsia="宋体" w:cs="宋体"/>
          <w:b/>
          <w:bCs/>
          <w:sz w:val="32"/>
          <w:szCs w:val="32"/>
          <w:lang w:eastAsia="zh-CN"/>
        </w:rPr>
        <w:t>第四部分</w:t>
      </w:r>
      <w:r>
        <w:rPr>
          <w:rFonts w:hint="eastAsia" w:ascii="宋体" w:hAnsi="宋体" w:eastAsia="宋体" w:cs="宋体"/>
          <w:b/>
          <w:bCs/>
          <w:sz w:val="32"/>
          <w:szCs w:val="32"/>
          <w:lang w:val="en-US" w:eastAsia="zh-CN"/>
        </w:rPr>
        <w:t xml:space="preserve">  </w:t>
      </w:r>
      <w:bookmarkEnd w:id="390"/>
      <w:bookmarkStart w:id="391" w:name="_Toc490155606"/>
      <w:bookmarkStart w:id="392" w:name="_Toc6110"/>
      <w:bookmarkStart w:id="393" w:name="_Toc9210"/>
      <w:bookmarkStart w:id="394" w:name="_Toc8983678"/>
      <w:r>
        <w:rPr>
          <w:rFonts w:hint="eastAsia"/>
          <w:color w:val="auto"/>
          <w:sz w:val="36"/>
          <w:szCs w:val="36"/>
        </w:rPr>
        <w:t>合同格式及合同条款</w:t>
      </w:r>
    </w:p>
    <w:p w14:paraId="082ADE5E">
      <w:pPr>
        <w:pStyle w:val="3"/>
        <w:pageBreakBefore w:val="0"/>
        <w:kinsoku/>
        <w:wordWrap/>
        <w:overflowPunct/>
        <w:topLinePunct w:val="0"/>
        <w:autoSpaceDE/>
        <w:autoSpaceDN/>
        <w:bidi w:val="0"/>
        <w:adjustRightInd/>
        <w:snapToGrid/>
        <w:spacing w:before="0" w:beforeAutospacing="0" w:after="0" w:afterAutospacing="0" w:line="240" w:lineRule="auto"/>
        <w:ind w:left="0" w:leftChars="0" w:right="0" w:firstLine="482" w:firstLineChars="200"/>
        <w:textAlignment w:val="auto"/>
        <w:rPr>
          <w:color w:val="auto"/>
          <w:sz w:val="24"/>
          <w:szCs w:val="24"/>
        </w:rPr>
      </w:pPr>
      <w:bookmarkStart w:id="395" w:name="_Toc532543568"/>
      <w:bookmarkEnd w:id="395"/>
      <w:bookmarkStart w:id="396" w:name="_Toc257633148"/>
      <w:bookmarkEnd w:id="396"/>
      <w:bookmarkStart w:id="397" w:name="_Toc531075012"/>
      <w:bookmarkEnd w:id="397"/>
      <w:bookmarkStart w:id="398" w:name="_Toc18901"/>
      <w:bookmarkEnd w:id="398"/>
    </w:p>
    <w:p w14:paraId="7D1D9D98">
      <w:pPr>
        <w:pStyle w:val="21"/>
        <w:pageBreakBefore w:val="0"/>
        <w:tabs>
          <w:tab w:val="left" w:pos="720"/>
        </w:tabs>
        <w:kinsoku/>
        <w:wordWrap/>
        <w:overflowPunct/>
        <w:topLinePunct w:val="0"/>
        <w:autoSpaceDE/>
        <w:autoSpaceDN/>
        <w:bidi w:val="0"/>
        <w:adjustRightInd/>
        <w:snapToGrid/>
        <w:spacing w:beforeAutospacing="0" w:afterAutospacing="0" w:line="360" w:lineRule="auto"/>
        <w:ind w:left="0" w:leftChars="0" w:right="0" w:firstLine="480" w:firstLineChars="200"/>
        <w:jc w:val="center"/>
        <w:textAlignment w:val="auto"/>
        <w:rPr>
          <w:color w:val="auto"/>
          <w:sz w:val="24"/>
          <w:szCs w:val="24"/>
        </w:rPr>
      </w:pPr>
      <w:r>
        <w:rPr>
          <w:color w:val="auto"/>
          <w:sz w:val="24"/>
          <w:szCs w:val="24"/>
        </w:rPr>
        <w:t xml:space="preserve">        </w:t>
      </w:r>
    </w:p>
    <w:p w14:paraId="5B5B3631">
      <w:pPr>
        <w:pStyle w:val="21"/>
        <w:pageBreakBefore w:val="0"/>
        <w:tabs>
          <w:tab w:val="left" w:pos="720"/>
        </w:tabs>
        <w:kinsoku/>
        <w:wordWrap/>
        <w:overflowPunct/>
        <w:topLinePunct w:val="0"/>
        <w:autoSpaceDE/>
        <w:autoSpaceDN/>
        <w:bidi w:val="0"/>
        <w:adjustRightInd/>
        <w:snapToGrid/>
        <w:spacing w:beforeAutospacing="0" w:afterAutospacing="0" w:line="360" w:lineRule="auto"/>
        <w:ind w:left="0" w:leftChars="0" w:right="0" w:firstLine="480" w:firstLineChars="200"/>
        <w:jc w:val="center"/>
        <w:textAlignment w:val="auto"/>
        <w:rPr>
          <w:color w:val="auto"/>
          <w:sz w:val="24"/>
          <w:szCs w:val="24"/>
        </w:rPr>
      </w:pPr>
    </w:p>
    <w:p w14:paraId="744225EE">
      <w:pPr>
        <w:pStyle w:val="21"/>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highlight w:val="white"/>
        </w:rPr>
        <w:t>（GF—201</w:t>
      </w:r>
      <w:r>
        <w:rPr>
          <w:rFonts w:hint="eastAsia" w:ascii="Times New Roman" w:hAnsi="Times New Roman" w:eastAsia="仿宋_GB2312"/>
          <w:bCs/>
          <w:color w:val="000000"/>
          <w:sz w:val="32"/>
          <w:szCs w:val="32"/>
          <w:highlight w:val="white"/>
        </w:rPr>
        <w:t>7</w:t>
      </w:r>
      <w:r>
        <w:rPr>
          <w:rFonts w:ascii="Times New Roman" w:hAnsi="Times New Roman" w:eastAsia="仿宋_GB2312"/>
          <w:bCs/>
          <w:color w:val="000000"/>
          <w:sz w:val="32"/>
          <w:szCs w:val="32"/>
          <w:highlight w:val="white"/>
        </w:rPr>
        <w:t>—</w:t>
      </w:r>
      <w:r>
        <w:rPr>
          <w:rFonts w:hint="eastAsia" w:ascii="Times New Roman" w:hAnsi="Times New Roman" w:eastAsia="仿宋_GB2312"/>
          <w:bCs/>
          <w:color w:val="000000"/>
          <w:sz w:val="32"/>
          <w:szCs w:val="32"/>
          <w:highlight w:val="white"/>
        </w:rPr>
        <w:t>0201）</w:t>
      </w:r>
    </w:p>
    <w:p w14:paraId="2F201C1A">
      <w:pPr>
        <w:pStyle w:val="21"/>
        <w:jc w:val="center"/>
        <w:rPr>
          <w:rFonts w:ascii="Times New Roman" w:hAnsi="Times New Roman" w:eastAsia="华文中宋"/>
          <w:b/>
          <w:color w:val="000000"/>
          <w:sz w:val="52"/>
          <w:szCs w:val="52"/>
        </w:rPr>
      </w:pPr>
    </w:p>
    <w:p w14:paraId="2DF885C1">
      <w:pPr>
        <w:pStyle w:val="21"/>
        <w:jc w:val="center"/>
        <w:rPr>
          <w:rFonts w:ascii="Times New Roman" w:hAnsi="Times New Roman" w:eastAsia="华文中宋"/>
          <w:b/>
          <w:color w:val="000000"/>
          <w:sz w:val="52"/>
          <w:szCs w:val="52"/>
        </w:rPr>
      </w:pPr>
    </w:p>
    <w:p w14:paraId="75FC52EA">
      <w:pPr>
        <w:pStyle w:val="21"/>
        <w:jc w:val="center"/>
        <w:rPr>
          <w:rFonts w:ascii="Times New Roman" w:hAnsi="Times New Roman" w:eastAsia="华文中宋"/>
          <w:b/>
          <w:color w:val="000000"/>
          <w:sz w:val="52"/>
          <w:szCs w:val="52"/>
        </w:rPr>
      </w:pPr>
    </w:p>
    <w:p w14:paraId="38C56201">
      <w:pPr>
        <w:pStyle w:val="21"/>
        <w:jc w:val="center"/>
        <w:rPr>
          <w:rFonts w:ascii="Times New Roman" w:hAnsi="Times New Roman" w:eastAsia="华文中宋"/>
          <w:b/>
          <w:color w:val="000000"/>
          <w:sz w:val="52"/>
          <w:szCs w:val="52"/>
        </w:rPr>
      </w:pPr>
    </w:p>
    <w:p w14:paraId="059AE6AA">
      <w:pPr>
        <w:pStyle w:val="21"/>
        <w:jc w:val="center"/>
        <w:rPr>
          <w:rFonts w:ascii="Times New Roman" w:hAnsi="Times New Roman" w:eastAsia="华文中宋"/>
          <w:b/>
          <w:color w:val="000000"/>
          <w:sz w:val="72"/>
          <w:szCs w:val="52"/>
          <w:highlight w:val="white"/>
        </w:rPr>
      </w:pPr>
      <w:r>
        <w:rPr>
          <w:rFonts w:ascii="Times New Roman" w:hAnsi="Times New Roman" w:eastAsia="华文中宋"/>
          <w:b/>
          <w:color w:val="000000"/>
          <w:sz w:val="72"/>
          <w:szCs w:val="52"/>
          <w:highlight w:val="white"/>
        </w:rPr>
        <w:t>建设工程施工合同</w:t>
      </w:r>
    </w:p>
    <w:p w14:paraId="1D2A4BDA">
      <w:pPr>
        <w:pStyle w:val="21"/>
        <w:jc w:val="center"/>
        <w:rPr>
          <w:rFonts w:ascii="Times New Roman" w:hAnsi="Times New Roman" w:eastAsia="华文中宋"/>
          <w:b/>
          <w:color w:val="000000"/>
          <w:sz w:val="52"/>
          <w:szCs w:val="52"/>
        </w:rPr>
      </w:pPr>
      <w:r>
        <w:rPr>
          <w:rFonts w:ascii="Times New Roman" w:hAnsi="Times New Roman" w:eastAsia="华文中宋"/>
          <w:b/>
          <w:color w:val="000000"/>
          <w:sz w:val="52"/>
          <w:szCs w:val="52"/>
          <w:highlight w:val="white"/>
        </w:rPr>
        <w:t>（示范文本）</w:t>
      </w:r>
    </w:p>
    <w:p w14:paraId="73C75A45">
      <w:pPr>
        <w:pStyle w:val="21"/>
        <w:jc w:val="center"/>
        <w:rPr>
          <w:rFonts w:ascii="Times New Roman" w:hAnsi="Times New Roman" w:eastAsia="华文中宋"/>
          <w:b/>
          <w:color w:val="000000"/>
          <w:sz w:val="52"/>
          <w:szCs w:val="52"/>
        </w:rPr>
      </w:pPr>
    </w:p>
    <w:p w14:paraId="665CDF47">
      <w:pPr>
        <w:pStyle w:val="21"/>
        <w:rPr>
          <w:rFonts w:ascii="Times New Roman" w:hAnsi="Times New Roman" w:eastAsia="黑体"/>
          <w:b/>
          <w:color w:val="000000"/>
          <w:sz w:val="72"/>
          <w:szCs w:val="72"/>
        </w:rPr>
      </w:pPr>
    </w:p>
    <w:p w14:paraId="06B7F9CC">
      <w:pPr>
        <w:pStyle w:val="21"/>
        <w:rPr>
          <w:rFonts w:ascii="Times New Roman" w:hAnsi="Times New Roman" w:eastAsia="黑体"/>
          <w:b/>
          <w:color w:val="000000"/>
          <w:sz w:val="72"/>
          <w:szCs w:val="72"/>
        </w:rPr>
      </w:pPr>
    </w:p>
    <w:p w14:paraId="767B4708">
      <w:pPr>
        <w:pStyle w:val="21"/>
        <w:ind w:right="2719" w:rightChars="1295"/>
        <w:jc w:val="center"/>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3369945</wp:posOffset>
                </wp:positionH>
                <wp:positionV relativeFrom="paragraph">
                  <wp:posOffset>177165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75435EB">
                            <w:pPr>
                              <w:pStyle w:val="21"/>
                              <w:rPr>
                                <w:b/>
                                <w:bCs/>
                                <w:sz w:val="32"/>
                              </w:rPr>
                            </w:pPr>
                            <w:r>
                              <w:rPr>
                                <w:rFonts w:hint="eastAsia"/>
                                <w:b/>
                                <w:bCs/>
                                <w:sz w:val="32"/>
                                <w:highlight w:val="white"/>
                              </w:rPr>
                              <w:t>制定</w:t>
                            </w:r>
                          </w:p>
                        </w:txbxContent>
                      </wps:txbx>
                      <wps:bodyPr upright="1"/>
                    </wps:wsp>
                  </a:graphicData>
                </a:graphic>
              </wp:anchor>
            </w:drawing>
          </mc:Choice>
          <mc:Fallback>
            <w:pict>
              <v:shape id="_x0000_s1026" o:spid="_x0000_s1026" o:spt="202" type="#_x0000_t202" style="position:absolute;left:0pt;margin-left:265.35pt;margin-top:13.95pt;height:36pt;width:57pt;z-index:251659264;mso-width-relative:page;mso-height-relative:page;" filled="f" stroked="t" coordsize="21600,21600" o:gfxdata="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Q3zh2gAAAAkBAAAPAAAAAAAAAAEAIAAAACIAAABk&#10;cnMvZG93bnJldi54bWxQSwECFAAUAAAACACHTuJA7R5qugQCAAAMBAAADgAAAAAAAAABACAAAAAp&#10;AQAAZHJzL2Uyb0RvYy54bWxQSwUGAAAAAAYABgBZAQAAnwUAAAAA&#10;">
                <v:fill on="f" focussize="0,0"/>
                <v:stroke color="#FFFFFF" joinstyle="miter"/>
                <v:imagedata o:title=""/>
                <o:lock v:ext="edit" aspectratio="f"/>
                <v:textbox>
                  <w:txbxContent>
                    <w:p w14:paraId="475435EB">
                      <w:pPr>
                        <w:pStyle w:val="21"/>
                        <w:rPr>
                          <w:b/>
                          <w:bCs/>
                          <w:sz w:val="32"/>
                        </w:rPr>
                      </w:pPr>
                      <w:r>
                        <w:rPr>
                          <w:rFonts w:hint="eastAsia"/>
                          <w:b/>
                          <w:bCs/>
                          <w:sz w:val="32"/>
                          <w:highlight w:val="white"/>
                        </w:rPr>
                        <w:t>制定</w:t>
                      </w:r>
                    </w:p>
                  </w:txbxContent>
                </v:textbox>
              </v:shape>
            </w:pict>
          </mc:Fallback>
        </mc:AlternateContent>
      </w:r>
      <w:r>
        <w:rPr>
          <w:rFonts w:hint="eastAsia" w:ascii="Times New Roman" w:hAnsi="Times New Roman"/>
          <w:b/>
          <w:color w:val="000000"/>
          <w:sz w:val="32"/>
          <w:szCs w:val="28"/>
          <w:highlight w:val="white"/>
        </w:rPr>
        <w:t xml:space="preserve">     </w:t>
      </w:r>
      <w:r>
        <w:rPr>
          <w:rFonts w:ascii="Times New Roman" w:hAnsi="Times New Roman"/>
          <w:b/>
          <w:color w:val="000000"/>
          <w:sz w:val="32"/>
          <w:szCs w:val="28"/>
          <w:highlight w:val="white"/>
        </w:rPr>
        <w:t>住</w:t>
      </w:r>
      <w:r>
        <w:rPr>
          <w:rFonts w:hint="eastAsia" w:ascii="Times New Roman" w:hAnsi="Times New Roman"/>
          <w:b/>
          <w:color w:val="000000"/>
          <w:sz w:val="32"/>
          <w:szCs w:val="28"/>
          <w:highlight w:val="white"/>
        </w:rPr>
        <w:t xml:space="preserve"> </w:t>
      </w:r>
      <w:r>
        <w:rPr>
          <w:rFonts w:ascii="Times New Roman" w:hAnsi="Times New Roman"/>
          <w:b/>
          <w:color w:val="000000"/>
          <w:sz w:val="32"/>
          <w:szCs w:val="28"/>
          <w:highlight w:val="white"/>
        </w:rPr>
        <w:t>房</w:t>
      </w:r>
      <w:r>
        <w:rPr>
          <w:rFonts w:hint="eastAsia" w:ascii="Times New Roman" w:hAnsi="Times New Roman"/>
          <w:b/>
          <w:color w:val="000000"/>
          <w:sz w:val="32"/>
          <w:szCs w:val="28"/>
          <w:highlight w:val="white"/>
        </w:rPr>
        <w:t xml:space="preserve"> </w:t>
      </w:r>
      <w:r>
        <w:rPr>
          <w:rFonts w:ascii="Times New Roman" w:hAnsi="Times New Roman"/>
          <w:b/>
          <w:color w:val="000000"/>
          <w:sz w:val="32"/>
          <w:szCs w:val="28"/>
          <w:highlight w:val="white"/>
        </w:rPr>
        <w:t>城</w:t>
      </w:r>
      <w:r>
        <w:rPr>
          <w:rFonts w:hint="eastAsia" w:ascii="Times New Roman" w:hAnsi="Times New Roman"/>
          <w:b/>
          <w:color w:val="000000"/>
          <w:sz w:val="32"/>
          <w:szCs w:val="28"/>
          <w:highlight w:val="white"/>
        </w:rPr>
        <w:t xml:space="preserve"> </w:t>
      </w:r>
      <w:r>
        <w:rPr>
          <w:rFonts w:ascii="Times New Roman" w:hAnsi="Times New Roman"/>
          <w:b/>
          <w:color w:val="000000"/>
          <w:sz w:val="32"/>
          <w:szCs w:val="28"/>
          <w:highlight w:val="white"/>
        </w:rPr>
        <w:t>乡</w:t>
      </w:r>
      <w:r>
        <w:rPr>
          <w:rFonts w:hint="eastAsia" w:ascii="Times New Roman" w:hAnsi="Times New Roman"/>
          <w:b/>
          <w:color w:val="000000"/>
          <w:sz w:val="32"/>
          <w:szCs w:val="28"/>
          <w:highlight w:val="white"/>
        </w:rPr>
        <w:t xml:space="preserve"> </w:t>
      </w:r>
      <w:r>
        <w:rPr>
          <w:rFonts w:ascii="Times New Roman" w:hAnsi="Times New Roman"/>
          <w:b/>
          <w:color w:val="000000"/>
          <w:sz w:val="32"/>
          <w:szCs w:val="28"/>
          <w:highlight w:val="white"/>
        </w:rPr>
        <w:t>建</w:t>
      </w:r>
      <w:r>
        <w:rPr>
          <w:rFonts w:hint="eastAsia" w:ascii="Times New Roman" w:hAnsi="Times New Roman"/>
          <w:b/>
          <w:color w:val="000000"/>
          <w:sz w:val="32"/>
          <w:szCs w:val="28"/>
          <w:highlight w:val="white"/>
        </w:rPr>
        <w:t xml:space="preserve"> </w:t>
      </w:r>
      <w:r>
        <w:rPr>
          <w:rFonts w:ascii="Times New Roman" w:hAnsi="Times New Roman"/>
          <w:b/>
          <w:color w:val="000000"/>
          <w:sz w:val="32"/>
          <w:szCs w:val="28"/>
          <w:highlight w:val="white"/>
        </w:rPr>
        <w:t>设</w:t>
      </w:r>
      <w:r>
        <w:rPr>
          <w:rFonts w:hint="eastAsia" w:ascii="Times New Roman" w:hAnsi="Times New Roman"/>
          <w:b/>
          <w:color w:val="000000"/>
          <w:sz w:val="32"/>
          <w:szCs w:val="28"/>
          <w:highlight w:val="white"/>
        </w:rPr>
        <w:t xml:space="preserve"> </w:t>
      </w:r>
      <w:r>
        <w:rPr>
          <w:rFonts w:ascii="Times New Roman" w:hAnsi="Times New Roman"/>
          <w:b/>
          <w:color w:val="000000"/>
          <w:sz w:val="32"/>
          <w:szCs w:val="28"/>
          <w:highlight w:val="white"/>
        </w:rPr>
        <w:t>部</w:t>
      </w:r>
    </w:p>
    <w:p w14:paraId="616B866F">
      <w:pPr>
        <w:pStyle w:val="21"/>
        <w:ind w:right="2719" w:rightChars="1295"/>
        <w:jc w:val="center"/>
        <w:rPr>
          <w:rFonts w:ascii="Times New Roman" w:hAnsi="Times New Roman"/>
          <w:b/>
          <w:color w:val="000000"/>
          <w:sz w:val="32"/>
          <w:szCs w:val="28"/>
        </w:rPr>
      </w:pPr>
      <w:r>
        <w:rPr>
          <w:rFonts w:hint="eastAsia" w:ascii="Times New Roman" w:hAnsi="Times New Roman"/>
          <w:b/>
          <w:color w:val="000000"/>
          <w:sz w:val="32"/>
          <w:szCs w:val="28"/>
          <w:highlight w:val="white"/>
        </w:rPr>
        <w:t xml:space="preserve">     </w:t>
      </w:r>
      <w:bookmarkStart w:id="399" w:name="_Toc2963"/>
      <w:r>
        <w:rPr>
          <w:rFonts w:ascii="Times New Roman" w:hAnsi="Times New Roman"/>
          <w:b/>
          <w:color w:val="000000"/>
          <w:sz w:val="32"/>
          <w:szCs w:val="28"/>
          <w:highlight w:val="white"/>
        </w:rPr>
        <w:t>国家工商行政管理总局</w:t>
      </w:r>
      <w:bookmarkEnd w:id="399"/>
    </w:p>
    <w:p w14:paraId="3E95A599">
      <w:pPr>
        <w:pStyle w:val="21"/>
        <w:rPr>
          <w:rFonts w:hint="default" w:ascii="Times New Roman" w:hAnsi="Times New Roman" w:eastAsia="宋体"/>
          <w:b/>
          <w:color w:val="000000"/>
          <w:lang w:val="en-US" w:eastAsia="zh-CN"/>
        </w:rPr>
      </w:pPr>
      <w:r>
        <w:rPr>
          <w:rFonts w:hint="eastAsia" w:ascii="Times New Roman" w:hAnsi="Times New Roman"/>
          <w:b/>
          <w:color w:val="000000"/>
          <w:lang w:val="en-US" w:eastAsia="zh-CN"/>
        </w:rPr>
        <w:t xml:space="preserve">                  </w:t>
      </w:r>
    </w:p>
    <w:p w14:paraId="1B209D37">
      <w:pPr>
        <w:bidi w:val="0"/>
        <w:jc w:val="center"/>
        <w:rPr>
          <w:rFonts w:hint="eastAsia" w:ascii="宋体" w:hAnsi="宋体" w:eastAsia="宋体" w:cs="宋体"/>
          <w:sz w:val="24"/>
          <w:szCs w:val="24"/>
          <w:lang w:val="zh-CN"/>
        </w:rPr>
      </w:pPr>
      <w:r>
        <w:rPr>
          <w:rFonts w:ascii="Times New Roman" w:hAnsi="Times New Roman"/>
          <w:b w:val="0"/>
          <w:color w:val="000000"/>
          <w:highlight w:val="white"/>
        </w:rPr>
        <w:br w:type="page"/>
      </w:r>
      <w:bookmarkStart w:id="400" w:name="_Toc3891"/>
      <w:bookmarkStart w:id="401" w:name="_Toc14681"/>
      <w:r>
        <w:rPr>
          <w:rFonts w:hint="eastAsia" w:ascii="宋体" w:hAnsi="宋体" w:eastAsia="宋体" w:cs="宋体"/>
          <w:b/>
          <w:bCs/>
          <w:kern w:val="2"/>
          <w:sz w:val="24"/>
          <w:szCs w:val="24"/>
          <w:lang w:val="zh-CN"/>
        </w:rPr>
        <w:t>说  明</w:t>
      </w:r>
      <w:bookmarkEnd w:id="400"/>
      <w:bookmarkEnd w:id="401"/>
    </w:p>
    <w:p w14:paraId="2676784B">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为了指导建设工程施工合同当事人的签约行为，维护合同当事人的合法权益，依据《</w:t>
      </w:r>
      <w:r>
        <w:rPr>
          <w:rFonts w:hint="eastAsia" w:ascii="宋体" w:hAnsi="宋体" w:cs="宋体"/>
          <w:sz w:val="24"/>
          <w:szCs w:val="24"/>
          <w:highlight w:val="white"/>
          <w:lang w:eastAsia="zh-CN"/>
        </w:rPr>
        <w:t>中华人民共和国合同民法典</w:t>
      </w:r>
      <w:r>
        <w:rPr>
          <w:rFonts w:hint="eastAsia" w:ascii="宋体" w:hAnsi="宋体" w:eastAsia="宋体" w:cs="宋体"/>
          <w:sz w:val="24"/>
          <w:szCs w:val="24"/>
          <w:highlight w:val="white"/>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47EE6ED9">
      <w:pPr>
        <w:pStyle w:val="21"/>
        <w:ind w:firstLine="480" w:firstLineChars="200"/>
        <w:jc w:val="left"/>
        <w:outlineLvl w:val="1"/>
        <w:rPr>
          <w:rFonts w:hint="eastAsia" w:ascii="宋体" w:hAnsi="宋体" w:eastAsia="宋体" w:cs="宋体"/>
          <w:bCs/>
          <w:sz w:val="24"/>
          <w:szCs w:val="24"/>
          <w:highlight w:val="white"/>
        </w:rPr>
      </w:pPr>
      <w:bookmarkStart w:id="402" w:name="_Toc14504"/>
      <w:bookmarkStart w:id="403" w:name="_Toc256000123"/>
      <w:r>
        <w:rPr>
          <w:rFonts w:hint="eastAsia" w:ascii="宋体" w:hAnsi="宋体" w:eastAsia="宋体" w:cs="宋体"/>
          <w:bCs/>
          <w:sz w:val="24"/>
          <w:szCs w:val="24"/>
          <w:highlight w:val="white"/>
        </w:rPr>
        <w:t>一、《示范文本》的组成</w:t>
      </w:r>
      <w:bookmarkEnd w:id="402"/>
      <w:bookmarkEnd w:id="403"/>
    </w:p>
    <w:p w14:paraId="38AC3EC8">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《示范文本》由合同协议书、通用合同条款和专用合同条款三部分组成。</w:t>
      </w:r>
    </w:p>
    <w:p w14:paraId="36D1AD09">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（一）合同协议书</w:t>
      </w:r>
    </w:p>
    <w:p w14:paraId="503B9E8C">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E4EBF4C">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（二）通用合同条款</w:t>
      </w:r>
    </w:p>
    <w:p w14:paraId="3AC01B05">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通用合同条款是合同当事人根据《中华人民共和国建筑法》、《</w:t>
      </w:r>
      <w:r>
        <w:rPr>
          <w:rFonts w:hint="eastAsia" w:ascii="宋体" w:hAnsi="宋体" w:cs="宋体"/>
          <w:sz w:val="24"/>
          <w:szCs w:val="24"/>
          <w:highlight w:val="white"/>
          <w:lang w:eastAsia="zh-CN"/>
        </w:rPr>
        <w:t>中华人民共和国合同民法典</w:t>
      </w:r>
      <w:r>
        <w:rPr>
          <w:rFonts w:hint="eastAsia" w:ascii="宋体" w:hAnsi="宋体" w:eastAsia="宋体" w:cs="宋体"/>
          <w:sz w:val="24"/>
          <w:szCs w:val="24"/>
          <w:highlight w:val="white"/>
        </w:rPr>
        <w:t>》等法律法规的规定，就工程建设的实施及相关事项，对合同当事人的权利义务作出的原则性约定。</w:t>
      </w:r>
    </w:p>
    <w:p w14:paraId="3A20D776">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44D07415">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（三）专用合同条款</w:t>
      </w:r>
    </w:p>
    <w:p w14:paraId="4195A09C">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专用合同条款是对通用合同条款原则性约定的细化、完善、补充、修改或另行约定的条款。合同当事人可以根据不同建设工程的特点及具体情况，通过双方的、协商对相应的专用合同条款进行修改补充。在使用专用合同条款时，应注意以下事项：</w:t>
      </w:r>
    </w:p>
    <w:p w14:paraId="58D3C1B1">
      <w:pPr>
        <w:pStyle w:val="21"/>
        <w:ind w:firstLine="480" w:firstLineChars="200"/>
        <w:rPr>
          <w:rFonts w:hint="eastAsia" w:ascii="宋体" w:hAnsi="宋体" w:eastAsia="宋体" w:cs="宋体"/>
          <w:sz w:val="24"/>
          <w:szCs w:val="24"/>
          <w:highlight w:val="white"/>
        </w:rPr>
      </w:pPr>
      <w:bookmarkStart w:id="404" w:name="_Toc9096"/>
      <w:r>
        <w:rPr>
          <w:rFonts w:hint="eastAsia" w:ascii="宋体" w:hAnsi="宋体" w:eastAsia="宋体" w:cs="宋体"/>
          <w:sz w:val="24"/>
          <w:szCs w:val="24"/>
          <w:highlight w:val="white"/>
        </w:rPr>
        <w:t>1.专用合同条款的编号应与相应的通用合同条款的编号一致；</w:t>
      </w:r>
      <w:bookmarkEnd w:id="404"/>
    </w:p>
    <w:p w14:paraId="116563DA">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2.合同当事人可以通过对专用合同条款的修改，满足具体建设工程的特殊要求，避免直接修改通用合同条款；</w:t>
      </w:r>
    </w:p>
    <w:p w14:paraId="7E20E675">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3.在专用合同条款中有横道线的地方，合同当事人可针对相应的通用合同条款进行细化、完善、补充、修改或另行约定；如无细化、完善、补充、修改或另行约定，则填写“无”或划“/”。</w:t>
      </w:r>
    </w:p>
    <w:p w14:paraId="0BCA90A2">
      <w:pPr>
        <w:pStyle w:val="21"/>
        <w:ind w:firstLine="480" w:firstLineChars="200"/>
        <w:outlineLvl w:val="1"/>
        <w:rPr>
          <w:rFonts w:hint="eastAsia" w:ascii="宋体" w:hAnsi="宋体" w:eastAsia="宋体" w:cs="宋体"/>
          <w:b/>
          <w:sz w:val="24"/>
          <w:szCs w:val="24"/>
        </w:rPr>
      </w:pPr>
      <w:bookmarkStart w:id="405" w:name="_Toc256000124"/>
      <w:bookmarkStart w:id="406" w:name="_Toc24688"/>
      <w:r>
        <w:rPr>
          <w:rFonts w:hint="eastAsia" w:ascii="宋体" w:hAnsi="宋体" w:eastAsia="宋体" w:cs="宋体"/>
          <w:bCs/>
          <w:sz w:val="24"/>
          <w:szCs w:val="24"/>
          <w:highlight w:val="white"/>
        </w:rPr>
        <w:t>二、《示范文本》的性质和适用范围</w:t>
      </w:r>
      <w:bookmarkEnd w:id="405"/>
      <w:bookmarkEnd w:id="406"/>
    </w:p>
    <w:p w14:paraId="0A9EBE48">
      <w:pPr>
        <w:pStyle w:val="21"/>
        <w:ind w:firstLine="480" w:firstLineChars="200"/>
        <w:rPr>
          <w:rFonts w:hint="eastAsia" w:ascii="宋体" w:hAnsi="宋体" w:eastAsia="宋体" w:cs="宋体"/>
          <w:sz w:val="24"/>
          <w:szCs w:val="24"/>
        </w:rPr>
      </w:pPr>
      <w:r>
        <w:rPr>
          <w:rFonts w:hint="eastAsia" w:ascii="宋体" w:hAnsi="宋体" w:eastAsia="宋体" w:cs="宋体"/>
          <w:sz w:val="24"/>
          <w:szCs w:val="24"/>
          <w:highlight w:val="white"/>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20768149">
      <w:pPr>
        <w:pStyle w:val="21"/>
        <w:jc w:val="center"/>
        <w:rPr>
          <w:rFonts w:hint="eastAsia" w:ascii="宋体" w:hAnsi="宋体" w:eastAsia="宋体" w:cs="宋体"/>
          <w:b/>
          <w:bCs/>
          <w:sz w:val="24"/>
          <w:szCs w:val="24"/>
        </w:rPr>
      </w:pPr>
    </w:p>
    <w:p w14:paraId="3587A11B">
      <w:pPr>
        <w:pStyle w:val="21"/>
        <w:jc w:val="center"/>
        <w:outlineLvl w:val="1"/>
        <w:rPr>
          <w:rFonts w:hint="eastAsia" w:ascii="宋体" w:hAnsi="宋体" w:eastAsia="宋体" w:cs="宋体"/>
          <w:sz w:val="24"/>
          <w:szCs w:val="24"/>
          <w:highlight w:val="white"/>
        </w:rPr>
      </w:pPr>
      <w:bookmarkStart w:id="407" w:name="_Toc256000125"/>
      <w:bookmarkStart w:id="408" w:name="_Toc18768"/>
    </w:p>
    <w:p w14:paraId="3436A138">
      <w:pPr>
        <w:pStyle w:val="21"/>
        <w:jc w:val="center"/>
        <w:outlineLvl w:val="1"/>
        <w:rPr>
          <w:rFonts w:hint="eastAsia" w:ascii="宋体" w:hAnsi="宋体" w:eastAsia="宋体" w:cs="宋体"/>
          <w:sz w:val="24"/>
          <w:szCs w:val="24"/>
          <w:highlight w:val="white"/>
        </w:rPr>
      </w:pPr>
    </w:p>
    <w:p w14:paraId="57C1B905">
      <w:pPr>
        <w:pStyle w:val="21"/>
        <w:jc w:val="center"/>
        <w:outlineLvl w:val="1"/>
        <w:rPr>
          <w:rFonts w:hint="eastAsia" w:ascii="宋体" w:hAnsi="宋体" w:eastAsia="宋体" w:cs="宋体"/>
          <w:sz w:val="24"/>
          <w:szCs w:val="24"/>
          <w:highlight w:val="white"/>
        </w:rPr>
      </w:pPr>
    </w:p>
    <w:p w14:paraId="0095F38B">
      <w:pPr>
        <w:pStyle w:val="21"/>
        <w:jc w:val="center"/>
        <w:outlineLvl w:val="1"/>
        <w:rPr>
          <w:rFonts w:hint="eastAsia" w:ascii="宋体" w:hAnsi="宋体" w:eastAsia="宋体" w:cs="宋体"/>
          <w:sz w:val="24"/>
          <w:szCs w:val="24"/>
          <w:highlight w:val="white"/>
        </w:rPr>
      </w:pPr>
    </w:p>
    <w:p w14:paraId="0198B98B">
      <w:pPr>
        <w:pStyle w:val="21"/>
        <w:jc w:val="center"/>
        <w:outlineLvl w:val="1"/>
        <w:rPr>
          <w:rFonts w:hint="eastAsia" w:ascii="宋体" w:hAnsi="宋体" w:eastAsia="宋体" w:cs="宋体"/>
          <w:sz w:val="24"/>
          <w:szCs w:val="24"/>
          <w:highlight w:val="white"/>
        </w:rPr>
      </w:pPr>
      <w:r>
        <w:rPr>
          <w:rFonts w:hint="eastAsia" w:ascii="宋体" w:hAnsi="宋体" w:eastAsia="宋体" w:cs="宋体"/>
          <w:sz w:val="24"/>
          <w:szCs w:val="24"/>
          <w:highlight w:val="white"/>
        </w:rPr>
        <w:t>第一部分 合同协议书</w:t>
      </w:r>
      <w:bookmarkEnd w:id="407"/>
      <w:bookmarkEnd w:id="408"/>
    </w:p>
    <w:p w14:paraId="7961D8EC">
      <w:pPr>
        <w:pStyle w:val="21"/>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highlight w:val="white"/>
        </w:rPr>
        <w:t>发包人（全称）：</w:t>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0020"/>
      </w:r>
      <w:r>
        <w:rPr>
          <w:rFonts w:hint="eastAsia" w:ascii="宋体" w:hAnsi="宋体" w:eastAsia="宋体" w:cs="宋体"/>
          <w:b/>
          <w:color w:val="000000"/>
          <w:sz w:val="24"/>
          <w:szCs w:val="24"/>
          <w:highlight w:val="white"/>
          <w:u w:val="single"/>
        </w:rPr>
        <w:sym w:font="Times New Roman" w:char="0020"/>
      </w:r>
      <w:r>
        <w:rPr>
          <w:rFonts w:hint="eastAsia" w:ascii="宋体" w:hAnsi="宋体" w:eastAsia="宋体" w:cs="宋体"/>
          <w:b/>
          <w:color w:val="000000"/>
          <w:sz w:val="24"/>
          <w:szCs w:val="24"/>
          <w:highlight w:val="white"/>
          <w:u w:val="single"/>
        </w:rPr>
        <w:sym w:font="Times New Roman" w:char="0020"/>
      </w:r>
      <w:r>
        <w:rPr>
          <w:rFonts w:hint="eastAsia" w:ascii="宋体" w:hAnsi="宋体" w:eastAsia="宋体" w:cs="宋体"/>
          <w:b/>
          <w:color w:val="000000"/>
          <w:sz w:val="24"/>
          <w:szCs w:val="24"/>
          <w:highlight w:val="white"/>
          <w:u w:val="single"/>
        </w:rPr>
        <w:sym w:font="Times New Roman" w:char="0020"/>
      </w:r>
      <w:r>
        <w:rPr>
          <w:rFonts w:hint="eastAsia" w:ascii="宋体" w:hAnsi="宋体" w:eastAsia="宋体" w:cs="宋体"/>
          <w:b/>
          <w:color w:val="000000"/>
          <w:sz w:val="24"/>
          <w:szCs w:val="24"/>
          <w:highlight w:val="white"/>
          <w:u w:val="single"/>
        </w:rPr>
        <w:sym w:font="Times New Roman" w:char="0020"/>
      </w:r>
      <w:r>
        <w:rPr>
          <w:rFonts w:hint="eastAsia" w:ascii="宋体" w:hAnsi="宋体" w:eastAsia="宋体" w:cs="宋体"/>
          <w:b/>
          <w:color w:val="000000"/>
          <w:sz w:val="24"/>
          <w:szCs w:val="24"/>
          <w:highlight w:val="white"/>
          <w:u w:val="single"/>
        </w:rPr>
        <w:sym w:font="Times New Roman" w:char="0020"/>
      </w:r>
      <w:r>
        <w:rPr>
          <w:rFonts w:hint="eastAsia" w:ascii="宋体" w:hAnsi="宋体" w:eastAsia="宋体" w:cs="宋体"/>
          <w:b/>
          <w:color w:val="000000"/>
          <w:sz w:val="24"/>
          <w:szCs w:val="24"/>
          <w:highlight w:val="white"/>
          <w:u w:val="single"/>
        </w:rPr>
        <w:t xml:space="preserve">               </w:t>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t xml:space="preserve"> </w:t>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t xml:space="preserve"> </w:t>
      </w:r>
      <w:r>
        <w:rPr>
          <w:rFonts w:hint="eastAsia" w:ascii="宋体" w:hAnsi="宋体" w:eastAsia="宋体" w:cs="宋体"/>
          <w:b/>
          <w:color w:val="000000"/>
          <w:sz w:val="24"/>
          <w:szCs w:val="24"/>
          <w:highlight w:val="white"/>
          <w:u w:val="single"/>
        </w:rPr>
        <w:sym w:font="Times New Roman" w:char="E5E5"/>
      </w:r>
    </w:p>
    <w:p w14:paraId="09F2C974">
      <w:pPr>
        <w:pStyle w:val="21"/>
        <w:spacing w:line="360" w:lineRule="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highlight w:val="white"/>
        </w:rPr>
        <w:t>承包人（全称）：</w:t>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sym w:font="Times New Roman" w:char="0020"/>
      </w:r>
      <w:r>
        <w:rPr>
          <w:rFonts w:hint="eastAsia" w:ascii="宋体" w:hAnsi="宋体" w:eastAsia="宋体" w:cs="宋体"/>
          <w:b/>
          <w:color w:val="000000"/>
          <w:sz w:val="24"/>
          <w:szCs w:val="24"/>
          <w:highlight w:val="white"/>
          <w:u w:val="single"/>
        </w:rPr>
        <w:sym w:font="Times New Roman" w:char="0020"/>
      </w:r>
      <w:r>
        <w:rPr>
          <w:rFonts w:hint="eastAsia" w:ascii="宋体" w:hAnsi="宋体" w:eastAsia="宋体" w:cs="宋体"/>
          <w:b/>
          <w:color w:val="000000"/>
          <w:sz w:val="24"/>
          <w:szCs w:val="24"/>
          <w:highlight w:val="white"/>
          <w:u w:val="single"/>
        </w:rPr>
        <w:t xml:space="preserve">                  </w:t>
      </w:r>
      <w:r>
        <w:rPr>
          <w:rFonts w:hint="eastAsia" w:ascii="宋体" w:hAnsi="宋体" w:eastAsia="宋体" w:cs="宋体"/>
          <w:b/>
          <w:color w:val="000000"/>
          <w:sz w:val="24"/>
          <w:szCs w:val="24"/>
          <w:highlight w:val="white"/>
          <w:u w:val="single"/>
        </w:rPr>
        <w:sym w:font="Times New Roman" w:char="E5E5"/>
      </w:r>
      <w:r>
        <w:rPr>
          <w:rFonts w:hint="eastAsia" w:ascii="宋体" w:hAnsi="宋体" w:eastAsia="宋体" w:cs="宋体"/>
          <w:b/>
          <w:color w:val="000000"/>
          <w:sz w:val="24"/>
          <w:szCs w:val="24"/>
          <w:highlight w:val="white"/>
          <w:u w:val="single"/>
        </w:rPr>
        <w:t xml:space="preserve">  </w:t>
      </w:r>
      <w:r>
        <w:rPr>
          <w:rFonts w:hint="eastAsia" w:ascii="宋体" w:hAnsi="宋体" w:eastAsia="宋体" w:cs="宋体"/>
          <w:b/>
          <w:color w:val="000000"/>
          <w:sz w:val="24"/>
          <w:szCs w:val="24"/>
          <w:highlight w:val="white"/>
          <w:u w:val="single"/>
        </w:rPr>
        <w:sym w:font="Times New Roman" w:char="E5E5"/>
      </w:r>
    </w:p>
    <w:p w14:paraId="0F373A8D">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根据《</w:t>
      </w:r>
      <w:r>
        <w:rPr>
          <w:rFonts w:hint="eastAsia" w:ascii="宋体" w:hAnsi="宋体" w:cs="宋体"/>
          <w:color w:val="000000"/>
          <w:sz w:val="24"/>
          <w:szCs w:val="24"/>
          <w:highlight w:val="white"/>
          <w:lang w:eastAsia="zh-CN"/>
        </w:rPr>
        <w:t>中华人民共和国合同民法典</w:t>
      </w:r>
      <w:r>
        <w:rPr>
          <w:rFonts w:hint="eastAsia" w:ascii="宋体" w:hAnsi="宋体" w:eastAsia="宋体" w:cs="宋体"/>
          <w:color w:val="000000"/>
          <w:sz w:val="24"/>
          <w:szCs w:val="24"/>
          <w:highlight w:val="white"/>
        </w:rPr>
        <w:t>》、《中华人民共和国建筑法》及有关法律规定，遵循平等、自愿、公平和诚实信用的原则，双方就</w:t>
      </w:r>
    </w:p>
    <w:p w14:paraId="01921F67">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工程施工及有关事项协商一致，共同达成如下协议：</w:t>
      </w:r>
    </w:p>
    <w:p w14:paraId="7E843964">
      <w:pPr>
        <w:pStyle w:val="21"/>
        <w:outlineLvl w:val="2"/>
        <w:rPr>
          <w:rFonts w:hint="eastAsia" w:ascii="宋体" w:hAnsi="宋体" w:eastAsia="宋体" w:cs="宋体"/>
          <w:sz w:val="24"/>
          <w:szCs w:val="24"/>
        </w:rPr>
      </w:pPr>
      <w:r>
        <w:rPr>
          <w:rFonts w:hint="eastAsia" w:ascii="宋体" w:hAnsi="宋体" w:eastAsia="宋体" w:cs="宋体"/>
          <w:sz w:val="24"/>
          <w:szCs w:val="24"/>
          <w:highlight w:val="white"/>
        </w:rPr>
        <w:t xml:space="preserve">    </w:t>
      </w:r>
      <w:bookmarkStart w:id="409" w:name="_Toc10072"/>
      <w:bookmarkStart w:id="410" w:name="_Toc256000126"/>
      <w:r>
        <w:rPr>
          <w:rFonts w:hint="eastAsia" w:ascii="宋体" w:hAnsi="宋体" w:eastAsia="宋体" w:cs="宋体"/>
          <w:sz w:val="24"/>
          <w:szCs w:val="24"/>
          <w:highlight w:val="white"/>
        </w:rPr>
        <w:t>一、工程概况</w:t>
      </w:r>
      <w:bookmarkEnd w:id="409"/>
      <w:bookmarkEnd w:id="410"/>
    </w:p>
    <w:p w14:paraId="11F0131C">
      <w:pPr>
        <w:pStyle w:val="21"/>
        <w:spacing w:line="360" w:lineRule="auto"/>
        <w:ind w:firstLine="470" w:firstLineChars="196"/>
        <w:rPr>
          <w:rFonts w:hint="eastAsia" w:ascii="宋体" w:hAnsi="宋体" w:eastAsia="宋体" w:cs="宋体"/>
          <w:color w:val="000000"/>
          <w:sz w:val="24"/>
          <w:szCs w:val="24"/>
          <w:u w:val="single"/>
        </w:rPr>
      </w:pPr>
      <w:r>
        <w:rPr>
          <w:rFonts w:hint="eastAsia" w:ascii="宋体" w:hAnsi="宋体" w:eastAsia="宋体" w:cs="宋体"/>
          <w:bCs/>
          <w:color w:val="000000"/>
          <w:sz w:val="24"/>
          <w:szCs w:val="24"/>
          <w:highlight w:val="white"/>
        </w:rPr>
        <w:t>1.工程名称</w:t>
      </w:r>
      <w:r>
        <w:rPr>
          <w:rFonts w:hint="eastAsia" w:ascii="宋体" w:hAnsi="宋体" w:eastAsia="宋体" w:cs="宋体"/>
          <w:color w:val="000000"/>
          <w:sz w:val="24"/>
          <w:szCs w:val="24"/>
          <w:highlight w:val="white"/>
        </w:rPr>
        <w:t>：</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rPr>
        <w:t>。</w:t>
      </w:r>
    </w:p>
    <w:p w14:paraId="57EEA38D">
      <w:pPr>
        <w:pStyle w:val="21"/>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2.工程地点：</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rPr>
        <w:t>。</w:t>
      </w:r>
    </w:p>
    <w:p w14:paraId="501BBBEA">
      <w:pPr>
        <w:pStyle w:val="21"/>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3.工程立项批准文号：</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bCs/>
          <w:color w:val="000000"/>
          <w:sz w:val="24"/>
          <w:szCs w:val="24"/>
          <w:highlight w:val="white"/>
        </w:rPr>
        <w:t>。</w:t>
      </w:r>
    </w:p>
    <w:p w14:paraId="2D6A55EB">
      <w:pPr>
        <w:pStyle w:val="21"/>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4.资金来源：</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bCs/>
          <w:color w:val="000000"/>
          <w:sz w:val="24"/>
          <w:szCs w:val="24"/>
          <w:highlight w:val="white"/>
        </w:rPr>
        <w:t>。</w:t>
      </w:r>
    </w:p>
    <w:p w14:paraId="6A587B2C">
      <w:pPr>
        <w:pStyle w:val="21"/>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5.工程内容：</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bCs/>
          <w:color w:val="000000"/>
          <w:sz w:val="24"/>
          <w:szCs w:val="24"/>
          <w:highlight w:val="white"/>
        </w:rPr>
        <w:t>。</w:t>
      </w:r>
    </w:p>
    <w:p w14:paraId="5690BC2B">
      <w:pPr>
        <w:pStyle w:val="21"/>
        <w:spacing w:line="360" w:lineRule="auto"/>
        <w:ind w:firstLine="470" w:firstLineChars="196"/>
        <w:rPr>
          <w:rFonts w:hint="eastAsia" w:ascii="宋体" w:hAnsi="宋体" w:eastAsia="宋体" w:cs="宋体"/>
          <w:bCs/>
          <w:color w:val="000000"/>
          <w:sz w:val="24"/>
          <w:szCs w:val="24"/>
        </w:rPr>
      </w:pPr>
      <w:r>
        <w:rPr>
          <w:rFonts w:hint="eastAsia" w:ascii="宋体" w:hAnsi="宋体" w:eastAsia="宋体" w:cs="宋体"/>
          <w:color w:val="000000"/>
          <w:sz w:val="24"/>
          <w:szCs w:val="24"/>
          <w:highlight w:val="white"/>
        </w:rPr>
        <w:t>群体工程应附《承包人承揽工程项目一览表》（附件1）。</w:t>
      </w:r>
    </w:p>
    <w:p w14:paraId="5C2FEB56">
      <w:pPr>
        <w:pStyle w:val="21"/>
        <w:spacing w:line="360" w:lineRule="auto"/>
        <w:ind w:firstLine="470" w:firstLineChars="196"/>
        <w:rPr>
          <w:rFonts w:hint="eastAsia" w:ascii="宋体" w:hAnsi="宋体" w:eastAsia="宋体" w:cs="宋体"/>
          <w:bCs/>
          <w:color w:val="000000"/>
          <w:sz w:val="24"/>
          <w:szCs w:val="24"/>
          <w:highlight w:val="white"/>
        </w:rPr>
      </w:pPr>
      <w:bookmarkStart w:id="411" w:name="_Toc7409"/>
      <w:r>
        <w:rPr>
          <w:rFonts w:hint="eastAsia" w:ascii="宋体" w:hAnsi="宋体" w:eastAsia="宋体" w:cs="宋体"/>
          <w:bCs/>
          <w:color w:val="000000"/>
          <w:sz w:val="24"/>
          <w:szCs w:val="24"/>
          <w:highlight w:val="white"/>
        </w:rPr>
        <w:t>6.工程承包范围：</w:t>
      </w:r>
      <w:bookmarkEnd w:id="411"/>
    </w:p>
    <w:p w14:paraId="4BDC4214">
      <w:pPr>
        <w:pStyle w:val="21"/>
        <w:spacing w:line="360" w:lineRule="auto"/>
        <w:ind w:firstLine="470" w:firstLineChars="196"/>
        <w:rPr>
          <w:rFonts w:hint="eastAsia" w:ascii="宋体" w:hAnsi="宋体" w:eastAsia="宋体" w:cs="宋体"/>
          <w:bCs/>
          <w:color w:val="000000"/>
          <w:sz w:val="24"/>
          <w:szCs w:val="24"/>
          <w:highlight w:val="white"/>
          <w:u w:val="single"/>
        </w:rPr>
      </w:pP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u w:val="single"/>
        </w:rPr>
        <w:sym w:font="Times New Roman" w:char="E5E5"/>
      </w:r>
    </w:p>
    <w:p w14:paraId="65CEA37A">
      <w:pPr>
        <w:pStyle w:val="21"/>
        <w:spacing w:line="360" w:lineRule="auto"/>
        <w:ind w:firstLine="470" w:firstLineChars="196"/>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u w:val="single"/>
        </w:rPr>
        <w:sym w:font="Times New Roman" w:char="E5E5"/>
      </w:r>
      <w:r>
        <w:rPr>
          <w:rFonts w:hint="eastAsia" w:ascii="宋体" w:hAnsi="宋体" w:eastAsia="宋体" w:cs="宋体"/>
          <w:bCs/>
          <w:color w:val="000000"/>
          <w:sz w:val="24"/>
          <w:szCs w:val="24"/>
          <w:highlight w:val="white"/>
        </w:rPr>
        <w:t>。</w:t>
      </w:r>
    </w:p>
    <w:p w14:paraId="548B343B">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12" w:name="_Toc16391"/>
      <w:bookmarkStart w:id="413" w:name="_Toc256000128"/>
      <w:r>
        <w:rPr>
          <w:rFonts w:hint="eastAsia" w:ascii="宋体" w:hAnsi="宋体" w:eastAsia="宋体" w:cs="宋体"/>
          <w:sz w:val="24"/>
          <w:szCs w:val="24"/>
          <w:highlight w:val="white"/>
        </w:rPr>
        <w:t>二、合同工期</w:t>
      </w:r>
      <w:bookmarkEnd w:id="412"/>
      <w:bookmarkEnd w:id="413"/>
    </w:p>
    <w:p w14:paraId="31637BF0">
      <w:pPr>
        <w:pStyle w:val="21"/>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计划开工日期：</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年</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月</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日。</w:t>
      </w:r>
    </w:p>
    <w:p w14:paraId="6FB33565">
      <w:pPr>
        <w:pStyle w:val="21"/>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计划竣工日期：</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年</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月</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日。</w:t>
      </w:r>
    </w:p>
    <w:p w14:paraId="15461420">
      <w:pPr>
        <w:pStyle w:val="21"/>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工期总日历天数：</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天。工期总日历天数与根据前述计划开竣工日期计算的工期天数不一致的，以工期总日历天数为准。</w:t>
      </w:r>
    </w:p>
    <w:p w14:paraId="37C60758">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14" w:name="_Toc256000129"/>
      <w:bookmarkStart w:id="415" w:name="_Toc29268"/>
      <w:r>
        <w:rPr>
          <w:rFonts w:hint="eastAsia" w:ascii="宋体" w:hAnsi="宋体" w:eastAsia="宋体" w:cs="宋体"/>
          <w:sz w:val="24"/>
          <w:szCs w:val="24"/>
          <w:highlight w:val="white"/>
        </w:rPr>
        <w:t>三、质量标准</w:t>
      </w:r>
      <w:bookmarkEnd w:id="414"/>
      <w:bookmarkEnd w:id="415"/>
    </w:p>
    <w:p w14:paraId="07D3E3B1">
      <w:pPr>
        <w:pStyle w:val="21"/>
        <w:spacing w:line="360" w:lineRule="auto"/>
        <w:ind w:firstLine="459"/>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工程质量符合</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rPr>
        <w:t>标准。</w:t>
      </w:r>
    </w:p>
    <w:p w14:paraId="51F2297E">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16" w:name="_Toc256000130"/>
      <w:bookmarkStart w:id="417" w:name="_Toc21295"/>
      <w:r>
        <w:rPr>
          <w:rFonts w:hint="eastAsia" w:ascii="宋体" w:hAnsi="宋体" w:eastAsia="宋体" w:cs="宋体"/>
          <w:sz w:val="24"/>
          <w:szCs w:val="24"/>
          <w:highlight w:val="white"/>
        </w:rPr>
        <w:t>四、签约合同价与合同价格形式</w:t>
      </w:r>
      <w:bookmarkEnd w:id="416"/>
      <w:bookmarkEnd w:id="417"/>
      <w:r>
        <w:rPr>
          <w:rFonts w:hint="eastAsia" w:ascii="宋体" w:hAnsi="宋体" w:eastAsia="宋体" w:cs="宋体"/>
          <w:sz w:val="24"/>
          <w:szCs w:val="24"/>
          <w:highlight w:val="white"/>
        </w:rPr>
        <w:tab/>
      </w:r>
    </w:p>
    <w:p w14:paraId="364011A2">
      <w:pPr>
        <w:pStyle w:val="21"/>
        <w:spacing w:line="360" w:lineRule="auto"/>
        <w:ind w:firstLine="480" w:firstLineChars="200"/>
        <w:rPr>
          <w:rFonts w:hint="eastAsia" w:ascii="宋体" w:hAnsi="宋体" w:eastAsia="宋体" w:cs="宋体"/>
          <w:color w:val="000000"/>
          <w:sz w:val="24"/>
          <w:szCs w:val="24"/>
          <w:highlight w:val="white"/>
        </w:rPr>
      </w:pPr>
      <w:bookmarkStart w:id="418" w:name="_Toc10763"/>
      <w:r>
        <w:rPr>
          <w:rFonts w:hint="eastAsia" w:ascii="宋体" w:hAnsi="宋体" w:eastAsia="宋体" w:cs="宋体"/>
          <w:color w:val="000000"/>
          <w:sz w:val="24"/>
          <w:szCs w:val="24"/>
          <w:highlight w:val="white"/>
        </w:rPr>
        <w:t>1.签约合同价为：</w:t>
      </w:r>
      <w:bookmarkEnd w:id="418"/>
    </w:p>
    <w:p w14:paraId="6DA1C71E">
      <w:pPr>
        <w:pStyle w:val="21"/>
        <w:spacing w:line="360" w:lineRule="auto"/>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人民币（大写）</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元)；</w:t>
      </w:r>
    </w:p>
    <w:p w14:paraId="545DFAB8">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其中：</w:t>
      </w:r>
    </w:p>
    <w:p w14:paraId="2F9A1EE5">
      <w:pPr>
        <w:pStyle w:val="21"/>
        <w:spacing w:line="360" w:lineRule="auto"/>
        <w:ind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（1）安全文明施工费：</w:t>
      </w:r>
    </w:p>
    <w:p w14:paraId="4866DED7">
      <w:pPr>
        <w:pStyle w:val="21"/>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人民币（大写）</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元)；</w:t>
      </w:r>
    </w:p>
    <w:p w14:paraId="37472726">
      <w:pPr>
        <w:pStyle w:val="21"/>
        <w:spacing w:line="360" w:lineRule="auto"/>
        <w:ind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（2）材料和工程设备暂估价金额：</w:t>
      </w:r>
    </w:p>
    <w:p w14:paraId="10FC9346">
      <w:pPr>
        <w:pStyle w:val="21"/>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人民币（大写）</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元)；</w:t>
      </w:r>
    </w:p>
    <w:p w14:paraId="49899850">
      <w:pPr>
        <w:pStyle w:val="21"/>
        <w:spacing w:line="360" w:lineRule="auto"/>
        <w:ind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（3）专业工程暂估价金额：</w:t>
      </w:r>
    </w:p>
    <w:p w14:paraId="40DB0AE4">
      <w:pPr>
        <w:pStyle w:val="21"/>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人民币（大写）</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元)；</w:t>
      </w:r>
    </w:p>
    <w:p w14:paraId="268DEE01">
      <w:pPr>
        <w:pStyle w:val="21"/>
        <w:spacing w:line="360" w:lineRule="auto"/>
        <w:ind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（4）暂列金额：</w:t>
      </w:r>
    </w:p>
    <w:p w14:paraId="38E7ABAB">
      <w:pPr>
        <w:pStyle w:val="21"/>
        <w:spacing w:line="360" w:lineRule="auto"/>
        <w:ind w:firstLine="1080" w:firstLineChars="4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人民币（大写）</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元)。</w:t>
      </w:r>
    </w:p>
    <w:p w14:paraId="44B8D452">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2.合同价格形式：</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p>
    <w:p w14:paraId="77F6F0B9">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19" w:name="_Toc22300"/>
      <w:bookmarkStart w:id="420" w:name="_Toc256000139"/>
      <w:r>
        <w:rPr>
          <w:rFonts w:hint="eastAsia" w:ascii="宋体" w:hAnsi="宋体" w:eastAsia="宋体" w:cs="宋体"/>
          <w:sz w:val="24"/>
          <w:szCs w:val="24"/>
          <w:highlight w:val="white"/>
        </w:rPr>
        <w:t>五、项目经理</w:t>
      </w:r>
      <w:bookmarkEnd w:id="419"/>
      <w:bookmarkEnd w:id="420"/>
    </w:p>
    <w:p w14:paraId="3EF49BAE">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承包人项目经理：</w:t>
      </w:r>
      <w:r>
        <w:rPr>
          <w:rFonts w:hint="eastAsia" w:ascii="宋体" w:hAnsi="宋体" w:cs="宋体"/>
          <w:color w:val="000000"/>
          <w:sz w:val="24"/>
          <w:szCs w:val="24"/>
          <w:highlight w:val="white"/>
          <w:u w:val="single"/>
          <w:lang w:val="en-US" w:eastAsia="zh-CN"/>
        </w:rPr>
        <w:t>姓名：</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cs="宋体"/>
          <w:color w:val="000000"/>
          <w:sz w:val="24"/>
          <w:szCs w:val="24"/>
          <w:highlight w:val="white"/>
          <w:u w:val="single"/>
          <w:lang w:val="en-US" w:eastAsia="zh-CN"/>
        </w:rPr>
        <w:t>身份证号：</w:t>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val="en-US" w:eastAsia="zh-CN"/>
        </w:rPr>
        <w:t xml:space="preserve">联系电话：   </w:t>
      </w:r>
      <w:r>
        <w:rPr>
          <w:rFonts w:hint="eastAsia" w:ascii="宋体" w:hAnsi="宋体" w:eastAsia="宋体" w:cs="宋体"/>
          <w:color w:val="000000"/>
          <w:sz w:val="24"/>
          <w:szCs w:val="24"/>
          <w:highlight w:val="white"/>
        </w:rPr>
        <w:t>。</w:t>
      </w:r>
    </w:p>
    <w:p w14:paraId="53198E29">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21" w:name="_Toc8494"/>
      <w:bookmarkStart w:id="422" w:name="_Toc256000140"/>
      <w:r>
        <w:rPr>
          <w:rFonts w:hint="eastAsia" w:ascii="宋体" w:hAnsi="宋体" w:eastAsia="宋体" w:cs="宋体"/>
          <w:sz w:val="24"/>
          <w:szCs w:val="24"/>
          <w:highlight w:val="white"/>
        </w:rPr>
        <w:t>六、合同文件构成</w:t>
      </w:r>
      <w:bookmarkEnd w:id="421"/>
      <w:bookmarkEnd w:id="422"/>
    </w:p>
    <w:p w14:paraId="69A9D841">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本协议书与下列文件一起构成合同文件：</w:t>
      </w:r>
    </w:p>
    <w:p w14:paraId="17DC9DE5">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（1）中标通知书（如果有）；</w:t>
      </w:r>
    </w:p>
    <w:p w14:paraId="73E22D80">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（2）投标函及其附录（如果有）； </w:t>
      </w:r>
    </w:p>
    <w:p w14:paraId="1D411C30">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（3）专用合同条款及其附件；</w:t>
      </w:r>
    </w:p>
    <w:p w14:paraId="674DFEB4">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（4）通用合同条款；</w:t>
      </w:r>
    </w:p>
    <w:p w14:paraId="483AB830">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（5）技术标准和要求；</w:t>
      </w:r>
    </w:p>
    <w:p w14:paraId="718D86A5">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（6）图纸；</w:t>
      </w:r>
    </w:p>
    <w:p w14:paraId="52F23970">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（7）已标价工程量清单或预算书；</w:t>
      </w:r>
    </w:p>
    <w:p w14:paraId="66135407">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（8）其他合同文件。</w:t>
      </w:r>
    </w:p>
    <w:p w14:paraId="36DDD803">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在合同订立及履行过程中形成的与合同有关的文件均构成合同文件组成部分。</w:t>
      </w:r>
    </w:p>
    <w:p w14:paraId="10D689C1">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上述各项合同文件包括合同当事人就该项合同文件所作出的补充和修改，属于同一类内容的文件，应以最新签署的为准。专用合同条款及其附件须经合同当事人签字或盖章。</w:t>
      </w:r>
    </w:p>
    <w:p w14:paraId="5F3CC692">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23" w:name="_Toc23706"/>
      <w:bookmarkStart w:id="424" w:name="_Toc256000141"/>
      <w:r>
        <w:rPr>
          <w:rFonts w:hint="eastAsia" w:ascii="宋体" w:hAnsi="宋体" w:eastAsia="宋体" w:cs="宋体"/>
          <w:sz w:val="24"/>
          <w:szCs w:val="24"/>
          <w:highlight w:val="white"/>
        </w:rPr>
        <w:t>七、承诺</w:t>
      </w:r>
      <w:bookmarkEnd w:id="423"/>
      <w:bookmarkEnd w:id="424"/>
    </w:p>
    <w:p w14:paraId="7184ECCD">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1.发包人承诺按照法律规定履行项目审批手续、筹集工程建设资金并按照合同约定的期限和方式支付合同价款。</w:t>
      </w:r>
    </w:p>
    <w:p w14:paraId="142616E0">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2.承包人承诺按照法律规定及合同约定组织完成工程施工，确保工程质量和安全，不进行转包及违法分包，并在缺陷责任期及保修期内承担相应的工程维修责任。</w:t>
      </w:r>
    </w:p>
    <w:p w14:paraId="07E55630">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3.发包人和承包人通过招投标形式签订合同的，双方理解并承诺不再就同一工程另行签订与合同实质性内容相背离的协议。</w:t>
      </w:r>
    </w:p>
    <w:p w14:paraId="34486937">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但不限于有关党风廉政建设及关于质量、进度、安全管理的补充协议。</w:t>
      </w:r>
    </w:p>
    <w:p w14:paraId="383494EE">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4.承包人承诺加强建筑施工安全管理，提高施工现场管理水平，落实安全生产责任制，杜绝安全事故发生。</w:t>
      </w:r>
    </w:p>
    <w:p w14:paraId="672E4D9C">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5.承包人承诺对进入施工现场的作业人员进行安全教育，杜绝与项目无关人员进入施工现场。</w:t>
      </w:r>
    </w:p>
    <w:p w14:paraId="4F0A20B6">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6.承包人承诺在项目建设施工过程中违反有关安全操作规程、管理不到位、安全资金投入不足等因素导致发生安全事故、火灾事故、职业病等各类事故的，承包人承担由此导致的行政处罚、人员伤亡、财产损失、赔偿善后等一切法律责任及赔偿责任，由此给发包人造成的一切损失由承包人承担。</w:t>
      </w:r>
    </w:p>
    <w:p w14:paraId="4028944A">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7.承包人承诺合理规划施工内容，在合同约定的工程期限内保质保量完工。</w:t>
      </w:r>
    </w:p>
    <w:p w14:paraId="5C62DAD1">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8.承包人承诺本项目施工严格按照经发包人认可的施工图纸设计进行，若承包方确需对施工图设计进行修改的，必须由发包人及监理方的书面认可才能变更，否则，视为承包人施工不合格，将依据本合同追究承包人的违约责任。</w:t>
      </w:r>
    </w:p>
    <w:p w14:paraId="349D5737">
      <w:pPr>
        <w:pStyle w:val="21"/>
        <w:spacing w:line="360" w:lineRule="auto"/>
        <w:ind w:firstLine="480" w:firstLineChars="200"/>
        <w:rPr>
          <w:rFonts w:hint="eastAsia" w:ascii="宋体" w:hAnsi="宋体" w:eastAsia="宋体" w:cs="宋体"/>
          <w:bCs/>
          <w:color w:val="000000"/>
          <w:sz w:val="24"/>
          <w:szCs w:val="24"/>
          <w:highlight w:val="white"/>
        </w:rPr>
      </w:pPr>
      <w:r>
        <w:rPr>
          <w:rFonts w:hint="eastAsia" w:ascii="宋体" w:hAnsi="宋体" w:eastAsia="宋体" w:cs="宋体"/>
          <w:bCs/>
          <w:color w:val="000000"/>
          <w:sz w:val="24"/>
          <w:szCs w:val="24"/>
          <w:highlight w:val="white"/>
        </w:rPr>
        <w:t>9.承包人派出的全部施工人员及其他相关人员与承包人之间建立劳动关系并由承包人自行承担相应的责任。承包人应当按时、足额向其支付工资报酬并为其购买相应的保险。</w:t>
      </w:r>
    </w:p>
    <w:p w14:paraId="781B5522">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10.在合同履行期间，承包人所获得的图纸资料及在施工过程中所取得的与履行合同有关的工作成果属发包人所有，承包人负有保密义务。未经发包人书面同意，承包人不得在合同期内或合同履行完毕后以任何方式泄露。本合同的保密条款在合同终止后，同样具有约束力。</w:t>
      </w:r>
    </w:p>
    <w:p w14:paraId="13308B30">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25" w:name="_Toc29982"/>
      <w:bookmarkStart w:id="426" w:name="_Toc256000142"/>
      <w:r>
        <w:rPr>
          <w:rFonts w:hint="eastAsia" w:ascii="宋体" w:hAnsi="宋体" w:eastAsia="宋体" w:cs="宋体"/>
          <w:sz w:val="24"/>
          <w:szCs w:val="24"/>
          <w:highlight w:val="white"/>
        </w:rPr>
        <w:t>八、词语含义</w:t>
      </w:r>
      <w:bookmarkEnd w:id="425"/>
      <w:bookmarkEnd w:id="426"/>
    </w:p>
    <w:p w14:paraId="1E309F7E">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本协议书中词语含义与第二部分通用合同条款中赋予的含义相同。</w:t>
      </w:r>
    </w:p>
    <w:p w14:paraId="65F07BD0">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27" w:name="_Toc17448"/>
      <w:bookmarkStart w:id="428" w:name="_Toc256000143"/>
      <w:r>
        <w:rPr>
          <w:rFonts w:hint="eastAsia" w:ascii="宋体" w:hAnsi="宋体" w:eastAsia="宋体" w:cs="宋体"/>
          <w:sz w:val="24"/>
          <w:szCs w:val="24"/>
          <w:highlight w:val="white"/>
        </w:rPr>
        <w:t>九、签订时间</w:t>
      </w:r>
      <w:bookmarkEnd w:id="427"/>
      <w:bookmarkEnd w:id="428"/>
    </w:p>
    <w:p w14:paraId="1A81996A">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本合同于</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年</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月</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日签订。</w:t>
      </w:r>
    </w:p>
    <w:p w14:paraId="5F28C28A">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29" w:name="_Toc25214"/>
      <w:bookmarkStart w:id="430" w:name="_Toc256000144"/>
      <w:r>
        <w:rPr>
          <w:rFonts w:hint="eastAsia" w:ascii="宋体" w:hAnsi="宋体" w:eastAsia="宋体" w:cs="宋体"/>
          <w:sz w:val="24"/>
          <w:szCs w:val="24"/>
          <w:highlight w:val="white"/>
        </w:rPr>
        <w:t>十、签订地点</w:t>
      </w:r>
      <w:bookmarkEnd w:id="429"/>
      <w:bookmarkEnd w:id="430"/>
    </w:p>
    <w:p w14:paraId="640662CC">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本合同在</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签订。</w:t>
      </w:r>
    </w:p>
    <w:p w14:paraId="327CF12E">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31" w:name="_Toc9611"/>
      <w:bookmarkStart w:id="432" w:name="_Toc256000145"/>
      <w:r>
        <w:rPr>
          <w:rFonts w:hint="eastAsia" w:ascii="宋体" w:hAnsi="宋体" w:eastAsia="宋体" w:cs="宋体"/>
          <w:sz w:val="24"/>
          <w:szCs w:val="24"/>
          <w:highlight w:val="white"/>
        </w:rPr>
        <w:t>十一、补充协议</w:t>
      </w:r>
      <w:bookmarkEnd w:id="431"/>
      <w:bookmarkEnd w:id="432"/>
    </w:p>
    <w:p w14:paraId="3DF6A0DC">
      <w:pPr>
        <w:pStyle w:val="21"/>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bCs/>
          <w:color w:val="000000"/>
          <w:sz w:val="24"/>
          <w:szCs w:val="24"/>
          <w:highlight w:val="white"/>
        </w:rPr>
        <w:t>合同未尽事宜，合同当事人另行签订补充协议，补充协议是合同的组成部分。</w:t>
      </w:r>
    </w:p>
    <w:p w14:paraId="19E2E87C">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33" w:name="_Toc230"/>
      <w:bookmarkStart w:id="434" w:name="_Toc256000146"/>
      <w:r>
        <w:rPr>
          <w:rFonts w:hint="eastAsia" w:ascii="宋体" w:hAnsi="宋体" w:eastAsia="宋体" w:cs="宋体"/>
          <w:sz w:val="24"/>
          <w:szCs w:val="24"/>
          <w:highlight w:val="white"/>
        </w:rPr>
        <w:t>十二、合同生效</w:t>
      </w:r>
      <w:bookmarkEnd w:id="433"/>
      <w:bookmarkEnd w:id="434"/>
    </w:p>
    <w:p w14:paraId="3A985377">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本合同自</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生效。</w:t>
      </w:r>
    </w:p>
    <w:p w14:paraId="158DD5CE">
      <w:pPr>
        <w:pStyle w:val="21"/>
        <w:outlineLvl w:val="2"/>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bookmarkStart w:id="435" w:name="_Toc17731"/>
      <w:bookmarkStart w:id="436" w:name="_Toc256000147"/>
      <w:r>
        <w:rPr>
          <w:rFonts w:hint="eastAsia" w:ascii="宋体" w:hAnsi="宋体" w:eastAsia="宋体" w:cs="宋体"/>
          <w:sz w:val="24"/>
          <w:szCs w:val="24"/>
          <w:highlight w:val="white"/>
        </w:rPr>
        <w:t>十三、合同份数</w:t>
      </w:r>
      <w:bookmarkEnd w:id="435"/>
      <w:bookmarkEnd w:id="436"/>
    </w:p>
    <w:p w14:paraId="087EF5B0">
      <w:pPr>
        <w:pStyle w:val="21"/>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highlight w:val="white"/>
        </w:rPr>
        <w:t>本合同一式</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份，均具有同等法律效力，发包人执</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份，承包人执</w:t>
      </w:r>
      <w:r>
        <w:rPr>
          <w:rFonts w:hint="eastAsia" w:ascii="宋体" w:hAnsi="宋体" w:eastAsia="宋体" w:cs="宋体"/>
          <w:bCs/>
          <w:color w:val="000000"/>
          <w:sz w:val="24"/>
          <w:szCs w:val="24"/>
          <w:highlight w:val="white"/>
          <w:u w:val="single"/>
        </w:rPr>
        <w:t xml:space="preserve">    </w:t>
      </w:r>
      <w:r>
        <w:rPr>
          <w:rFonts w:hint="eastAsia" w:ascii="宋体" w:hAnsi="宋体" w:eastAsia="宋体" w:cs="宋体"/>
          <w:bCs/>
          <w:color w:val="000000"/>
          <w:sz w:val="24"/>
          <w:szCs w:val="24"/>
          <w:highlight w:val="white"/>
        </w:rPr>
        <w:t>份。</w:t>
      </w:r>
    </w:p>
    <w:p w14:paraId="09B87482">
      <w:pPr>
        <w:pStyle w:val="21"/>
        <w:spacing w:line="360" w:lineRule="auto"/>
        <w:ind w:firstLine="480" w:firstLineChars="200"/>
        <w:rPr>
          <w:rFonts w:hint="eastAsia" w:ascii="宋体" w:hAnsi="宋体" w:eastAsia="宋体" w:cs="宋体"/>
          <w:bCs/>
          <w:color w:val="000000"/>
          <w:sz w:val="24"/>
          <w:szCs w:val="24"/>
        </w:rPr>
      </w:pPr>
    </w:p>
    <w:p w14:paraId="13505C4D">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  (公章)             承包人：  (公章)</w:t>
      </w:r>
    </w:p>
    <w:p w14:paraId="03A52C65">
      <w:pPr>
        <w:pStyle w:val="21"/>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                                 </w:t>
      </w:r>
    </w:p>
    <w:p w14:paraId="6493884A">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法定代表人或其委托代理人：  法定代表人或其委托代理人：</w:t>
      </w:r>
    </w:p>
    <w:p w14:paraId="437D9B59">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（签字）                    （签字）</w:t>
      </w:r>
    </w:p>
    <w:p w14:paraId="74BB6F93">
      <w:pPr>
        <w:pStyle w:val="21"/>
        <w:spacing w:line="360" w:lineRule="auto"/>
        <w:rPr>
          <w:rFonts w:hint="eastAsia" w:ascii="宋体" w:hAnsi="宋体" w:eastAsia="宋体" w:cs="宋体"/>
          <w:color w:val="000000"/>
          <w:sz w:val="24"/>
          <w:szCs w:val="24"/>
          <w:u w:val="single"/>
        </w:rPr>
      </w:pPr>
    </w:p>
    <w:p w14:paraId="703C076A">
      <w:pPr>
        <w:pStyle w:val="21"/>
        <w:tabs>
          <w:tab w:val="left" w:pos="4410"/>
        </w:tabs>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组织机构代码：</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rPr>
        <w:t xml:space="preserve">  组织机构代码：</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p>
    <w:p w14:paraId="29DC1537">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地  址：</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rPr>
        <w:t xml:space="preserve">  地  址：</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p>
    <w:p w14:paraId="6C74F251">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邮政编码：</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邮政编码：</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p>
    <w:p w14:paraId="798953E7">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法定代表人：</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法定代表人：</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p>
    <w:p w14:paraId="058EAF51">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委托代理人：</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委托代理人：</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p>
    <w:p w14:paraId="0C14B5CC">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  话：</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电  话：</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p>
    <w:p w14:paraId="5ECA604B">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传  真：</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传  真：</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p>
    <w:p w14:paraId="148C1A31">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电子信箱：</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p>
    <w:p w14:paraId="37BAB6D6">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开户银行：</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rPr>
        <w:t xml:space="preserve">  开户银行：</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p>
    <w:p w14:paraId="7EB6CAF4">
      <w:pPr>
        <w:pStyle w:val="21"/>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账  号：</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u w:val="single"/>
        </w:rPr>
        <w:sym w:font="Times New Roman" w:char="0020"/>
      </w:r>
      <w:r>
        <w:rPr>
          <w:rFonts w:hint="eastAsia" w:ascii="宋体" w:hAnsi="宋体" w:eastAsia="宋体" w:cs="宋体"/>
          <w:color w:val="000000"/>
          <w:sz w:val="24"/>
          <w:szCs w:val="24"/>
          <w:highlight w:val="white"/>
        </w:rPr>
        <w:t xml:space="preserve">   账  号：</w:t>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sym w:font="Times New Roman" w:char="E5E5"/>
      </w:r>
      <w:r>
        <w:rPr>
          <w:rFonts w:hint="eastAsia" w:ascii="宋体" w:hAnsi="宋体" w:eastAsia="宋体" w:cs="宋体"/>
          <w:color w:val="000000"/>
          <w:sz w:val="24"/>
          <w:szCs w:val="24"/>
          <w:highlight w:val="white"/>
          <w:u w:val="single"/>
        </w:rPr>
        <w:t xml:space="preserve">     </w:t>
      </w:r>
    </w:p>
    <w:p w14:paraId="5791216F">
      <w:pPr>
        <w:pStyle w:val="21"/>
        <w:ind w:firstLine="480" w:firstLineChars="200"/>
        <w:jc w:val="center"/>
        <w:outlineLvl w:val="1"/>
        <w:rPr>
          <w:rStyle w:val="94"/>
          <w:rFonts w:hint="eastAsia" w:ascii="宋体" w:hAnsi="宋体" w:eastAsia="宋体" w:cs="宋体"/>
          <w:sz w:val="24"/>
          <w:szCs w:val="24"/>
        </w:rPr>
      </w:pPr>
      <w:r>
        <w:rPr>
          <w:rFonts w:hint="eastAsia" w:ascii="宋体" w:hAnsi="宋体" w:eastAsia="宋体" w:cs="宋体"/>
          <w:sz w:val="24"/>
          <w:szCs w:val="24"/>
          <w:highlight w:val="white"/>
        </w:rPr>
        <w:br w:type="page"/>
      </w:r>
      <w:bookmarkStart w:id="437" w:name="_Toc26894"/>
      <w:bookmarkStart w:id="438" w:name="_Toc256000148"/>
      <w:r>
        <w:rPr>
          <w:rFonts w:hint="eastAsia" w:ascii="宋体" w:hAnsi="宋体" w:eastAsia="宋体" w:cs="宋体"/>
          <w:b/>
          <w:sz w:val="24"/>
          <w:szCs w:val="24"/>
          <w:highlight w:val="white"/>
        </w:rPr>
        <w:t>第二部分 通用合同条款</w:t>
      </w:r>
      <w:bookmarkEnd w:id="437"/>
      <w:bookmarkEnd w:id="438"/>
    </w:p>
    <w:p w14:paraId="1C1ECF1C">
      <w:pPr>
        <w:pStyle w:val="21"/>
        <w:outlineLvl w:val="3"/>
        <w:rPr>
          <w:rFonts w:hint="eastAsia" w:ascii="宋体" w:hAnsi="宋体" w:eastAsia="宋体" w:cs="宋体"/>
          <w:sz w:val="24"/>
          <w:szCs w:val="24"/>
        </w:rPr>
      </w:pPr>
      <w:r>
        <w:rPr>
          <w:rFonts w:hint="eastAsia" w:ascii="宋体" w:hAnsi="宋体" w:eastAsia="宋体" w:cs="宋体"/>
          <w:sz w:val="24"/>
          <w:szCs w:val="24"/>
          <w:highlight w:val="white"/>
        </w:rPr>
        <w:t>1. 一般约定</w:t>
      </w:r>
    </w:p>
    <w:p w14:paraId="00625BF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1.1词语定义与解释</w:t>
      </w:r>
    </w:p>
    <w:p w14:paraId="52E8099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合同协议书、通用合同条款、专用合同条款中的下列词语具有本款所赋予的含义：</w:t>
      </w:r>
    </w:p>
    <w:p w14:paraId="0E50FF38">
      <w:pPr>
        <w:pStyle w:val="21"/>
        <w:autoSpaceDE w:val="0"/>
        <w:autoSpaceDN w:val="0"/>
        <w:adjustRightInd w:val="0"/>
        <w:spacing w:line="360" w:lineRule="auto"/>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 xml:space="preserve">    1.1.1 合同</w:t>
      </w:r>
    </w:p>
    <w:p w14:paraId="67B418E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sz w:val="24"/>
          <w:szCs w:val="24"/>
          <w:highlight w:val="white"/>
        </w:rPr>
        <w:t>及其附件</w:t>
      </w:r>
      <w:r>
        <w:rPr>
          <w:rFonts w:hint="eastAsia" w:ascii="宋体" w:hAnsi="宋体" w:eastAsia="宋体" w:cs="宋体"/>
          <w:color w:val="000000"/>
          <w:kern w:val="0"/>
          <w:sz w:val="24"/>
          <w:szCs w:val="24"/>
          <w:highlight w:val="white"/>
        </w:rPr>
        <w:t>、通用合同条款、技术标准和要求、图纸、已标价工程量清单或预算书以及其他合同文件。</w:t>
      </w:r>
    </w:p>
    <w:p w14:paraId="2687F61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1.1.1.2 合同协议书：是指构成合同的由发包人和承包人共同签署的称为“合同协议书”的书面文件。</w:t>
      </w:r>
    </w:p>
    <w:p w14:paraId="02F9AE9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1.1.1.3 中标通知书：是指构成合同的由发包人通知承包人中标的书面文件。</w:t>
      </w:r>
    </w:p>
    <w:p w14:paraId="4A52ED8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1.1.1.4 投标函：是指构成合同的由承包人填写并签署的用于投标的称为“投标函”的文件。</w:t>
      </w:r>
    </w:p>
    <w:p w14:paraId="295F18D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1.1.1.5 投标函附录：是指构成合同的附在投标函后的称为“投标函附录”的文件。</w:t>
      </w:r>
    </w:p>
    <w:p w14:paraId="3BDB59D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1.1.1.6 技术标准和要求：是指构成合同的施工应当遵守的或指导施工的国家、行业或地方的技术标准和要求，以及合同约定的技术标准和要求。</w:t>
      </w:r>
    </w:p>
    <w:p w14:paraId="01BDC64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1.1.1.7 图纸：是指构成合同的图纸，包括由发包人按照合同约定提供或经发包人批准的设计文件、施工图、鸟瞰图及模型等，以及在合同履行过程中形成的图纸文件。图纸应当按照法律规定审查合格。</w:t>
      </w:r>
    </w:p>
    <w:p w14:paraId="23C8D831">
      <w:pPr>
        <w:pStyle w:val="21"/>
        <w:autoSpaceDE w:val="0"/>
        <w:autoSpaceDN w:val="0"/>
        <w:adjustRightInd w:val="0"/>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1.1.1.8 已标价工程量清单：是指构成合同的由承包人按照规定的格式和要求填写并标明价格的工程量清单，包括说明和表格。</w:t>
      </w:r>
    </w:p>
    <w:p w14:paraId="5246A0FF">
      <w:pPr>
        <w:pStyle w:val="21"/>
        <w:autoSpaceDE w:val="0"/>
        <w:autoSpaceDN w:val="0"/>
        <w:adjustRightInd w:val="0"/>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1.1.1.9 预算书：是指构成合同的由承包人按照发包人规定的格式和要求编制的工程预算文件。</w:t>
      </w:r>
    </w:p>
    <w:p w14:paraId="3B404CA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1.1.1.10 其他合同文件：是指经合同当事人约定的与工程施工有关的具有合同约束力的文件或书面协议。合同当事人可以在专用合同条款中进行约定。</w:t>
      </w:r>
    </w:p>
    <w:p w14:paraId="14DDCED5">
      <w:pPr>
        <w:pStyle w:val="21"/>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    1.1.2 合同当事人及其他相关方</w:t>
      </w:r>
    </w:p>
    <w:p w14:paraId="65FA33F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1.1.2.1 合同当事人：是指发包人和（或）承包人。</w:t>
      </w:r>
    </w:p>
    <w:p w14:paraId="1095B0F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1.1.2.2 发包人：是指与承包人签订合同协议书的当事人及取得该当事人资格的合法继承人。</w:t>
      </w:r>
    </w:p>
    <w:p w14:paraId="6B4B269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1.1.2.3 承包人：是指与发包人签订合同协议书的，具有相应工程施工承包资质的当事人及取得该当事人资格的合法继承人。</w:t>
      </w:r>
    </w:p>
    <w:p w14:paraId="431C146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1.1.2.4 监理人：是指在专用合同条款中指明的，受发包人委托按照法律规定进行工程监督管理的法人或其他组织。</w:t>
      </w:r>
    </w:p>
    <w:p w14:paraId="7F0C8B2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1.1.2.5 设计人：是指在专用合同条款中指明的，受发包人委托负责工程设计并具备相应工程设计资质的法人或其他组织。</w:t>
      </w:r>
    </w:p>
    <w:p w14:paraId="123D4DE2">
      <w:pPr>
        <w:pStyle w:val="21"/>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1.1.2.6 分包人：是指按照法律规定和合同约定，分包部分工程或工作，并与承包人签订分包合同的具有相应资质的法人。</w:t>
      </w:r>
    </w:p>
    <w:p w14:paraId="5A666F5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1.1.2.7 发包人代表：是指由发包人任命并派驻施工现场在发包人授权范围内行使发包人权利的人。</w:t>
      </w:r>
    </w:p>
    <w:p w14:paraId="65EC80D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1.1.2.8 项目经理：是指由承包人任命并派驻施工现场，在承包人授权范围内负责合同履行，且按照法律规定具有相应资格的项目负责人。</w:t>
      </w:r>
    </w:p>
    <w:p w14:paraId="65654C4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1.1.2.9 总监理工程师：是指由监理人任命并派驻施工现场进行工程监理的总负责人。</w:t>
      </w:r>
    </w:p>
    <w:p w14:paraId="79DC287C">
      <w:pPr>
        <w:pStyle w:val="21"/>
        <w:autoSpaceDE w:val="0"/>
        <w:autoSpaceDN w:val="0"/>
        <w:adjustRightInd w:val="0"/>
        <w:spacing w:line="360" w:lineRule="auto"/>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1.1.3 工程和设备</w:t>
      </w:r>
    </w:p>
    <w:p w14:paraId="55BE89B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1.1.3.1 工程：是指与合同协议书中工程承包范围对应的永久工程和（或）临时工程。</w:t>
      </w:r>
    </w:p>
    <w:p w14:paraId="0E6F3C2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1.1.3.2 永久工程：是指按合同约定建造并移交给发包人的工程，包括工程设备。</w:t>
      </w:r>
    </w:p>
    <w:p w14:paraId="7E48640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1.1.3.3 临时工程：是指为完成合同约定的永久工程所修建的各类临时性工程，不包括施工设备。</w:t>
      </w:r>
    </w:p>
    <w:p w14:paraId="57F74B5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1.1.3.4 单位工程：是指在合同协议书中指明的，具备独立施工条件并能形成独立使用功能的永久工程。</w:t>
      </w:r>
    </w:p>
    <w:p w14:paraId="583F78A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1.1.3.5 工程设备：是指构成永久工程的机电设备、金属结构设备、仪器及其他类似的设备和装置。</w:t>
      </w:r>
    </w:p>
    <w:p w14:paraId="0E63E4D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1.1.3.6 施工设备：是指为完成合同约定的各项工作所需的设备、器具和其他物品，但不包括工程设备、临时工程和材料。</w:t>
      </w:r>
    </w:p>
    <w:p w14:paraId="301C4F2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1.1.3.7 施工现场：是指用于工程施工的场所，以及在专用合同条款中指明作为施工场所组成部分的其他场所，包括永久占地和临时占地。</w:t>
      </w:r>
    </w:p>
    <w:p w14:paraId="5305326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1.1.3.8临时设施：是指为完成合同约定的各项工作所服务的临时性生产和生活设施。</w:t>
      </w:r>
    </w:p>
    <w:p w14:paraId="55E036A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1.1.3.9 永久占地：是指专用合同条款中指明为实施工程需永久占用的土地。</w:t>
      </w:r>
    </w:p>
    <w:p w14:paraId="2AC32B2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1.1.3.10 临时占地：是指专用合同条款中指明为实施工程需要临时占用的土地。</w:t>
      </w:r>
    </w:p>
    <w:p w14:paraId="69D641F0">
      <w:pPr>
        <w:pStyle w:val="21"/>
        <w:autoSpaceDE w:val="0"/>
        <w:autoSpaceDN w:val="0"/>
        <w:adjustRightInd w:val="0"/>
        <w:spacing w:line="360" w:lineRule="auto"/>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1.1.4 日期和期限</w:t>
      </w:r>
    </w:p>
    <w:p w14:paraId="39F2C1D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AAD430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1.1.4.2 竣工日期：包括计划竣工日期和实际竣工日期。计划竣工日期是指合同协议书约定的竣工日期；实际竣工日期按照第13.2.3项〔竣工日期〕的约定确定。 </w:t>
      </w:r>
    </w:p>
    <w:p w14:paraId="25ED5D5C">
      <w:pPr>
        <w:pStyle w:val="21"/>
        <w:spacing w:line="360" w:lineRule="auto"/>
        <w:ind w:firstLine="487" w:firstLineChars="203"/>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1.1.4.3 工期：是指在合同协议书约定的承包人完成工程所需的期限，包括按照合同约定所作的期限变更。</w:t>
      </w:r>
    </w:p>
    <w:p w14:paraId="470246C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1.1.4.4 缺陷责任期：是指承包人按照合同约定承担缺陷修复义务，且发包人预留质量保证金（已缴纳履约保证金的除外）的期限，自工程实际竣工日期起计算。</w:t>
      </w:r>
    </w:p>
    <w:p w14:paraId="67275B2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1.1.4.5 保修期：是指承包人按照合同约定对工程承担保修责任的期限，从工程竣工验收合格之日起计算。</w:t>
      </w:r>
    </w:p>
    <w:p w14:paraId="15E90EC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1.1.4.6 基准日期：招标发包的工程以投标截止日前28天的日期为基准日期，直接发包的工程以合同签订日前28天的日期为基准日期。</w:t>
      </w:r>
    </w:p>
    <w:p w14:paraId="7C6DDFD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1.1.4.7 天：除特别指明外，均指日历天。合同中按天计算时间的，开始当天不计入，从次日开始计算，期限最后一天的截止时间为当天24:00时。</w:t>
      </w:r>
    </w:p>
    <w:p w14:paraId="27EFF611">
      <w:pPr>
        <w:pStyle w:val="21"/>
        <w:autoSpaceDE w:val="0"/>
        <w:autoSpaceDN w:val="0"/>
        <w:adjustRightInd w:val="0"/>
        <w:spacing w:line="360" w:lineRule="auto"/>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1.1.5 合同价格和费用</w:t>
      </w:r>
    </w:p>
    <w:p w14:paraId="423E7C7F">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1.1.5.1 签约合同价：是指</w:t>
      </w:r>
      <w:r>
        <w:rPr>
          <w:rFonts w:hint="eastAsia" w:ascii="宋体" w:hAnsi="宋体" w:eastAsia="宋体" w:cs="宋体"/>
          <w:color w:val="000000"/>
          <w:sz w:val="24"/>
          <w:szCs w:val="24"/>
          <w:highlight w:val="white"/>
        </w:rPr>
        <w:t>发包人和承包人在合同协议书中确定的总金额，包括安全文明施工费、暂估价及暂列金额等。</w:t>
      </w:r>
    </w:p>
    <w:p w14:paraId="0BA6DF7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1.1.5.2 合同价格：是指发包人用于支付承包人按照合同约定完成承包范围内全部工作的金额，包括合同履行过程中按合同约定发生的价格变化。</w:t>
      </w:r>
    </w:p>
    <w:p w14:paraId="1E4945A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1.1.5.3 费用：是指为履行合同所发生的或将要发生的所有必需的开支，包括管理费和应分摊的其他费用，但不包括利润。</w:t>
      </w:r>
    </w:p>
    <w:p w14:paraId="3007A1F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1.1.5.4 暂估价：是指发包人在工程量清单或预算书中提供的用于支付必然发生但暂时不能确定价格的材料、工程设备的单价、专业工程以及服务工作的金额。</w:t>
      </w:r>
    </w:p>
    <w:p w14:paraId="3F3FC1F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4C8297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1.1.5.6 计日工：是指合同履行过程中，承包人完成发包人提出的零星工作或需要采用计日工计价的变更工作时，按合同中约定的单价计价的一种方式。</w:t>
      </w:r>
    </w:p>
    <w:p w14:paraId="6CD09988">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1.1.5.7 质量保证金：是指按照第15.3款〔质量保证金〕约定承包人用于保证其在缺陷责任期内履行缺陷修补义务的担保</w:t>
      </w:r>
      <w:r>
        <w:rPr>
          <w:rFonts w:hint="eastAsia" w:ascii="宋体" w:hAnsi="宋体" w:eastAsia="宋体" w:cs="宋体"/>
          <w:color w:val="000000"/>
          <w:sz w:val="24"/>
          <w:szCs w:val="24"/>
          <w:highlight w:val="white"/>
        </w:rPr>
        <w:t>。</w:t>
      </w:r>
    </w:p>
    <w:p w14:paraId="6935009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1.1.5.8 总价项目：是指在现行国家、行业以及地方的计量规则中无工程量计算规则，在已标价工程量清单或预算书中以总价或以费率形式计算的项目。</w:t>
      </w:r>
    </w:p>
    <w:p w14:paraId="78DBBD5D">
      <w:pPr>
        <w:pStyle w:val="21"/>
        <w:autoSpaceDE w:val="0"/>
        <w:autoSpaceDN w:val="0"/>
        <w:adjustRightInd w:val="0"/>
        <w:spacing w:line="360" w:lineRule="auto"/>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1.1.6 其他</w:t>
      </w:r>
    </w:p>
    <w:p w14:paraId="74A3B349">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1.1.6.1 书面形式：是指合同文件、信函、电报、传真等可以有形地表现所载内容的形式。</w:t>
      </w:r>
    </w:p>
    <w:p w14:paraId="6797684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1.2语言文字</w:t>
      </w:r>
    </w:p>
    <w:p w14:paraId="6F34E2E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合同以中国的汉语简体文字编写、解释和说明。合同当事人在专用合同条款中约定使用两种以上语言时，汉语为优先解释和说明合同的语言。</w:t>
      </w:r>
    </w:p>
    <w:p w14:paraId="6FDAD31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1.3法律</w:t>
      </w:r>
    </w:p>
    <w:p w14:paraId="3AB0BD9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合同所称法律是指中华人民共和国法律、行政法规、部门规章，以及工程所在地的地方性法规、自治条例、单行条例和地方政府规章等。</w:t>
      </w:r>
    </w:p>
    <w:p w14:paraId="75402A5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合同当事人可以在专用合同条款中约定合同适用的其他规范性文件。</w:t>
      </w:r>
    </w:p>
    <w:p w14:paraId="0A2493D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1.4 标准和规范</w:t>
      </w:r>
    </w:p>
    <w:p w14:paraId="5BCC714E">
      <w:pPr>
        <w:pStyle w:val="21"/>
        <w:autoSpaceDE w:val="0"/>
        <w:autoSpaceDN w:val="0"/>
        <w:adjustRightInd w:val="0"/>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1.4.1 适用于工程的国家标准、行业标准、工程所在地的地方性标准，以及相应的规范、规程等，合同当事人有特别要求的，应在专用合同条款中约定。</w:t>
      </w:r>
    </w:p>
    <w:p w14:paraId="57FF751F">
      <w:pPr>
        <w:pStyle w:val="21"/>
        <w:autoSpaceDE w:val="0"/>
        <w:autoSpaceDN w:val="0"/>
        <w:adjustRightInd w:val="0"/>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1.4.2 发包人要求使用国外标准、规范的，发包人负责提供原文版本和中文译本，并在专用合同条款中约定提供标准规范的名称、份数和时间。</w:t>
      </w:r>
    </w:p>
    <w:p w14:paraId="2F17FAF8">
      <w:pPr>
        <w:pStyle w:val="21"/>
        <w:autoSpaceDE w:val="0"/>
        <w:autoSpaceDN w:val="0"/>
        <w:adjustRightInd w:val="0"/>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D7BF68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1.5 合同文件的优先顺序</w:t>
      </w:r>
    </w:p>
    <w:p w14:paraId="0BF2933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组成合同的各项文件应互相解释，互为说明。除专用合同条款另有约定外，解释合同文件的优先顺序如下：</w:t>
      </w:r>
    </w:p>
    <w:p w14:paraId="27ED247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（1）合同协议书；</w:t>
      </w:r>
    </w:p>
    <w:p w14:paraId="3B0D0E2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（2）中标通知书（如果有）；</w:t>
      </w:r>
    </w:p>
    <w:p w14:paraId="64C1BDF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（3）投标函及其附录（如果有）；</w:t>
      </w:r>
    </w:p>
    <w:p w14:paraId="4130084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（4）专用合同条款</w:t>
      </w:r>
      <w:r>
        <w:rPr>
          <w:rFonts w:hint="eastAsia" w:ascii="宋体" w:hAnsi="宋体" w:eastAsia="宋体" w:cs="宋体"/>
          <w:color w:val="000000"/>
          <w:sz w:val="24"/>
          <w:szCs w:val="24"/>
          <w:highlight w:val="white"/>
        </w:rPr>
        <w:t>及其附件</w:t>
      </w:r>
      <w:r>
        <w:rPr>
          <w:rFonts w:hint="eastAsia" w:ascii="宋体" w:hAnsi="宋体" w:eastAsia="宋体" w:cs="宋体"/>
          <w:color w:val="000000"/>
          <w:kern w:val="0"/>
          <w:sz w:val="24"/>
          <w:szCs w:val="24"/>
          <w:highlight w:val="white"/>
        </w:rPr>
        <w:t>；</w:t>
      </w:r>
    </w:p>
    <w:p w14:paraId="58F8974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（5）通用合同条款；</w:t>
      </w:r>
    </w:p>
    <w:p w14:paraId="51E862D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（6）技术标准和要求；</w:t>
      </w:r>
    </w:p>
    <w:p w14:paraId="29375EF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（7）图纸；</w:t>
      </w:r>
    </w:p>
    <w:p w14:paraId="78F7F10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（8）已标价工程量清单或预算书；</w:t>
      </w:r>
    </w:p>
    <w:p w14:paraId="4DE5B10B">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（9）其他合同文件。</w:t>
      </w:r>
    </w:p>
    <w:p w14:paraId="6C9A6834">
      <w:pPr>
        <w:pStyle w:val="21"/>
        <w:spacing w:line="360" w:lineRule="auto"/>
        <w:ind w:firstLine="511" w:firstLineChars="213"/>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上述各项合同文件包括合同当事人就该项合同文件所作出的补充和修改，属于同一类内容的文件，应以最新签署的为准。</w:t>
      </w:r>
    </w:p>
    <w:p w14:paraId="57D78F12">
      <w:pPr>
        <w:pStyle w:val="21"/>
        <w:spacing w:line="360" w:lineRule="auto"/>
        <w:ind w:firstLine="511" w:firstLineChars="213"/>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在合同订立及履行过程中形成的与合同有关的文件均构成合同文件组成部分，并根据其性质确定优先解释顺序。</w:t>
      </w:r>
    </w:p>
    <w:p w14:paraId="0F4CBCB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1.6图纸和承包人文件</w:t>
      </w:r>
    </w:p>
    <w:p w14:paraId="703D5ECE">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1.6.1 图纸的提供和交底</w:t>
      </w:r>
    </w:p>
    <w:p w14:paraId="6A664C6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C65C4F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因发包人未按合同约定提供图纸导致承包人费用增加和（或）工期延误的，按照第7.5.1项〔因发包人原因导致工期延误〕约定办理。</w:t>
      </w:r>
    </w:p>
    <w:p w14:paraId="0840759B">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 图纸的错误</w:t>
      </w:r>
    </w:p>
    <w:p w14:paraId="0EDAF74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E6CD631">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1.6.3 图纸的修改和补充</w:t>
      </w:r>
    </w:p>
    <w:p w14:paraId="7B99B53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图纸需要修改和补充的，应经图纸原设计人及审批部门同意，并由监理人在工程或工程相应部位施工前将修改后的图纸或补充图纸提交给承包人，承包人应按修改或补充后的图纸施工。</w:t>
      </w:r>
    </w:p>
    <w:p w14:paraId="3F6E318B">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1.6.4 承包人文件</w:t>
      </w:r>
    </w:p>
    <w:p w14:paraId="0BE988E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承包人应按照专用合同条款的约定提供应当由其编制的与工程施工有关的文件，并按照专用合同条款约定的期限、数量和形式提交监理人，并由监理人报送发包人。</w:t>
      </w:r>
    </w:p>
    <w:p w14:paraId="448F513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B36FD3A">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1.6.5 图纸和承包人文件的保管</w:t>
      </w:r>
    </w:p>
    <w:p w14:paraId="2D8CD77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除专用合同条款另有约定外，承包人应在施工现场另外保存一套完整的图纸和承包人文件，供发包人、监理人及有关人员进行工程检查时使用。</w:t>
      </w:r>
    </w:p>
    <w:p w14:paraId="279A502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1.7联络</w:t>
      </w:r>
    </w:p>
    <w:p w14:paraId="2B1A60D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1.7.1 与合同有关的通知、批准、证明、证书、指示、指令、要求、请求、同意、意见、确定和决定等，均应采用书面形式，并应在合同约定的期限内送达接收人和送达地点。</w:t>
      </w:r>
    </w:p>
    <w:p w14:paraId="75D7A69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1.7.2 发包人和承包人应在专用合同条款中约定各自的送达接收人和送达地点。任何一方合同当事人指定的接收人或送达地点发生变动的，应提前3天以书面形式通知对方。</w:t>
      </w:r>
    </w:p>
    <w:p w14:paraId="7DFB32CF">
      <w:pPr>
        <w:pStyle w:val="21"/>
        <w:autoSpaceDE w:val="0"/>
        <w:autoSpaceDN w:val="0"/>
        <w:adjustRightInd w:val="0"/>
        <w:spacing w:line="360" w:lineRule="auto"/>
        <w:ind w:firstLine="480" w:firstLineChars="200"/>
        <w:jc w:val="left"/>
        <w:rPr>
          <w:rFonts w:hint="eastAsia" w:ascii="宋体" w:hAnsi="宋体" w:eastAsia="宋体" w:cs="宋体"/>
          <w:color w:val="FF0000"/>
          <w:kern w:val="0"/>
          <w:sz w:val="24"/>
          <w:szCs w:val="24"/>
        </w:rPr>
      </w:pPr>
      <w:r>
        <w:rPr>
          <w:rFonts w:hint="eastAsia" w:ascii="宋体" w:hAnsi="宋体" w:eastAsia="宋体" w:cs="宋体"/>
          <w:color w:val="000000"/>
          <w:kern w:val="0"/>
          <w:sz w:val="24"/>
          <w:szCs w:val="24"/>
          <w:highlight w:val="white"/>
        </w:rPr>
        <w:t>1.7.3 发包人和承包人应当及时签收另一方送达至送达地点和指定接收人的来往信函。拒不签收的，由此增加的费用和（或）延误的工期由拒绝接收一方承担。</w:t>
      </w:r>
    </w:p>
    <w:p w14:paraId="4BBE5C1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1.8严禁贿赂</w:t>
      </w:r>
    </w:p>
    <w:p w14:paraId="3199E85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合同当事人不得以贿赂或变相贿赂的方式，谋取非法利益或损害对方权益。因一方合同当事人的贿赂造成对方损失的，应赔偿损失，并承担相应的法律责任。</w:t>
      </w:r>
    </w:p>
    <w:p w14:paraId="494BE1B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承包人不得与监理人或发包人聘请的第三方串通损害发包人利益。未经发包人书面同意，承包人不得为监理人提供合同约定以外的通讯设备、交通工具及其他任何形式的利益，不得向监理人支付报酬。</w:t>
      </w:r>
    </w:p>
    <w:p w14:paraId="2DCF8D2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1.9化石、文物</w:t>
      </w:r>
    </w:p>
    <w:p w14:paraId="154C728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78B97D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发包人、监理人和承包人应按有关政府行政管理部门要求采取妥善的保护措施，由此增加的费用和（或）延误的工期由发包人承担。</w:t>
      </w:r>
    </w:p>
    <w:p w14:paraId="017374D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承包人发现文物后不及时报告或隐瞒不报，致使文物丢失或损坏的，应赔偿损失，并承担相应的法律责任。</w:t>
      </w:r>
    </w:p>
    <w:p w14:paraId="3C17FFB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1.10交通运输</w:t>
      </w:r>
    </w:p>
    <w:p w14:paraId="7DA89AAE">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1.10.1 出入现场的权利</w:t>
      </w:r>
    </w:p>
    <w:p w14:paraId="1901011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A06437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承包人应在订立合同前查勘施工现场，并根据工程规模及技术参数合理预见工程施工所需的进出施工现场的方式、手段、路径等。因承包人未合理预见所增加的费用和（或）延误的工期由承包人承担。</w:t>
      </w:r>
    </w:p>
    <w:p w14:paraId="2CCA8A9F">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1.10.2 场外交通</w:t>
      </w:r>
    </w:p>
    <w:p w14:paraId="53E208E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2C55ECF">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1.10.3场内交通</w:t>
      </w:r>
    </w:p>
    <w:p w14:paraId="3FA2259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CD983B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CF92B9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场外交通和场内交通的边界由合同当事人在专用合同条款中约定。</w:t>
      </w:r>
    </w:p>
    <w:p w14:paraId="7074489E">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1.10.4 超大件和超重件的运输</w:t>
      </w:r>
    </w:p>
    <w:p w14:paraId="6F6041B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288EC64">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1.10.5 道路和桥梁的损坏责任</w:t>
      </w:r>
    </w:p>
    <w:p w14:paraId="6EE5A8E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因承包人运输造成施工场地内外公共道路和桥梁损坏的，由承包人承担修复损坏的全部费用和可能引起的赔偿。</w:t>
      </w:r>
    </w:p>
    <w:p w14:paraId="5EAFB9F6">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1.10.6 水路和航空运输</w:t>
      </w:r>
    </w:p>
    <w:p w14:paraId="123AEBA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本款前述各项的内容适用于水路运输和航空运输，其中“道路”一词的涵义包括河道、航线、船闸、机场、码头、堤防以及水路或航空运输中其他相似结构物；“车辆”一词的涵义包括船舶和飞机等。</w:t>
      </w:r>
    </w:p>
    <w:p w14:paraId="6AFD159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 xml:space="preserve">1.11知识产权 </w:t>
      </w:r>
    </w:p>
    <w:p w14:paraId="4C94A15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DCA0AB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4E9796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CEDABA3">
      <w:pPr>
        <w:pStyle w:val="21"/>
        <w:rPr>
          <w:rFonts w:hint="eastAsia" w:ascii="宋体" w:hAnsi="宋体" w:eastAsia="宋体" w:cs="宋体"/>
          <w:sz w:val="24"/>
          <w:szCs w:val="24"/>
        </w:rPr>
      </w:pPr>
      <w:r>
        <w:rPr>
          <w:rFonts w:hint="eastAsia" w:ascii="宋体" w:hAnsi="宋体" w:eastAsia="宋体" w:cs="宋体"/>
          <w:color w:val="000000"/>
          <w:kern w:val="0"/>
          <w:sz w:val="24"/>
          <w:szCs w:val="24"/>
          <w:highlight w:val="white"/>
        </w:rPr>
        <w:t xml:space="preserve">    </w:t>
      </w:r>
      <w:r>
        <w:rPr>
          <w:rFonts w:hint="eastAsia" w:ascii="宋体" w:hAnsi="宋体" w:eastAsia="宋体" w:cs="宋体"/>
          <w:color w:val="000000"/>
          <w:sz w:val="24"/>
          <w:szCs w:val="24"/>
          <w:highlight w:val="white"/>
        </w:rPr>
        <w:t>1.11.4 除专用合同条款另有约定外，承包人在合同签订前和签订时已确定采用的专利、专有技术、技术秘密的使用费已包含在签约合同价中。</w:t>
      </w:r>
    </w:p>
    <w:p w14:paraId="423C7C9C">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1.12保密</w:t>
      </w:r>
    </w:p>
    <w:p w14:paraId="57E73D9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除法律规定或合同另有约定外，未经发包人同意，承包人不得将发包人提供的图纸、文件以及声明需要保密的资料信息等商业秘密泄露给第三方。</w:t>
      </w:r>
    </w:p>
    <w:p w14:paraId="0FAA8DD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除法律规定或合同另有约定外，未经承包人同意，发包人不得将承包人提供的技术秘密及声明需要保密的资料信息等商业秘密泄露给第三方。</w:t>
      </w:r>
    </w:p>
    <w:p w14:paraId="051DE97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1.13工程量清单错误的修正</w:t>
      </w:r>
    </w:p>
    <w:p w14:paraId="275B8A1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除专用合同条款另有约定外，发包人提供的工程量清单，应被认为是准确的和完整的。出现下列情形之一时，发包人应予以修正，并相应调整合同价格：</w:t>
      </w:r>
    </w:p>
    <w:p w14:paraId="5A96100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（1）工程量清单存在缺项、漏项的；</w:t>
      </w:r>
    </w:p>
    <w:p w14:paraId="1425049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（2）工程量清单偏差超出专用合同条款约定的工程量偏差范围的；</w:t>
      </w:r>
    </w:p>
    <w:p w14:paraId="6F9B1B8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（3）未按照国家现行计量规范强制性规定计量的。</w:t>
      </w:r>
    </w:p>
    <w:p w14:paraId="5A8ABD9B">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2. 发包人</w:t>
      </w:r>
    </w:p>
    <w:p w14:paraId="6A170247">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2.1 许可或批准</w:t>
      </w:r>
    </w:p>
    <w:p w14:paraId="15B1E50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8D5B01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因发包人原因未能及时办理完毕前述许可、批准或备案，由发包人承担由此增加的费用和（或）延误的工期，并支付承包人合理的利润。</w:t>
      </w:r>
    </w:p>
    <w:p w14:paraId="5C3569E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2.2 发包人代表</w:t>
      </w:r>
    </w:p>
    <w:p w14:paraId="36DA494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E0D6B64">
      <w:pPr>
        <w:pStyle w:val="21"/>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发包人代表不能按照合同约定履行其职责及义务，并导致合同无法继续正常履行的，承包人可以要求发包人撤换发包人代表。</w:t>
      </w:r>
    </w:p>
    <w:p w14:paraId="1D3CD522">
      <w:pPr>
        <w:pStyle w:val="21"/>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highlight w:val="white"/>
        </w:rPr>
        <w:t>不属于法定必须监理的工程，监理人的职权可以由发包人代表或发包人指定的其他人员行使。</w:t>
      </w:r>
    </w:p>
    <w:p w14:paraId="469AFF8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2.3 发包人人员</w:t>
      </w:r>
    </w:p>
    <w:p w14:paraId="50CAEC7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发包人应要求在施工现场的发包人人员遵守法律及有关安全、质量、环境保护、文明施工等规定，并保障承包人免于承受因发包人人员未遵守上述要求给承包人造成的损失和责任。</w:t>
      </w:r>
    </w:p>
    <w:p w14:paraId="019B4732">
      <w:pPr>
        <w:pStyle w:val="21"/>
        <w:spacing w:line="360" w:lineRule="auto"/>
        <w:ind w:firstLine="64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发包人人员包括发包人代表及其他由发包人派驻施工现场的人员。</w:t>
      </w:r>
    </w:p>
    <w:p w14:paraId="1FCBB09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 xml:space="preserve">2.4 施工现场、施工条件和基础资料的提供  </w:t>
      </w:r>
    </w:p>
    <w:p w14:paraId="366B0ED1">
      <w:pPr>
        <w:pStyle w:val="21"/>
        <w:spacing w:line="360" w:lineRule="auto"/>
        <w:ind w:firstLine="64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2.4.1 提供施工现场</w:t>
      </w:r>
    </w:p>
    <w:p w14:paraId="5C7B222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除专用合同条款另有约定外，发包人应最迟于开工日期7天前向承包人移交施工现场。</w:t>
      </w:r>
    </w:p>
    <w:p w14:paraId="38179EEA">
      <w:pPr>
        <w:pStyle w:val="21"/>
        <w:spacing w:line="360" w:lineRule="auto"/>
        <w:ind w:firstLine="64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2.4.2 提供施工条件</w:t>
      </w:r>
    </w:p>
    <w:p w14:paraId="31B6279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除专用合同条款另有约定外，发包人应负责提供施工所需要的条件，包括：</w:t>
      </w:r>
    </w:p>
    <w:p w14:paraId="7A60BF4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（1）将施工用水、电力、通讯线路等施工所必需的条件接至施工现场内；</w:t>
      </w:r>
    </w:p>
    <w:p w14:paraId="52179F1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（2）保证向承包人提供正常施工所需要的进入施工现场的交通条件；</w:t>
      </w:r>
    </w:p>
    <w:p w14:paraId="04FE0CF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（3）协调处理施工现场周围地下管线和邻近建筑物、构筑物、古树名木的保护工作，并承担相关费用；</w:t>
      </w:r>
    </w:p>
    <w:p w14:paraId="05FF71E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（4）按照专用合同条款约定应提供的其他设施和条件。</w:t>
      </w:r>
    </w:p>
    <w:p w14:paraId="743C4E4D">
      <w:pPr>
        <w:pStyle w:val="21"/>
        <w:spacing w:line="360" w:lineRule="auto"/>
        <w:ind w:firstLine="64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2.4.3 提供基础资料</w:t>
      </w:r>
    </w:p>
    <w:p w14:paraId="47A6B2F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412688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按照法律规定确需在开工后方能提供的基础资料，发包人应尽其努力及时地在相应工程施工前的合理期限内提供，合理期限应以不影响承包人的正常施工为限。</w:t>
      </w:r>
    </w:p>
    <w:p w14:paraId="611D9469">
      <w:pPr>
        <w:pStyle w:val="21"/>
        <w:spacing w:line="360" w:lineRule="auto"/>
        <w:ind w:firstLine="64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2.4.4 逾期提供的责任</w:t>
      </w:r>
    </w:p>
    <w:p w14:paraId="04722E5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因发包人原因未能按合同约定及时向承包人提供施工现场、施工条件、基础资料的，由发包人承担由此增加的费用和（或）延误的工期。</w:t>
      </w:r>
    </w:p>
    <w:p w14:paraId="185C313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2.5 资金来源证明及支付担保</w:t>
      </w:r>
    </w:p>
    <w:p w14:paraId="74947A0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除专用合同条款另有约定外，发包人应在收到承包人要求提供资金来源证明的书面通知后28天内，向承包人提供能够按照合同约定支付合同价款的相应资金来源证明。</w:t>
      </w:r>
    </w:p>
    <w:p w14:paraId="2A36468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除专用合同条款另有约定外，发包人要求承包人提供履约担保的，发包人应当向承包人提供支付担保。支付担保可以采用银行保函或担保公司担保等形式，具体由合同当事人在专用合同条款中约定。</w:t>
      </w:r>
    </w:p>
    <w:p w14:paraId="268C02E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2.6 支付合同价款</w:t>
      </w:r>
    </w:p>
    <w:p w14:paraId="662392D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发包人应按合同约定向承包人及时支付合同价款。</w:t>
      </w:r>
    </w:p>
    <w:p w14:paraId="27915367">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2.7 组织竣工验收</w:t>
      </w:r>
    </w:p>
    <w:p w14:paraId="716D1D4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发包人应按合同约定及时组织竣工验收。</w:t>
      </w:r>
    </w:p>
    <w:p w14:paraId="3A5EA5E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2.8 现场统一管理协议</w:t>
      </w:r>
    </w:p>
    <w:p w14:paraId="361D953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发包人应与承包人、由发包人直接发包的专业工程的承包人签订施工现场统一管理协议，明确各方的权利义务。施工现场统一管理协议作为专用合同条款的附件。</w:t>
      </w:r>
    </w:p>
    <w:p w14:paraId="58BFE3AA">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3. 承包人</w:t>
      </w:r>
    </w:p>
    <w:p w14:paraId="5E38DF4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3.1 承包人的一般义务</w:t>
      </w:r>
    </w:p>
    <w:p w14:paraId="616B255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承包人在履行合同过程中应遵守法律和工程建设标准规范，并履行以下义务：</w:t>
      </w:r>
    </w:p>
    <w:p w14:paraId="1EDD03D1">
      <w:pPr>
        <w:pStyle w:val="21"/>
        <w:numPr>
          <w:ilvl w:val="0"/>
          <w:numId w:val="3"/>
        </w:num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办理法律规定应由承包人办理的许可和批准，并将办理结果书面报送发包人留存；</w:t>
      </w:r>
    </w:p>
    <w:p w14:paraId="60B1EBE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（2）按法律规定和合同约定完成工程，并在保修期内承担保修义务；</w:t>
      </w:r>
    </w:p>
    <w:p w14:paraId="7E1B84F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（3）按法律规定和合同约定采取施工安全和环境保护措施，办理工伤保险，确保工程及人员、材料、设备和设施的安全；</w:t>
      </w:r>
    </w:p>
    <w:p w14:paraId="75CC4C2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（4）按合同约定的工作内容和施工进度要求，编制施工组织设计和施工措施计划，并对所有施工作业和施工方法的完备性和安全可靠性负责；</w:t>
      </w:r>
    </w:p>
    <w:p w14:paraId="2329791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CC0815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（6）按照第6.3款〔环境保护〕约定负责施工场地及其周边环境与生态的保护工作；</w:t>
      </w:r>
    </w:p>
    <w:p w14:paraId="7E1F303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（7）按第6.1款〔安全文明施工〕约定采取施工安全措施，确保工程及其人员、材料、设备和设施的安全，防止因工程施工造成的人身伤害和财产损失；</w:t>
      </w:r>
    </w:p>
    <w:p w14:paraId="05AA573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（8）将发包人按合同约定支付的各项价款专用于合同工程，且应及时支付其雇用人员工资，并及时向分包人支付合同价款；</w:t>
      </w:r>
    </w:p>
    <w:p w14:paraId="36AFC3A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（9）按照法律规定和合同约定编制竣工资料，完成竣工资料立卷及归档，并按专用合同条款约定的竣工资料的套数、内容、时间等要求移交发包人；</w:t>
      </w:r>
    </w:p>
    <w:p w14:paraId="15D3992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（10）应履行的其他义务。</w:t>
      </w:r>
    </w:p>
    <w:p w14:paraId="306F9877">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3.2 项目经理</w:t>
      </w:r>
    </w:p>
    <w:p w14:paraId="14CD319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2C2DCD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753161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承包人违反上述约定的，应按照专用合同条款的约定，承担违约责任。</w:t>
      </w:r>
    </w:p>
    <w:p w14:paraId="352E0CB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613EBF1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9BD251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68EC3B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3.2.5 项目经理因特殊情况授权其下属人员履行其某项工作职责的，该下属人员应具备履行相应职责的能力，并应提前7天将上述人员的姓名和授权范围书面通知监理人，并征得发包人书面同意。</w:t>
      </w:r>
    </w:p>
    <w:p w14:paraId="472D7A7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3.3 承包人人员</w:t>
      </w:r>
    </w:p>
    <w:p w14:paraId="71A9637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8E01DC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81BB8F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特殊工种作业人员均应持有相应的资格证明，监理人可以随时检查。</w:t>
      </w:r>
    </w:p>
    <w:p w14:paraId="6F41478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FD0186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32B263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3.3.5 承包人擅自更换主要施工管理人员，或前述人员未经监理人或发包人同意擅自离开施工现场的，应按照专用合同条款约定承担违约责任。</w:t>
      </w:r>
    </w:p>
    <w:p w14:paraId="0F405EB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3.4 承包人现场查勘</w:t>
      </w:r>
    </w:p>
    <w:p w14:paraId="5ECF37F7">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承包人应对基于发包人按照第2.4.3项〔提供基础资料〕提交的基础资料所做出的解释和推断负责，但因基础资料存在错误、遗漏导致承包人解释或推断失实的，由发包人承担责任。</w:t>
      </w:r>
    </w:p>
    <w:p w14:paraId="62DEFDB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0B49BD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3.5 分包</w:t>
      </w:r>
    </w:p>
    <w:p w14:paraId="16190FDB">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3.5.1 分包的一般约定</w:t>
      </w:r>
    </w:p>
    <w:p w14:paraId="5617A80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7A44C3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承包人不得以劳务分包的名义转包或违法分包工程。</w:t>
      </w:r>
    </w:p>
    <w:p w14:paraId="2AE995C1">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3.5.2 分包的确定</w:t>
      </w:r>
    </w:p>
    <w:p w14:paraId="6CD30F5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AE9AA2B">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3.5.3 分包管理</w:t>
      </w:r>
    </w:p>
    <w:p w14:paraId="07C029A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承包人应向监理人提交分包人的主要施工管理人员表，并对分包人的施工人员进行实名制管理，包括但不限于进出场管理、登记造册以及各种证照的办理。</w:t>
      </w:r>
    </w:p>
    <w:p w14:paraId="737DFDF7">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3.5.4 分包合同价款</w:t>
      </w:r>
    </w:p>
    <w:p w14:paraId="4FAEABD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（1）除本项第（2）目约定的情况或专用合同条款另有约定外，分包合同价款由承包人与分包人结算，未经承包人同意，发包人不得向分包人支付分包工程价款；</w:t>
      </w:r>
    </w:p>
    <w:p w14:paraId="0CE295C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（2）生效法律文书要求发包人向分包人支付分包合同价款的，发包人有权从应付承包人工程款中扣除该部分款项。</w:t>
      </w:r>
    </w:p>
    <w:p w14:paraId="0B26105D">
      <w:pPr>
        <w:pStyle w:val="21"/>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3.5.5 分包合同权益的转让</w:t>
      </w:r>
    </w:p>
    <w:p w14:paraId="658FD15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5A520AD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3.6 工程照管与成品、半成品保护</w:t>
      </w:r>
    </w:p>
    <w:p w14:paraId="79318E2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（1）除专用合同条款另有约定外，自发包人向承包人移交施工现场之日起，承包人应负责照管工程及工程相关的材料、工程设备，直到颁发工程接收证书之日止。</w:t>
      </w:r>
    </w:p>
    <w:p w14:paraId="55BB45A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（2）在承包人负责照管期间，因承包人原因造成工程、材料、工程设备损坏的，由承包人负责修复或更换，并承担由此增加的费用和（或）延误的工期。</w:t>
      </w:r>
    </w:p>
    <w:p w14:paraId="49DDDE9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（3）对合同内分期完成的成品和半成品，在工程接收证书颁发前，由承包人承担保护责任。因承包人原因造成成品或半成品损坏的，由承包人负责修复或更换，并承担由此增加的费用和（或）延误的工期。</w:t>
      </w:r>
    </w:p>
    <w:p w14:paraId="5CBF0D5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3.7 履约担保</w:t>
      </w:r>
    </w:p>
    <w:p w14:paraId="7880335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73D0E7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因承包人原因导致工期延长的，继续提供履约担保所增加的费用由承包人承担；非因承包人原因导致工期延长的，继续提供履约担保所增加的费用由发包人承担。</w:t>
      </w:r>
    </w:p>
    <w:p w14:paraId="1E29C5C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3.8 联合体</w:t>
      </w:r>
    </w:p>
    <w:p w14:paraId="0918DFA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3.8.1 联合体各方应共同与发包人签订合同协议书。联合体各方应为履行合同向发包人承担连带责任。</w:t>
      </w:r>
    </w:p>
    <w:p w14:paraId="1BFBC4B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3.8.2 联合体协议经发包人确认后作为合同附件。在履行合同过程中，未经发包人同意，不得修改联合体协议。</w:t>
      </w:r>
    </w:p>
    <w:p w14:paraId="6E3A3E8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3.8.3 联合体牵头人负责与发包人和监理人联系，并接受指示，负责组织联合体各成员全面履行合同。</w:t>
      </w:r>
    </w:p>
    <w:p w14:paraId="73CFCFF9">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4. 监理人</w:t>
      </w:r>
    </w:p>
    <w:p w14:paraId="1C987FBF">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4.1监理人的一般规定</w:t>
      </w:r>
    </w:p>
    <w:p w14:paraId="7FE4579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308A71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除专用合同条款另有约定外，监理人在施工现场的办公场所、生活场所由承包人提供，所发生的费用由发包人承担。</w:t>
      </w:r>
    </w:p>
    <w:p w14:paraId="03A73F5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4.2监理人员</w:t>
      </w:r>
    </w:p>
    <w:p w14:paraId="266BF97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23640B0F">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4.3监理人的指示</w:t>
      </w:r>
    </w:p>
    <w:p w14:paraId="5EC72EB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6C737F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F8B9D3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承包人对监理人发出的指示有疑问的，应向监理人提出书面异议，监理人应在48小时内对该指示予以确认、更改或撤销，监理人逾期未回复的，承包人有权拒绝执行上述指示。</w:t>
      </w:r>
    </w:p>
    <w:p w14:paraId="47EFDE7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监理人对承包人的任何工作、工程或其采用的材料和工程设备未在约定的或合理期限内提出意见的，视为批准，但不免除或减轻承包人对该工作、工程、材料、工程设备等应承担的责任和义务。</w:t>
      </w:r>
    </w:p>
    <w:p w14:paraId="6AF5A69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4.4 商定或确定</w:t>
      </w:r>
    </w:p>
    <w:p w14:paraId="07E348C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合同当事人进行商定或确定时，总监理工程师应当会同合同当事人尽量通过协商达成一致，不能达成一致的，由总监理工程师按照合同约定审慎做出公正的确定。</w:t>
      </w:r>
    </w:p>
    <w:p w14:paraId="597F7AF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C8F4C3D">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5. 工程质量</w:t>
      </w:r>
    </w:p>
    <w:p w14:paraId="12AD442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5.1质量要求</w:t>
      </w:r>
    </w:p>
    <w:p w14:paraId="3D8D8BB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5.1.1 工程质量标准必须符合现行国家有关工程施工质量验收规范和标准的要求。有关工程质量的特殊标准或要求由合同当事人在专用合同条款中约定。</w:t>
      </w:r>
    </w:p>
    <w:p w14:paraId="24EFD57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5.1.2 因发包人原因造成工程质量未达到合同约定标准的，由发包人承担由此增加的费用和（或）延误的工期，并支付承包人合理的利润。</w:t>
      </w:r>
    </w:p>
    <w:p w14:paraId="1CAAC84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5.1.3 因承包人原因造成工程质量未达到合同约定标准的，发包人有权要求承包人返工直至工程质量达到合同约定的标准为止，并由承包人承担由此增加的费用和（或）延误的工期。</w:t>
      </w:r>
    </w:p>
    <w:p w14:paraId="618EAC47">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5.2质量保证措施</w:t>
      </w:r>
    </w:p>
    <w:p w14:paraId="1C71A4C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5.2.1 发包人的质量管理</w:t>
      </w:r>
    </w:p>
    <w:p w14:paraId="4724521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发包人应按照法律规定及合同约定完成与工程质量有关的各项工作。</w:t>
      </w:r>
    </w:p>
    <w:p w14:paraId="35B25C4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5.2.2 承包人的质量管理</w:t>
      </w:r>
    </w:p>
    <w:p w14:paraId="5A2E5AB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DDBB17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承包人应对施工人员进行质量教育和技术培训，定期考核施工人员的劳动技能，严格执行施工规范和操作规程。</w:t>
      </w:r>
    </w:p>
    <w:p w14:paraId="2B8720B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1BAA1F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5.2.3 监理人的质量检查和检验</w:t>
      </w:r>
    </w:p>
    <w:p w14:paraId="3436E62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FE0F88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0C5139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5.3 隐蔽工程检查</w:t>
      </w:r>
    </w:p>
    <w:p w14:paraId="2955613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5.3.1承包人自检</w:t>
      </w:r>
    </w:p>
    <w:p w14:paraId="4A1AE61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承包人应当对工程隐蔽部位进行自检，并经自检确认是否具备覆盖条件。</w:t>
      </w:r>
    </w:p>
    <w:p w14:paraId="097DACA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5.3.2检查程序</w:t>
      </w:r>
    </w:p>
    <w:p w14:paraId="2924EB0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75D787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23EFD5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D03E64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5.3.3 重新检查</w:t>
      </w:r>
    </w:p>
    <w:p w14:paraId="1340E43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E5027C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5.3.4 承包人私自覆盖</w:t>
      </w:r>
    </w:p>
    <w:p w14:paraId="2C04C99C">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承包人未通知监理人到场检查，私自将工程隐蔽部位覆盖的，监理人有权指示承包人钻孔探测或揭开检查，无论工程隐蔽部位质量是否合格，由此增加的费用和（或）延误的工期均由承包人承担。</w:t>
      </w:r>
    </w:p>
    <w:p w14:paraId="4AF89BC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5.4不合格工程的处理</w:t>
      </w:r>
    </w:p>
    <w:p w14:paraId="1B24949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F1414F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5.4.2 因发包人原因造成工程不合格的，由此增加的费用和（或）延误的工期由发包人承担，并支付承包人合理的利润。</w:t>
      </w:r>
    </w:p>
    <w:p w14:paraId="7F3043A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5.5 质量争议检测</w:t>
      </w:r>
    </w:p>
    <w:p w14:paraId="5EF877D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合同当事人对工程质量有争议的，由双方协商确定的工程质量检测机构鉴定，由此产生的费用及因此造成的损失，由责任方承担。</w:t>
      </w:r>
    </w:p>
    <w:p w14:paraId="1746EED3">
      <w:pPr>
        <w:pStyle w:val="21"/>
        <w:autoSpaceDE w:val="0"/>
        <w:autoSpaceDN w:val="0"/>
        <w:adjustRightIn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合同当事人均有责任的，由双方根据其责任分别承担。合同当事人无法达成一致的，按照第4.4款〔商定或确定〕执行。</w:t>
      </w:r>
    </w:p>
    <w:p w14:paraId="7B6A384F">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6. 安全文明施工与环境保护</w:t>
      </w:r>
    </w:p>
    <w:p w14:paraId="2CDFB9C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6.1安全文明施工</w:t>
      </w:r>
    </w:p>
    <w:p w14:paraId="7236139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6.1.1安全生产要求</w:t>
      </w:r>
    </w:p>
    <w:p w14:paraId="75D87394">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D6B51E5">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kern w:val="0"/>
          <w:sz w:val="24"/>
          <w:szCs w:val="24"/>
          <w:highlight w:val="white"/>
        </w:rPr>
        <w:t>政府有关行政管理部门</w:t>
      </w:r>
      <w:r>
        <w:rPr>
          <w:rFonts w:hint="eastAsia" w:ascii="宋体" w:hAnsi="宋体" w:eastAsia="宋体" w:cs="宋体"/>
          <w:color w:val="000000"/>
          <w:sz w:val="24"/>
          <w:szCs w:val="24"/>
          <w:highlight w:val="white"/>
        </w:rPr>
        <w:t>采取应急措施。</w:t>
      </w:r>
    </w:p>
    <w:p w14:paraId="48686CA4">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因安全生产需要暂停施工的，按照第7.8款〔暂停施工〕的约定执行。</w:t>
      </w:r>
    </w:p>
    <w:p w14:paraId="628D43A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6.1.2 安全生产保证措施</w:t>
      </w:r>
    </w:p>
    <w:p w14:paraId="41FB882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承包人应当按照有关</w:t>
      </w:r>
      <w:r>
        <w:rPr>
          <w:rFonts w:hint="eastAsia" w:ascii="宋体" w:hAnsi="宋体" w:eastAsia="宋体" w:cs="宋体"/>
          <w:color w:val="000000"/>
          <w:kern w:val="0"/>
          <w:sz w:val="24"/>
          <w:szCs w:val="24"/>
          <w:highlight w:val="white"/>
        </w:rPr>
        <w:t>规定编制安全技术措施或者专项施工方案，</w:t>
      </w:r>
      <w:r>
        <w:rPr>
          <w:rFonts w:hint="eastAsia" w:ascii="宋体" w:hAnsi="宋体" w:eastAsia="宋体" w:cs="宋体"/>
          <w:color w:val="000000"/>
          <w:sz w:val="24"/>
          <w:szCs w:val="24"/>
          <w:highlight w:val="white"/>
        </w:rPr>
        <w:t>建立安全生产责任制度、治安保卫制度及安全生产教育培训制度，并</w:t>
      </w:r>
      <w:r>
        <w:rPr>
          <w:rFonts w:hint="eastAsia" w:ascii="宋体" w:hAnsi="宋体" w:eastAsia="宋体" w:cs="宋体"/>
          <w:color w:val="000000"/>
          <w:kern w:val="0"/>
          <w:sz w:val="24"/>
          <w:szCs w:val="24"/>
          <w:highlight w:val="white"/>
        </w:rPr>
        <w:t>按安全生产法律规定及合同约定履行安全职责，如实</w:t>
      </w:r>
      <w:r>
        <w:rPr>
          <w:rFonts w:hint="eastAsia" w:ascii="宋体" w:hAnsi="宋体" w:eastAsia="宋体" w:cs="宋体"/>
          <w:color w:val="000000"/>
          <w:sz w:val="24"/>
          <w:szCs w:val="24"/>
          <w:highlight w:val="white"/>
        </w:rPr>
        <w:t>编制工程安全生产的有关记录，</w:t>
      </w:r>
      <w:r>
        <w:rPr>
          <w:rFonts w:hint="eastAsia" w:ascii="宋体" w:hAnsi="宋体" w:eastAsia="宋体" w:cs="宋体"/>
          <w:color w:val="000000"/>
          <w:kern w:val="0"/>
          <w:sz w:val="24"/>
          <w:szCs w:val="24"/>
          <w:highlight w:val="white"/>
        </w:rPr>
        <w:t>接受发包人、监理人及政府安全监督部门的检查与监督。</w:t>
      </w:r>
    </w:p>
    <w:p w14:paraId="5AB349D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6.1.3特别安全生产事项</w:t>
      </w:r>
    </w:p>
    <w:p w14:paraId="43B1DB99">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FBA0930">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承包人在动力设备、输电线路、地下管道、密封防震车间、易燃易爆地段以及临街交通要道附近施工时，施工开始前应向发包人和监理人提出安全防护措施，经发包人认可后实施。 </w:t>
      </w:r>
    </w:p>
    <w:p w14:paraId="5F902685">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实施爆破作业，在放射、毒害性环境中施工（含储存、运输、使用）及使用毒害性、腐蚀性物品施工时，承包人应在施工前7天以书面通知发包人和监理人，并报送相应的安全防护措施，经发包人认可后实施。</w:t>
      </w:r>
    </w:p>
    <w:p w14:paraId="2A9F41FD">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需单独编制危险性较大分部分项专项工程施工方案的，及要求进行专家论证的超过一定规模的危险性较大的分部分项工程，承包人应及时编制和组织论证。</w:t>
      </w:r>
    </w:p>
    <w:p w14:paraId="2E84267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6.1.4 治安保卫</w:t>
      </w:r>
    </w:p>
    <w:p w14:paraId="6BD22135">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除专用合同条款另有约定外，发包人应与当地公安部门协商，在现场建立治安管理机构或联防组织，统一管理施工场地的治安保卫事项，履行合同工程的治安保卫职责。</w:t>
      </w:r>
    </w:p>
    <w:p w14:paraId="780AA421">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发包人和承包人除应协助现场治安管理机构或联防组织维护施工场地的社会治安外，还应做好包括生活区在内的各自管辖区的治安保卫工作。</w:t>
      </w:r>
    </w:p>
    <w:p w14:paraId="00F114DA">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CF6939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6.1.5 文明施工</w:t>
      </w:r>
    </w:p>
    <w:p w14:paraId="5273C34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1E8FF1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12D715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6.1.6 安全文明施工费</w:t>
      </w:r>
    </w:p>
    <w:p w14:paraId="361D7EA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安全文明施工费由发包人承担，发包人不得以任何形式扣减该部分费用。因基准日期后合同所适用的法律或政府有关规定发生变化，增加的安全文明施工费由发包人承担。</w:t>
      </w:r>
    </w:p>
    <w:p w14:paraId="145359D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FA088B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945E80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31210E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6.1.7 紧急情况处理</w:t>
      </w:r>
    </w:p>
    <w:p w14:paraId="35467A8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046DAC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6.1.8 事故处理</w:t>
      </w:r>
    </w:p>
    <w:p w14:paraId="52D0A56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33332A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6.1.9 安全生产责任</w:t>
      </w:r>
    </w:p>
    <w:p w14:paraId="6883E2C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6.1.9.1 发包人的安全责任</w:t>
      </w:r>
    </w:p>
    <w:p w14:paraId="68BF02BF">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发包人应负责赔偿以下各种情况造成的损失：</w:t>
      </w:r>
    </w:p>
    <w:p w14:paraId="4115A204">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（1）工程或工程的任何部分对土地的占用所造成的第三者财产损失；</w:t>
      </w:r>
    </w:p>
    <w:p w14:paraId="2CA4210E">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（2）由于发包人原因在施工场地及其毗邻地带造成的第三者人身伤亡和财产损失；</w:t>
      </w:r>
    </w:p>
    <w:p w14:paraId="1C7BBC43">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（3）由于发包人原因对承包人、监理人造成的人员人身伤亡和财产损失；</w:t>
      </w:r>
    </w:p>
    <w:p w14:paraId="10FA7EF1">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（4）由于发包人原因造成的发包人自身人员的人身伤害以及财产损失。</w:t>
      </w:r>
    </w:p>
    <w:p w14:paraId="24C9128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6.1.9.2 承包人的安全责任</w:t>
      </w:r>
    </w:p>
    <w:p w14:paraId="171DFD8E">
      <w:pPr>
        <w:pStyle w:val="21"/>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由于承包人原因在施工场地内及其毗邻地带造成的发包人、监理人以及第三者人员伤亡和财产损失，由承包人负责赔偿。</w:t>
      </w:r>
    </w:p>
    <w:p w14:paraId="69E351C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6.2 职业健康</w:t>
      </w:r>
    </w:p>
    <w:p w14:paraId="5B4FCB3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6.2.1 劳动保护</w:t>
      </w:r>
    </w:p>
    <w:p w14:paraId="364612A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DA7702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DA20B9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承包人应按法律规定安排工作时间，保证其雇佣人员享有休息和休假的权利。因工程施工的特殊需要占用休假日或延长工作时间的，应不超过法律规定的限度，并按法律规定给予补休或付酬。</w:t>
      </w:r>
    </w:p>
    <w:p w14:paraId="3305DDF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6.2.2 生活条件</w:t>
      </w:r>
    </w:p>
    <w:p w14:paraId="5BAF7E7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6D1109C">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6.3 环境保护</w:t>
      </w:r>
    </w:p>
    <w:p w14:paraId="2783257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98D979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承包人应当承担因其原因引起的环境污染侵权损害赔偿责任，因上述环境污染引起纠纷而导致暂停施工的，由此增加的费用和（或）延误的工期由承包人承担。</w:t>
      </w:r>
    </w:p>
    <w:p w14:paraId="73206710">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7. 工期和进度</w:t>
      </w:r>
    </w:p>
    <w:p w14:paraId="1716720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7.1施工组织设计</w:t>
      </w:r>
    </w:p>
    <w:p w14:paraId="769B752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7.1.1 施工组织设计的内容</w:t>
      </w:r>
    </w:p>
    <w:p w14:paraId="7761828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施工组织设计应包含以下内容：</w:t>
      </w:r>
    </w:p>
    <w:p w14:paraId="42482DE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（1）施工方案； </w:t>
      </w:r>
    </w:p>
    <w:p w14:paraId="36F8EED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（2）施工现场平面布置图；</w:t>
      </w:r>
    </w:p>
    <w:p w14:paraId="041F2B8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（3）施工进度计划和保证措施； </w:t>
      </w:r>
    </w:p>
    <w:p w14:paraId="1FDB2EB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（4）劳动力及材料供应计划；</w:t>
      </w:r>
    </w:p>
    <w:p w14:paraId="7A70038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（5）施工机械设备的选用；</w:t>
      </w:r>
    </w:p>
    <w:p w14:paraId="77E3A65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（6）质量保证体系及措施；</w:t>
      </w:r>
    </w:p>
    <w:p w14:paraId="4CA569A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（7）安全生产、文明施工措施；</w:t>
      </w:r>
    </w:p>
    <w:p w14:paraId="5379428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（8）环境保护、成本控制措施；</w:t>
      </w:r>
    </w:p>
    <w:p w14:paraId="4EF2BCE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（9）合同当事人约定的其他内容。</w:t>
      </w:r>
    </w:p>
    <w:p w14:paraId="42391E1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7.1.2 施工组织设计的提交和修改</w:t>
      </w:r>
    </w:p>
    <w:p w14:paraId="0C622C4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FFCF70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施工进度计划的编制和修改按照第7.2款〔施工进度计划〕执行。</w:t>
      </w:r>
    </w:p>
    <w:p w14:paraId="5C5AA66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7.2 施工进度计划</w:t>
      </w:r>
    </w:p>
    <w:p w14:paraId="267E1C7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7.2.1 施工进度计划的编制</w:t>
      </w:r>
    </w:p>
    <w:p w14:paraId="28CD5DC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5720D0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7.2.2 施工进度计划的修订</w:t>
      </w:r>
    </w:p>
    <w:p w14:paraId="5C573C1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9BDC37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7.3 开工</w:t>
      </w:r>
    </w:p>
    <w:p w14:paraId="5F48D81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7.3.1 开工准备</w:t>
      </w:r>
    </w:p>
    <w:p w14:paraId="40DEF18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CF496E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除专用合同条款另有约定外，合同当事人应按约定完成开工准备工作。</w:t>
      </w:r>
    </w:p>
    <w:p w14:paraId="3654226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7.3.2 开工通知</w:t>
      </w:r>
    </w:p>
    <w:p w14:paraId="1A27992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D78B60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3490CD8">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7.4测量放线</w:t>
      </w:r>
    </w:p>
    <w:p w14:paraId="2C316FF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F23B3B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08DD60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EA82A0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施工过程中对施工现场内水准点等测量标志物的保护工作由承包人负责。</w:t>
      </w:r>
    </w:p>
    <w:p w14:paraId="0AB0A85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7.5 工期延误</w:t>
      </w:r>
    </w:p>
    <w:p w14:paraId="792AE2D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7.5.1 因发包人原因导致工期延误</w:t>
      </w:r>
    </w:p>
    <w:p w14:paraId="4A6DDE8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在合同履行过程中，因下列情况导致工期延误和（或）费用增加的，由发包人承担由此延误的工期和（或）增加的费用，且发包人应支付承包人合理的利润： </w:t>
      </w:r>
    </w:p>
    <w:p w14:paraId="4E91203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（1）发包人未能按合同约定提供图纸或所提供图纸不符合合同约定的；</w:t>
      </w:r>
    </w:p>
    <w:p w14:paraId="560735A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（2）发包人未能按合同约定提供施工现场、施工条件、基础资料、许可、批准等开工条件的；</w:t>
      </w:r>
    </w:p>
    <w:p w14:paraId="058AE2A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（3）发包人提供的测量基准点、基准线和水准点及其书面资料存在错误或疏漏的；</w:t>
      </w:r>
    </w:p>
    <w:p w14:paraId="7E7912D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（4）发包人未能在计划开工日期之日起7天内同意下达开工通知的；</w:t>
      </w:r>
    </w:p>
    <w:p w14:paraId="63EB2BC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（5）发包人未能按合同约定日期支付工程预付款、进度款或竣工结算款的；</w:t>
      </w:r>
    </w:p>
    <w:p w14:paraId="57293B4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（6）监理人未按合同约定发出指示、批准等文件的；</w:t>
      </w:r>
    </w:p>
    <w:p w14:paraId="4DADF4E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（7）专用合同条款中约定的其他情形。</w:t>
      </w:r>
    </w:p>
    <w:p w14:paraId="3C33C1C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2D1C39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7.5.2 因承包人原因导致工期延误</w:t>
      </w:r>
    </w:p>
    <w:p w14:paraId="7E59655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因承包人原因造成工期延误的，可以在专用合同条款中约定逾期竣工违约金的计算方法和逾期竣工违约金的上限。承包人支付逾期竣工违约金后，不免除承包人继续完成工程及修补缺陷的义务。</w:t>
      </w:r>
    </w:p>
    <w:p w14:paraId="48CFB0A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7.6 不利物质条件</w:t>
      </w:r>
    </w:p>
    <w:p w14:paraId="1DFCCF6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DD8AC9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E73DAC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7.7 异常恶劣的气候条件</w:t>
      </w:r>
    </w:p>
    <w:p w14:paraId="712224E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426397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350C524C">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7.8 暂停施工</w:t>
      </w:r>
    </w:p>
    <w:p w14:paraId="79C246E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7.8.1发包人原因引起的暂停施工</w:t>
      </w:r>
    </w:p>
    <w:p w14:paraId="7A3A048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因发包人原因引起暂停施工的，监理人经发包人同意后，应及时下达暂停施工指示。情况紧急且监理人未及时下达暂停施工指示的，按照第7.8.4项〔紧急情况下的暂停施工〕执行。</w:t>
      </w:r>
    </w:p>
    <w:p w14:paraId="0650300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因发包人原因引起的暂停施工，发包人应承担由此增加的费用和（或）延误的工期，</w:t>
      </w:r>
      <w:r>
        <w:rPr>
          <w:rFonts w:hint="eastAsia" w:ascii="宋体" w:hAnsi="宋体" w:eastAsia="宋体" w:cs="宋体"/>
          <w:kern w:val="0"/>
          <w:sz w:val="24"/>
          <w:szCs w:val="24"/>
          <w:highlight w:val="white"/>
        </w:rPr>
        <w:t>并支付承包人</w:t>
      </w:r>
      <w:r>
        <w:rPr>
          <w:rFonts w:hint="eastAsia" w:ascii="宋体" w:hAnsi="宋体" w:eastAsia="宋体" w:cs="宋体"/>
          <w:color w:val="000000"/>
          <w:kern w:val="0"/>
          <w:sz w:val="24"/>
          <w:szCs w:val="24"/>
          <w:highlight w:val="white"/>
        </w:rPr>
        <w:t>合理的利润。</w:t>
      </w:r>
    </w:p>
    <w:p w14:paraId="01370B4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7.8.2 承包人原因引起的暂停施工</w:t>
      </w:r>
    </w:p>
    <w:p w14:paraId="4FB8482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DFE2B9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7.8.3 指示暂停施工</w:t>
      </w:r>
    </w:p>
    <w:p w14:paraId="7837B3D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监理人认为有必要时，并经发包人批准后，可向承包人作出暂停施工的指示，承包人应按监理人指示暂停施工。</w:t>
      </w:r>
    </w:p>
    <w:p w14:paraId="7FDA39B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7.8.4 紧急情况下的暂停施工</w:t>
      </w:r>
    </w:p>
    <w:p w14:paraId="6F381B8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6810ED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7.8.5 暂停施工后的复工</w:t>
      </w:r>
    </w:p>
    <w:p w14:paraId="32CD9EE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6E7F75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承包人无故拖延和拒绝复工的，承包人承担由此增加的费用和（或）延误的工期；因发包人原因无法按时复工的，按照第7.5.1项〔因发包人原因导致工期延误〕约定办理。</w:t>
      </w:r>
    </w:p>
    <w:p w14:paraId="16AA5F4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7.8.6 暂停施工持续56天以上</w:t>
      </w:r>
    </w:p>
    <w:p w14:paraId="5A944331">
      <w:pPr>
        <w:pStyle w:val="21"/>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37A11C2">
      <w:pPr>
        <w:pStyle w:val="21"/>
        <w:spacing w:line="360" w:lineRule="auto"/>
        <w:ind w:firstLine="468" w:firstLineChars="19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596784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7.8.7 暂停施工期间的工程照管</w:t>
      </w:r>
    </w:p>
    <w:p w14:paraId="5CDD7E9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暂停施工期间，承包人应负责妥善照管工程并提供安全保障，由此增加的费用由责任方承担。</w:t>
      </w:r>
    </w:p>
    <w:p w14:paraId="6183EEE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7.8.8 暂停施工的措施</w:t>
      </w:r>
    </w:p>
    <w:p w14:paraId="52017CE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暂停施工期间，发包人和承包人均应采取必要的措施确保工程质量及安全，防止因暂停施工扩大损失。</w:t>
      </w:r>
    </w:p>
    <w:p w14:paraId="134E4EE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7.9提前竣工</w:t>
      </w:r>
    </w:p>
    <w:p w14:paraId="4F473E1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C6101E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7.9.2 发包人要求承包人提前竣工，或承包人提出提前竣工的建议能够给发包人带来效益的，合同当事人可以在专用合同条款中约定提前竣工的奖励。</w:t>
      </w:r>
    </w:p>
    <w:p w14:paraId="579E388B">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8. 材料与设备</w:t>
      </w:r>
    </w:p>
    <w:p w14:paraId="7271D00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8.1发包人供应材料与工程设备</w:t>
      </w:r>
    </w:p>
    <w:p w14:paraId="45A3D73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发包人自行供应材料、工程设备的，应在签订合同时在专用合同条款的附件《发包人供应材料设备一览表》中明确材料、工程设备的品种、规格、型号、数量、单价、质量等级和送达地点。</w:t>
      </w:r>
    </w:p>
    <w:p w14:paraId="2A92FF9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49B896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8.2承包人采购材料与工程设备</w:t>
      </w:r>
    </w:p>
    <w:p w14:paraId="45DC67A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A8C429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8.3材料与工程设备的接收与拒收</w:t>
      </w:r>
    </w:p>
    <w:p w14:paraId="098D3AB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9DFE3A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发包人提供的材料和工程设备的规格、数量或质量不符合合同约定的，或因发包人原因导致交货日期延误或交货地点变更等情况的，按照第16.1款〔发包人违约〕约定办理。</w:t>
      </w:r>
    </w:p>
    <w:p w14:paraId="5121AD5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51F1F611">
      <w:pPr>
        <w:pStyle w:val="21"/>
        <w:autoSpaceDE w:val="0"/>
        <w:autoSpaceDN w:val="0"/>
        <w:adjustRightInd w:val="0"/>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564B60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8.4材料与工程设备的保管与使用</w:t>
      </w:r>
    </w:p>
    <w:p w14:paraId="726F3A2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8.4.1 发包人供应材料与工程设备的保管与使用</w:t>
      </w:r>
    </w:p>
    <w:p w14:paraId="2AB63C2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6AA4F0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发包人供应的材料和工程设备使用前，由承包人负责检验，检验费用由发包人承担，不合格的不得使用。</w:t>
      </w:r>
    </w:p>
    <w:p w14:paraId="5C1DD8E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8.4.2 承包人采购材料与工程设备的保管与使用</w:t>
      </w:r>
    </w:p>
    <w:p w14:paraId="749A648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B6FF9D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发包人或监理人发现承包人使用不符合设计或有关标准要求的材料和工程设备时，有权要求承包人进行修复、拆除或重新采购，由此增加的费用和（或）延误的工期，由承包人承担。</w:t>
      </w:r>
    </w:p>
    <w:p w14:paraId="5A6CEF9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8.5禁止使用不合格的材料和工程设备</w:t>
      </w:r>
    </w:p>
    <w:p w14:paraId="76691DD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8.5.1 监理人有权拒绝承包人提供的不合格材料或工程设备，并要求承包人立即进行更换。监理人应在更换后再次进行检查和检验，由此增加的费用和（或）延误的工期由承包人承担。</w:t>
      </w:r>
    </w:p>
    <w:p w14:paraId="09EB2B2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8.5.2 监理人发现承包人使用了不合格的材料和工程设备，承包人应按照监理人的指示立即改正，并禁止在工程中继续使用不合格的材料和工程设备。</w:t>
      </w:r>
    </w:p>
    <w:p w14:paraId="6CE02CD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8.5.3 发包人提供的材料或工程设备不符合合同要求的，承包人有权拒绝，并可要求发包人更换，由此增加的费用和（或）延误的工期由发包人承担，并支付承包人合理的利润。</w:t>
      </w:r>
    </w:p>
    <w:p w14:paraId="6BC6FF9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8.6 样品</w:t>
      </w:r>
    </w:p>
    <w:p w14:paraId="377BBB2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8.6.1</w:t>
      </w:r>
      <w:r>
        <w:rPr>
          <w:rFonts w:hint="eastAsia" w:ascii="宋体" w:hAnsi="宋体" w:eastAsia="宋体" w:cs="宋体"/>
          <w:color w:val="000000"/>
          <w:kern w:val="0"/>
          <w:sz w:val="24"/>
          <w:szCs w:val="24"/>
          <w:highlight w:val="white"/>
        </w:rPr>
        <w:tab/>
      </w:r>
      <w:r>
        <w:rPr>
          <w:rFonts w:hint="eastAsia" w:ascii="宋体" w:hAnsi="宋体" w:eastAsia="宋体" w:cs="宋体"/>
          <w:color w:val="000000"/>
          <w:kern w:val="0"/>
          <w:sz w:val="24"/>
          <w:szCs w:val="24"/>
          <w:highlight w:val="white"/>
        </w:rPr>
        <w:t>样品的报送与封存</w:t>
      </w:r>
    </w:p>
    <w:p w14:paraId="4DFCB72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需要承包人报送样品的材料或工程设备，样品的种类、名称、规格、数量等要求均应在专用合同条款中约定。样品的报送程序如下：</w:t>
      </w:r>
    </w:p>
    <w:p w14:paraId="0ACA548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A77243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4BDD2E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（3）经发包人和监理人审批确认的样品应按约定的方法封样，封存的样品作为检验工程相关部分的标准之一。承包人在施工过程中不得使用与样品不符的材料或工程设备。</w:t>
      </w:r>
    </w:p>
    <w:p w14:paraId="7FED368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01A4D8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8.6.2 样品的保管</w:t>
      </w:r>
    </w:p>
    <w:p w14:paraId="417FA9F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经批准的样品应由监理人负责封存于现场，承包人应在现场为保存样品提供适当和固定的场所并保持适当和良好的存储环境条件。</w:t>
      </w:r>
    </w:p>
    <w:p w14:paraId="0FA6AED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8.7材料与工程设备的替代</w:t>
      </w:r>
    </w:p>
    <w:p w14:paraId="29610A2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8.7.1 出现下列情况需要使用替代材料和工程设备的，承包人应按照第8.7.2项约定的程序执行：</w:t>
      </w:r>
    </w:p>
    <w:p w14:paraId="1AB6842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（1）基准日期后生效的法律规定禁止使用的；</w:t>
      </w:r>
    </w:p>
    <w:p w14:paraId="4C088EF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（2）发包人要求使用替代品的；</w:t>
      </w:r>
    </w:p>
    <w:p w14:paraId="2FA2619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（3）因其他原因必须使用替代品的。</w:t>
      </w:r>
    </w:p>
    <w:p w14:paraId="238F1ED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8.7.2 承包人应在使用替代材料和工程设备28天前书面通知监理人，并附下列文件：</w:t>
      </w:r>
    </w:p>
    <w:p w14:paraId="71A8D06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（1）被替代的材料和工程设备的名称、数量、规格、型号、品牌、性能、价格及其他相关资料；</w:t>
      </w:r>
    </w:p>
    <w:p w14:paraId="7DBE250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（2）替代品的名称、数量、规格、型号、品牌、性能、价格及其他相关资料；</w:t>
      </w:r>
    </w:p>
    <w:p w14:paraId="689C7AD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（3）替代品与被替代产品之间的差异以及使用替代品可能对工程产生的影响；</w:t>
      </w:r>
    </w:p>
    <w:p w14:paraId="35A776A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（4）替代品与被替代产品的价格差异；</w:t>
      </w:r>
    </w:p>
    <w:p w14:paraId="3EB2468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（5）使用替代品的理由和原因说明；</w:t>
      </w:r>
    </w:p>
    <w:p w14:paraId="66BC85C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（6）监理人要求的其他文件。</w:t>
      </w:r>
    </w:p>
    <w:p w14:paraId="0A7141C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监理人应在收到通知后14天内向承包人发出经发包人签认的书面指示；监理人逾期发出书面指示的，视为发包人和监理人同意使用替代品。</w:t>
      </w:r>
    </w:p>
    <w:p w14:paraId="22B40A6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234839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8.8施工设备和临时设施</w:t>
      </w:r>
    </w:p>
    <w:p w14:paraId="3E58B81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8.8.1 承包人提供的施工设备和临时设施</w:t>
      </w:r>
    </w:p>
    <w:p w14:paraId="6FABF7B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承包人应按合同进度计划的要求，及时配置施工设备和修建临时设施。进入施工场地的承包人设备需经监理人核查后才能投入使用。承包人更换合同约定的承包人设备的，应报监理人批准。</w:t>
      </w:r>
    </w:p>
    <w:p w14:paraId="7B1D7DE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除专用合同条款另有约定外，承包人应自行承担修建临时设施的费用，需要临时占地的，应由发包人办理申请手续并承担相应费用。</w:t>
      </w:r>
    </w:p>
    <w:p w14:paraId="1FCA8B0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8.8.2发包人提供的施工设备和临时设施</w:t>
      </w:r>
    </w:p>
    <w:p w14:paraId="2008C5B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发包人提供的施工设备或临时设施在专用合同条款中约定。</w:t>
      </w:r>
    </w:p>
    <w:p w14:paraId="48F2E6E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8.8.3要求承包人增加或更换施工设备</w:t>
      </w:r>
    </w:p>
    <w:p w14:paraId="1EBBCEF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承包人使用的施工设备不能满足合同进度计划和（或）质量要求时，监理人有权要求承包人增加或更换施工设备，承包人应及时增加或更换，由此增加的费用和（或）延误的工期由承包人承担。</w:t>
      </w:r>
    </w:p>
    <w:p w14:paraId="3514AC2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8.9材料与设备专用要求</w:t>
      </w:r>
    </w:p>
    <w:p w14:paraId="1C42B47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35B0CF42">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9. 试验与检验</w:t>
      </w:r>
    </w:p>
    <w:p w14:paraId="28577218">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9.1试验设备与试验人员</w:t>
      </w:r>
    </w:p>
    <w:p w14:paraId="63252AA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59549C3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9.1.2 承包人应按专用合同条款的约定提供试验设备、取样装置、试验场所和试验条件，并向监理人提交相应进场计划表。</w:t>
      </w:r>
    </w:p>
    <w:p w14:paraId="4EF2640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承包人配置的试验设备要符合相应试验规程的要求并经过具有资质的检测单位检测，且在正式使用该试验设备前，需要经过监理人与承包人共同校定。</w:t>
      </w:r>
    </w:p>
    <w:p w14:paraId="7187364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9.1.3 承包人应向监理人提交试验人员的名单及其岗位、资格等证明资料，试验人员必须能够熟练进行相应的检测试验，承包人对试验人员的试验程序和试验结果的正确性负责。</w:t>
      </w:r>
    </w:p>
    <w:p w14:paraId="71157B7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9.2取样</w:t>
      </w:r>
    </w:p>
    <w:p w14:paraId="3614262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试验属于自检性质的，承包人可以单独取样。试验属于监理人抽检性质的，可由监理人取样，也可由承包人的试验人员在监理人的监督下取样。</w:t>
      </w:r>
    </w:p>
    <w:p w14:paraId="79E2CBEF">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9.3材料、工程设备和工程的试验和检验</w:t>
      </w:r>
    </w:p>
    <w:p w14:paraId="4C48C4B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2459DF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A5E843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4DB0B8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9.4现场工艺试验</w:t>
      </w:r>
    </w:p>
    <w:p w14:paraId="49622AA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承包人应按合同约定或监理人指示进行现场工艺试验。对大型的现场工艺试验，监理人认为必要时，承包人应根据监理人提出的工艺试验要求，编制工艺试验措施计划，报送监理人审查。</w:t>
      </w:r>
    </w:p>
    <w:p w14:paraId="76FDDF9E">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10. 变更</w:t>
      </w:r>
    </w:p>
    <w:p w14:paraId="31445D3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10.1变更的范围</w:t>
      </w:r>
    </w:p>
    <w:p w14:paraId="39956C3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除专用合同条款另有约定外，合同履行过程中发生以下情形的，应按照本条约定进行变更：</w:t>
      </w:r>
    </w:p>
    <w:p w14:paraId="344F39B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（1）增加或减少合同中任何工作，或追加额外的工作；</w:t>
      </w:r>
    </w:p>
    <w:p w14:paraId="6E4BA6D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（2）取消合同中任何工作，但转由他人实施的工作除外；</w:t>
      </w:r>
    </w:p>
    <w:p w14:paraId="0A2831B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（3）改变合同中任何工作的质量标准或其他特性；</w:t>
      </w:r>
    </w:p>
    <w:p w14:paraId="05C7028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（4）改变工程的基线、标高、位置和尺寸；</w:t>
      </w:r>
    </w:p>
    <w:p w14:paraId="4F1F4D1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（5）改变工程的时间安排或实施顺序。</w:t>
      </w:r>
    </w:p>
    <w:p w14:paraId="140E04F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10.2变更权</w:t>
      </w:r>
    </w:p>
    <w:p w14:paraId="64CF072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F3713E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涉及设计变更的，应由设计人提供变更后的图纸和说明。如变更超过原设计标准或批准的建设规模时，发包人应及时办理规划、设计变更等审批手续。</w:t>
      </w:r>
    </w:p>
    <w:p w14:paraId="6CCF3F28">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10.3变更程序</w:t>
      </w:r>
    </w:p>
    <w:p w14:paraId="05551DE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10.3.1 发包人提出变更</w:t>
      </w:r>
    </w:p>
    <w:p w14:paraId="460C1A5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发包人提出变更的，应通过监理人向承包人发出变更指示，变更指示应说明计划变更的工程范围和变更的内容。</w:t>
      </w:r>
    </w:p>
    <w:p w14:paraId="438A87C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10.3.2 监理人提出变更建议</w:t>
      </w:r>
    </w:p>
    <w:p w14:paraId="05C6EB3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32B439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10.3.3 变更执行</w:t>
      </w:r>
    </w:p>
    <w:p w14:paraId="6D3E410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E18EBF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10.4变更估价</w:t>
      </w:r>
    </w:p>
    <w:p w14:paraId="79627A3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10.4.1 变更估价原则</w:t>
      </w:r>
    </w:p>
    <w:p w14:paraId="50DE793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除专用合同条款另有约定外，变更估价按照本款约定处理：</w:t>
      </w:r>
    </w:p>
    <w:p w14:paraId="6A2FD38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（1）已标价工程量清单或预算书有相同项目的，按照相同项目单价认定；</w:t>
      </w:r>
    </w:p>
    <w:p w14:paraId="70CD14D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（2）已标价工程量清单或预算书中无相同项目，但有类似项目的，参照类似项目的单价认定；</w:t>
      </w:r>
    </w:p>
    <w:p w14:paraId="632F12A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94BEF4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10.4.2 变更估价程序</w:t>
      </w:r>
    </w:p>
    <w:p w14:paraId="0726CD0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C377B2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因变更引起的价格调整应计入最近一期的进度款中支付。</w:t>
      </w:r>
    </w:p>
    <w:p w14:paraId="37793F0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10.5承包人的合理化建议</w:t>
      </w:r>
    </w:p>
    <w:p w14:paraId="26592DB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承包人提出合理化建议的，应向监理人提交合理化建议说明，说明建议的内容和理由，以及实施该建议对合同价格和工期的影响。</w:t>
      </w:r>
    </w:p>
    <w:p w14:paraId="3D9E945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ACABB6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合理化建议降低了合同价格或者提高了工程经济效益的，发包人可对承包人给予奖励，奖励的方法和金额在专用合同条款中约定。</w:t>
      </w:r>
    </w:p>
    <w:p w14:paraId="02EF81D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 xml:space="preserve">10.6变更引起的工期调整   </w:t>
      </w:r>
    </w:p>
    <w:p w14:paraId="5122DE3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因变更引起工期变化的，合同当事人均可要求调整合同工期，由合同当事人按照第4.4款〔商定或确定〕并参考工程所在地的工期定额标准确定增减工期天数。</w:t>
      </w:r>
    </w:p>
    <w:p w14:paraId="1D52220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10.7暂估价</w:t>
      </w:r>
    </w:p>
    <w:p w14:paraId="38CB2FB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暂估价专业分包工程、服务、材料和工程设备的明细由合同当事人在专用合同条款中约定。</w:t>
      </w:r>
    </w:p>
    <w:p w14:paraId="0C651D9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10.7.1 依法必须招标的暂估价项目</w:t>
      </w:r>
    </w:p>
    <w:p w14:paraId="15C0118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对于依法必须招标的暂估价项目，采取以下第1种方式确定。合同当事人也可以在专用合同条款中选择其他招标方式。</w:t>
      </w:r>
    </w:p>
    <w:p w14:paraId="3F1E102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第1种方式：对于依法必须招标的暂估价项目，由承包人招标，对该暂估价项目的确认和批准按照以下约定执行：</w:t>
      </w:r>
    </w:p>
    <w:p w14:paraId="19823F1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3DFC50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7B454D15">
      <w:pPr>
        <w:pStyle w:val="21"/>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DA7973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F9E70C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10.7.2不属于依法必须招标的暂估价项目</w:t>
      </w:r>
    </w:p>
    <w:p w14:paraId="0F434A6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除专用合同条款另有约定外，对于不属于依法必须招标的暂估价项目，采取以下第1种方式确定： </w:t>
      </w:r>
    </w:p>
    <w:p w14:paraId="7708C08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第1种方式：对于不属于依法必须招标的暂估价项目，按本项约定确认和批准：</w:t>
      </w:r>
    </w:p>
    <w:p w14:paraId="5EF1D65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3B14DF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（2）发包人认为承包人确定的供应商、分包人无法满足工程质量或合同要求的，发包人可以要求承包人重新确定暂估价项目的供应商、分包人;</w:t>
      </w:r>
    </w:p>
    <w:p w14:paraId="463417E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（3）承包人应当在签订暂估价合同后7天内，将暂估价合同副本报送发包人留存。</w:t>
      </w:r>
    </w:p>
    <w:p w14:paraId="3F6C625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第2种方式：承包人按照第10.7.1项〔依法必须招标的暂估价项目〕约定的第1种方式确定暂估价项目。</w:t>
      </w:r>
    </w:p>
    <w:p w14:paraId="7D3CEDB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第3种方式：</w:t>
      </w:r>
      <w:r>
        <w:rPr>
          <w:rFonts w:hint="eastAsia" w:ascii="宋体" w:hAnsi="宋体" w:eastAsia="宋体" w:cs="宋体"/>
          <w:color w:val="000000"/>
          <w:kern w:val="0"/>
          <w:sz w:val="24"/>
          <w:szCs w:val="24"/>
          <w:highlight w:val="white"/>
        </w:rPr>
        <w:t>承包人直接实施的暂估价项目</w:t>
      </w:r>
    </w:p>
    <w:p w14:paraId="4ECB333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承包人具备实施暂估价项目的资格和条件的，经发包人和承包人协商一致后，可由承包人自行实施暂估价项目，合同当事人可以在专用合同条款约定具体事项。</w:t>
      </w:r>
    </w:p>
    <w:p w14:paraId="282262F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2DAFBE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10.8暂列金额</w:t>
      </w:r>
    </w:p>
    <w:p w14:paraId="73D7E09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暂列金额应按照发包人的要求使用，发包人的要求应通过监理人发出。合同当事人可以在专用合同条款中协商确定有关事项。</w:t>
      </w:r>
    </w:p>
    <w:p w14:paraId="5B0F982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 xml:space="preserve">10.9计日工 </w:t>
      </w:r>
    </w:p>
    <w:p w14:paraId="23DED0D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A9B2F0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采用计日工计价的任何一项工作，承包人应在该项工作实施过程中，每天提交以下报表和有关凭证报送监理人审查：</w:t>
      </w:r>
    </w:p>
    <w:p w14:paraId="0B850056">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（1）工作名称、内容和数量；</w:t>
      </w:r>
    </w:p>
    <w:p w14:paraId="202787BA">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（2）投入该工作的所有人员的姓名、专业、工种、级别和耗用工时；</w:t>
      </w:r>
    </w:p>
    <w:p w14:paraId="4768D580">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（3）投入该工作的材料类别和数量；</w:t>
      </w:r>
    </w:p>
    <w:p w14:paraId="0B310AA1">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（4）投入该工作的施工设备型号、台数和耗用台时；</w:t>
      </w:r>
    </w:p>
    <w:p w14:paraId="23170121">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（5）其他有关资料和凭证。</w:t>
      </w:r>
    </w:p>
    <w:p w14:paraId="6124B3C5">
      <w:pPr>
        <w:pStyle w:val="21"/>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 计日工由承包人汇总后，列入最近一期进度付款申请单，由监理人审查并经发包人批准后列入进度付款。</w:t>
      </w:r>
    </w:p>
    <w:p w14:paraId="2A34D18F">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11. 价格调整</w:t>
      </w:r>
    </w:p>
    <w:p w14:paraId="725FB05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11.1市场价格波动引起的调整</w:t>
      </w:r>
    </w:p>
    <w:p w14:paraId="6155A9F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除专用合同条款另有约定外，市场价格波动超过合同当事人约定的范围，合同价格应当调整。合同当事人可以在专用合同条款中约定选择以下一种方式对合同价格进行调整：</w:t>
      </w:r>
    </w:p>
    <w:p w14:paraId="5CE7549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第1种方式：采用价格指数进行价格调整。</w:t>
      </w:r>
    </w:p>
    <w:p w14:paraId="6EA87A7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（1）价格调整公式</w:t>
      </w:r>
    </w:p>
    <w:p w14:paraId="13D06E66">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因人工、材料和设备等价格波动影响合同价格时，根据专用合同条款中约定的数据，按以下公式计算差额并调整合同价格：</w:t>
      </w:r>
    </w:p>
    <w:p w14:paraId="2CDEE03B">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30"/>
          <w:sz w:val="24"/>
          <w:szCs w:val="24"/>
        </w:rPr>
        <w:object>
          <v:shape id="_x0000_i1025" o:spt="75" type="#_x0000_t75" style="height:44.05pt;width:360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p>
    <w:p w14:paraId="082833A4">
      <w:pPr>
        <w:pStyle w:val="21"/>
        <w:tabs>
          <w:tab w:val="left" w:pos="0"/>
          <w:tab w:val="left" w:pos="360"/>
          <w:tab w:val="left" w:pos="540"/>
        </w:tabs>
        <w:spacing w:line="360" w:lineRule="auto"/>
        <w:ind w:firstLine="64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公式中：ΔP——需调整的价格差额；</w:t>
      </w:r>
    </w:p>
    <w:p w14:paraId="6578C6CE">
      <w:pPr>
        <w:pStyle w:val="21"/>
        <w:tabs>
          <w:tab w:val="left" w:pos="0"/>
          <w:tab w:val="left" w:pos="360"/>
          <w:tab w:val="left" w:pos="540"/>
        </w:tabs>
        <w:spacing w:line="360" w:lineRule="auto"/>
        <w:ind w:firstLine="1440" w:firstLineChars="600"/>
        <w:rPr>
          <w:rFonts w:hint="eastAsia" w:ascii="宋体" w:hAnsi="宋体" w:eastAsia="宋体" w:cs="宋体"/>
          <w:color w:val="000000"/>
          <w:sz w:val="24"/>
          <w:szCs w:val="24"/>
        </w:rPr>
      </w:pPr>
      <w:r>
        <w:rPr>
          <w:rFonts w:hint="eastAsia" w:ascii="宋体" w:hAnsi="宋体" w:eastAsia="宋体" w:cs="宋体"/>
          <w:color w:val="000000"/>
          <w:position w:val="-6"/>
          <w:sz w:val="24"/>
          <w:szCs w:val="24"/>
        </w:rPr>
        <w:object>
          <v:shape id="_x0000_i1026" o:spt="75" type="#_x0000_t75" style="height:18pt;width:18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宋体" w:hAnsi="宋体" w:eastAsia="宋体" w:cs="宋体"/>
          <w:color w:val="000000"/>
          <w:sz w:val="24"/>
          <w:szCs w:val="24"/>
          <w:highlight w:val="white"/>
        </w:rPr>
        <w:t>——约定的付款证书中承包人应得到的已完成工程量的金额。此项金额应不包括价格调整、不计质量保证金的扣留和支付、预付款的支付和扣回。约定的变更及其他金额已按现行价格计价的，也不计在内；</w:t>
      </w:r>
    </w:p>
    <w:p w14:paraId="7FF020FA">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A——定值权重（即不调部分的权重）；</w:t>
      </w:r>
    </w:p>
    <w:p w14:paraId="254FC85E">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7" o:spt="75" type="#_x0000_t75" style="height:21pt;width:101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ascii="宋体" w:hAnsi="宋体" w:eastAsia="宋体" w:cs="宋体"/>
          <w:color w:val="000000"/>
          <w:sz w:val="24"/>
          <w:szCs w:val="24"/>
          <w:highlight w:val="white"/>
        </w:rPr>
        <w:t>——各可调因子的变值权重（即可调部分的权重），为各可调因子在签约合同价中所占的比例；</w:t>
      </w:r>
    </w:p>
    <w:p w14:paraId="5B0AE756">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8" o:spt="75" type="#_x0000_t75" style="height:20.5pt;width:102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r>
        <w:rPr>
          <w:rFonts w:hint="eastAsia" w:ascii="宋体" w:hAnsi="宋体" w:eastAsia="宋体" w:cs="宋体"/>
          <w:color w:val="000000"/>
          <w:sz w:val="24"/>
          <w:szCs w:val="24"/>
          <w:highlight w:val="white"/>
        </w:rPr>
        <w:t>——各可调因子的现行价格指数，指约定的付款证书相关周期最后一天的前42天的各可调因子的价格指数；</w:t>
      </w:r>
    </w:p>
    <w:p w14:paraId="7E646C93">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position w:val="-10"/>
          <w:sz w:val="24"/>
          <w:szCs w:val="24"/>
        </w:rPr>
        <w:object>
          <v:shape id="_x0000_i1029" o:spt="75" type="#_x0000_t75" style="height:20pt;width:108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r>
        <w:rPr>
          <w:rFonts w:hint="eastAsia" w:ascii="宋体" w:hAnsi="宋体" w:eastAsia="宋体" w:cs="宋体"/>
          <w:color w:val="000000"/>
          <w:sz w:val="24"/>
          <w:szCs w:val="24"/>
          <w:highlight w:val="white"/>
        </w:rPr>
        <w:t>——各可调因子的基本价格指数，指基准日期的各可调因子的价格指数。</w:t>
      </w:r>
    </w:p>
    <w:p w14:paraId="15E8B82A">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3450D7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（2）暂时确定调整差额</w:t>
      </w:r>
    </w:p>
    <w:p w14:paraId="5545942E">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在计算调整差额时无现行价格指数的，合同当事人同意暂用前次价格指数计算。实际价格指数有调整的，合同当事人进行相应调整。</w:t>
      </w:r>
    </w:p>
    <w:p w14:paraId="71BD27A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（3）权重的调整</w:t>
      </w:r>
    </w:p>
    <w:p w14:paraId="13BA6EDA">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因变更导致合同约定的权重不合理时，按照第4.4款〔商定或确定〕执行。</w:t>
      </w:r>
    </w:p>
    <w:p w14:paraId="6809967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（4）因承包人原因工期延误后的价格调整</w:t>
      </w:r>
    </w:p>
    <w:p w14:paraId="023FB9C7">
      <w:pPr>
        <w:pStyle w:val="21"/>
        <w:tabs>
          <w:tab w:val="left" w:pos="0"/>
          <w:tab w:val="left" w:pos="360"/>
          <w:tab w:val="left" w:pos="54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因承包人原因未按期竣工的，对合同约定的竣工日期后继续施工的工程，在使用价格调整公式时，应采用计划竣工日期与实际竣工日期的两个价格指数中较低的一个作为现行价格指数。</w:t>
      </w:r>
    </w:p>
    <w:p w14:paraId="2826F33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第2种方式：采用造价信息进行价格调整。</w:t>
      </w:r>
    </w:p>
    <w:p w14:paraId="6884CF46">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74EDEC9">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310C65AD">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（2）材料、工程设备价格变化的价款调整按照发包人提供的基准价格，按以下风险范围规定执行:</w:t>
      </w:r>
    </w:p>
    <w:p w14:paraId="4F3FDF96">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D22CFFA">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2288CB4">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③承包人在已标价工程量清单或预算书中载明材料单价等于基准价格的：除专用合同条款另有约定外，合同履行期间材料单价涨跌幅以基准价格为基础超过±5%时，其超过部分据实调整。</w:t>
      </w:r>
    </w:p>
    <w:p w14:paraId="0EF130F8">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12FCEBD">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前述基准价格是指由发包人在招标文件或专用合同条款中给定的材料、工程设备的价格，该价格原则上应当按照省级或行业建设主管部门或其授权的工程造价管理机构发布的信息价编制。</w:t>
      </w:r>
    </w:p>
    <w:p w14:paraId="793195C1">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（3）施工机械台班单价或施工机械使用费发生变化超过省级或行业建设主管部门或其授权的工程造价管理机构规定的范围时，按规定调整合同价格。</w:t>
      </w:r>
    </w:p>
    <w:p w14:paraId="2216795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第3种方式：专用合同条款约定的其他方式。</w:t>
      </w:r>
    </w:p>
    <w:p w14:paraId="60B502D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11.2法律变化引起的调整</w:t>
      </w:r>
    </w:p>
    <w:p w14:paraId="79B04B20">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3A1A39D">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因法律变化引起的合同价格和工期调整，合同当事人无法达成一致的，由总监理工程师按第4.4款〔商定或确定〕的约定处理。</w:t>
      </w:r>
    </w:p>
    <w:p w14:paraId="5CD5F525">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因承包人原因造成工期延误，在工期延误期间出现法律变化的，由此增加的费用和（或）延误的工期由承包人承担。</w:t>
      </w:r>
    </w:p>
    <w:p w14:paraId="6184F013">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12. 合同价格、计量与支付</w:t>
      </w:r>
    </w:p>
    <w:p w14:paraId="4D838F9F">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12.1 合同价格形式</w:t>
      </w:r>
    </w:p>
    <w:p w14:paraId="079B050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发包人和承包人应在合同协议书中选择下列一种合同价格形式： </w:t>
      </w:r>
    </w:p>
    <w:p w14:paraId="24C8AFD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1.单价合同</w:t>
      </w:r>
    </w:p>
    <w:p w14:paraId="15DEDA9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单价合同是指合同当事人约定以工程量清单及其综合单价进行合同价格计算、调整和确认的建设工程施工合同，</w:t>
      </w:r>
      <w:r>
        <w:rPr>
          <w:rFonts w:hint="eastAsia" w:ascii="宋体" w:hAnsi="宋体" w:eastAsia="宋体" w:cs="宋体"/>
          <w:sz w:val="24"/>
          <w:szCs w:val="24"/>
          <w:highlight w:val="white"/>
        </w:rPr>
        <w:t>在约定的范围内合同单价不作调整</w:t>
      </w:r>
      <w:r>
        <w:rPr>
          <w:rFonts w:hint="eastAsia" w:ascii="宋体" w:hAnsi="宋体" w:eastAsia="宋体" w:cs="宋体"/>
          <w:color w:val="000000"/>
          <w:kern w:val="0"/>
          <w:sz w:val="24"/>
          <w:szCs w:val="24"/>
          <w:highlight w:val="white"/>
        </w:rPr>
        <w:t>。合同当事人应在专用合同条款中约定综合单价包含的风险范围和风险费用的计算方法</w:t>
      </w:r>
      <w:r>
        <w:rPr>
          <w:rFonts w:hint="eastAsia" w:ascii="宋体" w:hAnsi="宋体" w:eastAsia="宋体" w:cs="宋体"/>
          <w:sz w:val="24"/>
          <w:szCs w:val="24"/>
          <w:highlight w:val="white"/>
        </w:rPr>
        <w:t>，</w:t>
      </w:r>
      <w:r>
        <w:rPr>
          <w:rFonts w:hint="eastAsia" w:ascii="宋体" w:hAnsi="宋体" w:eastAsia="宋体" w:cs="宋体"/>
          <w:color w:val="000000"/>
          <w:kern w:val="0"/>
          <w:sz w:val="24"/>
          <w:szCs w:val="24"/>
          <w:highlight w:val="white"/>
        </w:rPr>
        <w:t>并约定风险范围以外的合同价格的调整方法，其中因市场价格波动引起的调整按第11.1款〔市场价格波动引起的调整〕约定执行。</w:t>
      </w:r>
    </w:p>
    <w:p w14:paraId="5D98735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2.总价合同</w:t>
      </w:r>
    </w:p>
    <w:p w14:paraId="2F079D3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总价合同是指合同当事人约定以施工图、已标价工程量清单或预算书及有关条件进行合同价格计算、调整和确认的建设工程施工合同，</w:t>
      </w:r>
      <w:r>
        <w:rPr>
          <w:rFonts w:hint="eastAsia" w:ascii="宋体" w:hAnsi="宋体" w:eastAsia="宋体" w:cs="宋体"/>
          <w:sz w:val="24"/>
          <w:szCs w:val="24"/>
          <w:highlight w:val="white"/>
        </w:rPr>
        <w:t>在约定的范围内合同总价不作调整</w:t>
      </w:r>
      <w:r>
        <w:rPr>
          <w:rFonts w:hint="eastAsia" w:ascii="宋体" w:hAnsi="宋体" w:eastAsia="宋体" w:cs="宋体"/>
          <w:color w:val="000000"/>
          <w:kern w:val="0"/>
          <w:sz w:val="24"/>
          <w:szCs w:val="24"/>
          <w:highlight w:val="whit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5EB866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3.其它价格形式</w:t>
      </w:r>
    </w:p>
    <w:p w14:paraId="17F48AC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合同当事人可在专用合同条款中约定其他合同价格形式。</w:t>
      </w:r>
    </w:p>
    <w:p w14:paraId="79DCF24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12.2预付款</w:t>
      </w:r>
    </w:p>
    <w:p w14:paraId="0D34625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12.2.1预付款的支付</w:t>
      </w:r>
    </w:p>
    <w:p w14:paraId="2F5765F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预付款的支付按照专用合同条款约定执行，但至迟应在开工通知载明的开工日期7天前支付。预付款应当用于材料、工程设备、施工设备的采购及修建临时工程、组织施工队伍进场等。</w:t>
      </w:r>
    </w:p>
    <w:p w14:paraId="5E25583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除专用合同条款另有约定外，预付款在进度付款中同比例扣回。在颁发工程接收证书前，提前解除合同的，尚未扣完的预付款应与合同价款一并结算。</w:t>
      </w:r>
    </w:p>
    <w:p w14:paraId="12CA640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发包人逾期支付预付款超过7天的，承包人有权向发包人发出要求预付的催告通知，发包人收到通知后7天内仍未支付的，承包人有权暂停施工，并按第16.1.1项〔发包人违约的情形〕执行。</w:t>
      </w:r>
    </w:p>
    <w:p w14:paraId="0926DA3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12.2.2 预付款担保</w:t>
      </w:r>
    </w:p>
    <w:p w14:paraId="5A29B86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5E98F6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发包人在工程款中逐期扣回预付款后，预付款担保额度应相应减少，但剩余的预付款担保金额不得低于未被扣回的预付款金额。</w:t>
      </w:r>
    </w:p>
    <w:p w14:paraId="09EBE807">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12.3计量</w:t>
      </w:r>
    </w:p>
    <w:p w14:paraId="7900CB4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12.3.1 计量原则</w:t>
      </w:r>
    </w:p>
    <w:p w14:paraId="686CEE8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工程量计量按照合同约定的工程量计算规则、图纸及变更指示等进行计量。工程量计算规则应以相关的国家标准、行业标准等为依据，由合同当事人在专用合同条款中约定。</w:t>
      </w:r>
    </w:p>
    <w:p w14:paraId="276524D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12.3.2 计量周期</w:t>
      </w:r>
    </w:p>
    <w:p w14:paraId="4E014D2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除专用合同条款另有约定外，工程量的计量按月进行。</w:t>
      </w:r>
    </w:p>
    <w:p w14:paraId="20F8412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12.3.3 单价合同的计量</w:t>
      </w:r>
    </w:p>
    <w:p w14:paraId="2A3D407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除专用合同条款另有约定外，单价合同的计量按照本项约定执行：</w:t>
      </w:r>
    </w:p>
    <w:p w14:paraId="383F1D4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（1）承包人应于每月25日向监理人报送上月20日至当月19日已完成的工程量报告，并附具进度付款申请单、已完成工程量报表和有关资料。</w:t>
      </w:r>
    </w:p>
    <w:p w14:paraId="570FE51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D32C44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（3）监理人未在收到承包人提交的工程量报表后的7天内完成审核的，承包人报送的工程量报告中的工程量视为承包人实际完成的工程量，据此计算工程价款。</w:t>
      </w:r>
    </w:p>
    <w:p w14:paraId="142E7BF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12.3.4 总价合同的计量</w:t>
      </w:r>
    </w:p>
    <w:p w14:paraId="6A95AEF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除专用合同条款另有约定外，按月计量支付的总价合同，按照本项约定执行：</w:t>
      </w:r>
    </w:p>
    <w:p w14:paraId="1283952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（1）承包人应于每月25日向监理人报送上月20日至当月19日已完成的工程量报告，并附具进度付款申请单、已完成工程量报表和有关资料。</w:t>
      </w:r>
    </w:p>
    <w:p w14:paraId="35AE09B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5BC176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（3）监理人未在收到承包人提交的工程量报表后的7天内完成复核的，承包人提交的工程量报告中的工程量视为承包人实际完成的工程量。</w:t>
      </w:r>
    </w:p>
    <w:p w14:paraId="7FAEBCF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12.3.5 总价合同采用支付分解表计量支付的，可以按照第12.3.4项〔总价合同的计量〕约定进行计量，但合同价款按照支付分解表进行支付。</w:t>
      </w:r>
    </w:p>
    <w:p w14:paraId="78A7222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12.3.6 其他价格形式合同的计量</w:t>
      </w:r>
    </w:p>
    <w:p w14:paraId="1B5A5C5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合同当事人可在专用合同条款中约定其他价格形式合同的计量方式和程序。</w:t>
      </w:r>
    </w:p>
    <w:p w14:paraId="4CD4A21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12.4工程进度款支付</w:t>
      </w:r>
    </w:p>
    <w:p w14:paraId="65CD670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12.4.1 付款周期</w:t>
      </w:r>
    </w:p>
    <w:p w14:paraId="55D2C86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除专用合同条款另有约定外，付款周期应按照第12.3.2项〔计量周期〕的约定与计量周期保持一致。</w:t>
      </w:r>
    </w:p>
    <w:p w14:paraId="6BC4932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12.4.2 进度付款申请单的编制</w:t>
      </w:r>
    </w:p>
    <w:p w14:paraId="1F986B4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除专用合同条款另有约定外，进度付款申请单应包括下列内容：</w:t>
      </w:r>
    </w:p>
    <w:p w14:paraId="69170D8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（1）截至本次付款周期已完成工作对应的金额；</w:t>
      </w:r>
    </w:p>
    <w:p w14:paraId="6BC00A6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（2）根据第10条〔变更〕应增加和扣减的变更金额；</w:t>
      </w:r>
    </w:p>
    <w:p w14:paraId="2E55B32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（3）根据第12.2款〔预付款〕约定应支付的预付款和扣减的返还预付款；</w:t>
      </w:r>
    </w:p>
    <w:p w14:paraId="6B195CD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（4）根据第15.3款〔质量保证金〕约定应扣减的质量保证金；</w:t>
      </w:r>
    </w:p>
    <w:p w14:paraId="44F239B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（5）根据第19条〔索赔〕应增加和扣减的索赔金额；</w:t>
      </w:r>
    </w:p>
    <w:p w14:paraId="7E294F1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（6）对已签发的进度款支付证书中出现错误的修正，应在本次进度付款中支付或扣除的金额；</w:t>
      </w:r>
    </w:p>
    <w:p w14:paraId="561EEEF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（7）根据合同约定应增加和扣减的其他金额。</w:t>
      </w:r>
    </w:p>
    <w:p w14:paraId="3344852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12.4.3 进度付款申请单的提交</w:t>
      </w:r>
    </w:p>
    <w:p w14:paraId="4B05A61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（1）单价合同进度付款申请单的提交</w:t>
      </w:r>
    </w:p>
    <w:p w14:paraId="7D7E6EB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1807C7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（2）总价合同进度付款申请单的提交</w:t>
      </w:r>
    </w:p>
    <w:p w14:paraId="66F474E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总价合同按月计量支付的，承包人按照第12.3.4项〔总价合同的计量〕约定的时间按月向监理人提交进度付款申请单，并附上已完成工程量报表和有关资料。</w:t>
      </w:r>
    </w:p>
    <w:p w14:paraId="3B02CEE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总价合同按支付分解表支付的，承包人应按照第12.4.6项〔支付分解表〕及第12.4.2项〔进度付款申请单的编制〕的约定向监理人提交进度付款申请单。</w:t>
      </w:r>
    </w:p>
    <w:p w14:paraId="5AAAC40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（3）其他价格形式合同的进度付款申请单的提交</w:t>
      </w:r>
    </w:p>
    <w:p w14:paraId="0491113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合同当事人可在专用合同条款中约定其他价格形式合同的进度付款申请单的编制和提交程序。</w:t>
      </w:r>
    </w:p>
    <w:p w14:paraId="641750B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12.4.4 进度款审核和支付</w:t>
      </w:r>
    </w:p>
    <w:p w14:paraId="3F94CD9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3B88DD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818A66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（2）除专用合同条款另有约定外，发包人应在进度款支付证书或临时进度款支付证书签发后14天内完成支付，发包人逾期支付进度款的，应按照中国人民银行发布的同期同类贷款基准利率支付违约金。</w:t>
      </w:r>
    </w:p>
    <w:p w14:paraId="78154CC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（3）发包人签发进度款支付证书或临时进度款支付证书，不表明发包人已同意、批准或接受了承包人完成的相应部分的工作。</w:t>
      </w:r>
    </w:p>
    <w:p w14:paraId="7451E2D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12.4.5 进度付款的修正</w:t>
      </w:r>
    </w:p>
    <w:p w14:paraId="145B4DC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在对已签发的进度款支付证书进行阶段汇总和复核中发现错误、遗漏或重复的，发包人和承包人均有权提出修正申请。经发包人和承包人同意的修正，应在下期进度付款中支付或扣除。</w:t>
      </w:r>
    </w:p>
    <w:p w14:paraId="39C5C34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12.4.6 支付分解表</w:t>
      </w:r>
    </w:p>
    <w:p w14:paraId="7918F4C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1.支付分解表的编制要求</w:t>
      </w:r>
    </w:p>
    <w:p w14:paraId="1135F55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（1）支付分解表中所列的每期付款金额，应为第12.4.2项〔进度付款申请单的编制〕第（1）目的估算金额；</w:t>
      </w:r>
    </w:p>
    <w:p w14:paraId="7557DA5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（2）实际进度与施工进度计划不一致的，合同当事人可按照第4.4款〔商定或确定〕修改支付分解表；</w:t>
      </w:r>
    </w:p>
    <w:p w14:paraId="27C81DB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（3）不采用支付分解表的，承包人应向发包人和监理人提交按季度编制的支付估算分解表，用于支付参考。</w:t>
      </w:r>
    </w:p>
    <w:p w14:paraId="121991A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2.总价合同支付分解表的编制与审批</w:t>
      </w:r>
    </w:p>
    <w:p w14:paraId="79CD566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862186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（2）监理人应在收到支付分解表后7天内完成审核并报送发包人。发包人应在收到经监理人审核的支付分解表后7天内完成审批，经发包人批准的支付分解表为有约束力的支付分解表。</w:t>
      </w:r>
    </w:p>
    <w:p w14:paraId="341B6DCB">
      <w:pPr>
        <w:pStyle w:val="21"/>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    （3）发包人逾期未完成支付分解表审批的，也未及时要求承包人进行修正和提供补充资料的，则承包人提交的支付分解表视为已经获得发包人批准。</w:t>
      </w:r>
    </w:p>
    <w:p w14:paraId="7A6DA70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3.单价合同的总价项目支付分解表的编制与审批</w:t>
      </w:r>
    </w:p>
    <w:p w14:paraId="0ABFC22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3B47BB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12.5支付账户</w:t>
      </w:r>
    </w:p>
    <w:p w14:paraId="507CB04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发包人应将合同价款支付至合同协议书中约定的承包人账户。</w:t>
      </w:r>
    </w:p>
    <w:p w14:paraId="29C12BFA">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13. 验收和工程试车</w:t>
      </w:r>
    </w:p>
    <w:p w14:paraId="41D21D9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13.1分部分项工程验收</w:t>
      </w:r>
    </w:p>
    <w:p w14:paraId="53F5A406">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13.1.1 分部分项工程质量应符合国家有关工程施工验收规范、标准及合同约定，承包人应按照施工组织设计的要求完成分部分项工程施工。</w:t>
      </w:r>
    </w:p>
    <w:p w14:paraId="3662CD21">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13.1.2 除专用合同条款另有约定外，分部分项工程经承包人自检合格并具备验收条件的，承包人应提前48小时通知监理人进行验收。</w:t>
      </w:r>
      <w:r>
        <w:rPr>
          <w:rFonts w:hint="eastAsia" w:ascii="宋体" w:hAnsi="宋体" w:eastAsia="宋体" w:cs="宋体"/>
          <w:color w:val="000000"/>
          <w:kern w:val="0"/>
          <w:sz w:val="24"/>
          <w:szCs w:val="24"/>
          <w:highlight w:val="whit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sz w:val="24"/>
          <w:szCs w:val="24"/>
          <w:highlight w:val="white"/>
        </w:rPr>
        <w:t>分部分项工程未经验收的，不得进入下一道工序施工。</w:t>
      </w:r>
    </w:p>
    <w:p w14:paraId="0C882374">
      <w:pPr>
        <w:pStyle w:val="21"/>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分部分项工程的验收资料应当作为竣工资料的组成部分。</w:t>
      </w:r>
    </w:p>
    <w:p w14:paraId="4166E28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13.2竣工验收</w:t>
      </w:r>
    </w:p>
    <w:p w14:paraId="520F760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13.2.1竣工验收条件</w:t>
      </w:r>
    </w:p>
    <w:p w14:paraId="2182F21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工程具备以下条件的，承包人可以申请竣工验收：</w:t>
      </w:r>
    </w:p>
    <w:p w14:paraId="0E783FE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（1）除发包人同意的甩项工作和缺陷修补工作外，合同范围内的全部工程以及有关工作，包括合同要求的试验、试运行以及检验均已完成，并符合合同要求；</w:t>
      </w:r>
    </w:p>
    <w:p w14:paraId="7603567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（2）已按合同约定编制了甩项工作和缺陷修补工作清单以及相应的施工计划；</w:t>
      </w:r>
    </w:p>
    <w:p w14:paraId="46C4D85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（3）已按合同约定的内容和份数备齐竣工资料。</w:t>
      </w:r>
    </w:p>
    <w:p w14:paraId="3A13D27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13.2.2竣工验收程序</w:t>
      </w:r>
    </w:p>
    <w:p w14:paraId="4BAC9DD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除专用合同条款另有约定外，承包人申请竣工验收的，应当按照以下程序进行：</w:t>
      </w:r>
    </w:p>
    <w:p w14:paraId="0B5595A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5B6025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C21FF3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（3）竣工验收合格的，发包人应在验收合格后14天内向承包人签发工程接收证书。发包人无正当理由逾期不颁发工程接收证书的，自验收合格后第15天起视为已颁发工程接收证书。</w:t>
      </w:r>
    </w:p>
    <w:p w14:paraId="6C7E179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E97DF0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6C2D11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除专用合同条款另有约定外，发包人不按照本项约定组织竣工验收、颁发工程接收证书的，每逾期一天，应以签约合同价为基数，按照中国人民银行发布的同期同类贷款基准利率支付违约金。</w:t>
      </w:r>
    </w:p>
    <w:p w14:paraId="69FCE19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13.2.3竣工日期</w:t>
      </w:r>
    </w:p>
    <w:p w14:paraId="4674432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39BFF9C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13.2.4 拒绝接收全部或部分工程</w:t>
      </w:r>
    </w:p>
    <w:p w14:paraId="23D0363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3CB42C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13.2.5 移交、接收全部与部分工程</w:t>
      </w:r>
    </w:p>
    <w:p w14:paraId="41BD9AC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除专用合同条款另有约定外，合同当事人应当在颁发工程接收证书后7天内完成工程的移交。</w:t>
      </w:r>
    </w:p>
    <w:p w14:paraId="7D1BC98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D9563B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承包人无正当理由不移交工程的，承包人应承担工程照管、成品保护、保管等与工程有关的各项费用，合同当事人可以在专用合同条款中另行约定承包人无正当理由不移交工程的违约责任。</w:t>
      </w:r>
    </w:p>
    <w:p w14:paraId="31E2D50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13.3工程试车</w:t>
      </w:r>
    </w:p>
    <w:p w14:paraId="712ABBD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13.3.1试车程序</w:t>
      </w:r>
    </w:p>
    <w:p w14:paraId="00C510D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工程需要试车的，除专用合同条款另有约定外，试车内容应与承包人承包范围相一致，试车费用由承包人承担。工程试车应按如下程序进行：</w:t>
      </w:r>
    </w:p>
    <w:p w14:paraId="26974BA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0C3CDD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57C56A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197261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13.3.2 试车中的责任</w:t>
      </w:r>
    </w:p>
    <w:p w14:paraId="7AECA6D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760332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EEDD18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13.3.3 投料试车</w:t>
      </w:r>
    </w:p>
    <w:p w14:paraId="74D7B47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如需进行投料试车的，发包人应在工程竣工验收后组织投料试车。发包人要求在工程竣工验收前进行或需要承包人配合时，应征得承包人同意，并在专用合同条款中约定有关事项。</w:t>
      </w:r>
    </w:p>
    <w:p w14:paraId="0C52456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4F9662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13.4提前交付单位工程的验收</w:t>
      </w:r>
    </w:p>
    <w:p w14:paraId="43C8DEE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13.4.1 发包人需要在工程竣工前使用单位工程的，或承包人提出提前交付已经竣工的单位工程且经发包人同意的，可进行单位工程验收，验收的程序按照第13.2款〔竣工验收〕的约定进行。</w:t>
      </w:r>
    </w:p>
    <w:p w14:paraId="1568AD2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5D9361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13.4.2 发包人要求在工程竣工前交付单位工程，由此导致承包人费用增加和（或）工期延误的，由发包人承担由此增加的费用和（或）延误的工期，并支付承包人合理的利润。</w:t>
      </w:r>
    </w:p>
    <w:p w14:paraId="6B1AF01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13.5 施工期运行</w:t>
      </w:r>
    </w:p>
    <w:p w14:paraId="63AFC51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DA012A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13.5.2 在施工期运行中发现工程或工程设备损坏或存在缺陷的，由承包人按第15.2款〔缺陷责任期〕约定进行修复。</w:t>
      </w:r>
    </w:p>
    <w:p w14:paraId="32D24588">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13.6 竣工退场</w:t>
      </w:r>
    </w:p>
    <w:p w14:paraId="0F7026E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13.6.1 竣工退场</w:t>
      </w:r>
    </w:p>
    <w:p w14:paraId="1CD9685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颁发工程接收证书后，承包人应按以下要求对施工现场进行清理：</w:t>
      </w:r>
    </w:p>
    <w:p w14:paraId="48CFE65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（1）施工现场内残留的垃圾已全部清除出场；</w:t>
      </w:r>
    </w:p>
    <w:p w14:paraId="501CB54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（2）临时工程已拆除，场地已进行清理、平整或复原；</w:t>
      </w:r>
    </w:p>
    <w:p w14:paraId="3368ED3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（3）按合同约定应撤离的人员、承包人施工设备和剩余的材料，包括废弃的施工设备和材料，已按计划撤离施工现场；</w:t>
      </w:r>
    </w:p>
    <w:p w14:paraId="55C1435D">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（4）施工现场周边及其附近道路、河道的施工堆积物，已全部清理；</w:t>
      </w:r>
    </w:p>
    <w:p w14:paraId="7E8C566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（5）施工现场其他场地清理工作已全部完成。</w:t>
      </w:r>
    </w:p>
    <w:p w14:paraId="54B6F6B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CE5569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13.6.2 地表还原</w:t>
      </w:r>
    </w:p>
    <w:p w14:paraId="3822612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承包人应按发包人要求恢复临时占地及清理场地，承包人未按发包人的要求恢复临时占地，或者场地清理未达到合同约定要求的，发包人有权委托其他人恢复或清理，所发生的费用由承包人承担。</w:t>
      </w:r>
    </w:p>
    <w:p w14:paraId="121C3DFA">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14. 竣工结算</w:t>
      </w:r>
    </w:p>
    <w:p w14:paraId="67E4133F">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14.1 竣工结算申请</w:t>
      </w:r>
    </w:p>
    <w:p w14:paraId="2352FC6D">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除专用合同条款另有约定外，</w:t>
      </w:r>
      <w:r>
        <w:rPr>
          <w:rFonts w:hint="eastAsia" w:ascii="宋体" w:hAnsi="宋体" w:eastAsia="宋体" w:cs="宋体"/>
          <w:color w:val="000000"/>
          <w:sz w:val="24"/>
          <w:szCs w:val="24"/>
          <w:highlight w:val="white"/>
        </w:rPr>
        <w:t>承包人应在工程竣工验收合格后28天内向发包人和监理人提交竣工结算申请单，并提交完整的结算资料，有关竣工结算申请单的资料清单和份数等要求由合同当事人在专用合同条款中约定。</w:t>
      </w:r>
    </w:p>
    <w:p w14:paraId="38829247">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除专用合同条款另有约定外，竣工结算申请单应包括以下内容：</w:t>
      </w:r>
    </w:p>
    <w:p w14:paraId="04463A1A">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（1）竣工结算合同价格；</w:t>
      </w:r>
    </w:p>
    <w:p w14:paraId="5866C656">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（2）发包人已支付承包人的款项；</w:t>
      </w:r>
    </w:p>
    <w:p w14:paraId="11CC2D55">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（3）应扣留的质量保证金。已缴纳履约保证金的或提供其他工程质量担保方式的除外； </w:t>
      </w:r>
    </w:p>
    <w:p w14:paraId="7774DEFF">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（4）发包人应支付承包人的合同价款。</w:t>
      </w:r>
    </w:p>
    <w:p w14:paraId="61D5E74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14.2 竣工结算审核</w:t>
      </w:r>
    </w:p>
    <w:p w14:paraId="6660C36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sz w:val="24"/>
          <w:szCs w:val="24"/>
          <w:highlight w:val="white"/>
        </w:rPr>
        <w:t>发包人对竣工</w:t>
      </w:r>
      <w:r>
        <w:rPr>
          <w:rFonts w:hint="eastAsia" w:ascii="宋体" w:hAnsi="宋体" w:eastAsia="宋体" w:cs="宋体"/>
          <w:color w:val="000000"/>
          <w:kern w:val="0"/>
          <w:sz w:val="24"/>
          <w:szCs w:val="24"/>
          <w:highlight w:val="white"/>
        </w:rPr>
        <w:t>结算</w:t>
      </w:r>
      <w:r>
        <w:rPr>
          <w:rFonts w:hint="eastAsia" w:ascii="宋体" w:hAnsi="宋体" w:eastAsia="宋体" w:cs="宋体"/>
          <w:color w:val="000000"/>
          <w:sz w:val="24"/>
          <w:szCs w:val="24"/>
          <w:highlight w:val="white"/>
        </w:rPr>
        <w:t>申请单有异议的，有权要求承包人进行修正和提供补充资料，承包人应提交修正后的竣工</w:t>
      </w:r>
      <w:r>
        <w:rPr>
          <w:rFonts w:hint="eastAsia" w:ascii="宋体" w:hAnsi="宋体" w:eastAsia="宋体" w:cs="宋体"/>
          <w:color w:val="000000"/>
          <w:kern w:val="0"/>
          <w:sz w:val="24"/>
          <w:szCs w:val="24"/>
          <w:highlight w:val="white"/>
        </w:rPr>
        <w:t>结算</w:t>
      </w:r>
      <w:r>
        <w:rPr>
          <w:rFonts w:hint="eastAsia" w:ascii="宋体" w:hAnsi="宋体" w:eastAsia="宋体" w:cs="宋体"/>
          <w:color w:val="000000"/>
          <w:sz w:val="24"/>
          <w:szCs w:val="24"/>
          <w:highlight w:val="white"/>
        </w:rPr>
        <w:t>申请单。</w:t>
      </w:r>
    </w:p>
    <w:p w14:paraId="75F8FEA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A75A49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362410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CF4705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14.3 甩项竣工协议</w:t>
      </w:r>
    </w:p>
    <w:p w14:paraId="43FE18EF">
      <w:pPr>
        <w:pStyle w:val="21"/>
        <w:autoSpaceDE w:val="0"/>
        <w:autoSpaceDN w:val="0"/>
        <w:adjustRightInd w:val="0"/>
        <w:spacing w:line="360" w:lineRule="auto"/>
        <w:ind w:firstLine="470" w:firstLineChars="196"/>
        <w:jc w:val="left"/>
        <w:rPr>
          <w:rFonts w:hint="eastAsia" w:ascii="宋体" w:hAnsi="宋体" w:eastAsia="宋体" w:cs="宋体"/>
          <w:color w:val="000000"/>
          <w:kern w:val="0"/>
          <w:sz w:val="24"/>
          <w:szCs w:val="24"/>
        </w:rPr>
      </w:pPr>
      <w:r>
        <w:rPr>
          <w:rFonts w:hint="eastAsia" w:ascii="宋体" w:hAnsi="宋体" w:eastAsia="宋体" w:cs="宋体"/>
          <w:sz w:val="24"/>
          <w:szCs w:val="24"/>
          <w:highlight w:val="whit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57E45C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14.4 最终结清</w:t>
      </w:r>
    </w:p>
    <w:p w14:paraId="1774C3F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14.4.1 最终结清申请单</w:t>
      </w:r>
    </w:p>
    <w:p w14:paraId="06CF323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（1）除专用合同条款另有约定外，承包人应在缺陷责任期终止证书颁发后7天内，按专用合同条款约定的份数向发包人提交最终结清申请单，并提供相关证明材料。</w:t>
      </w:r>
    </w:p>
    <w:p w14:paraId="4292428E">
      <w:pPr>
        <w:pStyle w:val="21"/>
        <w:autoSpaceDE w:val="0"/>
        <w:autoSpaceDN w:val="0"/>
        <w:adjustRightInd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w:t>
      </w:r>
      <w:r>
        <w:rPr>
          <w:rFonts w:hint="eastAsia" w:ascii="宋体" w:hAnsi="宋体" w:eastAsia="宋体" w:cs="宋体"/>
          <w:color w:val="000000"/>
          <w:kern w:val="0"/>
          <w:sz w:val="24"/>
          <w:szCs w:val="24"/>
          <w:highlight w:val="white"/>
        </w:rPr>
        <w:t>最终结清申请单</w:t>
      </w:r>
      <w:r>
        <w:rPr>
          <w:rFonts w:hint="eastAsia" w:ascii="宋体" w:hAnsi="宋体" w:eastAsia="宋体" w:cs="宋体"/>
          <w:color w:val="000000"/>
          <w:sz w:val="24"/>
          <w:szCs w:val="24"/>
          <w:highlight w:val="white"/>
        </w:rPr>
        <w:t>应列明质量保证金、应扣除的质量保证金、缺陷责任期内发生的增减费用。</w:t>
      </w:r>
    </w:p>
    <w:p w14:paraId="77D67D8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（2）发包人对最终结清申请单内容有异议的，有权要求承包人进行修正和提供补充资料，承包人应向发包人提交修正后的最终结清申请单。</w:t>
      </w:r>
    </w:p>
    <w:p w14:paraId="7ABEB82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14.4.2 最终结清证书和支付</w:t>
      </w:r>
    </w:p>
    <w:p w14:paraId="7F2073B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45FA1E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62C5CA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（3）承包人对发包人颁发的最终结清证书有异议的，按第20条〔争议解决〕的约定办理。</w:t>
      </w:r>
    </w:p>
    <w:p w14:paraId="3010E4AB">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15. 缺陷责任与保修</w:t>
      </w:r>
    </w:p>
    <w:p w14:paraId="438B511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15.1 工程保修的原则</w:t>
      </w:r>
    </w:p>
    <w:p w14:paraId="5C7A604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在工程移交发包人后，因承包人原因产生的质量缺陷，承包人应承担质量缺陷责任和保修义务。缺陷责任期届满，承包人仍应按合同约定的工程各部位保修年限承担保修义务。</w:t>
      </w:r>
    </w:p>
    <w:p w14:paraId="2E8238F8">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15.2 缺陷责任期</w:t>
      </w:r>
    </w:p>
    <w:p w14:paraId="46137DD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15.2.1 缺陷责任期从工程通过竣工验收之日起计算，合同当事人应在专用合同条款约定缺陷责任期的具体期限，但该期限最长不超过24个月。</w:t>
      </w:r>
    </w:p>
    <w:p w14:paraId="6978AB8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23A33D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000000"/>
          <w:sz w:val="24"/>
          <w:szCs w:val="24"/>
          <w:highlight w:val="white"/>
        </w:rPr>
        <w:t>包人延长缺陷责任期，</w:t>
      </w:r>
      <w:r>
        <w:rPr>
          <w:rFonts w:hint="eastAsia" w:ascii="宋体" w:hAnsi="宋体" w:eastAsia="宋体" w:cs="宋体"/>
          <w:color w:val="000000"/>
          <w:kern w:val="0"/>
          <w:sz w:val="24"/>
          <w:szCs w:val="24"/>
          <w:highlight w:val="white"/>
        </w:rPr>
        <w:t>并应在原缺陷责任期届满前发出延长通知。</w:t>
      </w:r>
      <w:r>
        <w:rPr>
          <w:rFonts w:hint="eastAsia" w:ascii="宋体" w:hAnsi="宋体" w:eastAsia="宋体" w:cs="宋体"/>
          <w:bCs/>
          <w:color w:val="000000"/>
          <w:sz w:val="24"/>
          <w:szCs w:val="24"/>
          <w:highlight w:val="white"/>
        </w:rPr>
        <w:t>但缺陷责任期（含延长部分）最长</w:t>
      </w:r>
      <w:r>
        <w:rPr>
          <w:rFonts w:hint="eastAsia" w:ascii="宋体" w:hAnsi="宋体" w:eastAsia="宋体" w:cs="宋体"/>
          <w:color w:val="000000"/>
          <w:kern w:val="0"/>
          <w:sz w:val="24"/>
          <w:szCs w:val="24"/>
          <w:highlight w:val="white"/>
        </w:rPr>
        <w:t>不能超过24个月。</w:t>
      </w:r>
    </w:p>
    <w:p w14:paraId="5C76644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由他人原因造成的缺陷，发包人负责组织维修，承包人不承担费用，且发包人不得从保证金中扣除费用。</w:t>
      </w:r>
    </w:p>
    <w:p w14:paraId="1924BA9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15.2.3 任何一项缺陷或损坏修复后，经检查证明其影响了工程或工程设备的使用性能，承包人应重新进行合同约定的试验和试运行，试验和试运行的全部费用应由责任方承担。</w:t>
      </w:r>
    </w:p>
    <w:p w14:paraId="53F08F4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741436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15.3 质量保证金</w:t>
      </w:r>
    </w:p>
    <w:p w14:paraId="48AFCFE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经合同当事人协商一致扣留质量保证金的，应在专用合同条款中予以明确。</w:t>
      </w:r>
    </w:p>
    <w:p w14:paraId="04CBB94F">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在工程项目竣工前，承包人已经提供履约担保的，发包人不得同时预留工程质量保证金。</w:t>
      </w:r>
    </w:p>
    <w:p w14:paraId="1C9D5D3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p>
    <w:p w14:paraId="70A1782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15.3.1 承包人提供质量保证金的方式</w:t>
      </w:r>
    </w:p>
    <w:p w14:paraId="56D953D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承包人提供质量保证金有以下三种方式：</w:t>
      </w:r>
    </w:p>
    <w:p w14:paraId="4EB4E2C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（1）质量保证金保函； </w:t>
      </w:r>
    </w:p>
    <w:p w14:paraId="0EEB6E5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（2）相应比例的工程款；</w:t>
      </w:r>
    </w:p>
    <w:p w14:paraId="3E299FA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（3）双方约定的其他方式。</w:t>
      </w:r>
    </w:p>
    <w:p w14:paraId="64942A7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除专用合同条款另有约定外，质量保证金原则上采用上述第（1）种方式。</w:t>
      </w:r>
    </w:p>
    <w:p w14:paraId="70D008E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15.3.2 质量保证金的扣留</w:t>
      </w:r>
    </w:p>
    <w:p w14:paraId="65E182F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质量保证金的扣留有以下三种方式：</w:t>
      </w:r>
    </w:p>
    <w:p w14:paraId="2CA8694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（1）在支付工程进度款时逐次扣留，在此情形下，质量保证金的计算基数不包括预付款的支付、扣回以及价格调整的金额；</w:t>
      </w:r>
    </w:p>
    <w:p w14:paraId="39C7186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（2）工程竣工结算时一次性扣留质量保证金；</w:t>
      </w:r>
    </w:p>
    <w:p w14:paraId="454FF75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（3）双方约定的其他扣留方式。</w:t>
      </w:r>
    </w:p>
    <w:p w14:paraId="54538B0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除专用合同条款另有约定外，质量保证金的扣留原则上采用上述第（1）种方式。</w:t>
      </w:r>
    </w:p>
    <w:p w14:paraId="1CE9537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8B6DAA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发包人在退还质量保证金的同时按照中国人民银行发布的同期同类贷款基准利率支付利息。</w:t>
      </w:r>
    </w:p>
    <w:p w14:paraId="13A4BCE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15.3.3 质量保证金的退还</w:t>
      </w:r>
    </w:p>
    <w:p w14:paraId="136E20C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缺陷责任期内，承包人认真履行合同约定的责任，到期后，承包人可向发包人申请返还保证金。</w:t>
      </w:r>
    </w:p>
    <w:p w14:paraId="2510255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0E2C23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发包人和承包人对保证金预留、返还以及工程维修质量、费用有争议的，按本合同第20条约定的争议和纠纷解决程序处理。</w:t>
      </w:r>
    </w:p>
    <w:p w14:paraId="4729813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15.4 保修</w:t>
      </w:r>
    </w:p>
    <w:p w14:paraId="1AB3206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15.4.1保修责任</w:t>
      </w:r>
    </w:p>
    <w:p w14:paraId="6C06054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A1AED72">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发包人未经竣工验收擅自使用工程的，保修期自</w:t>
      </w:r>
      <w:r>
        <w:rPr>
          <w:rFonts w:hint="eastAsia" w:ascii="宋体" w:hAnsi="宋体" w:eastAsia="宋体" w:cs="宋体"/>
          <w:color w:val="000000"/>
          <w:kern w:val="0"/>
          <w:sz w:val="24"/>
          <w:szCs w:val="24"/>
          <w:highlight w:val="white"/>
        </w:rPr>
        <w:t>转移占有之日起算</w:t>
      </w:r>
      <w:r>
        <w:rPr>
          <w:rFonts w:hint="eastAsia" w:ascii="宋体" w:hAnsi="宋体" w:eastAsia="宋体" w:cs="宋体"/>
          <w:color w:val="000000"/>
          <w:sz w:val="24"/>
          <w:szCs w:val="24"/>
          <w:highlight w:val="white"/>
        </w:rPr>
        <w:t>。</w:t>
      </w:r>
    </w:p>
    <w:p w14:paraId="6559CB8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15.4.2 修复费用</w:t>
      </w:r>
    </w:p>
    <w:p w14:paraId="1FCDE30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保修期内，修复的费用按照以下约定处理：</w:t>
      </w:r>
    </w:p>
    <w:p w14:paraId="02B019D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（1）保修期内，因承包人原因造成工程的缺陷、损坏，承包人应负责修复，并承担修复的费用以及因工程的缺陷、损坏造成的人身伤害和财产损失；</w:t>
      </w:r>
    </w:p>
    <w:p w14:paraId="72741CE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（2）保修期内，因发包人使用不当造成工程的缺陷、损坏，可以委托承包人修复，但发包人应承担修复的费用，并支付承包人合理利润；</w:t>
      </w:r>
    </w:p>
    <w:p w14:paraId="3AB25D8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（3）因其他原因造成工程的缺陷、损坏，可以委托承包人修复，发包人应承担修复的费用，并支付承包人合理的利润，因工程的缺陷、损坏造成的人身伤害和财产损失由责任方承担。</w:t>
      </w:r>
    </w:p>
    <w:p w14:paraId="1109D5A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15.4.3 修复通知</w:t>
      </w:r>
    </w:p>
    <w:p w14:paraId="14ED1CBE">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1A15AA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15.4.4 未能修复</w:t>
      </w:r>
    </w:p>
    <w:p w14:paraId="4B44B06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25DB86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15.4.5 承包人出入权</w:t>
      </w:r>
    </w:p>
    <w:p w14:paraId="2F92021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59A830C">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16. 违约</w:t>
      </w:r>
    </w:p>
    <w:p w14:paraId="16428B9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16.1 发包人违约</w:t>
      </w:r>
    </w:p>
    <w:p w14:paraId="3F180ED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16.1.1 发包人违约的情形</w:t>
      </w:r>
    </w:p>
    <w:p w14:paraId="682CCDD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在合同履行过程中发生的下列情形，属于发包人违约：</w:t>
      </w:r>
    </w:p>
    <w:p w14:paraId="32161A1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（1）因发包人原因未能在计划开工日期前7天内下达开工通知的；</w:t>
      </w:r>
    </w:p>
    <w:p w14:paraId="2188CF0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（2）因发包人原因未能按合同约定支付合同价款的；</w:t>
      </w:r>
    </w:p>
    <w:p w14:paraId="7A500E9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（3）发包人违反第10.1款〔变更的范围〕第（2）项约定，自行实施被取消的工作或转由他人实施的；</w:t>
      </w:r>
    </w:p>
    <w:p w14:paraId="2EBC196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（4）发包人提供的材料、工程设备的规格、数量或质量不符合合同约定，或因发包人原因导致交货日期延误或交货地点变更等情况的；</w:t>
      </w:r>
    </w:p>
    <w:p w14:paraId="57B1CB8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（5）因发包人违反合同约定造成暂停施工的；</w:t>
      </w:r>
    </w:p>
    <w:p w14:paraId="18F046F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（6）发包人无正当理由没有在约定期限内发出复工指示，导致承包人无法复工的；</w:t>
      </w:r>
    </w:p>
    <w:p w14:paraId="01DDB42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（7）发包人明确表示或者以其行为表明不履行合同主要义务的；</w:t>
      </w:r>
    </w:p>
    <w:p w14:paraId="1EDDD01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（8）发包人未能按照合同约定履行其他义务的。</w:t>
      </w:r>
    </w:p>
    <w:p w14:paraId="5582264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2B76A1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16.1.2 发包人违约的责任</w:t>
      </w:r>
    </w:p>
    <w:p w14:paraId="0E017F5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发包人应承担因其违约给承包人增加的费用和（或）延误的工期，并支付承包人合理的利润。此外，合同当事人可在专用合同条款中另行约定发包人违约责任的承担方式和计算方法。</w:t>
      </w:r>
    </w:p>
    <w:p w14:paraId="2BA7325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16.1.3 因发包人违约解除合同</w:t>
      </w:r>
    </w:p>
    <w:p w14:paraId="249F10A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F4255C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16.1.4 因发包人违约解除合同后的付款</w:t>
      </w:r>
    </w:p>
    <w:p w14:paraId="6715E8E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承包人按照本款约定解除合同的，发包人应在解除合同后28天内支付下列款项，并解除履约担保：</w:t>
      </w:r>
    </w:p>
    <w:p w14:paraId="69580EA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（1）合同解除前所完成工作的价款；</w:t>
      </w:r>
    </w:p>
    <w:p w14:paraId="4267A0C4">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（2）承包人为工程施工订购并已付款的材料、工程设备和其他物品的价款；</w:t>
      </w:r>
    </w:p>
    <w:p w14:paraId="7B98D2C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（3）承包人撤离施工现场以及遣散承包人人员的款项；</w:t>
      </w:r>
    </w:p>
    <w:p w14:paraId="7C74A502">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（4）按照合同约定在合同解除前应支付的违约金；</w:t>
      </w:r>
    </w:p>
    <w:p w14:paraId="7231134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（5）按照合同约定应当支付给承包人的其他款项；</w:t>
      </w:r>
    </w:p>
    <w:p w14:paraId="2F4BC3B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（6）按照合同约定应退还的质量保证金；</w:t>
      </w:r>
    </w:p>
    <w:p w14:paraId="761D804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（7）因解除合同给承包人造成的损失。</w:t>
      </w:r>
    </w:p>
    <w:p w14:paraId="4893EA3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合同当事人未能就解除合同后的结清达成一致的，按照第20条〔争议解决〕的约定处理。</w:t>
      </w:r>
    </w:p>
    <w:p w14:paraId="5F2D1B9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承包人应妥善做好已完工程和与工程有关的已购材料、工程设备的保护和移交工作，并将施工设备和人员撤出施工现场，发包人应为承包人撤出提供必要条件。</w:t>
      </w:r>
    </w:p>
    <w:p w14:paraId="407ACA5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16.2 承包人违约</w:t>
      </w:r>
    </w:p>
    <w:p w14:paraId="5B375F3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16.2.1 承包人违约的情形</w:t>
      </w:r>
    </w:p>
    <w:p w14:paraId="31039D5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在合同履行过程中发生的下列情形，属于承包人违约：</w:t>
      </w:r>
    </w:p>
    <w:p w14:paraId="79227EA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（1）承包人违反合同约定进行转包或违法分包的；</w:t>
      </w:r>
    </w:p>
    <w:p w14:paraId="35BBD45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（2）承包人违反合同约定采购和使用不合格的材料和工程设备的；</w:t>
      </w:r>
    </w:p>
    <w:p w14:paraId="3EA851B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（3）因承包人原因导致工程质量不符合合同要求的； </w:t>
      </w:r>
    </w:p>
    <w:p w14:paraId="7975638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（4）承包人违反第8.9款〔材料与设备专用要求〕的约定，未经批准，私自将已按照合同约定进入施工现场的材料或设备撤离施工现场的；</w:t>
      </w:r>
    </w:p>
    <w:p w14:paraId="7E3E380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（5）承包人未能按施工进度计划及时完成合同约定的工作，造成工期延误的；</w:t>
      </w:r>
    </w:p>
    <w:p w14:paraId="0C3D014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（6）承包人在缺陷责任期及保修期内，未能在合理期限对工程缺陷进行修复，或拒绝按发包人要求进行修复的；</w:t>
      </w:r>
    </w:p>
    <w:p w14:paraId="3C0FE85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（7）承包人明确表示或者以其行为表明不履行合同主要义务的；</w:t>
      </w:r>
    </w:p>
    <w:p w14:paraId="5A1A0B0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（8）承包人未能按照合同约定履行其他义务的。</w:t>
      </w:r>
    </w:p>
    <w:p w14:paraId="353C38D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承包人发生除本项第（7）目约定以外的其他违约情况时，监理人可向承包人发出整改通知，要求其在指定的期限内改正。</w:t>
      </w:r>
    </w:p>
    <w:p w14:paraId="546D020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16.2.2 承包人违约的责任</w:t>
      </w:r>
    </w:p>
    <w:p w14:paraId="22CDBCE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承包人应承担因其违约行为而增加的费用和（或）延误的工期。此外，合同当事人可在专用合同条款中另行约定承包人违约责任的承担方式和计算方法。</w:t>
      </w:r>
    </w:p>
    <w:p w14:paraId="1CAAB8D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16.2.3 因承包人违约解除合同</w:t>
      </w:r>
    </w:p>
    <w:p w14:paraId="6C24CDC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C6A55A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16.2.4因承包人违约解除合同后的处理</w:t>
      </w:r>
    </w:p>
    <w:p w14:paraId="14C56AD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因承包人原因导致合同解除的，则合同当事人应在合同解除后28天内完成估价、付款和清算，并按以下约定执行：</w:t>
      </w:r>
    </w:p>
    <w:p w14:paraId="3C8BAE1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（1）合同解除后，按第4.4款〔商定或确定〕商定或确定承包人实际完成工作对应的合同价款，以及承包人已提供的材料、工程设备、施工设备和临时工程等的价值；</w:t>
      </w:r>
    </w:p>
    <w:p w14:paraId="726F0C5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（2）合同解除后，承包人应支付的违约金；</w:t>
      </w:r>
    </w:p>
    <w:p w14:paraId="76F370F6">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（3）合同解除后，因解除合同给发包人造成的损失；</w:t>
      </w:r>
    </w:p>
    <w:p w14:paraId="5B0BEAD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（4）合同解除后，承包人应按照发包人要求和监理人的指示完成现场的清理和撤离；</w:t>
      </w:r>
    </w:p>
    <w:p w14:paraId="26CB17BF">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（5）发包人和承包人应在合同解除后进行清算，出具最终结清付款证书，结清全部款项。</w:t>
      </w:r>
    </w:p>
    <w:p w14:paraId="1B1DF9E8">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因承包人违约解除合同的，发包人有权暂停对承包人的付款，查清各项付款和已扣款项。发包人和承包人未能就合同解除后的清算和款项支付达成一致的，按照第20条〔争议解决〕的约定处理。</w:t>
      </w:r>
    </w:p>
    <w:p w14:paraId="25E858A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16.2.5采购合同权益转让</w:t>
      </w:r>
    </w:p>
    <w:p w14:paraId="48834035">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E296E4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16.3 第三人造成的违约</w:t>
      </w:r>
    </w:p>
    <w:p w14:paraId="00FEEAD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在履行合同过程中，一方当事人因第三人的原因造成违约的，应当向对方当事人承担违约责任。一方当事人和第三人之间的纠纷，依照法律规定或者按照约定解决。</w:t>
      </w:r>
    </w:p>
    <w:p w14:paraId="0567106F">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 xml:space="preserve">17. 不可抗力 </w:t>
      </w:r>
    </w:p>
    <w:p w14:paraId="55AE7BDC">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17.1 不可抗力的确认</w:t>
      </w:r>
    </w:p>
    <w:p w14:paraId="459282C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不可抗力是指合同当事人在签订合同时不可预见，在合同履行过程中不可避免且不能克服的自然灾害和社会性突发事件，如地震、海啸、瘟疫、骚乱、戒严、暴动、战争和专用合同条款中约定的其他情形。</w:t>
      </w:r>
    </w:p>
    <w:p w14:paraId="2836FE2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2C964FA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17.2 不可抗力的通知</w:t>
      </w:r>
    </w:p>
    <w:p w14:paraId="48A10A9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合同一方当事人遇到不可抗力事件，使其履行合同义务受到阻碍时，应立即通知合同另一方当事人和监理人，书面说明不可抗力和受阻碍的详细情况，并提供必要的证明。</w:t>
      </w:r>
    </w:p>
    <w:p w14:paraId="1ED5CB28">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不可抗力持续发生的，合同一方当事人应及时向合同另一方当事人和监理人提交中间报告，说明不可抗力和履行合同受阻的情况，并于不可抗力事件结束后28天内提交最终报告及有关资料。</w:t>
      </w:r>
    </w:p>
    <w:p w14:paraId="78CDDF64">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17.3 不可抗力后果的承担</w:t>
      </w:r>
    </w:p>
    <w:p w14:paraId="01A8109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17.3.1 不可抗力引起的后果及造成的损失由合同当事人按照法律规定及合同约定各自承担。不可抗力发生前已完成的工程应当按照合同约定进行计量支付。</w:t>
      </w:r>
    </w:p>
    <w:p w14:paraId="705BB28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17.3.2 不可抗力导致的人员伤亡、财产损失、费用增加和（或）工期延误等后果，由合同当事人按以下原则承担：</w:t>
      </w:r>
    </w:p>
    <w:p w14:paraId="1274650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（1）永久工程、已运至施工现场的材料和工程设备的损坏，以及因工程损坏造成的第三人人员伤亡和财产损失由发包人承担；</w:t>
      </w:r>
    </w:p>
    <w:p w14:paraId="12A8936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（2）承包人施工设备的损坏由承包人承担；</w:t>
      </w:r>
    </w:p>
    <w:p w14:paraId="17D637A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（3）发包人和承包人承担各自人员伤亡和财产的损失；</w:t>
      </w:r>
    </w:p>
    <w:p w14:paraId="5309D94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6F373A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（5）因不可抗力引起或将引起工期延误，发包人要求赶工的，由此增加的赶工费用由发包人承担；</w:t>
      </w:r>
    </w:p>
    <w:p w14:paraId="097C826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（6）承包人在停工期间按照发包人要求照管、清理和修复工程的费用由发包人承担。</w:t>
      </w:r>
    </w:p>
    <w:p w14:paraId="054C5F39">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不可抗力发生后，合同当事人均应采取措施尽量避免和减少损失的扩大，任何一方当事人没有采取有效措施导致损失扩大的，应对扩大的损失承担责任。</w:t>
      </w:r>
    </w:p>
    <w:p w14:paraId="4F0B480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因合同一方迟延履行合同义务，在迟延履行期间遭遇不可抗力的，不免除其违约责任。</w:t>
      </w:r>
    </w:p>
    <w:p w14:paraId="22F5259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17.4 因不可抗力解除合同</w:t>
      </w:r>
    </w:p>
    <w:p w14:paraId="700204C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因不可抗力导致合同无法履行连续超过84天或累计超过140天的，发包人和承包人均有权解除合同。合同解除后，由双方当事人按照第4.4款〔商定或确定〕商定或确定发包人应支付的款项，该款项包括：</w:t>
      </w:r>
    </w:p>
    <w:p w14:paraId="1E76920C">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（1）合同解除前承包人已完成工作的价款；</w:t>
      </w:r>
    </w:p>
    <w:p w14:paraId="66A4157A">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（2）承包人为工程订购的并已交付给承包人，或承包人有责任接受交付的材料、工程设备和其他物品的价款；</w:t>
      </w:r>
    </w:p>
    <w:p w14:paraId="20EF9EB9">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（3）发包人要求承包人退货或解除订货合同而产生的费用，或因不能退货或解除合同而产生的损失；</w:t>
      </w:r>
    </w:p>
    <w:p w14:paraId="17FCF0FB">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（4）承包人撤离施工现场以及遣散承包人人员的费用；</w:t>
      </w:r>
    </w:p>
    <w:p w14:paraId="79846AB1">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（5）按照合同约定在合同解除前应支付给承包人的其他款项；</w:t>
      </w:r>
    </w:p>
    <w:p w14:paraId="7DCBE7E3">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（6）扣减承包人按照合同约定应向发包人支付的款项；</w:t>
      </w:r>
    </w:p>
    <w:p w14:paraId="23407927">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（7）双方商定或确定的其他款项。</w:t>
      </w:r>
    </w:p>
    <w:p w14:paraId="35A7D100">
      <w:pPr>
        <w:pStyle w:val="21"/>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除专用合同条款另有约定外，合同解除后，发包人应在商定或确定上述款项后28天内完成上述款项的支付。</w:t>
      </w:r>
    </w:p>
    <w:p w14:paraId="4D94BE07">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18. 保险</w:t>
      </w:r>
    </w:p>
    <w:p w14:paraId="3FE975D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18.1 工程保险</w:t>
      </w:r>
    </w:p>
    <w:p w14:paraId="145758E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除专用合同条款另有约定外，发包人应投保建筑工程一切险或安装工程一切险；发包人委托承包人投保的，因投保产生的保险费和其他相关费用由发包人承担。</w:t>
      </w:r>
    </w:p>
    <w:p w14:paraId="704A72B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18.2 工伤保险</w:t>
      </w:r>
    </w:p>
    <w:p w14:paraId="43B22F7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18.2.1 发包人应依照法律规定参加工伤保险，并为在施工现场的全部员工办理工伤保险，缴纳工伤保险费，并要求监理人及由发包人为履行合同聘请的第三方依法参加工伤保险。</w:t>
      </w:r>
    </w:p>
    <w:p w14:paraId="52499D2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18.2.2 承包人应依照法律规定参加工伤保险，并为其履行合同的全部员工办理工伤保险，缴纳工伤保险费，并要求分包人及由承包人为履行合同聘请的第三方依法参加工伤保险。</w:t>
      </w:r>
    </w:p>
    <w:p w14:paraId="10FB3CE5">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18.3其他保险</w:t>
      </w:r>
    </w:p>
    <w:p w14:paraId="6483D4D6">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发包人和承包人可以为其施工现场的全部人员办理意外伤害保险并支付保险费，包括其员工及为履行合同聘请的第三方的人员，具体事项由合同当事人在专用合同条款约定。</w:t>
      </w:r>
    </w:p>
    <w:p w14:paraId="015C2251">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除专用合同条款另有约定外，承包人应为其施工设备等办理财产保险。</w:t>
      </w:r>
    </w:p>
    <w:p w14:paraId="268867BC">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18.4持续保险</w:t>
      </w:r>
    </w:p>
    <w:p w14:paraId="35FE6E0F">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合同当事人应与保险人保持联系，使保险人能够随时了解工程实施中的变动，并确保按保险合同条款要求持续保险。</w:t>
      </w:r>
    </w:p>
    <w:p w14:paraId="2B295449">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18.5 保险凭证</w:t>
      </w:r>
    </w:p>
    <w:p w14:paraId="3010606A">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合同当事人应及时向另一方当事人提交其已投保的各项保险的凭证和保险单复印件。</w:t>
      </w:r>
    </w:p>
    <w:p w14:paraId="49295B0B">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18.6 未按约定投保的补救</w:t>
      </w:r>
    </w:p>
    <w:p w14:paraId="20C97F1B">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18.6.1发包人未按合同约定办理保险，或未能使保险持续有效的，则承包人可代为办理，所需费用由发包人承担。发包人未按合同约定办理保险，导致未能得到足额赔偿的，由发包人负责补足。</w:t>
      </w:r>
    </w:p>
    <w:p w14:paraId="03CCFD47">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18.6.2承包人未按合同约定办理保险，或未能使保险持续有效的，则发包人可代为办理，所需费用由承包人承担。承包人未按合同约定办理保险，导致未能得到足额赔偿的，由承包人负责补足。</w:t>
      </w:r>
    </w:p>
    <w:p w14:paraId="1C1EEF5E">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18.7 通知义务</w:t>
      </w:r>
    </w:p>
    <w:p w14:paraId="740A6AD3">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除专用合同条款另有约定外，发包人变更除工伤保险之外的保险合同时，应事先征得承包人同意，并通知监理人；承包人变更除工伤保险之外的保险合同时，应事先征得发包人同意，并通知监理人。</w:t>
      </w:r>
    </w:p>
    <w:p w14:paraId="19A9197C">
      <w:pPr>
        <w:pStyle w:val="21"/>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保险事故发生时，投保人应按照保险合同规定的条件和期限及时向保险人报告。发包人和承包人应当在知道保险事故发生后及时通知对方。</w:t>
      </w:r>
    </w:p>
    <w:p w14:paraId="34970F40">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19. 索赔</w:t>
      </w:r>
    </w:p>
    <w:p w14:paraId="240CC60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19.1承包人的索赔</w:t>
      </w:r>
    </w:p>
    <w:p w14:paraId="518A336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根据合同约定，承包人认为有权得到追加付款和（或）延长工期的，应按以下程序向发包人提出索赔：</w:t>
      </w:r>
    </w:p>
    <w:p w14:paraId="26D15D2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401CBC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（2）承包人应在发出索赔意向通知书后28天内，向监理人正式递交索赔报告；索赔报告应详细说明索赔理由以及要求追加的付款金额和（或）延长的工期，并附必要的记录和证明材料；</w:t>
      </w:r>
    </w:p>
    <w:p w14:paraId="7FE5122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（3）索赔事件具有持续影响的，承包人应按合理时间间隔继续递交延续索赔通知，说明持续影响的实际情况和记录，列出累计的追加付款金额和（或）工期延长天数；</w:t>
      </w:r>
    </w:p>
    <w:p w14:paraId="37C133E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（4）在索赔事件影响结束后28天内，承包人应向监理人递交最终索赔报告，说明最终要求索赔的追加付款金额和（或）延长的工期，并附必要的记录和证明材料。</w:t>
      </w:r>
    </w:p>
    <w:p w14:paraId="02494066">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19.2 对承包人索赔的处理</w:t>
      </w:r>
    </w:p>
    <w:p w14:paraId="4F5343AE">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对承包人索赔的处理如下：</w:t>
      </w:r>
    </w:p>
    <w:p w14:paraId="4F47E5D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（1）监理人应在收到索赔报告后14天内完成审查并报送发包人。监理人对索赔报告存在异议的，有权要求承包人提交全部原始记录副本；</w:t>
      </w:r>
    </w:p>
    <w:p w14:paraId="7CA21983">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（2）发包人应在监理人收到索赔报告或有关索赔的进一步证明材料后的28天内，由监理人向承包人出具经发包人签认的索赔处理结果。发包人逾期答复的，则视为认可承包人的索赔要求；</w:t>
      </w:r>
    </w:p>
    <w:p w14:paraId="29CAC20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（3）承包人接受索赔处理结果的，索赔款项在当期进度款中进行支付；承包人不接受索赔处理结果的，按照第20条〔争议解决〕约定处理。</w:t>
      </w:r>
    </w:p>
    <w:p w14:paraId="5E4B97E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19.3发包人的索赔</w:t>
      </w:r>
    </w:p>
    <w:p w14:paraId="2B0BB8F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根据合同约定，发包人认为有权得到赔付金额和（或）延长缺陷责任期的，监理人应向承包人发出通知并附有详细的证明。</w:t>
      </w:r>
    </w:p>
    <w:p w14:paraId="24094E15">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79AA4A3">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19.4 对发包人索赔的处理</w:t>
      </w:r>
    </w:p>
    <w:p w14:paraId="38B08E8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对发包人索赔的处理如下：</w:t>
      </w:r>
    </w:p>
    <w:p w14:paraId="29725E3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（1）承包人收到发包人提交的索赔报告后，应及时审查索赔报告的内容、查验发包人证明材料；</w:t>
      </w:r>
    </w:p>
    <w:p w14:paraId="5FF3425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（2）承包人应在收到索赔报告或有关索赔的进一步证明材料后28天内，将索赔处理结果答复发包人。如果承包人未在上述期限内作出答复的，则视为对发包人索赔要求的认可；</w:t>
      </w:r>
    </w:p>
    <w:p w14:paraId="4CFF9C9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（3）承包人接受索赔处理结果的，发包人可从应支付给承包人的合同价款中扣除赔付的金额或延长缺陷责任期；发包人不接受索赔处理结果的，按第20条〔争议解决〕约定处理。</w:t>
      </w:r>
    </w:p>
    <w:p w14:paraId="1DF3891A">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19.5 提出索赔的期限</w:t>
      </w:r>
    </w:p>
    <w:p w14:paraId="0E1F5044">
      <w:pPr>
        <w:pStyle w:val="21"/>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（1）承包人按第14.2款〔竣工结算审核〕约定接收竣工付款证书后，应被视为已无权再提出在工程接收证书颁发前所发生的任何索赔。</w:t>
      </w:r>
    </w:p>
    <w:p w14:paraId="6BD5EDB1">
      <w:pPr>
        <w:pStyle w:val="21"/>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（2）承包人按第14.4款〔最终结清〕提交的最终结清申请单中，只限于提出工程接收证书颁发后发生的索赔。提出索赔的期限自接受最终结清证书时终止。</w:t>
      </w:r>
    </w:p>
    <w:p w14:paraId="00570E23">
      <w:pPr>
        <w:pStyle w:val="21"/>
        <w:outlineLvl w:val="3"/>
        <w:rPr>
          <w:rFonts w:hint="eastAsia" w:ascii="宋体" w:hAnsi="宋体" w:eastAsia="宋体" w:cs="宋体"/>
          <w:b/>
          <w:sz w:val="24"/>
          <w:szCs w:val="24"/>
        </w:rPr>
      </w:pPr>
      <w:r>
        <w:rPr>
          <w:rFonts w:hint="eastAsia" w:ascii="宋体" w:hAnsi="宋体" w:eastAsia="宋体" w:cs="宋体"/>
          <w:b/>
          <w:sz w:val="24"/>
          <w:szCs w:val="24"/>
          <w:highlight w:val="white"/>
        </w:rPr>
        <w:t>20. 争议解决</w:t>
      </w:r>
    </w:p>
    <w:p w14:paraId="22638200">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20.1和解</w:t>
      </w:r>
    </w:p>
    <w:p w14:paraId="74DAF452">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合同当事人可以就争议自行和解，自行和解达成协议的经双方签字并盖章后作为合同补充文件，双方均应遵照执行。</w:t>
      </w:r>
    </w:p>
    <w:p w14:paraId="7F673F7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20.2调解</w:t>
      </w:r>
    </w:p>
    <w:p w14:paraId="5924B1D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合同当事人可以就争议请求建设行政主管部门、行业协会或其他第三方进行调解，调解达成协议的，经双方签字并盖章后作为合同补充文件，双方均应遵照执行。</w:t>
      </w:r>
    </w:p>
    <w:p w14:paraId="59B5EFCD">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20.3争议评审</w:t>
      </w:r>
    </w:p>
    <w:p w14:paraId="6257486C">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合同当事人在专用合同条款中约定采取争议评审方式解决争议以及评审规则，并按下列约定执行： </w:t>
      </w:r>
    </w:p>
    <w:p w14:paraId="302D6036">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20.3.1 争议评审小组的确定</w:t>
      </w:r>
    </w:p>
    <w:p w14:paraId="44F6133A">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合同当事人可以共同选择一名或三名争议评审员，组成争议评审小组。除专用合同条款另有约定外，合同当事人应当自合同签订后28天内，或者争议发生后14天内，选定争议评审员。</w:t>
      </w:r>
    </w:p>
    <w:p w14:paraId="68349EF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854170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除专用合同条款另有约定外，评审员报酬由发包人和承包人各承担一半。</w:t>
      </w:r>
    </w:p>
    <w:p w14:paraId="729B895B">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20.3.2 争议评审小组的决定</w:t>
      </w:r>
    </w:p>
    <w:p w14:paraId="01FEAA30">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AFAE9EF">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highlight w:val="white"/>
        </w:rPr>
      </w:pPr>
      <w:r>
        <w:rPr>
          <w:rFonts w:hint="eastAsia" w:ascii="宋体" w:hAnsi="宋体" w:eastAsia="宋体" w:cs="宋体"/>
          <w:color w:val="000000"/>
          <w:kern w:val="0"/>
          <w:sz w:val="24"/>
          <w:szCs w:val="24"/>
          <w:highlight w:val="white"/>
        </w:rPr>
        <w:t>20.3.3 争议评审小组决定的效力</w:t>
      </w:r>
    </w:p>
    <w:p w14:paraId="4C6571B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争议评审小组作出的书面决定经合同当事人签字确认后，对双方具有约束力，双方应遵照执行。</w:t>
      </w:r>
    </w:p>
    <w:p w14:paraId="3A162751">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任何一方当事人不接受争议评审小组决定或不履行争议评审小组决定的，双方可选择采用其他争议解决方式。</w:t>
      </w:r>
    </w:p>
    <w:p w14:paraId="6F272861">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20.4仲裁或诉讼</w:t>
      </w:r>
    </w:p>
    <w:p w14:paraId="228D65C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因合同及合同有关事项产生的争议，合同当事人可以在专用合同条款中约定以下一种方式解决争议：</w:t>
      </w:r>
    </w:p>
    <w:p w14:paraId="02E2BBA7">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（1）向约定的仲裁委员会申请仲裁；</w:t>
      </w:r>
    </w:p>
    <w:p w14:paraId="4967CFB4">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（2）向有管辖权的人民法院起诉。</w:t>
      </w:r>
    </w:p>
    <w:p w14:paraId="01D874A2">
      <w:pPr>
        <w:pStyle w:val="21"/>
        <w:outlineLvl w:val="4"/>
        <w:rPr>
          <w:rFonts w:hint="eastAsia" w:ascii="宋体" w:hAnsi="宋体" w:eastAsia="宋体" w:cs="宋体"/>
          <w:sz w:val="24"/>
          <w:szCs w:val="24"/>
        </w:rPr>
      </w:pPr>
      <w:r>
        <w:rPr>
          <w:rFonts w:hint="eastAsia" w:ascii="宋体" w:hAnsi="宋体" w:eastAsia="宋体" w:cs="宋体"/>
          <w:sz w:val="24"/>
          <w:szCs w:val="24"/>
          <w:highlight w:val="white"/>
        </w:rPr>
        <w:t>20.5争议解决条款效力</w:t>
      </w:r>
    </w:p>
    <w:p w14:paraId="0D3F7B6D">
      <w:pPr>
        <w:pStyle w:val="21"/>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 xml:space="preserve">合同有关争议解决的条款独立存在，合同的变更、解除、终止、无效或者被撤销均不影响其效力。 </w:t>
      </w:r>
    </w:p>
    <w:p w14:paraId="1FAAEF83">
      <w:pPr>
        <w:pStyle w:val="21"/>
        <w:ind w:firstLine="480" w:firstLineChars="200"/>
        <w:jc w:val="center"/>
        <w:outlineLvl w:val="1"/>
        <w:rPr>
          <w:rFonts w:hint="eastAsia" w:ascii="宋体" w:hAnsi="宋体" w:eastAsia="宋体" w:cs="宋体"/>
          <w:b/>
          <w:sz w:val="24"/>
          <w:szCs w:val="24"/>
        </w:rPr>
      </w:pPr>
      <w:r>
        <w:rPr>
          <w:rFonts w:hint="eastAsia" w:ascii="宋体" w:hAnsi="宋体" w:eastAsia="宋体" w:cs="宋体"/>
          <w:sz w:val="24"/>
          <w:szCs w:val="24"/>
          <w:highlight w:val="white"/>
        </w:rPr>
        <w:br w:type="page"/>
      </w:r>
      <w:bookmarkStart w:id="439" w:name="_Toc256000157"/>
      <w:bookmarkStart w:id="440" w:name="_Toc3704"/>
      <w:r>
        <w:rPr>
          <w:rFonts w:hint="eastAsia" w:ascii="宋体" w:hAnsi="宋体" w:eastAsia="宋体" w:cs="宋体"/>
          <w:b/>
          <w:sz w:val="24"/>
          <w:szCs w:val="24"/>
          <w:highlight w:val="white"/>
        </w:rPr>
        <w:t>第三部分 专用合同条款</w:t>
      </w:r>
      <w:bookmarkEnd w:id="439"/>
      <w:bookmarkEnd w:id="440"/>
    </w:p>
    <w:p w14:paraId="763D1C59">
      <w:pPr>
        <w:pStyle w:val="21"/>
        <w:outlineLvl w:val="3"/>
        <w:rPr>
          <w:rFonts w:hint="eastAsia" w:ascii="宋体" w:hAnsi="宋体" w:eastAsia="宋体" w:cs="宋体"/>
          <w:sz w:val="24"/>
          <w:szCs w:val="24"/>
        </w:rPr>
      </w:pPr>
      <w:r>
        <w:rPr>
          <w:rFonts w:hint="eastAsia" w:ascii="宋体" w:hAnsi="宋体" w:eastAsia="宋体" w:cs="宋体"/>
          <w:sz w:val="24"/>
          <w:szCs w:val="24"/>
          <w:highlight w:val="white"/>
        </w:rPr>
        <w:t>1. 一般约定</w:t>
      </w:r>
    </w:p>
    <w:p w14:paraId="7D2ACE05">
      <w:pPr>
        <w:pStyle w:val="95"/>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 词语定义</w:t>
      </w:r>
    </w:p>
    <w:p w14:paraId="694CB97D">
      <w:pPr>
        <w:pStyle w:val="95"/>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1.1.1合同</w:t>
      </w:r>
    </w:p>
    <w:p w14:paraId="6E92351F">
      <w:pPr>
        <w:pStyle w:val="95"/>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1.1.1.10其他合同文件包括：</w:t>
      </w:r>
      <w:r>
        <w:rPr>
          <w:rFonts w:hint="eastAsia" w:ascii="宋体" w:hAnsi="宋体" w:eastAsia="宋体" w:cs="宋体"/>
          <w:color w:val="000000"/>
          <w:sz w:val="24"/>
          <w:szCs w:val="24"/>
          <w:highlight w:val="white"/>
          <w:u w:val="single"/>
        </w:rPr>
        <w:t xml:space="preserve">（1）中标通知书； （2）投标函及其附录（如果有）； （3）专用合同条款及其附件； （4）通用合同条款； （5）技术标准和要求； （6）图纸； （7）已标价工程量清单或预算书； （8）其他合同文件 </w:t>
      </w:r>
      <w:r>
        <w:rPr>
          <w:rFonts w:hint="eastAsia" w:ascii="宋体" w:hAnsi="宋体" w:eastAsia="宋体" w:cs="宋体"/>
          <w:color w:val="000000"/>
          <w:sz w:val="24"/>
          <w:szCs w:val="24"/>
          <w:highlight w:val="white"/>
        </w:rPr>
        <w:t>。</w:t>
      </w:r>
    </w:p>
    <w:p w14:paraId="2D6D31A8">
      <w:pPr>
        <w:pStyle w:val="95"/>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1.1.2 合同当事人及其他相关方</w:t>
      </w:r>
    </w:p>
    <w:p w14:paraId="16AACCCC">
      <w:pPr>
        <w:pStyle w:val="95"/>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1.1.2.4监理人：</w:t>
      </w:r>
    </w:p>
    <w:p w14:paraId="199D4681">
      <w:pPr>
        <w:pStyle w:val="95"/>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名    称：</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6502FC9C">
      <w:pPr>
        <w:pStyle w:val="95"/>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资质类别和等级：</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67A1442C">
      <w:pPr>
        <w:pStyle w:val="95"/>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0F29F20D">
      <w:pPr>
        <w:pStyle w:val="95"/>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6E779E69">
      <w:pPr>
        <w:pStyle w:val="95"/>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通信地址：</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017010DC">
      <w:pPr>
        <w:pStyle w:val="95"/>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1.1.2.5 设计人：</w:t>
      </w:r>
    </w:p>
    <w:p w14:paraId="386DB400">
      <w:pPr>
        <w:pStyle w:val="95"/>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名    称：</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645F480A">
      <w:pPr>
        <w:pStyle w:val="95"/>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资质类别和等级：</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4AA68433">
      <w:pPr>
        <w:pStyle w:val="95"/>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23C201AB">
      <w:pPr>
        <w:pStyle w:val="95"/>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7792E24F">
      <w:pPr>
        <w:pStyle w:val="95"/>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通信地址：</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56B828C7">
      <w:pPr>
        <w:pStyle w:val="95"/>
        <w:spacing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1.1.3 工程和设备</w:t>
      </w:r>
    </w:p>
    <w:p w14:paraId="23B0AE2A">
      <w:pPr>
        <w:pStyle w:val="95"/>
        <w:spacing w:line="4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1.1.3.7 作为施工现场组成部分的其他场所包括：</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52A24FF5">
      <w:pPr>
        <w:pStyle w:val="95"/>
        <w:spacing w:line="46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1.1.3.9 永久占地包括：</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kern w:val="0"/>
          <w:sz w:val="24"/>
          <w:szCs w:val="24"/>
          <w:highlight w:val="white"/>
        </w:rPr>
        <w:t>。</w:t>
      </w:r>
    </w:p>
    <w:p w14:paraId="12F484A4">
      <w:pPr>
        <w:pStyle w:val="95"/>
        <w:spacing w:line="460" w:lineRule="exact"/>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1.1.3.10 临时占地包括：</w:t>
      </w:r>
      <w:r>
        <w:rPr>
          <w:rFonts w:hint="eastAsia" w:ascii="宋体" w:hAnsi="宋体" w:eastAsia="宋体" w:cs="宋体"/>
          <w:color w:val="000000"/>
          <w:sz w:val="24"/>
          <w:szCs w:val="24"/>
          <w:highlight w:val="white"/>
          <w:u w:val="single"/>
          <w:lang w:val="en-US" w:eastAsia="zh-CN"/>
        </w:rPr>
        <w:t xml:space="preserve">                              </w:t>
      </w:r>
    </w:p>
    <w:p w14:paraId="0E594475">
      <w:pPr>
        <w:pStyle w:val="95"/>
        <w:spacing w:after="120" w:line="460" w:lineRule="exac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1.3法律 </w:t>
      </w:r>
    </w:p>
    <w:p w14:paraId="61B497DD">
      <w:pPr>
        <w:pStyle w:val="95"/>
        <w:autoSpaceDE w:val="0"/>
        <w:autoSpaceDN w:val="0"/>
        <w:adjustRightInd w:val="0"/>
        <w:spacing w:line="500" w:lineRule="exact"/>
        <w:ind w:left="596" w:leftChars="284"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适用于合同的其他规范性文件：</w:t>
      </w:r>
      <w:r>
        <w:rPr>
          <w:rFonts w:hint="eastAsia" w:ascii="宋体" w:hAnsi="宋体" w:eastAsia="宋体" w:cs="宋体"/>
          <w:color w:val="000000"/>
          <w:sz w:val="24"/>
          <w:szCs w:val="24"/>
          <w:highlight w:val="white"/>
          <w:u w:val="single"/>
        </w:rPr>
        <w:t>《</w:t>
      </w:r>
      <w:r>
        <w:rPr>
          <w:rFonts w:hint="eastAsia" w:ascii="宋体" w:hAnsi="宋体" w:cs="宋体"/>
          <w:color w:val="000000"/>
          <w:sz w:val="24"/>
          <w:szCs w:val="24"/>
          <w:highlight w:val="white"/>
          <w:u w:val="single"/>
          <w:lang w:eastAsia="zh-CN"/>
        </w:rPr>
        <w:t>中华人民共和国合同民法典</w:t>
      </w:r>
      <w:r>
        <w:rPr>
          <w:rFonts w:hint="eastAsia" w:ascii="宋体" w:hAnsi="宋体" w:eastAsia="宋体" w:cs="宋体"/>
          <w:color w:val="000000"/>
          <w:sz w:val="24"/>
          <w:szCs w:val="24"/>
          <w:highlight w:val="white"/>
          <w:u w:val="single"/>
        </w:rPr>
        <w:t>》、《中华人民共和国建筑法》、《建设工程质量管理条例》、《建设工程安全生产管理条例》、《新疆维吾尔自治区建筑市场管理条例》等国家法规及自治区和地方的有关规定 。</w:t>
      </w:r>
    </w:p>
    <w:p w14:paraId="1CED68E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1.4 标准和规范</w:t>
      </w:r>
    </w:p>
    <w:p w14:paraId="07F26CD6">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1.4.1适用于工程的标准规范包括：</w:t>
      </w:r>
      <w:r>
        <w:rPr>
          <w:rFonts w:hint="eastAsia" w:ascii="宋体" w:hAnsi="宋体" w:eastAsia="宋体" w:cs="宋体"/>
          <w:color w:val="000000"/>
          <w:sz w:val="24"/>
          <w:szCs w:val="24"/>
          <w:highlight w:val="white"/>
          <w:u w:val="single"/>
        </w:rPr>
        <w:t>现行国家、行业有关建筑工程施工、验收规范、验收标准；2、施工安全管理规定、规程及规定；3、新疆维吾尔自治区地方性标准及相应规范、规程；4、设计单位设计的施工图中涉及到的规范、规程和标准及相关技术要求。</w:t>
      </w:r>
    </w:p>
    <w:p w14:paraId="02C65EFD">
      <w:pPr>
        <w:pStyle w:val="95"/>
        <w:spacing w:line="500" w:lineRule="exact"/>
        <w:ind w:left="420" w:firstLine="48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highlight w:val="white"/>
        </w:rPr>
        <w:t>1.4.2 发包人提供国外标准、规范的名称</w:t>
      </w:r>
      <w:r>
        <w:rPr>
          <w:rFonts w:hint="eastAsia" w:ascii="宋体" w:hAnsi="宋体" w:eastAsia="宋体" w:cs="宋体"/>
          <w:color w:val="000000"/>
          <w:kern w:val="0"/>
          <w:sz w:val="24"/>
          <w:szCs w:val="24"/>
          <w:highlight w:val="white"/>
          <w:lang w:eastAsia="zh-CN"/>
        </w:rPr>
        <w:t>：</w:t>
      </w:r>
      <w:r>
        <w:rPr>
          <w:rFonts w:hint="eastAsia" w:ascii="宋体" w:hAnsi="宋体" w:eastAsia="宋体" w:cs="宋体"/>
          <w:color w:val="000000"/>
          <w:kern w:val="0"/>
          <w:sz w:val="24"/>
          <w:szCs w:val="24"/>
          <w:highlight w:val="white"/>
          <w:u w:val="single"/>
        </w:rPr>
        <w:t xml:space="preserve">                     </w:t>
      </w:r>
      <w:r>
        <w:rPr>
          <w:rFonts w:hint="eastAsia" w:ascii="宋体" w:hAnsi="宋体" w:eastAsia="宋体" w:cs="宋体"/>
          <w:color w:val="000000"/>
          <w:kern w:val="0"/>
          <w:sz w:val="24"/>
          <w:szCs w:val="24"/>
          <w:highlight w:val="white"/>
        </w:rPr>
        <w:t>；</w:t>
      </w:r>
    </w:p>
    <w:p w14:paraId="5377B2F9">
      <w:pPr>
        <w:pStyle w:val="95"/>
        <w:spacing w:line="500" w:lineRule="exact"/>
        <w:ind w:firstLine="720" w:firstLineChars="3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发包人提供国外标准、规范的份数：</w:t>
      </w:r>
      <w:r>
        <w:rPr>
          <w:rFonts w:hint="eastAsia" w:ascii="宋体" w:hAnsi="宋体" w:eastAsia="宋体" w:cs="宋体"/>
          <w:color w:val="000000"/>
          <w:kern w:val="0"/>
          <w:sz w:val="24"/>
          <w:szCs w:val="24"/>
          <w:highlight w:val="white"/>
          <w:u w:val="single"/>
        </w:rPr>
        <w:t xml:space="preserve">   无                       </w:t>
      </w:r>
      <w:r>
        <w:rPr>
          <w:rFonts w:hint="eastAsia" w:ascii="宋体" w:hAnsi="宋体" w:eastAsia="宋体" w:cs="宋体"/>
          <w:color w:val="000000"/>
          <w:kern w:val="0"/>
          <w:sz w:val="24"/>
          <w:szCs w:val="24"/>
          <w:highlight w:val="white"/>
        </w:rPr>
        <w:t>；</w:t>
      </w:r>
    </w:p>
    <w:p w14:paraId="228F3668">
      <w:pPr>
        <w:pStyle w:val="95"/>
        <w:spacing w:line="500" w:lineRule="exact"/>
        <w:ind w:firstLine="720" w:firstLineChars="300"/>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发包人提供国外标准、规范的名称：</w:t>
      </w:r>
      <w:r>
        <w:rPr>
          <w:rFonts w:hint="eastAsia" w:ascii="宋体" w:hAnsi="宋体" w:eastAsia="宋体" w:cs="宋体"/>
          <w:color w:val="000000"/>
          <w:kern w:val="0"/>
          <w:sz w:val="24"/>
          <w:szCs w:val="24"/>
          <w:highlight w:val="white"/>
          <w:u w:val="single"/>
        </w:rPr>
        <w:t xml:space="preserve">   无                       </w:t>
      </w:r>
      <w:r>
        <w:rPr>
          <w:rFonts w:hint="eastAsia" w:ascii="宋体" w:hAnsi="宋体" w:eastAsia="宋体" w:cs="宋体"/>
          <w:color w:val="000000"/>
          <w:kern w:val="0"/>
          <w:sz w:val="24"/>
          <w:szCs w:val="24"/>
          <w:highlight w:val="white"/>
        </w:rPr>
        <w:t>。</w:t>
      </w:r>
    </w:p>
    <w:p w14:paraId="7343C50F">
      <w:pPr>
        <w:pStyle w:val="95"/>
        <w:spacing w:line="500" w:lineRule="exact"/>
        <w:ind w:left="420"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1.4.3发包人对工程的技术标准和功能要求的特殊要求：</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p>
    <w:p w14:paraId="5A6EF0C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1.5 合同文件的优先顺序</w:t>
      </w:r>
    </w:p>
    <w:p w14:paraId="6AC6243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合同文件组成及优先顺序为：</w:t>
      </w:r>
      <w:r>
        <w:rPr>
          <w:rFonts w:hint="eastAsia" w:ascii="宋体" w:hAnsi="宋体" w:eastAsia="宋体" w:cs="宋体"/>
          <w:color w:val="000000"/>
          <w:sz w:val="24"/>
          <w:szCs w:val="24"/>
          <w:highlight w:val="white"/>
          <w:u w:val="single"/>
        </w:rPr>
        <w:t>执行通用合同条款1.4条</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p>
    <w:p w14:paraId="1B65BE2B">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 图纸和承包人文件</w:t>
      </w:r>
      <w:r>
        <w:rPr>
          <w:rFonts w:hint="eastAsia" w:ascii="宋体" w:hAnsi="宋体" w:eastAsia="宋体" w:cs="宋体"/>
          <w:color w:val="000000"/>
          <w:sz w:val="24"/>
          <w:szCs w:val="24"/>
          <w:highlight w:val="white"/>
        </w:rPr>
        <w:tab/>
      </w:r>
    </w:p>
    <w:p w14:paraId="261F192C">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1.6.1 图纸的提供</w:t>
      </w:r>
    </w:p>
    <w:p w14:paraId="75597495">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发包人向承包人提供图纸的期限：</w:t>
      </w:r>
      <w:r>
        <w:rPr>
          <w:rFonts w:hint="eastAsia" w:ascii="宋体" w:hAnsi="宋体" w:eastAsia="宋体" w:cs="宋体"/>
          <w:color w:val="000000"/>
          <w:sz w:val="24"/>
          <w:szCs w:val="24"/>
          <w:highlight w:val="white"/>
          <w:u w:val="single"/>
        </w:rPr>
        <w:sym w:font="MingLiU_HKSCS" w:char="E5E5"/>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p>
    <w:p w14:paraId="495804E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发包人向承包人提供图纸的数量：</w:t>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p>
    <w:p w14:paraId="6F2ACABD">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发包人向承包人提供图纸的内容：</w:t>
      </w:r>
      <w:r>
        <w:rPr>
          <w:rFonts w:hint="eastAsia" w:ascii="宋体" w:hAnsi="宋体" w:eastAsia="宋体" w:cs="宋体"/>
          <w:color w:val="000000"/>
          <w:sz w:val="24"/>
          <w:szCs w:val="24"/>
          <w:highlight w:val="white"/>
          <w:u w:val="single"/>
        </w:rPr>
        <w:sym w:font="MingLiU_HKSCS" w:char="E5E5"/>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t>。</w:t>
      </w:r>
    </w:p>
    <w:p w14:paraId="18C7EAA0">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1.6.4 承包人文件</w:t>
      </w:r>
    </w:p>
    <w:p w14:paraId="5A035303">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 xml:space="preserve">需要由承包人提供的文件，包括：施工组织设计、安全管理细则、农民工工资保障保险、经济技术签证等资料文件及地方相关部门签发的保证工程施工顺利实施的相关资料（外来务工人员居住证等）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w:t>
      </w:r>
    </w:p>
    <w:p w14:paraId="4168FC22">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承包人提供的文件的期限为：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工程开工前三日内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w:t>
      </w:r>
    </w:p>
    <w:p w14:paraId="4BB4B393">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承包人提供的文件的数量为：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3套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w:t>
      </w:r>
    </w:p>
    <w:p w14:paraId="4F46041D">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承包人提供的文件的形式为：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书面形式</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w:t>
      </w:r>
    </w:p>
    <w:p w14:paraId="26555C7C">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u w:val="single"/>
        </w:rPr>
        <w:t>发包人审批承包人文件的期限：</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监理人在收到承包人文件后5天内审查完毕监理人对承包人文件有异议的，承包人应予以修改，并重新报送监理人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48F9A163">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1.6.5 现场图纸准备</w:t>
      </w:r>
    </w:p>
    <w:p w14:paraId="7E97D757">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关于现场图纸准备的约定</w:t>
      </w:r>
      <w:r>
        <w:rPr>
          <w:rFonts w:hint="eastAsia" w:ascii="宋体" w:hAnsi="宋体" w:eastAsia="宋体" w:cs="宋体"/>
          <w:color w:val="000000"/>
          <w:sz w:val="24"/>
          <w:szCs w:val="24"/>
          <w:highlight w:val="white"/>
          <w:u w:val="single"/>
        </w:rPr>
        <w:t>：</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按通用条款执行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0FA4C713">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1.7 联络</w:t>
      </w:r>
    </w:p>
    <w:p w14:paraId="23374A76">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1.7.1发包人和承包人应当在</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kern w:val="0"/>
          <w:sz w:val="24"/>
          <w:szCs w:val="24"/>
          <w:highlight w:val="white"/>
        </w:rPr>
        <w:t>天内将与合同有关的通知、批准、证明、证书、指示、指令、要求、请求、同意、意见、确定和决定等书面函件送达对方当事人。</w:t>
      </w:r>
    </w:p>
    <w:p w14:paraId="7D1A3FE7">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1.7.2 发包人接收文件的地点：</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发包方办公室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541753D5">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发包人指定的接收人为：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甲方代表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4E54F8DC">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承包人接收文件的地点：</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施工现场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76B71C3F">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承包人指定的接收人为：</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项目经理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76E69BE7">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监理人接收文件的地点：</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施工现场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5A843B4C">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监理人指定的接收人为：</w:t>
      </w:r>
      <w:r>
        <w:rPr>
          <w:rFonts w:hint="eastAsia" w:ascii="宋体" w:hAnsi="宋体" w:eastAsia="宋体" w:cs="宋体"/>
          <w:color w:val="000000"/>
          <w:kern w:val="0"/>
          <w:sz w:val="24"/>
          <w:szCs w:val="24"/>
          <w:highlight w:val="white"/>
          <w:u w:val="single"/>
        </w:rPr>
        <w:t xml:space="preserve">    </w:t>
      </w:r>
      <w:r>
        <w:rPr>
          <w:rFonts w:hint="eastAsia" w:ascii="宋体" w:hAnsi="宋体" w:eastAsia="宋体" w:cs="宋体"/>
          <w:color w:val="000000"/>
          <w:sz w:val="24"/>
          <w:szCs w:val="24"/>
          <w:highlight w:val="white"/>
          <w:u w:val="single"/>
        </w:rPr>
        <w:t xml:space="preserve">监理工程师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rPr>
        <w:t>。</w:t>
      </w:r>
    </w:p>
    <w:p w14:paraId="31B7B2FE">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1.10 交通运输</w:t>
      </w:r>
    </w:p>
    <w:p w14:paraId="71931573">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1.10.1 出入现场的权利</w:t>
      </w:r>
    </w:p>
    <w:p w14:paraId="3A3C1431">
      <w:pPr>
        <w:pStyle w:val="95"/>
        <w:spacing w:line="500" w:lineRule="exact"/>
        <w:ind w:left="596" w:leftChars="284" w:firstLine="480"/>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highlight w:val="white"/>
        </w:rPr>
        <w:t>关于出入现场的权利的约定：</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kern w:val="0"/>
          <w:sz w:val="24"/>
          <w:szCs w:val="24"/>
          <w:highlight w:val="white"/>
          <w:u w:val="single"/>
        </w:rPr>
        <w:t>未经发承包人代表的同意，无关人员一律不得随意出入施工现场。执行通用条款（发包人取得批准许可并承担相关费用）。</w:t>
      </w:r>
    </w:p>
    <w:p w14:paraId="4BA54183">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1.10.3 场内交通</w:t>
      </w:r>
    </w:p>
    <w:p w14:paraId="4341692B">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关于场外交通和场内交通的边界的约定：</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以施工现场大门为界    </w:t>
      </w:r>
      <w:r>
        <w:rPr>
          <w:rFonts w:hint="eastAsia" w:ascii="宋体" w:hAnsi="宋体" w:eastAsia="宋体" w:cs="宋体"/>
          <w:color w:val="000000"/>
          <w:sz w:val="24"/>
          <w:szCs w:val="24"/>
          <w:highlight w:val="white"/>
        </w:rPr>
        <w:t>。</w:t>
      </w:r>
    </w:p>
    <w:p w14:paraId="1C16B45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关于发包人向承包人免费提供满足工程施工需要的场内道路和交通设施的约定：</w:t>
      </w:r>
      <w:r>
        <w:rPr>
          <w:rFonts w:hint="eastAsia" w:ascii="宋体" w:hAnsi="宋体" w:eastAsia="宋体" w:cs="宋体"/>
          <w:color w:val="000000"/>
          <w:sz w:val="24"/>
          <w:szCs w:val="24"/>
          <w:highlight w:val="white"/>
          <w:u w:val="single"/>
        </w:rPr>
        <w:t xml:space="preserve"> 不提供</w:t>
      </w:r>
      <w:r>
        <w:rPr>
          <w:rFonts w:hint="eastAsia" w:ascii="宋体" w:hAnsi="宋体" w:cs="宋体"/>
          <w:color w:val="000000"/>
          <w:sz w:val="24"/>
          <w:szCs w:val="24"/>
          <w:highlight w:val="white"/>
          <w:u w:val="single"/>
          <w:lang w:eastAsia="zh-CN"/>
        </w:rPr>
        <w:t>，均由承包人自行负责并承担由此产生的相关费用</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p>
    <w:p w14:paraId="56E0AC45">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1.10.4超大件和超重件的运输</w:t>
      </w:r>
    </w:p>
    <w:p w14:paraId="421AAF58">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运输超大件或超重件所需的道路和桥梁临时加固改造费用和其他有关费用由</w:t>
      </w:r>
      <w:r>
        <w:rPr>
          <w:rFonts w:hint="eastAsia" w:ascii="宋体" w:hAnsi="宋体" w:eastAsia="宋体" w:cs="宋体"/>
          <w:color w:val="000000"/>
          <w:sz w:val="24"/>
          <w:szCs w:val="24"/>
          <w:highlight w:val="white"/>
          <w:u w:val="single"/>
        </w:rPr>
        <w:t>承包人</w:t>
      </w:r>
      <w:r>
        <w:rPr>
          <w:rFonts w:hint="eastAsia" w:ascii="宋体" w:hAnsi="宋体" w:eastAsia="宋体" w:cs="宋体"/>
          <w:color w:val="000000"/>
          <w:sz w:val="24"/>
          <w:szCs w:val="24"/>
          <w:highlight w:val="white"/>
        </w:rPr>
        <w:t>承担。</w:t>
      </w:r>
    </w:p>
    <w:p w14:paraId="0257DC49">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1.11 知识产权</w:t>
      </w:r>
    </w:p>
    <w:p w14:paraId="5FC5D4E8">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 w:val="24"/>
          <w:szCs w:val="24"/>
          <w:highlight w:val="white"/>
          <w:u w:val="single"/>
          <w:lang w:val="en-US" w:eastAsia="zh-CN"/>
        </w:rPr>
        <w:t>归</w:t>
      </w:r>
      <w:r>
        <w:rPr>
          <w:rFonts w:hint="eastAsia" w:ascii="宋体" w:hAnsi="宋体" w:eastAsia="宋体" w:cs="宋体"/>
          <w:color w:val="000000"/>
          <w:sz w:val="24"/>
          <w:szCs w:val="24"/>
          <w:highlight w:val="white"/>
          <w:u w:val="single"/>
        </w:rPr>
        <w:t>发包人</w:t>
      </w:r>
      <w:r>
        <w:rPr>
          <w:rFonts w:hint="eastAsia" w:ascii="宋体" w:hAnsi="宋体" w:cs="宋体"/>
          <w:color w:val="000000"/>
          <w:sz w:val="24"/>
          <w:szCs w:val="24"/>
          <w:highlight w:val="white"/>
          <w:u w:val="single"/>
          <w:lang w:val="en-US" w:eastAsia="zh-CN"/>
        </w:rPr>
        <w:t>所有</w:t>
      </w:r>
      <w:r>
        <w:rPr>
          <w:rFonts w:hint="eastAsia" w:ascii="宋体" w:hAnsi="宋体" w:eastAsia="宋体" w:cs="宋体"/>
          <w:color w:val="000000"/>
          <w:sz w:val="24"/>
          <w:szCs w:val="24"/>
          <w:highlight w:val="white"/>
        </w:rPr>
        <w:t>。</w:t>
      </w:r>
    </w:p>
    <w:p w14:paraId="37A62A2E">
      <w:pPr>
        <w:pStyle w:val="95"/>
        <w:spacing w:line="500" w:lineRule="exact"/>
        <w:ind w:left="596" w:leftChars="284"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关于发包人提供的上述文件的使用限制的要求：</w:t>
      </w:r>
      <w:r>
        <w:rPr>
          <w:rFonts w:hint="eastAsia" w:ascii="宋体" w:hAnsi="宋体" w:eastAsia="宋体" w:cs="宋体"/>
          <w:color w:val="000000"/>
          <w:sz w:val="24"/>
          <w:szCs w:val="24"/>
          <w:highlight w:val="white"/>
          <w:u w:val="single"/>
        </w:rPr>
        <w:t xml:space="preserve">   未经发包人书面同意，承包人不得为了合同以外的目的而复制、使用上述文件或将之提供给任何第三方。</w:t>
      </w:r>
    </w:p>
    <w:p w14:paraId="6E9A4FD8">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1.11.2 关于承包人为实施工程所编制文件的著作权的归属：</w:t>
      </w:r>
      <w:r>
        <w:rPr>
          <w:rFonts w:hint="eastAsia" w:ascii="宋体" w:hAnsi="宋体" w:eastAsia="宋体" w:cs="宋体"/>
          <w:color w:val="000000"/>
          <w:sz w:val="24"/>
          <w:szCs w:val="24"/>
          <w:highlight w:val="white"/>
          <w:u w:val="single"/>
        </w:rPr>
        <w:t xml:space="preserve"> 除署名权以外的著作权属于发包人  </w:t>
      </w:r>
      <w:r>
        <w:rPr>
          <w:rFonts w:hint="eastAsia" w:ascii="宋体" w:hAnsi="宋体" w:eastAsia="宋体" w:cs="宋体"/>
          <w:color w:val="000000"/>
          <w:sz w:val="24"/>
          <w:szCs w:val="24"/>
          <w:highlight w:val="white"/>
        </w:rPr>
        <w:t>。</w:t>
      </w:r>
    </w:p>
    <w:p w14:paraId="5872AEFB">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关于承包人提供的上述文件的使用限制的要求：</w:t>
      </w:r>
      <w:r>
        <w:rPr>
          <w:rFonts w:hint="eastAsia" w:ascii="宋体" w:hAnsi="宋体" w:eastAsia="宋体" w:cs="宋体"/>
          <w:color w:val="000000"/>
          <w:sz w:val="24"/>
          <w:szCs w:val="24"/>
          <w:highlight w:val="white"/>
          <w:u w:val="single"/>
        </w:rPr>
        <w:t xml:space="preserve">未经发包人书面同意，承包人不得为了合同以外的目的而复制、使用上述文件或将之提供给任何第三方。 </w:t>
      </w:r>
    </w:p>
    <w:p w14:paraId="20CDA888">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1.11.4 承包人在施工过程中所采用的专利、专有技术、技术秘密的使用费的承担方式：</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由承包人负责，并承担相关费用 。</w:t>
      </w:r>
    </w:p>
    <w:p w14:paraId="5E01AFBB">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1.13工程量清单错误的修正</w:t>
      </w:r>
    </w:p>
    <w:p w14:paraId="7CB8B670">
      <w:pPr>
        <w:pStyle w:val="95"/>
        <w:spacing w:line="500" w:lineRule="exact"/>
        <w:ind w:left="420" w:firstLine="480"/>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rPr>
        <w:t xml:space="preserve">出现工程量清单错误时，是否调整合同价格： </w:t>
      </w:r>
      <w:r>
        <w:rPr>
          <w:rFonts w:hint="eastAsia" w:ascii="宋体" w:hAnsi="宋体" w:eastAsia="宋体" w:cs="宋体"/>
          <w:color w:val="000000"/>
          <w:sz w:val="24"/>
          <w:szCs w:val="24"/>
          <w:highlight w:val="white"/>
          <w:u w:val="single"/>
        </w:rPr>
        <w:t xml:space="preserve"> 经发包人同意并确认后，可调整合同总价。</w:t>
      </w:r>
    </w:p>
    <w:p w14:paraId="36269F3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允许调整合同价格的工程量偏差范围：</w:t>
      </w:r>
      <w:r>
        <w:rPr>
          <w:rFonts w:hint="eastAsia" w:ascii="宋体" w:hAnsi="宋体" w:eastAsia="宋体" w:cs="宋体"/>
          <w:color w:val="000000"/>
          <w:sz w:val="24"/>
          <w:szCs w:val="24"/>
          <w:highlight w:val="white"/>
          <w:u w:val="single"/>
        </w:rPr>
        <w:t xml:space="preserve">按本合同通用条款1.13条执行 。（1）工程量清单存在缺项、漏项的；（2）工程量清单偏差在±5%(含±5%）以内的不作调整，对工程量偏差超过±5%的或漏项部分，招标人对于工程量做相应调整；（3）未按照国家现行计量规范强制性规定计量的  </w:t>
      </w:r>
      <w:r>
        <w:rPr>
          <w:rFonts w:hint="eastAsia" w:ascii="宋体" w:hAnsi="宋体" w:eastAsia="宋体" w:cs="宋体"/>
          <w:color w:val="000000"/>
          <w:sz w:val="24"/>
          <w:szCs w:val="24"/>
          <w:highlight w:val="white"/>
        </w:rPr>
        <w:t>。</w:t>
      </w:r>
    </w:p>
    <w:p w14:paraId="28AE17EB">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2. 发包人</w:t>
      </w:r>
    </w:p>
    <w:p w14:paraId="226C95DD">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2.2 发包人代表</w:t>
      </w:r>
    </w:p>
    <w:p w14:paraId="122585C1">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发包人代表：</w:t>
      </w:r>
    </w:p>
    <w:p w14:paraId="77F25569">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姓    名：</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w:t>
      </w:r>
    </w:p>
    <w:p w14:paraId="2D3B900D">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身份证号：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560D1786">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职    务：</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1453937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2C28ECA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39EE1A8B">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通信地址：</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58C91CDB">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发包人对发包人代表的授权范围如下</w:t>
      </w:r>
      <w:r>
        <w:rPr>
          <w:rFonts w:hint="eastAsia" w:ascii="宋体" w:hAnsi="宋体" w:eastAsia="宋体" w:cs="宋体"/>
          <w:color w:val="000000"/>
          <w:sz w:val="24"/>
          <w:szCs w:val="24"/>
          <w:highlight w:val="white"/>
          <w:u w:val="single"/>
        </w:rPr>
        <w:t>：</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代表招标人管理、协调工程施工现场各项事宜，参与工程变更、经济技术签证及工程量的确认。</w:t>
      </w:r>
    </w:p>
    <w:p w14:paraId="1ADD9E26">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2.4 施工现场、施工条件和基础资料的提供</w:t>
      </w:r>
    </w:p>
    <w:p w14:paraId="59E2212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2.4.1 提供施工现场</w:t>
      </w:r>
    </w:p>
    <w:p w14:paraId="301B42CF">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关于发包人移交施工现场的期限要求：</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执行通用条款约定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67AB2060">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2.4.2 提供施工条件</w:t>
      </w:r>
    </w:p>
    <w:p w14:paraId="355E8189">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   关于发包人应负责提供施工所需要的条件，包括</w:t>
      </w:r>
      <w:r>
        <w:rPr>
          <w:rFonts w:hint="eastAsia" w:ascii="宋体" w:hAnsi="宋体" w:eastAsia="宋体" w:cs="宋体"/>
          <w:color w:val="000000"/>
          <w:sz w:val="24"/>
          <w:szCs w:val="24"/>
          <w:highlight w:val="white"/>
          <w:u w:val="single"/>
        </w:rPr>
        <w:t>执行通用条款约定 。</w:t>
      </w:r>
      <w:r>
        <w:rPr>
          <w:rFonts w:hint="eastAsia" w:ascii="宋体" w:hAnsi="宋体" w:eastAsia="宋体" w:cs="宋体"/>
          <w:color w:val="000000"/>
          <w:sz w:val="24"/>
          <w:szCs w:val="24"/>
          <w:highlight w:val="white"/>
        </w:rPr>
        <w:t xml:space="preserve">                                                  </w:t>
      </w:r>
    </w:p>
    <w:p w14:paraId="373CB21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2.5 资金来源证明及支付担保</w:t>
      </w:r>
    </w:p>
    <w:p w14:paraId="4E74898B">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发包人提供资金来源证明的期限要求：</w:t>
      </w:r>
      <w:r>
        <w:rPr>
          <w:rFonts w:hint="eastAsia" w:ascii="宋体" w:hAnsi="宋体" w:eastAsia="宋体" w:cs="宋体"/>
          <w:color w:val="000000"/>
          <w:sz w:val="24"/>
          <w:szCs w:val="24"/>
          <w:highlight w:val="white"/>
          <w:u w:val="single"/>
        </w:rPr>
        <w:t>执行通用条款约定。</w:t>
      </w:r>
    </w:p>
    <w:p w14:paraId="52AF94B6">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发包人是否提供支付担保：</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不提供</w:t>
      </w:r>
      <w:r>
        <w:rPr>
          <w:rFonts w:hint="eastAsia" w:ascii="宋体" w:hAnsi="宋体" w:eastAsia="宋体" w:cs="宋体"/>
          <w:color w:val="000000"/>
          <w:sz w:val="24"/>
          <w:szCs w:val="24"/>
          <w:highlight w:val="white"/>
        </w:rPr>
        <w:t>。</w:t>
      </w:r>
    </w:p>
    <w:p w14:paraId="21C9EFE6">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发包人提供支付担保的形式：</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w:t>
      </w:r>
      <w:r>
        <w:rPr>
          <w:rFonts w:hint="eastAsia" w:ascii="宋体" w:hAnsi="宋体" w:eastAsia="宋体" w:cs="宋体"/>
          <w:color w:val="000000"/>
          <w:sz w:val="24"/>
          <w:szCs w:val="24"/>
          <w:highlight w:val="white"/>
        </w:rPr>
        <w:t>。</w:t>
      </w:r>
    </w:p>
    <w:p w14:paraId="6F0E701A">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3. 承包人</w:t>
      </w:r>
    </w:p>
    <w:p w14:paraId="7CB0B1AC">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3.1 承包人的一般义务</w:t>
      </w:r>
    </w:p>
    <w:p w14:paraId="1BFA8C8B">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highlight w:val="white"/>
        </w:rPr>
        <w:t>（5）</w:t>
      </w:r>
      <w:r>
        <w:rPr>
          <w:rFonts w:hint="eastAsia" w:ascii="宋体" w:hAnsi="宋体" w:eastAsia="宋体" w:cs="宋体"/>
          <w:color w:val="000000"/>
          <w:sz w:val="24"/>
          <w:szCs w:val="24"/>
          <w:highlight w:val="white"/>
        </w:rPr>
        <w:t>承包人提交的竣工资料的内容：</w:t>
      </w:r>
      <w:r>
        <w:rPr>
          <w:rFonts w:hint="eastAsia" w:ascii="宋体" w:hAnsi="宋体" w:eastAsia="宋体" w:cs="宋体"/>
          <w:color w:val="000000"/>
          <w:sz w:val="24"/>
          <w:szCs w:val="24"/>
          <w:highlight w:val="white"/>
          <w:u w:val="single"/>
        </w:rPr>
        <w:t xml:space="preserve"> 执行通用条款约定 </w:t>
      </w:r>
      <w:r>
        <w:rPr>
          <w:rFonts w:hint="eastAsia" w:ascii="宋体" w:hAnsi="宋体" w:eastAsia="宋体" w:cs="宋体"/>
          <w:color w:val="000000"/>
          <w:sz w:val="24"/>
          <w:szCs w:val="24"/>
          <w:highlight w:val="white"/>
        </w:rPr>
        <w:t xml:space="preserve"> 。</w:t>
      </w:r>
    </w:p>
    <w:p w14:paraId="6B70FE92">
      <w:pPr>
        <w:pStyle w:val="95"/>
        <w:spacing w:line="500" w:lineRule="exact"/>
        <w:ind w:left="420"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承包人需要提交的竣工资料套数：</w:t>
      </w:r>
      <w:r>
        <w:rPr>
          <w:rFonts w:hint="eastAsia" w:ascii="宋体" w:hAnsi="宋体" w:eastAsia="宋体" w:cs="宋体"/>
          <w:color w:val="000000"/>
          <w:sz w:val="24"/>
          <w:szCs w:val="24"/>
          <w:highlight w:val="white"/>
          <w:u w:val="single"/>
        </w:rPr>
        <w:t>贰套</w:t>
      </w:r>
      <w:r>
        <w:rPr>
          <w:rFonts w:hint="eastAsia" w:ascii="宋体" w:hAnsi="宋体" w:eastAsia="宋体" w:cs="宋体"/>
          <w:color w:val="000000"/>
          <w:sz w:val="24"/>
          <w:szCs w:val="24"/>
          <w:highlight w:val="white"/>
        </w:rPr>
        <w:t>。</w:t>
      </w:r>
    </w:p>
    <w:p w14:paraId="3189AB46">
      <w:pPr>
        <w:pStyle w:val="95"/>
        <w:spacing w:line="500" w:lineRule="exact"/>
        <w:ind w:left="638" w:leftChars="304"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承包人提交的竣工资料的费用承担：</w:t>
      </w:r>
      <w:r>
        <w:rPr>
          <w:rFonts w:hint="eastAsia" w:ascii="宋体" w:hAnsi="宋体" w:eastAsia="宋体" w:cs="宋体"/>
          <w:color w:val="000000"/>
          <w:sz w:val="24"/>
          <w:szCs w:val="24"/>
          <w:highlight w:val="white"/>
          <w:u w:val="single"/>
        </w:rPr>
        <w:t>由承包人承担</w:t>
      </w:r>
      <w:r>
        <w:rPr>
          <w:rFonts w:hint="eastAsia" w:ascii="宋体" w:hAnsi="宋体" w:eastAsia="宋体" w:cs="宋体"/>
          <w:color w:val="000000"/>
          <w:sz w:val="24"/>
          <w:szCs w:val="24"/>
          <w:highlight w:val="white"/>
        </w:rPr>
        <w:t>。</w:t>
      </w:r>
    </w:p>
    <w:p w14:paraId="5319A41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承包人提交的竣工资料移交时间：</w:t>
      </w:r>
      <w:r>
        <w:rPr>
          <w:rFonts w:hint="eastAsia" w:ascii="宋体" w:hAnsi="宋体" w:eastAsia="宋体" w:cs="宋体"/>
          <w:color w:val="000000"/>
          <w:sz w:val="24"/>
          <w:szCs w:val="24"/>
          <w:highlight w:val="white"/>
          <w:u w:val="single"/>
        </w:rPr>
        <w:t>工程竣工验收合格后14天内。</w:t>
      </w:r>
    </w:p>
    <w:p w14:paraId="70E5D0C7">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承包人提交的竣工资料形式要求： </w:t>
      </w:r>
      <w:r>
        <w:rPr>
          <w:rFonts w:hint="eastAsia" w:ascii="宋体" w:hAnsi="宋体" w:eastAsia="宋体" w:cs="宋体"/>
          <w:color w:val="000000"/>
          <w:sz w:val="24"/>
          <w:szCs w:val="24"/>
          <w:highlight w:val="white"/>
          <w:u w:val="single"/>
        </w:rPr>
        <w:t xml:space="preserve">   按照城建档案要求和发包人要求的组卷方式提供全套资料书面</w:t>
      </w:r>
      <w:r>
        <w:rPr>
          <w:rFonts w:hint="eastAsia" w:ascii="宋体" w:hAnsi="宋体" w:cs="宋体"/>
          <w:color w:val="000000"/>
          <w:sz w:val="24"/>
          <w:szCs w:val="24"/>
          <w:highlight w:val="white"/>
          <w:u w:val="single"/>
          <w:lang w:val="en-US" w:eastAsia="zh-CN"/>
        </w:rPr>
        <w:t>及电子文档资料</w:t>
      </w:r>
      <w:r>
        <w:rPr>
          <w:rFonts w:hint="eastAsia" w:ascii="宋体" w:hAnsi="宋体" w:eastAsia="宋体" w:cs="宋体"/>
          <w:color w:val="000000"/>
          <w:sz w:val="24"/>
          <w:szCs w:val="24"/>
          <w:highlight w:val="white"/>
          <w:u w:val="single"/>
        </w:rPr>
        <w:t>，要求内容齐全、装订整齐。</w:t>
      </w:r>
    </w:p>
    <w:p w14:paraId="5927625F">
      <w:pPr>
        <w:pStyle w:val="95"/>
        <w:spacing w:line="500" w:lineRule="exact"/>
        <w:ind w:left="42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white"/>
        </w:rPr>
        <w:t>（6）承包人应履行的其他义</w:t>
      </w:r>
      <w:r>
        <w:rPr>
          <w:rFonts w:hint="eastAsia" w:ascii="宋体" w:hAnsi="宋体" w:cs="宋体"/>
          <w:color w:val="000000"/>
          <w:sz w:val="24"/>
          <w:szCs w:val="24"/>
          <w:highlight w:val="white"/>
          <w:lang w:val="en-US" w:eastAsia="zh-CN"/>
        </w:rPr>
        <w:t>务：</w:t>
      </w:r>
      <w:r>
        <w:rPr>
          <w:rFonts w:hint="eastAsia" w:ascii="宋体" w:hAnsi="宋体" w:eastAsia="宋体" w:cs="宋体"/>
          <w:color w:val="000000"/>
          <w:sz w:val="24"/>
          <w:szCs w:val="24"/>
          <w:highlight w:val="white"/>
          <w:u w:val="single"/>
        </w:rPr>
        <w:t xml:space="preserve">遵守发包人节约资源杜绝浪费原则。环保、卫生、安全等符合国家规定以及发包人有关环保、卫生、安全、综合治理等相关规定，施工时承包人因自身原因未处理好周边环境关系而导致工程停工，发包人将不承担由此引起的工程延误及其他工程费用损失 </w:t>
      </w:r>
      <w:r>
        <w:rPr>
          <w:rFonts w:hint="eastAsia" w:ascii="宋体" w:hAnsi="宋体" w:cs="宋体"/>
          <w:color w:val="000000"/>
          <w:sz w:val="24"/>
          <w:szCs w:val="24"/>
          <w:highlight w:val="white"/>
          <w:u w:val="single"/>
          <w:lang w:eastAsia="zh-CN"/>
        </w:rPr>
        <w:t>。</w:t>
      </w:r>
    </w:p>
    <w:p w14:paraId="6B6A407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3.2 项目经理</w:t>
      </w:r>
    </w:p>
    <w:p w14:paraId="6D0C50A1">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 xml:space="preserve">3.2.1 </w:t>
      </w:r>
      <w:r>
        <w:rPr>
          <w:rFonts w:hint="eastAsia" w:ascii="宋体" w:hAnsi="宋体" w:eastAsia="宋体" w:cs="宋体"/>
          <w:color w:val="000000"/>
          <w:sz w:val="24"/>
          <w:szCs w:val="24"/>
          <w:highlight w:val="white"/>
        </w:rPr>
        <w:t>项目经理：</w:t>
      </w:r>
    </w:p>
    <w:p w14:paraId="1ECE6D39">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姓    名：</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5CA1558C">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身份证号：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4A177178">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建造师执业资格等级：</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6CD3C5D1">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建造师注册证书号：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00CD89D1">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建造师执业印章号：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619E4E09">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安全生产考核合格证书号：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14688A7F">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0961E105">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2A71BFA8">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通信地址：</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7345CA2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承包人对项目经理的授权范围如下：</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按合同通用条款的本条执行 </w:t>
      </w:r>
      <w:r>
        <w:rPr>
          <w:rFonts w:hint="eastAsia" w:ascii="宋体" w:hAnsi="宋体" w:eastAsia="宋体" w:cs="宋体"/>
          <w:color w:val="000000"/>
          <w:sz w:val="24"/>
          <w:szCs w:val="24"/>
          <w:highlight w:val="white"/>
        </w:rPr>
        <w:t xml:space="preserve">  </w:t>
      </w:r>
    </w:p>
    <w:p w14:paraId="415DD9C4">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关于项目经理每月在施工现场的时间要求：</w:t>
      </w:r>
      <w:r>
        <w:rPr>
          <w:rFonts w:hint="eastAsia" w:ascii="宋体" w:hAnsi="宋体" w:eastAsia="宋体" w:cs="宋体"/>
          <w:color w:val="000000"/>
          <w:sz w:val="24"/>
          <w:szCs w:val="24"/>
          <w:highlight w:val="white"/>
          <w:u w:val="single"/>
        </w:rPr>
        <w:t xml:space="preserve">满足工程进度要求且每月不少于25天 ，因确实有紧急事件需要离开施工现场的，应及时向发包人报告，经批准后方可离开，并在规定的期限内准时到岗，未经批准擅自缺岗每少于一天每天处罚2000元。 </w:t>
      </w:r>
    </w:p>
    <w:p w14:paraId="6EDBBED8">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承包人未提交劳动合同，以及没有为项目经理缴纳社会保险证明的违约责任：</w:t>
      </w:r>
      <w:r>
        <w:rPr>
          <w:rFonts w:hint="eastAsia" w:ascii="宋体" w:hAnsi="宋体" w:eastAsia="宋体" w:cs="宋体"/>
          <w:color w:val="000000"/>
          <w:sz w:val="24"/>
          <w:szCs w:val="24"/>
          <w:highlight w:val="white"/>
          <w:u w:val="single"/>
        </w:rPr>
        <w:t>向发包人支付</w:t>
      </w:r>
      <w:r>
        <w:rPr>
          <w:rFonts w:hint="eastAsia" w:ascii="宋体" w:hAnsi="宋体" w:cs="宋体"/>
          <w:color w:val="000000"/>
          <w:sz w:val="24"/>
          <w:szCs w:val="24"/>
          <w:highlight w:val="white"/>
          <w:u w:val="single"/>
          <w:lang w:val="en-US" w:eastAsia="zh-CN"/>
        </w:rPr>
        <w:t>2000</w:t>
      </w:r>
      <w:r>
        <w:rPr>
          <w:rFonts w:hint="eastAsia" w:ascii="宋体" w:hAnsi="宋体" w:eastAsia="宋体" w:cs="宋体"/>
          <w:color w:val="000000"/>
          <w:sz w:val="24"/>
          <w:szCs w:val="24"/>
          <w:highlight w:val="white"/>
          <w:u w:val="single"/>
        </w:rPr>
        <w:t>元/人的违约金，发包人有权责令承包人限期提交劳动合同并补缴社会保险，承包人承担上述违约给发包人带来的一切损失。</w:t>
      </w:r>
      <w:r>
        <w:rPr>
          <w:rFonts w:hint="eastAsia" w:ascii="宋体" w:hAnsi="宋体" w:eastAsia="宋体" w:cs="宋体"/>
          <w:color w:val="000000"/>
          <w:sz w:val="24"/>
          <w:szCs w:val="24"/>
          <w:highlight w:val="white"/>
        </w:rPr>
        <w:t xml:space="preserve"> </w:t>
      </w:r>
    </w:p>
    <w:p w14:paraId="316FA6C6">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项目经理未经批准，擅自离开施工现场的违约责任： </w:t>
      </w:r>
      <w:r>
        <w:rPr>
          <w:rFonts w:hint="eastAsia" w:ascii="宋体" w:hAnsi="宋体" w:eastAsia="宋体" w:cs="宋体"/>
          <w:color w:val="000000"/>
          <w:sz w:val="24"/>
          <w:szCs w:val="24"/>
          <w:highlight w:val="white"/>
          <w:u w:val="single"/>
        </w:rPr>
        <w:t xml:space="preserve"> 擅自离开施工现场的每次处罚2000元/天</w:t>
      </w:r>
      <w:r>
        <w:rPr>
          <w:rFonts w:hint="eastAsia" w:ascii="宋体" w:hAnsi="宋体" w:cs="宋体"/>
          <w:color w:val="000000"/>
          <w:sz w:val="24"/>
          <w:szCs w:val="24"/>
          <w:highlight w:val="white"/>
          <w:u w:val="single"/>
          <w:lang w:eastAsia="zh-CN"/>
        </w:rPr>
        <w:t>，</w:t>
      </w:r>
      <w:r>
        <w:rPr>
          <w:rFonts w:hint="eastAsia" w:ascii="宋体" w:hAnsi="宋体" w:eastAsia="宋体" w:cs="宋体"/>
          <w:color w:val="000000"/>
          <w:sz w:val="24"/>
          <w:szCs w:val="24"/>
          <w:highlight w:val="white"/>
          <w:u w:val="single"/>
        </w:rPr>
        <w:t>承包人承担上述违约给发包人带来的一切损失。</w:t>
      </w:r>
    </w:p>
    <w:p w14:paraId="38BDF39D">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3.2.3 承包人擅自更换项目经理的违约责任： </w:t>
      </w:r>
      <w:r>
        <w:rPr>
          <w:rFonts w:hint="eastAsia" w:ascii="宋体" w:hAnsi="宋体" w:eastAsia="宋体" w:cs="宋体"/>
          <w:color w:val="000000"/>
          <w:sz w:val="24"/>
          <w:szCs w:val="24"/>
          <w:highlight w:val="white"/>
          <w:u w:val="single"/>
        </w:rPr>
        <w:t xml:space="preserve"> 项目经理未经发包人同意擅自更换的，每更换一次处罚2万元</w:t>
      </w:r>
      <w:r>
        <w:rPr>
          <w:rFonts w:hint="eastAsia" w:ascii="宋体" w:hAnsi="宋体" w:cs="宋体"/>
          <w:color w:val="000000"/>
          <w:sz w:val="24"/>
          <w:szCs w:val="24"/>
          <w:highlight w:val="white"/>
          <w:u w:val="single"/>
          <w:lang w:eastAsia="zh-CN"/>
        </w:rPr>
        <w:t>，</w:t>
      </w:r>
      <w:r>
        <w:rPr>
          <w:rFonts w:hint="eastAsia" w:ascii="宋体" w:hAnsi="宋体" w:eastAsia="宋体" w:cs="宋体"/>
          <w:color w:val="000000"/>
          <w:sz w:val="24"/>
          <w:szCs w:val="24"/>
          <w:highlight w:val="white"/>
          <w:u w:val="single"/>
        </w:rPr>
        <w:t>承包人承担上述违约给发包人带来的一切损失。</w:t>
      </w:r>
    </w:p>
    <w:p w14:paraId="72DD6496">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3.2.4 承包人无正当理由拒绝更换项目经理的违约责任：</w:t>
      </w:r>
      <w:r>
        <w:rPr>
          <w:rFonts w:hint="eastAsia" w:ascii="宋体" w:hAnsi="宋体" w:eastAsia="宋体" w:cs="宋体"/>
          <w:color w:val="000000"/>
          <w:sz w:val="24"/>
          <w:szCs w:val="24"/>
          <w:highlight w:val="white"/>
          <w:u w:val="single"/>
        </w:rPr>
        <w:t xml:space="preserve">  每发生一次，应向发包人支付</w:t>
      </w:r>
      <w:r>
        <w:rPr>
          <w:rFonts w:hint="eastAsia" w:ascii="宋体" w:hAnsi="宋体" w:cs="宋体"/>
          <w:color w:val="000000"/>
          <w:sz w:val="24"/>
          <w:szCs w:val="24"/>
          <w:highlight w:val="white"/>
          <w:u w:val="single"/>
          <w:lang w:val="en-US" w:eastAsia="zh-CN"/>
        </w:rPr>
        <w:t>2000元/次</w:t>
      </w:r>
      <w:r>
        <w:rPr>
          <w:rFonts w:hint="eastAsia" w:ascii="宋体" w:hAnsi="宋体" w:eastAsia="宋体" w:cs="宋体"/>
          <w:color w:val="000000"/>
          <w:sz w:val="24"/>
          <w:szCs w:val="24"/>
          <w:highlight w:val="white"/>
          <w:u w:val="single"/>
        </w:rPr>
        <w:t>的违约金</w:t>
      </w:r>
      <w:r>
        <w:rPr>
          <w:rFonts w:hint="eastAsia" w:ascii="宋体" w:hAnsi="宋体" w:cs="宋体"/>
          <w:color w:val="000000"/>
          <w:sz w:val="24"/>
          <w:szCs w:val="24"/>
          <w:highlight w:val="white"/>
          <w:u w:val="single"/>
          <w:lang w:eastAsia="zh-CN"/>
        </w:rPr>
        <w:t>，</w:t>
      </w:r>
      <w:r>
        <w:rPr>
          <w:rFonts w:hint="eastAsia" w:ascii="宋体" w:hAnsi="宋体" w:eastAsia="宋体" w:cs="宋体"/>
          <w:color w:val="000000"/>
          <w:sz w:val="24"/>
          <w:szCs w:val="24"/>
          <w:highlight w:val="white"/>
          <w:u w:val="single"/>
        </w:rPr>
        <w:t>承包人承担上述违约给发包人带来的一切损失</w:t>
      </w:r>
    </w:p>
    <w:p w14:paraId="01C82095">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3.3 承包人人员</w:t>
      </w:r>
    </w:p>
    <w:p w14:paraId="65F49450">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3.3.1 承包人提交项目管理机构及施工现场管理人员安排报告的期限：</w:t>
      </w:r>
      <w:r>
        <w:rPr>
          <w:rFonts w:hint="eastAsia" w:ascii="宋体" w:hAnsi="宋体" w:eastAsia="宋体" w:cs="宋体"/>
          <w:color w:val="000000"/>
          <w:sz w:val="24"/>
          <w:szCs w:val="24"/>
          <w:highlight w:val="white"/>
          <w:u w:val="single"/>
        </w:rPr>
        <w:t xml:space="preserve">  按通用合同条款3.3.1条执行。</w:t>
      </w:r>
    </w:p>
    <w:p w14:paraId="7DA3B9AE">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3.3.3 承包人无正当理由拒绝撤换主要施工管理人员的违约责任</w:t>
      </w:r>
      <w:r>
        <w:rPr>
          <w:rFonts w:hint="eastAsia" w:ascii="宋体" w:hAnsi="宋体" w:eastAsia="宋体" w:cs="宋体"/>
          <w:color w:val="000000"/>
          <w:sz w:val="24"/>
          <w:szCs w:val="24"/>
          <w:highlight w:val="white"/>
          <w:u w:val="single"/>
        </w:rPr>
        <w:t>：每发生一次，</w:t>
      </w:r>
      <w:r>
        <w:rPr>
          <w:rFonts w:hint="eastAsia" w:ascii="宋体" w:hAnsi="宋体" w:eastAsia="宋体" w:cs="宋体"/>
          <w:color w:val="000000"/>
          <w:sz w:val="24"/>
          <w:szCs w:val="24"/>
          <w:highlight w:val="white"/>
          <w:u w:val="single"/>
          <w:lang w:eastAsia="zh-CN"/>
        </w:rPr>
        <w:t>向承包人支付</w:t>
      </w:r>
      <w:r>
        <w:rPr>
          <w:rFonts w:hint="eastAsia" w:ascii="宋体" w:hAnsi="宋体" w:cs="宋体"/>
          <w:color w:val="000000"/>
          <w:sz w:val="24"/>
          <w:szCs w:val="24"/>
          <w:highlight w:val="white"/>
          <w:u w:val="single"/>
          <w:lang w:val="en-US" w:eastAsia="zh-CN"/>
        </w:rPr>
        <w:t>2000</w:t>
      </w:r>
      <w:r>
        <w:rPr>
          <w:rFonts w:hint="eastAsia" w:ascii="宋体" w:hAnsi="宋体" w:eastAsia="宋体" w:cs="宋体"/>
          <w:color w:val="000000"/>
          <w:sz w:val="24"/>
          <w:szCs w:val="24"/>
          <w:highlight w:val="white"/>
          <w:u w:val="single"/>
        </w:rPr>
        <w:t>元/次违约金，承包人承担上述违约给发包人带来的一切损失。</w:t>
      </w:r>
    </w:p>
    <w:p w14:paraId="3751D16E">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3.3.4 承包人主要施工管理人员离开施工现场的批准要求：</w:t>
      </w:r>
      <w:r>
        <w:rPr>
          <w:rFonts w:hint="eastAsia" w:ascii="宋体" w:hAnsi="宋体" w:eastAsia="宋体" w:cs="宋体"/>
          <w:color w:val="000000"/>
          <w:sz w:val="24"/>
          <w:szCs w:val="24"/>
          <w:highlight w:val="white"/>
          <w:u w:val="single"/>
        </w:rPr>
        <w:t>需要离开施工现场时需经发包人同意后，应在三天之内到岗。三天之内不能按时到岗的，需配备相应资质，技术水平的人员。超过三天的，主要施工管理人员每次处罚500元/人/天。</w:t>
      </w:r>
    </w:p>
    <w:p w14:paraId="315688B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3.3.5承包人擅自更换主要施工管理人员的违约责任：</w:t>
      </w:r>
      <w:r>
        <w:rPr>
          <w:rFonts w:hint="eastAsia" w:ascii="宋体" w:hAnsi="宋体" w:eastAsia="宋体" w:cs="宋体"/>
          <w:color w:val="000000"/>
          <w:sz w:val="24"/>
          <w:szCs w:val="24"/>
          <w:highlight w:val="white"/>
          <w:u w:val="single"/>
        </w:rPr>
        <w:t>未经发包人同意擅自更换的，每更换一次处罚1万元/人，同时原主要施工管理人员必须在3天内到岗</w:t>
      </w:r>
      <w:r>
        <w:rPr>
          <w:rFonts w:hint="eastAsia" w:ascii="宋体" w:hAnsi="宋体" w:cs="宋体"/>
          <w:color w:val="000000"/>
          <w:sz w:val="24"/>
          <w:szCs w:val="24"/>
          <w:highlight w:val="white"/>
          <w:u w:val="single"/>
          <w:lang w:eastAsia="zh-CN"/>
        </w:rPr>
        <w:t>，</w:t>
      </w:r>
      <w:r>
        <w:rPr>
          <w:rFonts w:hint="eastAsia" w:ascii="宋体" w:hAnsi="宋体" w:eastAsia="宋体" w:cs="宋体"/>
          <w:color w:val="000000"/>
          <w:sz w:val="24"/>
          <w:szCs w:val="24"/>
          <w:highlight w:val="white"/>
          <w:u w:val="single"/>
        </w:rPr>
        <w:t>承包人承担上述违约给发包人带来的一切损失。</w:t>
      </w:r>
    </w:p>
    <w:p w14:paraId="473A17FB">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承包人主要施工管理人员擅自离开施工现场的违约责任： </w:t>
      </w:r>
      <w:r>
        <w:rPr>
          <w:rFonts w:hint="eastAsia" w:ascii="宋体" w:hAnsi="宋体" w:eastAsia="宋体" w:cs="宋体"/>
          <w:color w:val="000000"/>
          <w:sz w:val="24"/>
          <w:szCs w:val="24"/>
          <w:highlight w:val="white"/>
          <w:u w:val="single"/>
        </w:rPr>
        <w:t>擅自离开施工现场的每次处罚5000元/人/天</w:t>
      </w:r>
      <w:r>
        <w:rPr>
          <w:rFonts w:hint="eastAsia" w:ascii="宋体" w:hAnsi="宋体" w:cs="宋体"/>
          <w:color w:val="000000"/>
          <w:sz w:val="24"/>
          <w:szCs w:val="24"/>
          <w:highlight w:val="white"/>
          <w:u w:val="single"/>
          <w:lang w:eastAsia="zh-CN"/>
        </w:rPr>
        <w:t>，</w:t>
      </w:r>
      <w:r>
        <w:rPr>
          <w:rFonts w:hint="eastAsia" w:ascii="宋体" w:hAnsi="宋体" w:eastAsia="宋体" w:cs="宋体"/>
          <w:color w:val="000000"/>
          <w:sz w:val="24"/>
          <w:szCs w:val="24"/>
          <w:highlight w:val="white"/>
          <w:u w:val="single"/>
        </w:rPr>
        <w:t>承包人承担上述违约给发包人带来的一切损失。</w:t>
      </w:r>
    </w:p>
    <w:p w14:paraId="2C8B9162">
      <w:pPr>
        <w:pStyle w:val="95"/>
        <w:spacing w:after="120" w:line="500" w:lineRule="exact"/>
        <w:ind w:left="420" w:firstLine="480"/>
        <w:rPr>
          <w:rFonts w:hint="eastAsia" w:ascii="宋体" w:hAnsi="宋体" w:eastAsia="宋体" w:cs="宋体"/>
          <w:color w:val="000000"/>
          <w:sz w:val="24"/>
          <w:szCs w:val="24"/>
          <w:highlight w:val="red"/>
        </w:rPr>
      </w:pPr>
      <w:r>
        <w:rPr>
          <w:rFonts w:hint="eastAsia" w:ascii="宋体" w:hAnsi="宋体" w:eastAsia="宋体" w:cs="宋体"/>
          <w:color w:val="000000"/>
          <w:sz w:val="24"/>
          <w:szCs w:val="24"/>
          <w:highlight w:val="white"/>
        </w:rPr>
        <w:t>3.5 分包</w:t>
      </w:r>
    </w:p>
    <w:p w14:paraId="070FEDF1">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3.5.1 分包的一般约定</w:t>
      </w:r>
    </w:p>
    <w:p w14:paraId="215C169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禁止分包的工程包括：</w:t>
      </w:r>
      <w:r>
        <w:rPr>
          <w:rFonts w:hint="eastAsia" w:ascii="宋体" w:hAnsi="宋体" w:eastAsia="宋体" w:cs="宋体"/>
          <w:color w:val="000000"/>
          <w:sz w:val="24"/>
          <w:szCs w:val="24"/>
          <w:highlight w:val="white"/>
          <w:u w:val="single"/>
        </w:rPr>
        <w:t>工程主体结构、关键性工作及其他禁止分包的专业工程等  。</w:t>
      </w:r>
    </w:p>
    <w:p w14:paraId="7F009D33">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主体结构、关键性工作的范围：</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 xml:space="preserve"> 。</w:t>
      </w:r>
    </w:p>
    <w:p w14:paraId="40B15FD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3.5.2分包的确定</w:t>
      </w:r>
    </w:p>
    <w:p w14:paraId="05CDED99">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允许分包的专业工程包括：</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非主体结构、非关键性工作、已标价工程量清单或预算书中给定暂估价的专业工程；其他双方约定允许分包的专业工程。</w:t>
      </w:r>
    </w:p>
    <w:p w14:paraId="55D324F0">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其他关于分包的约定：</w:t>
      </w:r>
      <w:r>
        <w:rPr>
          <w:rFonts w:hint="eastAsia" w:ascii="宋体" w:hAnsi="宋体" w:eastAsia="宋体" w:cs="宋体"/>
          <w:color w:val="000000"/>
          <w:sz w:val="24"/>
          <w:szCs w:val="24"/>
          <w:highlight w:val="white"/>
          <w:u w:val="single"/>
        </w:rPr>
        <w:t xml:space="preserve"> 一般不得分包，确定因专业或特殊情况要分包时，必须征得发包人的同意批准后才能分包。分承包的单位必须满足国家的相关资质规定，同时要有相关的业绩及承接本项目的实力。具体内容在合同时根据总承包人的相关资质内容约定。  </w:t>
      </w:r>
    </w:p>
    <w:p w14:paraId="36696512">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总承包单位应按照本工程质量、安全、进度、投资等方面的总体要求对分包单位（包括甲方招标分包单位）进行管理，该项管理内容及费用已包含在施工总承包服务费中。若由于总承包单位管理和组织不力，造成总体工程（包括甲方分包专业工程）的质量、安全、进度、投资控制等方面不能满足总承包合同及分包合同约定的，总承包单位要承担由此造成的连带责任和经济损失，并接受发包人的违约处罚。</w:t>
      </w:r>
    </w:p>
    <w:p w14:paraId="5956A194">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3.5.4 分包合同价款</w:t>
      </w:r>
    </w:p>
    <w:p w14:paraId="1502A842">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关于分包合同价款支付的约定：</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由承包人，按照总承包支付方式进行支付（如总承包人无故不能按时支付人工工资，招标人有权从总合同价款中直接扣除人工工资，进行支付）   。</w:t>
      </w:r>
    </w:p>
    <w:p w14:paraId="27E0A370">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3.6 工程照管与成品、半成品保护</w:t>
      </w:r>
    </w:p>
    <w:p w14:paraId="4BD40F4F">
      <w:pPr>
        <w:pStyle w:val="95"/>
        <w:spacing w:before="120" w:after="120" w:line="500" w:lineRule="exact"/>
        <w:ind w:left="420"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highlight w:val="white"/>
        </w:rPr>
        <w:t>承包人负责照管工程及工程相关的材料、工程设备的起始时间：</w:t>
      </w:r>
      <w:r>
        <w:rPr>
          <w:rFonts w:hint="eastAsia" w:ascii="宋体" w:hAnsi="宋体" w:eastAsia="宋体" w:cs="宋体"/>
          <w:color w:val="000000"/>
          <w:kern w:val="0"/>
          <w:sz w:val="24"/>
          <w:szCs w:val="24"/>
          <w:highlight w:val="white"/>
          <w:u w:val="single"/>
        </w:rPr>
        <w:t xml:space="preserve">  自材料及设备进场至本合同项下的工程全部验收合格、交付使用前由承包人负责照管和保修，相关费用由承包人承担。其他事项</w:t>
      </w:r>
      <w:r>
        <w:rPr>
          <w:rFonts w:hint="eastAsia" w:ascii="宋体" w:hAnsi="宋体" w:eastAsia="宋体" w:cs="宋体"/>
          <w:color w:val="000000"/>
          <w:sz w:val="24"/>
          <w:szCs w:val="24"/>
          <w:highlight w:val="white"/>
          <w:u w:val="single"/>
        </w:rPr>
        <w:t>执行合同通用条款</w:t>
      </w:r>
      <w:r>
        <w:rPr>
          <w:rFonts w:hint="eastAsia" w:ascii="宋体" w:hAnsi="宋体" w:eastAsia="宋体" w:cs="宋体"/>
          <w:color w:val="000000"/>
          <w:kern w:val="0"/>
          <w:sz w:val="24"/>
          <w:szCs w:val="24"/>
          <w:highlight w:val="white"/>
          <w:u w:val="single"/>
        </w:rPr>
        <w:t>。</w:t>
      </w:r>
    </w:p>
    <w:p w14:paraId="629AE457">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3.7 履约担保</w:t>
      </w:r>
    </w:p>
    <w:p w14:paraId="44043FD7">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承包人是否提供履约担保：</w:t>
      </w:r>
      <w:r>
        <w:rPr>
          <w:rFonts w:hint="eastAsia" w:ascii="宋体" w:hAnsi="宋体" w:eastAsia="宋体" w:cs="宋体"/>
          <w:color w:val="000000"/>
          <w:sz w:val="24"/>
          <w:szCs w:val="24"/>
          <w:highlight w:val="white"/>
          <w:u w:val="single"/>
        </w:rPr>
        <w:t>提供。</w:t>
      </w:r>
    </w:p>
    <w:p w14:paraId="6EAE5EFE">
      <w:pPr>
        <w:pStyle w:val="95"/>
        <w:spacing w:line="500" w:lineRule="exact"/>
        <w:ind w:left="420" w:firstLine="482"/>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承包人提供履约担保的形式、金额及期限的：</w:t>
      </w:r>
      <w:r>
        <w:rPr>
          <w:rFonts w:hint="eastAsia" w:ascii="宋体" w:hAnsi="宋体" w:eastAsia="宋体" w:cs="宋体"/>
          <w:color w:val="000000"/>
          <w:sz w:val="24"/>
          <w:szCs w:val="24"/>
          <w:highlight w:val="white"/>
          <w:u w:val="single"/>
        </w:rPr>
        <w:t>成交通知书发出3日内乙方向甲方账户缴纳成交金额的10%作为该项目的履约保证金，乙方若能按照合同约定完成履约，该项目的履约保证金甲方无息退还至乙方账户。若乙方因人原因造成工期延误，逾期竣工违约金的计算方法为：每延误竣工1天支付违约金</w:t>
      </w:r>
      <w:r>
        <w:rPr>
          <w:rFonts w:hint="eastAsia" w:ascii="宋体" w:hAnsi="宋体" w:cs="宋体"/>
          <w:color w:val="000000"/>
          <w:sz w:val="24"/>
          <w:szCs w:val="24"/>
          <w:highlight w:val="white"/>
          <w:u w:val="single"/>
          <w:lang w:val="en-US" w:eastAsia="zh-CN"/>
        </w:rPr>
        <w:t>2</w:t>
      </w:r>
      <w:r>
        <w:rPr>
          <w:rFonts w:hint="eastAsia" w:ascii="宋体" w:hAnsi="宋体" w:eastAsia="宋体" w:cs="宋体"/>
          <w:color w:val="000000"/>
          <w:sz w:val="24"/>
          <w:szCs w:val="24"/>
          <w:highlight w:val="white"/>
          <w:u w:val="single"/>
        </w:rPr>
        <w:t xml:space="preserve">000元。因承包人原因造成工期延误，逾期竣工违约金的上限：中标合同价的10% </w:t>
      </w:r>
    </w:p>
    <w:p w14:paraId="7A208563">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4. 监理人</w:t>
      </w:r>
    </w:p>
    <w:p w14:paraId="72A13E1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4.1监理人的一般规定</w:t>
      </w:r>
    </w:p>
    <w:p w14:paraId="45B66BD2">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关于监理人的监理内容：</w:t>
      </w:r>
      <w:r>
        <w:rPr>
          <w:rFonts w:hint="eastAsia" w:ascii="宋体" w:hAnsi="宋体" w:eastAsia="宋体" w:cs="宋体"/>
          <w:color w:val="000000"/>
          <w:sz w:val="24"/>
          <w:szCs w:val="24"/>
          <w:highlight w:val="white"/>
          <w:u w:val="single"/>
        </w:rPr>
        <w:t>按本合同通用条款的本条执行</w:t>
      </w:r>
      <w:r>
        <w:rPr>
          <w:rFonts w:hint="eastAsia" w:ascii="宋体" w:hAnsi="宋体" w:eastAsia="宋体" w:cs="宋体"/>
          <w:color w:val="000000"/>
          <w:sz w:val="24"/>
          <w:szCs w:val="24"/>
          <w:highlight w:val="white"/>
        </w:rPr>
        <w:t>。</w:t>
      </w:r>
    </w:p>
    <w:p w14:paraId="48786A52">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关于监理人的监理权限：</w:t>
      </w:r>
      <w:r>
        <w:rPr>
          <w:rFonts w:hint="eastAsia" w:ascii="宋体" w:hAnsi="宋体" w:eastAsia="宋体" w:cs="宋体"/>
          <w:color w:val="000000"/>
          <w:sz w:val="24"/>
          <w:szCs w:val="24"/>
          <w:highlight w:val="white"/>
          <w:u w:val="single"/>
        </w:rPr>
        <w:t>按本合同通用条款的本条执行</w:t>
      </w:r>
      <w:r>
        <w:rPr>
          <w:rFonts w:hint="eastAsia" w:ascii="宋体" w:hAnsi="宋体" w:eastAsia="宋体" w:cs="宋体"/>
          <w:color w:val="000000"/>
          <w:sz w:val="24"/>
          <w:szCs w:val="24"/>
          <w:highlight w:val="white"/>
        </w:rPr>
        <w:t xml:space="preserve">。 </w:t>
      </w:r>
    </w:p>
    <w:p w14:paraId="46AFED95">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关于监理人在施工现场的办公场所、生活场所的提供和费用承担的约定：                                                </w:t>
      </w:r>
    </w:p>
    <w:p w14:paraId="6AAF564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u w:val="single"/>
        </w:rPr>
        <w:t>按本合同通用条款的本条执行</w:t>
      </w:r>
      <w:r>
        <w:rPr>
          <w:rFonts w:hint="eastAsia" w:ascii="宋体" w:hAnsi="宋体" w:eastAsia="宋体" w:cs="宋体"/>
          <w:color w:val="000000"/>
          <w:sz w:val="24"/>
          <w:szCs w:val="24"/>
          <w:highlight w:val="white"/>
        </w:rPr>
        <w:t>。</w:t>
      </w:r>
    </w:p>
    <w:p w14:paraId="11575CC3">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4.2 监理人员</w:t>
      </w:r>
    </w:p>
    <w:p w14:paraId="68F80A8A">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总监理工程师：</w:t>
      </w:r>
    </w:p>
    <w:p w14:paraId="3ED1917B">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姓    名：</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425C2120">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职    务：</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6125F6F5">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监理工程师执业资格证书号：</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54753696">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联系电话：</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73FCB4D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电子信箱：</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1423DF9D">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通信地址：</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rPr>
        <w:t>；</w:t>
      </w:r>
    </w:p>
    <w:p w14:paraId="5ED9E59C">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关于监理人的其他约定：</w:t>
      </w:r>
      <w:r>
        <w:rPr>
          <w:rFonts w:hint="eastAsia" w:ascii="宋体" w:hAnsi="宋体" w:eastAsia="宋体" w:cs="宋体"/>
          <w:color w:val="000000"/>
          <w:sz w:val="24"/>
          <w:szCs w:val="24"/>
          <w:highlight w:val="white"/>
          <w:u w:val="single"/>
        </w:rPr>
        <w:sym w:font="MingLiU_HKSCS" w:char="E5E5"/>
      </w:r>
      <w:r>
        <w:rPr>
          <w:rFonts w:hint="eastAsia" w:ascii="宋体" w:hAnsi="宋体" w:eastAsia="宋体" w:cs="宋体"/>
          <w:color w:val="000000"/>
          <w:sz w:val="24"/>
          <w:szCs w:val="24"/>
          <w:highlight w:val="white"/>
          <w:u w:val="single"/>
        </w:rPr>
        <w:t>由发、承包双方在签订合同时约定。</w:t>
      </w:r>
    </w:p>
    <w:p w14:paraId="39BB65A9">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4.4 商定或确定</w:t>
      </w:r>
    </w:p>
    <w:p w14:paraId="6A8DE834">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在发包人和承包人不能通过协商达成一致意见时，发包人授权监理人对以下事项进行确定：</w:t>
      </w:r>
      <w:r>
        <w:rPr>
          <w:rFonts w:hint="eastAsia" w:ascii="宋体" w:hAnsi="宋体" w:eastAsia="宋体" w:cs="宋体"/>
          <w:color w:val="000000"/>
          <w:sz w:val="24"/>
          <w:szCs w:val="24"/>
          <w:highlight w:val="white"/>
          <w:u w:val="single"/>
        </w:rPr>
        <w:t>由发、承包双方在签订合同时约定。</w:t>
      </w:r>
    </w:p>
    <w:p w14:paraId="5B0E59BC">
      <w:pPr>
        <w:pStyle w:val="95"/>
        <w:spacing w:line="500" w:lineRule="exact"/>
        <w:ind w:left="420" w:firstLine="480"/>
        <w:rPr>
          <w:rFonts w:hint="eastAsia" w:ascii="宋体" w:hAnsi="宋体" w:eastAsia="宋体" w:cs="宋体"/>
          <w:b/>
          <w:bCs/>
          <w:color w:val="000000"/>
          <w:sz w:val="24"/>
          <w:szCs w:val="24"/>
        </w:rPr>
      </w:pPr>
      <w:r>
        <w:rPr>
          <w:rFonts w:hint="eastAsia" w:ascii="宋体" w:hAnsi="宋体" w:eastAsia="宋体" w:cs="宋体"/>
          <w:color w:val="000000"/>
          <w:sz w:val="24"/>
          <w:szCs w:val="24"/>
          <w:highlight w:val="white"/>
        </w:rPr>
        <w:t xml:space="preserve"> </w:t>
      </w:r>
      <w:r>
        <w:rPr>
          <w:rFonts w:hint="eastAsia" w:ascii="宋体" w:hAnsi="宋体" w:eastAsia="宋体" w:cs="宋体"/>
          <w:b/>
          <w:bCs/>
          <w:color w:val="000000"/>
          <w:sz w:val="24"/>
          <w:szCs w:val="24"/>
          <w:highlight w:val="white"/>
        </w:rPr>
        <w:t>5. 工程质量</w:t>
      </w:r>
    </w:p>
    <w:p w14:paraId="58DE313D">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5.1 质量要求</w:t>
      </w:r>
    </w:p>
    <w:p w14:paraId="57B99B62">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5.1.1 特殊质量标准和要求:</w:t>
      </w:r>
      <w:r>
        <w:rPr>
          <w:rFonts w:hint="eastAsia" w:ascii="宋体" w:hAnsi="宋体" w:eastAsia="宋体" w:cs="宋体"/>
          <w:color w:val="000000"/>
          <w:sz w:val="24"/>
          <w:szCs w:val="24"/>
          <w:highlight w:val="white"/>
          <w:u w:val="single"/>
        </w:rPr>
        <w:t>承包人必须按《中华人民共和国建筑法》《建设工程质量管理条例》《房屋建筑工程质量保修办法》新疆地区本地法律法规及合同约定的合格标准。</w:t>
      </w:r>
    </w:p>
    <w:p w14:paraId="02F44D6E">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关于工程奖项的约定：</w:t>
      </w:r>
      <w:r>
        <w:rPr>
          <w:rFonts w:hint="eastAsia" w:ascii="宋体" w:hAnsi="宋体" w:eastAsia="宋体" w:cs="宋体"/>
          <w:color w:val="000000"/>
          <w:sz w:val="24"/>
          <w:szCs w:val="24"/>
          <w:highlight w:val="white"/>
          <w:u w:val="single"/>
        </w:rPr>
        <w:t xml:space="preserve">  无           </w:t>
      </w:r>
    </w:p>
    <w:p w14:paraId="4A5D80F4">
      <w:pPr>
        <w:pStyle w:val="95"/>
        <w:spacing w:after="120"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5.3 隐蔽工程检查</w:t>
      </w:r>
    </w:p>
    <w:p w14:paraId="7707F937">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5.3.2承包人提前通知监理人隐蔽工程检查的期限的约定：</w:t>
      </w:r>
      <w:r>
        <w:rPr>
          <w:rFonts w:hint="eastAsia" w:ascii="宋体" w:hAnsi="宋体" w:eastAsia="宋体" w:cs="宋体"/>
          <w:color w:val="000000"/>
          <w:sz w:val="24"/>
          <w:szCs w:val="24"/>
          <w:highlight w:val="white"/>
          <w:u w:val="single"/>
        </w:rPr>
        <w:t xml:space="preserve">   承包人应在共同检查前48小时书面通知监理人检查 。</w:t>
      </w:r>
    </w:p>
    <w:p w14:paraId="1434C7A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监理人不能按时进行检查时，应提前</w:t>
      </w:r>
      <w:r>
        <w:rPr>
          <w:rFonts w:hint="eastAsia" w:ascii="宋体" w:hAnsi="宋体" w:eastAsia="宋体" w:cs="宋体"/>
          <w:color w:val="000000"/>
          <w:sz w:val="24"/>
          <w:szCs w:val="24"/>
          <w:highlight w:val="white"/>
          <w:u w:val="single"/>
        </w:rPr>
        <w:t xml:space="preserve"> 24</w:t>
      </w:r>
      <w:r>
        <w:rPr>
          <w:rFonts w:hint="eastAsia" w:ascii="宋体" w:hAnsi="宋体" w:eastAsia="宋体" w:cs="宋体"/>
          <w:color w:val="000000"/>
          <w:sz w:val="24"/>
          <w:szCs w:val="24"/>
          <w:highlight w:val="white"/>
        </w:rPr>
        <w:t>小时提交书面延期要求。</w:t>
      </w:r>
    </w:p>
    <w:p w14:paraId="2073DE0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关于延期最长不得超过：</w:t>
      </w:r>
      <w:r>
        <w:rPr>
          <w:rFonts w:hint="eastAsia" w:ascii="宋体" w:hAnsi="宋体" w:eastAsia="宋体" w:cs="宋体"/>
          <w:color w:val="000000"/>
          <w:sz w:val="24"/>
          <w:szCs w:val="24"/>
          <w:highlight w:val="white"/>
          <w:u w:val="single"/>
        </w:rPr>
        <w:t xml:space="preserve"> 48</w:t>
      </w:r>
      <w:r>
        <w:rPr>
          <w:rFonts w:hint="eastAsia" w:ascii="宋体" w:hAnsi="宋体" w:eastAsia="宋体" w:cs="宋体"/>
          <w:color w:val="000000"/>
          <w:sz w:val="24"/>
          <w:szCs w:val="24"/>
          <w:highlight w:val="white"/>
        </w:rPr>
        <w:t>小时。</w:t>
      </w:r>
    </w:p>
    <w:p w14:paraId="6B348846">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6. 安全文明施工与环境保护</w:t>
      </w:r>
    </w:p>
    <w:p w14:paraId="130A6230">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6.1安全文明施工</w:t>
      </w:r>
    </w:p>
    <w:p w14:paraId="5B06C005">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6.1.1 项目安全生产的达标目标及相应事项的约定：  </w:t>
      </w:r>
      <w:r>
        <w:rPr>
          <w:rFonts w:hint="eastAsia" w:ascii="宋体" w:hAnsi="宋体" w:eastAsia="宋体" w:cs="宋体"/>
          <w:color w:val="000000"/>
          <w:sz w:val="24"/>
          <w:szCs w:val="24"/>
          <w:highlight w:val="white"/>
          <w:u w:val="single"/>
        </w:rPr>
        <w:t xml:space="preserve"> 合同履行期间，合同当事人均应当遵守国家、自治区有关安全生产的要求，安全生产的达标目标及相应事项由发、承包双方在签订合同时约定。 </w:t>
      </w:r>
    </w:p>
    <w:p w14:paraId="4A38A675">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6.1.4 关于治安保卫的特别约定</w:t>
      </w:r>
      <w:r>
        <w:rPr>
          <w:rFonts w:hint="eastAsia" w:ascii="宋体" w:hAnsi="宋体" w:eastAsia="宋体" w:cs="宋体"/>
          <w:color w:val="000000"/>
          <w:sz w:val="24"/>
          <w:szCs w:val="24"/>
          <w:highlight w:val="white"/>
          <w:u w:val="single"/>
        </w:rPr>
        <w:t>：由承包人在工程施工、竣工及保修的整个过程中负责并履行治安保卫职责、施工安全管理等义务，制定相关应急预案和措施，并符合当地公安部门的要求。</w:t>
      </w:r>
    </w:p>
    <w:p w14:paraId="33600D9A">
      <w:pPr>
        <w:pStyle w:val="95"/>
        <w:spacing w:line="500" w:lineRule="exact"/>
        <w:ind w:left="420" w:firstLine="480" w:firstLineChars="200"/>
        <w:rPr>
          <w:rFonts w:hint="eastAsia" w:ascii="宋体" w:hAnsi="宋体" w:eastAsia="宋体" w:cs="宋体"/>
          <w:color w:val="000000"/>
          <w:sz w:val="24"/>
          <w:szCs w:val="24"/>
          <w:highlight w:val="white"/>
          <w:u w:val="single"/>
        </w:rPr>
      </w:pPr>
      <w:r>
        <w:rPr>
          <w:rFonts w:hint="eastAsia" w:ascii="宋体" w:hAnsi="宋体" w:eastAsia="宋体" w:cs="宋体"/>
          <w:color w:val="000000"/>
          <w:sz w:val="24"/>
          <w:szCs w:val="24"/>
          <w:highlight w:val="white"/>
        </w:rPr>
        <w:t>关于编制施工场地治安管理计划的约定：</w:t>
      </w:r>
      <w:r>
        <w:rPr>
          <w:rFonts w:hint="eastAsia" w:ascii="宋体" w:hAnsi="宋体" w:eastAsia="宋体" w:cs="宋体"/>
          <w:color w:val="000000"/>
          <w:sz w:val="24"/>
          <w:szCs w:val="24"/>
          <w:highlight w:val="white"/>
          <w:u w:val="single"/>
        </w:rPr>
        <w:t xml:space="preserve">   开工前7日内以书面方式提供 。</w:t>
      </w:r>
    </w:p>
    <w:p w14:paraId="45E7D955">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6.1.5 文明施工</w:t>
      </w:r>
    </w:p>
    <w:p w14:paraId="5F81ACC6">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合同当事人对文明施工的要求：</w:t>
      </w:r>
      <w:r>
        <w:rPr>
          <w:rFonts w:hint="eastAsia" w:ascii="宋体" w:hAnsi="宋体" w:eastAsia="宋体" w:cs="宋体"/>
          <w:color w:val="000000"/>
          <w:sz w:val="24"/>
          <w:szCs w:val="24"/>
          <w:highlight w:val="white"/>
          <w:u w:val="single"/>
        </w:rPr>
        <w:t xml:space="preserve">  按建设行政主管部门的有关规定达到合格</w:t>
      </w:r>
      <w:r>
        <w:rPr>
          <w:rFonts w:hint="eastAsia" w:ascii="宋体" w:hAnsi="宋体" w:eastAsia="宋体" w:cs="宋体"/>
          <w:color w:val="000000"/>
          <w:sz w:val="24"/>
          <w:szCs w:val="24"/>
          <w:highlight w:val="white"/>
        </w:rPr>
        <w:t>。</w:t>
      </w:r>
    </w:p>
    <w:p w14:paraId="320CF54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6.1.6 关于安全文明施工费支付比例和支付期限的约定</w:t>
      </w:r>
      <w:r>
        <w:rPr>
          <w:rFonts w:hint="eastAsia" w:ascii="宋体" w:hAnsi="宋体" w:eastAsia="宋体" w:cs="宋体"/>
          <w:color w:val="000000"/>
          <w:sz w:val="24"/>
          <w:szCs w:val="24"/>
          <w:highlight w:val="white"/>
          <w:u w:val="single"/>
        </w:rPr>
        <w:t>：执行通用条款约定。</w:t>
      </w:r>
    </w:p>
    <w:p w14:paraId="00A2EBC2">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7. 工期和进度</w:t>
      </w:r>
    </w:p>
    <w:p w14:paraId="08EB94E5">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7.1 施工组织设计</w:t>
      </w:r>
    </w:p>
    <w:p w14:paraId="0D58B9A8">
      <w:pPr>
        <w:pStyle w:val="95"/>
        <w:autoSpaceDE w:val="0"/>
        <w:autoSpaceDN w:val="0"/>
        <w:adjustRightInd w:val="0"/>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7.1.1 合</w:t>
      </w:r>
      <w:r>
        <w:rPr>
          <w:rFonts w:hint="eastAsia" w:ascii="宋体" w:hAnsi="宋体" w:eastAsia="宋体" w:cs="宋体"/>
          <w:color w:val="000000"/>
          <w:kern w:val="0"/>
          <w:sz w:val="24"/>
          <w:szCs w:val="24"/>
          <w:highlight w:val="white"/>
        </w:rPr>
        <w:t>同当事人约定的施工组</w:t>
      </w:r>
      <w:r>
        <w:rPr>
          <w:rFonts w:hint="eastAsia" w:ascii="宋体" w:hAnsi="宋体" w:eastAsia="宋体" w:cs="宋体"/>
          <w:color w:val="000000"/>
          <w:sz w:val="24"/>
          <w:szCs w:val="24"/>
          <w:highlight w:val="white"/>
        </w:rPr>
        <w:t>织设计应包括的其他内容：</w:t>
      </w:r>
      <w:r>
        <w:rPr>
          <w:rFonts w:hint="eastAsia" w:ascii="宋体" w:hAnsi="宋体" w:eastAsia="宋体" w:cs="宋体"/>
          <w:color w:val="000000"/>
          <w:sz w:val="24"/>
          <w:szCs w:val="24"/>
          <w:highlight w:val="white"/>
          <w:u w:val="single"/>
        </w:rPr>
        <w:t xml:space="preserve">  执行通用条款约定</w:t>
      </w:r>
      <w:r>
        <w:rPr>
          <w:rFonts w:hint="eastAsia" w:ascii="宋体" w:hAnsi="宋体" w:eastAsia="宋体" w:cs="宋体"/>
          <w:color w:val="000000"/>
          <w:sz w:val="24"/>
          <w:szCs w:val="24"/>
          <w:highlight w:val="white"/>
        </w:rPr>
        <w:t>。</w:t>
      </w:r>
    </w:p>
    <w:p w14:paraId="6147F22C">
      <w:pPr>
        <w:pStyle w:val="95"/>
        <w:autoSpaceDE w:val="0"/>
        <w:autoSpaceDN w:val="0"/>
        <w:adjustRightInd w:val="0"/>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 xml:space="preserve">7.1.2 </w:t>
      </w:r>
      <w:r>
        <w:rPr>
          <w:rFonts w:hint="eastAsia" w:ascii="宋体" w:hAnsi="宋体" w:eastAsia="宋体" w:cs="宋体"/>
          <w:color w:val="000000"/>
          <w:kern w:val="0"/>
          <w:sz w:val="24"/>
          <w:szCs w:val="24"/>
          <w:highlight w:val="white"/>
        </w:rPr>
        <w:t>施工组织设计的提交和修改</w:t>
      </w:r>
    </w:p>
    <w:p w14:paraId="25286E8D">
      <w:pPr>
        <w:pStyle w:val="95"/>
        <w:autoSpaceDE w:val="0"/>
        <w:autoSpaceDN w:val="0"/>
        <w:adjustRightInd w:val="0"/>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承包人提交详细施工组织设计的期限的约定：</w:t>
      </w:r>
      <w:r>
        <w:rPr>
          <w:rFonts w:hint="eastAsia" w:ascii="宋体" w:hAnsi="宋体" w:eastAsia="宋体" w:cs="宋体"/>
          <w:color w:val="000000"/>
          <w:sz w:val="24"/>
          <w:szCs w:val="24"/>
          <w:highlight w:val="white"/>
          <w:u w:val="single"/>
        </w:rPr>
        <w:t>合同签订之日起5日内提交经监理和甲方认可的施工组织设计和总进度计划，每延期一天罚款2000元，延期超过7天，发包人有权与承包人解除合同</w:t>
      </w:r>
      <w:r>
        <w:rPr>
          <w:rFonts w:hint="eastAsia" w:ascii="宋体" w:hAnsi="宋体" w:eastAsia="宋体" w:cs="宋体"/>
          <w:color w:val="000000"/>
          <w:sz w:val="24"/>
          <w:szCs w:val="24"/>
          <w:highlight w:val="white"/>
        </w:rPr>
        <w:t>。</w:t>
      </w:r>
    </w:p>
    <w:p w14:paraId="4F2218C1">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发包人和监理人在收到详细的施工组织设计后确认或提出修改意见的期限：</w:t>
      </w:r>
      <w:r>
        <w:rPr>
          <w:rFonts w:hint="eastAsia" w:ascii="宋体" w:hAnsi="宋体" w:eastAsia="宋体" w:cs="宋体"/>
          <w:color w:val="000000"/>
          <w:sz w:val="24"/>
          <w:szCs w:val="24"/>
          <w:highlight w:val="white"/>
          <w:u w:val="single"/>
        </w:rPr>
        <w:t xml:space="preserve"> 按本合同通用条款的本条执行。</w:t>
      </w:r>
    </w:p>
    <w:p w14:paraId="78FB1FF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7.2 施工进度计划</w:t>
      </w:r>
    </w:p>
    <w:p w14:paraId="699D82C8">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7.2.2 施工进度计划的修订</w:t>
      </w:r>
    </w:p>
    <w:p w14:paraId="0129FEB0">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发包人和监理人在收到修订的施工进度计划后确认或提出修改意见的期限：</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lang w:eastAsia="zh-CN"/>
        </w:rPr>
        <w:t>由承包人以书面形式提交施工进度计划表，并由承包人盖章确认后，发包人和监理人在收到修订的施工进度计划后</w:t>
      </w:r>
      <w:r>
        <w:rPr>
          <w:rFonts w:hint="eastAsia" w:ascii="宋体" w:hAnsi="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u w:val="single"/>
          <w:lang w:eastAsia="zh-CN"/>
        </w:rPr>
        <w:t>日内确认或提出修改意见，承包人若否应承担相应的违约责任</w:t>
      </w:r>
      <w:r>
        <w:rPr>
          <w:rFonts w:hint="eastAsia" w:ascii="宋体" w:hAnsi="宋体" w:eastAsia="宋体" w:cs="宋体"/>
          <w:color w:val="000000"/>
          <w:sz w:val="24"/>
          <w:szCs w:val="24"/>
          <w:highlight w:val="white"/>
          <w:u w:val="single"/>
        </w:rPr>
        <w:t>。</w:t>
      </w:r>
    </w:p>
    <w:p w14:paraId="4FB7C96A">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7.3 开工</w:t>
      </w:r>
    </w:p>
    <w:p w14:paraId="0E79E5B0">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7.3.1 开工准备</w:t>
      </w:r>
    </w:p>
    <w:p w14:paraId="7D36E441">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关于承包人提交</w:t>
      </w:r>
      <w:r>
        <w:rPr>
          <w:rFonts w:hint="eastAsia" w:ascii="宋体" w:hAnsi="宋体" w:eastAsia="宋体" w:cs="宋体"/>
          <w:color w:val="000000"/>
          <w:kern w:val="0"/>
          <w:sz w:val="24"/>
          <w:szCs w:val="24"/>
          <w:highlight w:val="white"/>
        </w:rPr>
        <w:t>工程开工报审表的期限：</w:t>
      </w:r>
      <w:r>
        <w:rPr>
          <w:rFonts w:hint="eastAsia" w:ascii="宋体" w:hAnsi="宋体" w:eastAsia="宋体" w:cs="宋体"/>
          <w:color w:val="000000"/>
          <w:sz w:val="24"/>
          <w:szCs w:val="24"/>
          <w:highlight w:val="white"/>
          <w:u w:val="single"/>
        </w:rPr>
        <w:t>合同签订之日起5日内提交</w:t>
      </w:r>
      <w:r>
        <w:rPr>
          <w:rFonts w:hint="eastAsia" w:ascii="宋体" w:hAnsi="宋体" w:eastAsia="宋体" w:cs="宋体"/>
          <w:color w:val="000000"/>
          <w:sz w:val="24"/>
          <w:szCs w:val="24"/>
          <w:highlight w:val="white"/>
        </w:rPr>
        <w:t>。</w:t>
      </w:r>
    </w:p>
    <w:p w14:paraId="009A0B3C">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关于发包人应完成的其他开工准备工作及期限：</w:t>
      </w:r>
      <w:r>
        <w:rPr>
          <w:rFonts w:hint="eastAsia" w:ascii="宋体" w:hAnsi="宋体" w:eastAsia="宋体" w:cs="宋体"/>
          <w:color w:val="000000"/>
          <w:sz w:val="24"/>
          <w:szCs w:val="24"/>
          <w:highlight w:val="white"/>
          <w:u w:val="single"/>
        </w:rPr>
        <w:t xml:space="preserve">  前期手续及委托工程监理、设计合同在合同签订之日起10天内完成。</w:t>
      </w:r>
    </w:p>
    <w:p w14:paraId="38DD8710">
      <w:pPr>
        <w:pStyle w:val="95"/>
        <w:spacing w:line="500" w:lineRule="exact"/>
        <w:ind w:left="420"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highlight w:val="white"/>
        </w:rPr>
        <w:t>关于承包人应完成的其他开工准备工作及期限：</w:t>
      </w:r>
      <w:r>
        <w:rPr>
          <w:rFonts w:hint="eastAsia" w:ascii="宋体" w:hAnsi="宋体" w:eastAsia="宋体" w:cs="宋体"/>
          <w:color w:val="000000"/>
          <w:sz w:val="24"/>
          <w:szCs w:val="24"/>
          <w:highlight w:val="white"/>
          <w:u w:val="single"/>
        </w:rPr>
        <w:t>办理质量监督登记、保险、工程排污、施工许可证等由承包人办理的开工前期手续在合同签订之日起10天内完成。否则延期一天罚款2000元</w:t>
      </w:r>
      <w:r>
        <w:rPr>
          <w:rFonts w:hint="eastAsia" w:ascii="宋体" w:hAnsi="宋体" w:cs="宋体"/>
          <w:color w:val="000000"/>
          <w:sz w:val="24"/>
          <w:szCs w:val="24"/>
          <w:highlight w:val="white"/>
          <w:u w:val="single"/>
          <w:lang w:eastAsia="zh-CN"/>
        </w:rPr>
        <w:t>。</w:t>
      </w:r>
    </w:p>
    <w:p w14:paraId="39CA54E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7.3.2开工通知</w:t>
      </w:r>
    </w:p>
    <w:p w14:paraId="09595ADC">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因发包人原因造成监理人未能在计划开工日期之日起</w:t>
      </w:r>
      <w:r>
        <w:rPr>
          <w:rFonts w:hint="eastAsia" w:ascii="宋体" w:hAnsi="宋体" w:eastAsia="宋体" w:cs="宋体"/>
          <w:color w:val="000000"/>
          <w:sz w:val="24"/>
          <w:szCs w:val="24"/>
          <w:highlight w:val="white"/>
          <w:u w:val="single"/>
        </w:rPr>
        <w:t>90</w:t>
      </w:r>
      <w:r>
        <w:rPr>
          <w:rFonts w:hint="eastAsia" w:ascii="宋体" w:hAnsi="宋体" w:eastAsia="宋体" w:cs="宋体"/>
          <w:color w:val="000000"/>
          <w:sz w:val="24"/>
          <w:szCs w:val="24"/>
          <w:highlight w:val="white"/>
        </w:rPr>
        <w:t>天内发出开工通知的，承包人有权提出价格调整要求，或者解除合同。</w:t>
      </w:r>
    </w:p>
    <w:p w14:paraId="10DAA85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7.4 测量放线</w:t>
      </w:r>
    </w:p>
    <w:p w14:paraId="14502A38">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7.4.1发包人通过监理人向承包人提供测量基准点、基准线和水准点及其书面资料的期限：</w:t>
      </w:r>
      <w:r>
        <w:rPr>
          <w:rFonts w:hint="eastAsia" w:ascii="宋体" w:hAnsi="宋体" w:eastAsia="宋体" w:cs="宋体"/>
          <w:color w:val="000000"/>
          <w:sz w:val="24"/>
          <w:szCs w:val="24"/>
          <w:highlight w:val="white"/>
          <w:u w:val="single"/>
        </w:rPr>
        <w:t>合同签订之日起3天内提交</w:t>
      </w:r>
      <w:r>
        <w:rPr>
          <w:rFonts w:hint="eastAsia" w:ascii="宋体" w:hAnsi="宋体" w:eastAsia="宋体" w:cs="宋体"/>
          <w:color w:val="000000"/>
          <w:sz w:val="24"/>
          <w:szCs w:val="24"/>
          <w:highlight w:val="white"/>
        </w:rPr>
        <w:t>。</w:t>
      </w:r>
    </w:p>
    <w:p w14:paraId="1F7C8A6E">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7.5 工期延误</w:t>
      </w:r>
    </w:p>
    <w:p w14:paraId="5B5327AF">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7.5.1 因发包人原因导致工期延误</w:t>
      </w:r>
    </w:p>
    <w:p w14:paraId="05F42954">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（7）因发包人原因导致工期延误的其他情形：</w:t>
      </w:r>
      <w:r>
        <w:rPr>
          <w:rFonts w:hint="eastAsia" w:ascii="宋体" w:hAnsi="宋体" w:eastAsia="宋体" w:cs="宋体"/>
          <w:color w:val="000000"/>
          <w:sz w:val="24"/>
          <w:szCs w:val="24"/>
          <w:highlight w:val="white"/>
          <w:u w:val="single"/>
        </w:rPr>
        <w:t xml:space="preserve"> 1.发包人要求</w:t>
      </w:r>
      <w:r>
        <w:rPr>
          <w:rFonts w:hint="eastAsia" w:ascii="宋体" w:hAnsi="宋体" w:cs="宋体"/>
          <w:color w:val="000000"/>
          <w:sz w:val="24"/>
          <w:szCs w:val="24"/>
          <w:highlight w:val="white"/>
          <w:u w:val="single"/>
          <w:lang w:val="en-US" w:eastAsia="zh-CN"/>
        </w:rPr>
        <w:t>增加</w:t>
      </w:r>
      <w:r>
        <w:rPr>
          <w:rFonts w:hint="eastAsia" w:ascii="宋体" w:hAnsi="宋体" w:eastAsia="宋体" w:cs="宋体"/>
          <w:color w:val="000000"/>
          <w:sz w:val="24"/>
          <w:szCs w:val="24"/>
          <w:highlight w:val="white"/>
          <w:u w:val="single"/>
        </w:rPr>
        <w:t>额外的附加工程的工程数量；2.由发包方造成的延误、障碍、阻止。</w:t>
      </w:r>
    </w:p>
    <w:p w14:paraId="22AF5784">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7.5.2 因承包人原因导致工期延误</w:t>
      </w:r>
    </w:p>
    <w:p w14:paraId="71AA83EC">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因承包人原因造成工期延误，逾期竣工违约金的计算方法为：</w:t>
      </w:r>
      <w:r>
        <w:rPr>
          <w:rFonts w:hint="eastAsia" w:ascii="宋体" w:hAnsi="宋体" w:eastAsia="宋体" w:cs="宋体"/>
          <w:color w:val="000000"/>
          <w:sz w:val="24"/>
          <w:szCs w:val="24"/>
          <w:highlight w:val="white"/>
          <w:u w:val="single"/>
        </w:rPr>
        <w:t>每延误竣工1天支付违约金2000元</w:t>
      </w:r>
      <w:r>
        <w:rPr>
          <w:rFonts w:hint="eastAsia" w:ascii="宋体" w:hAnsi="宋体" w:eastAsia="宋体" w:cs="宋体"/>
          <w:color w:val="000000"/>
          <w:sz w:val="24"/>
          <w:szCs w:val="24"/>
          <w:highlight w:val="white"/>
          <w:u w:val="single"/>
          <w:lang w:eastAsia="zh-CN"/>
        </w:rPr>
        <w:t>，违约金按此累计无上限，</w:t>
      </w:r>
      <w:r>
        <w:rPr>
          <w:rFonts w:hint="eastAsia" w:ascii="宋体" w:hAnsi="宋体" w:eastAsia="宋体" w:cs="宋体"/>
          <w:color w:val="000000"/>
          <w:sz w:val="24"/>
          <w:szCs w:val="24"/>
          <w:highlight w:val="white"/>
          <w:u w:val="single"/>
        </w:rPr>
        <w:t>发包人有权从应付工程款中直接扣除，同时，承包人须承担由此给发包人造成的其他经济损失，发包人有权追究承包人相应的法律责任</w:t>
      </w:r>
      <w:r>
        <w:rPr>
          <w:rFonts w:hint="eastAsia" w:ascii="宋体" w:hAnsi="宋体" w:eastAsia="宋体" w:cs="宋体"/>
          <w:color w:val="000000"/>
          <w:sz w:val="24"/>
          <w:szCs w:val="24"/>
          <w:highlight w:val="white"/>
        </w:rPr>
        <w:t>。</w:t>
      </w:r>
    </w:p>
    <w:p w14:paraId="7618E0A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因承包人原因造成工期延误，逾期竣工违约金的上限：</w:t>
      </w:r>
      <w:r>
        <w:rPr>
          <w:rFonts w:hint="eastAsia" w:ascii="宋体" w:hAnsi="宋体" w:cs="宋体"/>
          <w:color w:val="000000"/>
          <w:sz w:val="24"/>
          <w:szCs w:val="24"/>
          <w:highlight w:val="white"/>
          <w:u w:val="single"/>
          <w:lang w:val="en-US" w:eastAsia="zh-CN"/>
        </w:rPr>
        <w:t>无上限</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w:t>
      </w:r>
    </w:p>
    <w:p w14:paraId="1AD25271">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7.6 不利物质条件</w:t>
      </w:r>
    </w:p>
    <w:p w14:paraId="797673D9">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不利物质条件的其他情形和有关约定：</w:t>
      </w:r>
      <w:r>
        <w:rPr>
          <w:rFonts w:hint="eastAsia" w:ascii="宋体" w:hAnsi="宋体" w:eastAsia="宋体" w:cs="宋体"/>
          <w:color w:val="000000"/>
          <w:sz w:val="24"/>
          <w:szCs w:val="24"/>
          <w:highlight w:val="white"/>
          <w:u w:val="single"/>
        </w:rPr>
        <w:t>按本合同通用条款的本条执行</w:t>
      </w:r>
      <w:r>
        <w:rPr>
          <w:rFonts w:hint="eastAsia" w:ascii="宋体" w:hAnsi="宋体" w:eastAsia="宋体" w:cs="宋体"/>
          <w:color w:val="000000"/>
          <w:sz w:val="24"/>
          <w:szCs w:val="24"/>
          <w:highlight w:val="white"/>
        </w:rPr>
        <w:t>。</w:t>
      </w:r>
    </w:p>
    <w:p w14:paraId="74E7BA3C">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 7.7异常恶劣的气候条件</w:t>
      </w:r>
    </w:p>
    <w:p w14:paraId="3FC2CD7C">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发包人和承包人同意以下情形视为异常恶劣的气候条件：</w:t>
      </w:r>
    </w:p>
    <w:p w14:paraId="4E7A4CE2">
      <w:pPr>
        <w:pStyle w:val="95"/>
        <w:spacing w:line="500" w:lineRule="exact"/>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由发、承包双方在签订合同时约定;</w:t>
      </w:r>
    </w:p>
    <w:p w14:paraId="1BD42FDD">
      <w:pPr>
        <w:pStyle w:val="95"/>
        <w:spacing w:line="500" w:lineRule="exact"/>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由发、承包双方在签订合同时约定;</w:t>
      </w:r>
    </w:p>
    <w:p w14:paraId="2255C553">
      <w:pPr>
        <w:pStyle w:val="95"/>
        <w:spacing w:line="500" w:lineRule="exact"/>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u w:val="single"/>
        </w:rPr>
        <w:t>由发、承包双方在签订合同时约定;</w:t>
      </w:r>
    </w:p>
    <w:p w14:paraId="520168C4">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7.9 提前竣工的奖励</w:t>
      </w:r>
    </w:p>
    <w:p w14:paraId="6D63F8D4">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7.9.2提前竣工的奖励：</w:t>
      </w:r>
      <w:r>
        <w:rPr>
          <w:rFonts w:hint="eastAsia" w:ascii="宋体" w:hAnsi="宋体" w:eastAsia="宋体" w:cs="宋体"/>
          <w:color w:val="000000"/>
          <w:sz w:val="24"/>
          <w:szCs w:val="24"/>
          <w:highlight w:val="white"/>
          <w:u w:val="single"/>
        </w:rPr>
        <w:t>无</w:t>
      </w:r>
      <w:r>
        <w:rPr>
          <w:rFonts w:hint="eastAsia" w:ascii="宋体" w:hAnsi="宋体" w:eastAsia="宋体" w:cs="宋体"/>
          <w:color w:val="000000"/>
          <w:sz w:val="24"/>
          <w:szCs w:val="24"/>
          <w:highlight w:val="white"/>
        </w:rPr>
        <w:t>。</w:t>
      </w:r>
    </w:p>
    <w:p w14:paraId="07BB2A04">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8. 材料与设备</w:t>
      </w:r>
    </w:p>
    <w:p w14:paraId="65103315">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8.4材料与工程设备的保管与使用</w:t>
      </w:r>
    </w:p>
    <w:p w14:paraId="067F9DF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8.4.1发包人供应的材料设备的保管费用的承担：</w:t>
      </w:r>
      <w:r>
        <w:rPr>
          <w:rFonts w:hint="eastAsia" w:ascii="宋体" w:hAnsi="宋体" w:eastAsia="宋体" w:cs="宋体"/>
          <w:color w:val="000000"/>
          <w:sz w:val="24"/>
          <w:szCs w:val="24"/>
          <w:highlight w:val="white"/>
          <w:u w:val="single"/>
        </w:rPr>
        <w:t>由承包人负责保管并承担相应费用。</w:t>
      </w:r>
    </w:p>
    <w:p w14:paraId="6B055916">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8.6 样品</w:t>
      </w:r>
    </w:p>
    <w:p w14:paraId="21BB5D22">
      <w:pPr>
        <w:pStyle w:val="95"/>
        <w:autoSpaceDE w:val="0"/>
        <w:autoSpaceDN w:val="0"/>
        <w:adjustRightInd w:val="0"/>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8.6.1</w:t>
      </w:r>
      <w:r>
        <w:rPr>
          <w:rFonts w:hint="eastAsia" w:ascii="宋体" w:hAnsi="宋体" w:eastAsia="宋体" w:cs="宋体"/>
          <w:color w:val="000000"/>
          <w:kern w:val="0"/>
          <w:sz w:val="24"/>
          <w:szCs w:val="24"/>
          <w:highlight w:val="white"/>
        </w:rPr>
        <w:tab/>
      </w:r>
      <w:r>
        <w:rPr>
          <w:rFonts w:hint="eastAsia" w:ascii="宋体" w:hAnsi="宋体" w:eastAsia="宋体" w:cs="宋体"/>
          <w:color w:val="000000"/>
          <w:kern w:val="0"/>
          <w:sz w:val="24"/>
          <w:szCs w:val="24"/>
          <w:highlight w:val="white"/>
        </w:rPr>
        <w:t>样品的报送与封存</w:t>
      </w:r>
    </w:p>
    <w:p w14:paraId="6B622279">
      <w:pPr>
        <w:pStyle w:val="95"/>
        <w:autoSpaceDE w:val="0"/>
        <w:autoSpaceDN w:val="0"/>
        <w:adjustRightInd w:val="0"/>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需要承包人报送样品的材料或工程设备，样品的种类、名称、规格、数量要求：</w:t>
      </w:r>
      <w:r>
        <w:rPr>
          <w:rFonts w:hint="eastAsia" w:ascii="宋体" w:hAnsi="宋体" w:eastAsia="宋体" w:cs="宋体"/>
          <w:color w:val="000000"/>
          <w:sz w:val="24"/>
          <w:szCs w:val="24"/>
          <w:highlight w:val="white"/>
          <w:u w:val="single"/>
        </w:rPr>
        <w:t xml:space="preserve"> 按本合同通用条款的本条执行。</w:t>
      </w:r>
    </w:p>
    <w:p w14:paraId="0D71A31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8.8 施工设备和临时设施</w:t>
      </w:r>
    </w:p>
    <w:p w14:paraId="5261C302">
      <w:pPr>
        <w:pStyle w:val="95"/>
        <w:autoSpaceDE w:val="0"/>
        <w:autoSpaceDN w:val="0"/>
        <w:adjustRightInd w:val="0"/>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8.8.1 承包人提供的施工设备和临时设施</w:t>
      </w:r>
    </w:p>
    <w:p w14:paraId="1A3C782D">
      <w:pPr>
        <w:pStyle w:val="95"/>
        <w:autoSpaceDE w:val="0"/>
        <w:autoSpaceDN w:val="0"/>
        <w:adjustRightInd w:val="0"/>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关于修建临时设施费用承担的约定：</w:t>
      </w:r>
      <w:r>
        <w:rPr>
          <w:rFonts w:hint="eastAsia" w:ascii="宋体" w:hAnsi="宋体" w:eastAsia="宋体" w:cs="宋体"/>
          <w:color w:val="000000"/>
          <w:sz w:val="24"/>
          <w:szCs w:val="24"/>
          <w:highlight w:val="white"/>
          <w:u w:val="single"/>
        </w:rPr>
        <w:t>所有需要修建的临时设施所产生的费用，均由承包人承担，已含在合同总价中</w:t>
      </w:r>
      <w:r>
        <w:rPr>
          <w:rFonts w:hint="eastAsia" w:ascii="宋体" w:hAnsi="宋体" w:eastAsia="宋体" w:cs="宋体"/>
          <w:color w:val="000000"/>
          <w:sz w:val="24"/>
          <w:szCs w:val="24"/>
          <w:highlight w:val="white"/>
        </w:rPr>
        <w:t>。</w:t>
      </w:r>
    </w:p>
    <w:p w14:paraId="26711455">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9. 试验与检验</w:t>
      </w:r>
    </w:p>
    <w:p w14:paraId="24A79D2A">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9.1试验设备与试验人员</w:t>
      </w:r>
    </w:p>
    <w:p w14:paraId="4D52E0C7">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9.1.2 试验设备</w:t>
      </w:r>
    </w:p>
    <w:p w14:paraId="5184F07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施工现场需要配置的试验场所：</w:t>
      </w:r>
      <w:r>
        <w:rPr>
          <w:rFonts w:hint="eastAsia" w:ascii="宋体" w:hAnsi="宋体" w:eastAsia="宋体" w:cs="宋体"/>
          <w:color w:val="000000"/>
          <w:sz w:val="24"/>
          <w:szCs w:val="24"/>
          <w:highlight w:val="white"/>
          <w:u w:val="single"/>
        </w:rPr>
        <w:t>按有关规定执行</w:t>
      </w:r>
      <w:r>
        <w:rPr>
          <w:rFonts w:hint="eastAsia" w:ascii="宋体" w:hAnsi="宋体" w:eastAsia="宋体" w:cs="宋体"/>
          <w:color w:val="000000"/>
          <w:sz w:val="24"/>
          <w:szCs w:val="24"/>
          <w:highlight w:val="white"/>
        </w:rPr>
        <w:t xml:space="preserve">。 </w:t>
      </w:r>
    </w:p>
    <w:p w14:paraId="5333CBD8">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施工现场需要配备的试验设备：</w:t>
      </w:r>
      <w:r>
        <w:rPr>
          <w:rFonts w:hint="eastAsia" w:ascii="宋体" w:hAnsi="宋体" w:eastAsia="宋体" w:cs="宋体"/>
          <w:color w:val="000000"/>
          <w:sz w:val="24"/>
          <w:szCs w:val="24"/>
          <w:highlight w:val="white"/>
          <w:u w:val="single"/>
        </w:rPr>
        <w:t>按有关规定执行</w:t>
      </w:r>
      <w:r>
        <w:rPr>
          <w:rFonts w:hint="eastAsia" w:ascii="宋体" w:hAnsi="宋体" w:eastAsia="宋体" w:cs="宋体"/>
          <w:color w:val="000000"/>
          <w:sz w:val="24"/>
          <w:szCs w:val="24"/>
          <w:highlight w:val="white"/>
        </w:rPr>
        <w:t>。</w:t>
      </w:r>
    </w:p>
    <w:p w14:paraId="0206FD0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施工现场需要具备的其他试验条件：</w:t>
      </w:r>
      <w:r>
        <w:rPr>
          <w:rFonts w:hint="eastAsia" w:ascii="宋体" w:hAnsi="宋体" w:eastAsia="宋体" w:cs="宋体"/>
          <w:color w:val="000000"/>
          <w:sz w:val="24"/>
          <w:szCs w:val="24"/>
          <w:highlight w:val="white"/>
          <w:u w:val="single"/>
        </w:rPr>
        <w:t>按有关规定执行</w:t>
      </w:r>
      <w:r>
        <w:rPr>
          <w:rFonts w:hint="eastAsia" w:ascii="宋体" w:hAnsi="宋体" w:eastAsia="宋体" w:cs="宋体"/>
          <w:color w:val="000000"/>
          <w:sz w:val="24"/>
          <w:szCs w:val="24"/>
          <w:highlight w:val="white"/>
        </w:rPr>
        <w:t>。</w:t>
      </w:r>
    </w:p>
    <w:p w14:paraId="35D85DE3">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9.4 现场工艺试验 </w:t>
      </w:r>
    </w:p>
    <w:p w14:paraId="2D2D1D60">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现场工艺试验的有关约定：</w:t>
      </w:r>
      <w:r>
        <w:rPr>
          <w:rFonts w:hint="eastAsia" w:ascii="宋体" w:hAnsi="宋体" w:eastAsia="宋体" w:cs="宋体"/>
          <w:color w:val="000000"/>
          <w:sz w:val="24"/>
          <w:szCs w:val="24"/>
          <w:highlight w:val="white"/>
          <w:u w:val="single"/>
        </w:rPr>
        <w:t>按本合同通用条款的本条执行</w:t>
      </w:r>
      <w:r>
        <w:rPr>
          <w:rFonts w:hint="eastAsia" w:ascii="宋体" w:hAnsi="宋体" w:eastAsia="宋体" w:cs="宋体"/>
          <w:color w:val="000000"/>
          <w:sz w:val="24"/>
          <w:szCs w:val="24"/>
          <w:highlight w:val="white"/>
        </w:rPr>
        <w:t>。</w:t>
      </w:r>
    </w:p>
    <w:p w14:paraId="6BD9AC15">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10. 变更</w:t>
      </w:r>
    </w:p>
    <w:p w14:paraId="50A24410">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10.1变更的范围</w:t>
      </w:r>
    </w:p>
    <w:p w14:paraId="36115629">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关于变更的范围的约定：</w:t>
      </w:r>
      <w:r>
        <w:rPr>
          <w:rFonts w:hint="eastAsia" w:ascii="宋体" w:hAnsi="宋体" w:eastAsia="宋体" w:cs="宋体"/>
          <w:color w:val="000000"/>
          <w:sz w:val="24"/>
          <w:szCs w:val="24"/>
          <w:highlight w:val="white"/>
          <w:u w:val="single"/>
        </w:rPr>
        <w:t xml:space="preserve">  执行通用条款10.1条约定(1)增加或减少合同中任何工作，或追加额外的工作；（2）取消合同中任何工作，但转由他人实施的工作除外；（3）改变合同中任何工作的质量标准或其他特征；（4）改变工程的基线、标高、位置和尺寸；（5）改变工程的时间安排或实施顺序。</w:t>
      </w:r>
    </w:p>
    <w:p w14:paraId="1B16C23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10.4 变更估价</w:t>
      </w:r>
    </w:p>
    <w:p w14:paraId="75DE779D">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10.4.1 变更估价原则</w:t>
      </w:r>
    </w:p>
    <w:p w14:paraId="7A409428">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关于变更估价的约定: </w:t>
      </w:r>
      <w:r>
        <w:rPr>
          <w:rFonts w:hint="eastAsia" w:ascii="宋体" w:hAnsi="宋体" w:eastAsia="宋体" w:cs="宋体"/>
          <w:color w:val="000000"/>
          <w:sz w:val="24"/>
          <w:szCs w:val="24"/>
          <w:highlight w:val="white"/>
          <w:u w:val="single"/>
        </w:rPr>
        <w:t xml:space="preserve">  执行通用条款约定</w:t>
      </w:r>
      <w:r>
        <w:rPr>
          <w:rFonts w:hint="eastAsia" w:ascii="宋体" w:hAnsi="宋体" w:cs="宋体"/>
          <w:color w:val="000000"/>
          <w:sz w:val="24"/>
          <w:szCs w:val="24"/>
          <w:highlight w:val="white"/>
          <w:u w:val="single"/>
          <w:lang w:eastAsia="zh-CN"/>
        </w:rPr>
        <w:t>。</w:t>
      </w:r>
      <w:r>
        <w:rPr>
          <w:rFonts w:hint="eastAsia" w:ascii="宋体" w:hAnsi="宋体" w:eastAsia="宋体" w:cs="宋体"/>
          <w:color w:val="000000"/>
          <w:sz w:val="24"/>
          <w:szCs w:val="24"/>
          <w:highlight w:val="white"/>
          <w:u w:val="single"/>
        </w:rPr>
        <w:t>已标价工程量清单中无相同项目且无类似项目清单，应在变更实施前，由承包人提出变更工程量清单经监理人审核、发包人确认后，方可实施。</w:t>
      </w:r>
    </w:p>
    <w:p w14:paraId="6C3056C0">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10.5承包人的合理化建议</w:t>
      </w:r>
    </w:p>
    <w:p w14:paraId="3C94877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监理人审查承包人合理化建议的期限：</w:t>
      </w:r>
      <w:r>
        <w:rPr>
          <w:rFonts w:hint="eastAsia" w:ascii="宋体" w:hAnsi="宋体" w:eastAsia="宋体" w:cs="宋体"/>
          <w:color w:val="000000"/>
          <w:sz w:val="24"/>
          <w:szCs w:val="24"/>
          <w:highlight w:val="white"/>
          <w:u w:val="single"/>
        </w:rPr>
        <w:t>执行通用条款约定</w:t>
      </w:r>
      <w:r>
        <w:rPr>
          <w:rFonts w:hint="eastAsia" w:ascii="宋体" w:hAnsi="宋体" w:eastAsia="宋体" w:cs="宋体"/>
          <w:color w:val="000000"/>
          <w:sz w:val="24"/>
          <w:szCs w:val="24"/>
          <w:highlight w:val="white"/>
        </w:rPr>
        <w:t>。</w:t>
      </w:r>
    </w:p>
    <w:p w14:paraId="5063C12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发包人审批承包人合理化建议的期限：</w:t>
      </w:r>
      <w:r>
        <w:rPr>
          <w:rFonts w:hint="eastAsia" w:ascii="宋体" w:hAnsi="宋体" w:eastAsia="宋体" w:cs="宋体"/>
          <w:color w:val="000000"/>
          <w:sz w:val="24"/>
          <w:szCs w:val="24"/>
          <w:highlight w:val="white"/>
          <w:u w:val="single"/>
        </w:rPr>
        <w:t>执行通用条款约定</w:t>
      </w:r>
      <w:r>
        <w:rPr>
          <w:rFonts w:hint="eastAsia" w:ascii="宋体" w:hAnsi="宋体" w:eastAsia="宋体" w:cs="宋体"/>
          <w:color w:val="000000"/>
          <w:sz w:val="24"/>
          <w:szCs w:val="24"/>
          <w:highlight w:val="white"/>
        </w:rPr>
        <w:t>。</w:t>
      </w:r>
    </w:p>
    <w:p w14:paraId="2704ECA1">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承包人提出的合理化建议降低了合同价格或者提高了工程经济效益的奖励的方法和金额为：</w:t>
      </w:r>
      <w:r>
        <w:rPr>
          <w:rFonts w:hint="eastAsia" w:ascii="宋体" w:hAnsi="宋体" w:eastAsia="宋体" w:cs="宋体"/>
          <w:color w:val="000000"/>
          <w:sz w:val="24"/>
          <w:szCs w:val="24"/>
          <w:highlight w:val="white"/>
          <w:u w:val="single"/>
        </w:rPr>
        <w:t>无</w:t>
      </w:r>
      <w:r>
        <w:rPr>
          <w:rFonts w:hint="eastAsia" w:ascii="宋体" w:hAnsi="宋体" w:eastAsia="宋体" w:cs="宋体"/>
          <w:color w:val="000000"/>
          <w:sz w:val="24"/>
          <w:szCs w:val="24"/>
          <w:highlight w:val="white"/>
        </w:rPr>
        <w:t>。</w:t>
      </w:r>
    </w:p>
    <w:p w14:paraId="73D7C5DA">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10.7 暂估价</w:t>
      </w:r>
    </w:p>
    <w:p w14:paraId="076A7F55">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暂估价材料和工程设备的明细详见附件11：《</w:t>
      </w:r>
      <w:r>
        <w:rPr>
          <w:rFonts w:hint="eastAsia" w:ascii="宋体" w:hAnsi="宋体" w:eastAsia="宋体" w:cs="宋体"/>
          <w:color w:val="000000"/>
          <w:sz w:val="24"/>
          <w:szCs w:val="24"/>
          <w:highlight w:val="white"/>
        </w:rPr>
        <w:t>暂估价一览表》</w:t>
      </w:r>
      <w:r>
        <w:rPr>
          <w:rFonts w:hint="eastAsia" w:ascii="宋体" w:hAnsi="宋体" w:eastAsia="宋体" w:cs="宋体"/>
          <w:color w:val="000000"/>
          <w:kern w:val="0"/>
          <w:sz w:val="24"/>
          <w:szCs w:val="24"/>
          <w:highlight w:val="white"/>
        </w:rPr>
        <w:t>。</w:t>
      </w:r>
    </w:p>
    <w:p w14:paraId="75B9BA0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10.7.1 依法必须招标的暂估价项目</w:t>
      </w:r>
    </w:p>
    <w:p w14:paraId="37ADB625">
      <w:pPr>
        <w:pStyle w:val="95"/>
        <w:spacing w:line="500" w:lineRule="exact"/>
        <w:ind w:left="420"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对于依法必须招标的暂估价项目的确认和批准采取第（</w:t>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）种方式确定。</w:t>
      </w:r>
    </w:p>
    <w:p w14:paraId="63144DFD">
      <w:pPr>
        <w:pStyle w:val="95"/>
        <w:spacing w:line="500" w:lineRule="exact"/>
        <w:ind w:left="420" w:firstLine="480" w:firstLineChars="200"/>
        <w:rPr>
          <w:rFonts w:hint="eastAsia" w:ascii="宋体" w:hAnsi="宋体" w:eastAsia="宋体" w:cs="宋体"/>
          <w:color w:val="000000"/>
          <w:sz w:val="24"/>
          <w:szCs w:val="24"/>
          <w:highlight w:val="white"/>
        </w:rPr>
      </w:pPr>
      <w:r>
        <w:rPr>
          <w:rFonts w:hint="eastAsia" w:ascii="宋体" w:hAnsi="宋体" w:eastAsia="宋体" w:cs="宋体"/>
          <w:color w:val="000000"/>
          <w:sz w:val="24"/>
          <w:szCs w:val="24"/>
          <w:highlight w:val="white"/>
        </w:rPr>
        <w:t>由发包人和承包人共同招标确定暂估价供应商或分包人，承包人应按照施工进度计划，在招标工作启动前14天通知发包人，并提交暂估价招标放哪和工作分工。发包人应在收到后7天内确认。确定中标人后，由发包人、承包人与中标人共同签订暂估价合同。</w:t>
      </w:r>
    </w:p>
    <w:p w14:paraId="2A0A13B9">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10.7.2 不属于依法必须招标的暂估价项目</w:t>
      </w:r>
    </w:p>
    <w:p w14:paraId="3087A00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对于不属于依法必须招标的暂估价项目的确认和批准采取第（</w:t>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）种方式确定。</w:t>
      </w:r>
    </w:p>
    <w:p w14:paraId="43E7ACC9">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10.8 暂列金额</w:t>
      </w:r>
    </w:p>
    <w:p w14:paraId="3C485F86">
      <w:pPr>
        <w:pStyle w:val="95"/>
        <w:autoSpaceDE w:val="0"/>
        <w:autoSpaceDN w:val="0"/>
        <w:adjustRightInd w:val="0"/>
        <w:spacing w:line="500" w:lineRule="exact"/>
        <w:ind w:left="420" w:firstLine="480" w:firstLineChars="200"/>
        <w:rPr>
          <w:rFonts w:hint="eastAsia" w:ascii="宋体" w:hAnsi="宋体" w:eastAsia="宋体" w:cs="宋体"/>
          <w:color w:val="000000"/>
          <w:sz w:val="24"/>
          <w:szCs w:val="24"/>
          <w:u w:val="single"/>
          <w:lang w:eastAsia="zh-CN"/>
        </w:rPr>
      </w:pPr>
      <w:r>
        <w:rPr>
          <w:rFonts w:hint="eastAsia" w:ascii="宋体" w:hAnsi="宋体" w:eastAsia="宋体" w:cs="宋体"/>
          <w:color w:val="000000"/>
          <w:kern w:val="0"/>
          <w:sz w:val="24"/>
          <w:szCs w:val="24"/>
          <w:highlight w:val="white"/>
        </w:rPr>
        <w:t>合同当事人关于暂列金额使用的约定：</w:t>
      </w:r>
      <w:r>
        <w:rPr>
          <w:rFonts w:hint="eastAsia" w:ascii="宋体" w:hAnsi="宋体" w:cs="宋体"/>
          <w:color w:val="000000"/>
          <w:sz w:val="24"/>
          <w:szCs w:val="24"/>
          <w:highlight w:val="white"/>
          <w:u w:val="single"/>
          <w:lang w:val="en-US" w:eastAsia="zh-CN"/>
        </w:rPr>
        <w:t>/</w:t>
      </w:r>
    </w:p>
    <w:p w14:paraId="27CB0AF4">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11. 价格调整</w:t>
      </w:r>
    </w:p>
    <w:p w14:paraId="4F161D76">
      <w:pPr>
        <w:pStyle w:val="95"/>
        <w:spacing w:after="120"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11.1 市场价格波动引起的调整</w:t>
      </w:r>
    </w:p>
    <w:p w14:paraId="3B84674D">
      <w:pPr>
        <w:pStyle w:val="95"/>
        <w:spacing w:after="120" w:line="500" w:lineRule="exact"/>
        <w:ind w:left="420" w:firstLine="480"/>
        <w:rPr>
          <w:rFonts w:hint="eastAsia" w:ascii="宋体" w:hAnsi="宋体" w:eastAsia="宋体" w:cs="宋体"/>
          <w:color w:val="000000"/>
          <w:sz w:val="24"/>
          <w:szCs w:val="24"/>
          <w:highlight w:val="none"/>
          <w:u w:val="single"/>
        </w:rPr>
      </w:pPr>
      <w:r>
        <w:rPr>
          <w:rFonts w:hint="eastAsia" w:ascii="宋体" w:hAnsi="宋体" w:eastAsia="宋体" w:cs="宋体"/>
          <w:color w:val="000000"/>
          <w:kern w:val="0"/>
          <w:sz w:val="24"/>
          <w:szCs w:val="24"/>
          <w:highlight w:val="none"/>
        </w:rPr>
        <w:t>市场价格波动是否调整合同价格的约定：</w:t>
      </w:r>
      <w:r>
        <w:rPr>
          <w:rFonts w:hint="eastAsia" w:ascii="宋体" w:hAnsi="宋体" w:eastAsia="宋体" w:cs="宋体"/>
          <w:color w:val="000000"/>
          <w:kern w:val="0"/>
          <w:sz w:val="24"/>
          <w:szCs w:val="24"/>
          <w:highlight w:val="none"/>
          <w:u w:val="single"/>
        </w:rPr>
        <w:t>材料不可调</w:t>
      </w:r>
      <w:r>
        <w:rPr>
          <w:rFonts w:hint="eastAsia" w:ascii="宋体" w:hAnsi="宋体" w:cs="宋体"/>
          <w:color w:val="000000"/>
          <w:kern w:val="0"/>
          <w:sz w:val="24"/>
          <w:szCs w:val="24"/>
          <w:highlight w:val="none"/>
          <w:u w:val="single"/>
          <w:lang w:val="en-US" w:eastAsia="zh-CN"/>
        </w:rPr>
        <w:t>整</w:t>
      </w:r>
      <w:r>
        <w:rPr>
          <w:rFonts w:hint="eastAsia" w:ascii="宋体" w:hAnsi="宋体" w:eastAsia="宋体" w:cs="宋体"/>
          <w:color w:val="000000"/>
          <w:sz w:val="24"/>
          <w:szCs w:val="24"/>
          <w:highlight w:val="none"/>
          <w:u w:val="single"/>
        </w:rPr>
        <w:t>。</w:t>
      </w:r>
    </w:p>
    <w:p w14:paraId="599FA184">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因市场价格波动调整合同价格，采用以下第</w:t>
      </w:r>
      <w:r>
        <w:rPr>
          <w:rFonts w:hint="eastAsia" w:ascii="宋体" w:hAnsi="宋体" w:eastAsia="宋体" w:cs="宋体"/>
          <w:color w:val="000000"/>
          <w:sz w:val="24"/>
          <w:szCs w:val="24"/>
          <w:highlight w:val="white"/>
          <w:u w:val="single"/>
        </w:rPr>
        <w:t xml:space="preserve">   2  </w:t>
      </w:r>
      <w:r>
        <w:rPr>
          <w:rFonts w:hint="eastAsia" w:ascii="宋体" w:hAnsi="宋体" w:eastAsia="宋体" w:cs="宋体"/>
          <w:color w:val="000000"/>
          <w:sz w:val="24"/>
          <w:szCs w:val="24"/>
          <w:highlight w:val="white"/>
        </w:rPr>
        <w:t>种方式对合同价格进行调整：</w:t>
      </w:r>
    </w:p>
    <w:p w14:paraId="14654586">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第1种方式：采用价格指数进行价格调整。</w:t>
      </w:r>
    </w:p>
    <w:p w14:paraId="3066196C">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关于各可调因子、定值和变值权重，以及基本价格指数及其来源的约定：</w:t>
      </w:r>
      <w:r>
        <w:rPr>
          <w:rFonts w:hint="eastAsia" w:ascii="宋体" w:hAnsi="宋体" w:eastAsia="宋体" w:cs="宋体"/>
          <w:color w:val="000000"/>
          <w:sz w:val="24"/>
          <w:szCs w:val="24"/>
          <w:highlight w:val="white"/>
          <w:u w:val="single"/>
        </w:rPr>
        <w:t>/</w:t>
      </w:r>
      <w:r>
        <w:rPr>
          <w:rFonts w:hint="eastAsia" w:ascii="宋体" w:hAnsi="宋体" w:eastAsia="宋体" w:cs="宋体"/>
          <w:color w:val="000000"/>
          <w:sz w:val="24"/>
          <w:szCs w:val="24"/>
          <w:highlight w:val="white"/>
        </w:rPr>
        <w:t xml:space="preserve">；  </w:t>
      </w:r>
    </w:p>
    <w:p w14:paraId="74FA6B0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第2种方式：采用造价信息进行价格调整。</w:t>
      </w:r>
    </w:p>
    <w:p w14:paraId="79185CB5">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（2）关于基准价格的约定：</w:t>
      </w:r>
      <w:r>
        <w:rPr>
          <w:rFonts w:hint="eastAsia" w:ascii="宋体" w:hAnsi="宋体" w:eastAsia="宋体" w:cs="宋体"/>
          <w:color w:val="000000"/>
          <w:sz w:val="24"/>
          <w:szCs w:val="24"/>
          <w:highlight w:val="white"/>
          <w:u w:val="single"/>
        </w:rPr>
        <w:t xml:space="preserve"> 招标文件确定的材料价格 </w:t>
      </w:r>
      <w:r>
        <w:rPr>
          <w:rFonts w:hint="eastAsia" w:ascii="宋体" w:hAnsi="宋体" w:eastAsia="宋体" w:cs="宋体"/>
          <w:color w:val="000000"/>
          <w:sz w:val="24"/>
          <w:szCs w:val="24"/>
          <w:highlight w:val="white"/>
        </w:rPr>
        <w:t>。</w:t>
      </w:r>
    </w:p>
    <w:p w14:paraId="5E4BAD71">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专用合同条款①承包人在已标价工程量清单或预算书中载明的材料单价低于基准价格的： 专用合同条款合同履行期间材料单价涨幅以基准价格为基础超过</w:t>
      </w:r>
      <w:r>
        <w:rPr>
          <w:rFonts w:hint="eastAsia" w:ascii="宋体" w:hAnsi="宋体" w:eastAsia="宋体" w:cs="宋体"/>
          <w:color w:val="000000"/>
          <w:sz w:val="24"/>
          <w:szCs w:val="24"/>
          <w:highlight w:val="white"/>
          <w:u w:val="single"/>
        </w:rPr>
        <w:t xml:space="preserve"> 5 </w:t>
      </w:r>
      <w:r>
        <w:rPr>
          <w:rFonts w:hint="eastAsia" w:ascii="宋体" w:hAnsi="宋体" w:eastAsia="宋体" w:cs="宋体"/>
          <w:color w:val="000000"/>
          <w:sz w:val="24"/>
          <w:szCs w:val="24"/>
          <w:highlight w:val="white"/>
        </w:rPr>
        <w:t>%时，或材料单价跌幅以已标价工程量清单或预算书中载明材料单价为基础超过</w:t>
      </w:r>
      <w:r>
        <w:rPr>
          <w:rFonts w:hint="eastAsia" w:ascii="宋体" w:hAnsi="宋体" w:eastAsia="宋体" w:cs="宋体"/>
          <w:color w:val="000000"/>
          <w:sz w:val="24"/>
          <w:szCs w:val="24"/>
          <w:highlight w:val="white"/>
          <w:u w:val="single"/>
        </w:rPr>
        <w:t xml:space="preserve"> 5 </w:t>
      </w:r>
      <w:r>
        <w:rPr>
          <w:rFonts w:hint="eastAsia" w:ascii="宋体" w:hAnsi="宋体" w:eastAsia="宋体" w:cs="宋体"/>
          <w:color w:val="000000"/>
          <w:sz w:val="24"/>
          <w:szCs w:val="24"/>
          <w:highlight w:val="white"/>
        </w:rPr>
        <w:t>%时，其超过部分据实调整。</w:t>
      </w:r>
    </w:p>
    <w:p w14:paraId="77503460">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highlight w:val="white"/>
          <w:u w:val="single"/>
        </w:rPr>
        <w:t xml:space="preserve"> 5</w:t>
      </w:r>
      <w:r>
        <w:rPr>
          <w:rFonts w:hint="eastAsia" w:ascii="宋体" w:hAnsi="宋体" w:eastAsia="宋体" w:cs="宋体"/>
          <w:color w:val="000000"/>
          <w:sz w:val="24"/>
          <w:szCs w:val="24"/>
          <w:highlight w:val="white"/>
        </w:rPr>
        <w:t>%时，材料单价涨幅以已标价工程量清单或预算书中载明材料单价为基础超过</w:t>
      </w:r>
      <w:r>
        <w:rPr>
          <w:rFonts w:hint="eastAsia" w:ascii="宋体" w:hAnsi="宋体" w:eastAsia="宋体" w:cs="宋体"/>
          <w:color w:val="000000"/>
          <w:sz w:val="24"/>
          <w:szCs w:val="24"/>
          <w:highlight w:val="white"/>
          <w:u w:val="single"/>
        </w:rPr>
        <w:t xml:space="preserve">  5</w:t>
      </w:r>
      <w:r>
        <w:rPr>
          <w:rFonts w:hint="eastAsia" w:ascii="宋体" w:hAnsi="宋体" w:eastAsia="宋体" w:cs="宋体"/>
          <w:color w:val="000000"/>
          <w:sz w:val="24"/>
          <w:szCs w:val="24"/>
          <w:highlight w:val="white"/>
          <w:u w:val="single"/>
          <w:lang w:val="en-US" w:eastAsia="zh-CN"/>
        </w:rPr>
        <w:t xml:space="preserve"> </w:t>
      </w:r>
      <w:r>
        <w:rPr>
          <w:rFonts w:hint="eastAsia" w:ascii="宋体" w:hAnsi="宋体" w:eastAsia="宋体" w:cs="宋体"/>
          <w:color w:val="000000"/>
          <w:sz w:val="24"/>
          <w:szCs w:val="24"/>
          <w:highlight w:val="white"/>
        </w:rPr>
        <w:t>%时，其超过部分据实调整。</w:t>
      </w:r>
    </w:p>
    <w:p w14:paraId="506016B6">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highlight w:val="white"/>
          <w:u w:val="single"/>
        </w:rPr>
        <w:t>5</w:t>
      </w:r>
      <w:r>
        <w:rPr>
          <w:rFonts w:hint="eastAsia" w:ascii="宋体" w:hAnsi="宋体" w:eastAsia="宋体" w:cs="宋体"/>
          <w:color w:val="000000"/>
          <w:sz w:val="24"/>
          <w:szCs w:val="24"/>
          <w:highlight w:val="white"/>
        </w:rPr>
        <w:t>%时，其超过部分据实调整。</w:t>
      </w:r>
    </w:p>
    <w:p w14:paraId="479B1177">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第3种方式：其他价格调整方式：</w:t>
      </w:r>
      <w:r>
        <w:rPr>
          <w:rFonts w:hint="eastAsia" w:ascii="宋体" w:hAnsi="宋体" w:eastAsia="宋体" w:cs="宋体"/>
          <w:color w:val="000000"/>
          <w:sz w:val="24"/>
          <w:szCs w:val="24"/>
          <w:highlight w:val="white"/>
          <w:u w:val="single"/>
        </w:rPr>
        <w:t>无。</w:t>
      </w:r>
    </w:p>
    <w:p w14:paraId="0286F3C2">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12. 合同价格、计量与支付</w:t>
      </w:r>
    </w:p>
    <w:p w14:paraId="616A9C68">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12.1 合同价格形式 </w:t>
      </w:r>
    </w:p>
    <w:p w14:paraId="2A1668F1">
      <w:pPr>
        <w:pStyle w:val="95"/>
        <w:spacing w:after="120"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发包人和承包人应在合同协议书中选择下列一种合同价格形式：</w:t>
      </w:r>
      <w:r>
        <w:rPr>
          <w:rFonts w:hint="eastAsia" w:ascii="宋体" w:hAnsi="宋体" w:eastAsia="宋体" w:cs="宋体"/>
          <w:color w:val="000000"/>
          <w:sz w:val="24"/>
          <w:szCs w:val="24"/>
          <w:highlight w:val="white"/>
          <w:u w:val="single"/>
        </w:rPr>
        <w:t>单价合同</w:t>
      </w:r>
    </w:p>
    <w:p w14:paraId="4683003B">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1、单价合同。</w:t>
      </w:r>
    </w:p>
    <w:p w14:paraId="21BAFBDB">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综合单价包含的风险范围：</w:t>
      </w:r>
      <w:r>
        <w:rPr>
          <w:rFonts w:hint="eastAsia" w:ascii="宋体" w:hAnsi="宋体" w:eastAsia="宋体" w:cs="宋体"/>
          <w:color w:val="000000"/>
          <w:sz w:val="24"/>
          <w:szCs w:val="24"/>
          <w:highlight w:val="white"/>
          <w:u w:val="single"/>
        </w:rPr>
        <w:t xml:space="preserve">  除合同约定的可调整的风险费用外，本承包工程内容范围内的【所有风险因素】，已包含在投标报价的综合单价中，无需再计算。</w:t>
      </w:r>
    </w:p>
    <w:p w14:paraId="0DAA905E">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风险费用的计算方法：</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rPr>
        <w:t>按照省级或行业建设主管部门或其授权的的工程造价管理机构发布的</w:t>
      </w:r>
      <w:r>
        <w:rPr>
          <w:rFonts w:hint="eastAsia" w:ascii="宋体" w:hAnsi="宋体" w:eastAsia="宋体" w:cs="宋体"/>
          <w:color w:val="000000"/>
          <w:sz w:val="24"/>
          <w:szCs w:val="24"/>
          <w:highlight w:val="white"/>
          <w:u w:val="single"/>
        </w:rPr>
        <w:t>材料</w:t>
      </w:r>
      <w:r>
        <w:rPr>
          <w:rFonts w:hint="eastAsia" w:ascii="宋体" w:hAnsi="宋体" w:eastAsia="宋体" w:cs="宋体"/>
          <w:color w:val="000000"/>
          <w:sz w:val="24"/>
          <w:szCs w:val="24"/>
          <w:highlight w:val="white"/>
        </w:rPr>
        <w:t>信息价中有的材料价格变化幅度</w:t>
      </w:r>
      <w:r>
        <w:rPr>
          <w:rFonts w:hint="eastAsia" w:ascii="宋体" w:hAnsi="宋体" w:eastAsia="宋体" w:cs="宋体"/>
          <w:color w:val="000000"/>
          <w:sz w:val="24"/>
          <w:szCs w:val="24"/>
          <w:highlight w:val="white"/>
          <w:u w:val="single"/>
        </w:rPr>
        <w:t xml:space="preserve">   /   。</w:t>
      </w:r>
    </w:p>
    <w:p w14:paraId="1AD1A6C2">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2、总价合同。</w:t>
      </w:r>
    </w:p>
    <w:p w14:paraId="4CA25C60">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总价包含的风险范围：</w:t>
      </w:r>
      <w:r>
        <w:rPr>
          <w:rFonts w:hint="eastAsia" w:ascii="宋体" w:hAnsi="宋体" w:eastAsia="宋体" w:cs="宋体"/>
          <w:color w:val="000000"/>
          <w:sz w:val="24"/>
          <w:szCs w:val="24"/>
          <w:highlight w:val="white"/>
          <w:u w:val="single"/>
        </w:rPr>
        <w:t xml:space="preserve">       /                  。</w:t>
      </w:r>
    </w:p>
    <w:p w14:paraId="6A94C66E">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风险费用的计算方法：</w:t>
      </w:r>
      <w:r>
        <w:rPr>
          <w:rFonts w:hint="eastAsia" w:ascii="宋体" w:hAnsi="宋体" w:eastAsia="宋体" w:cs="宋体"/>
          <w:color w:val="000000"/>
          <w:sz w:val="24"/>
          <w:szCs w:val="24"/>
          <w:highlight w:val="white"/>
          <w:u w:val="single"/>
        </w:rPr>
        <w:t xml:space="preserve">                  /       。</w:t>
      </w:r>
    </w:p>
    <w:p w14:paraId="2240B5D4">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风险范围以外合同价格的调整方法：</w:t>
      </w:r>
      <w:r>
        <w:rPr>
          <w:rFonts w:hint="eastAsia" w:ascii="宋体" w:hAnsi="宋体" w:eastAsia="宋体" w:cs="宋体"/>
          <w:color w:val="000000"/>
          <w:sz w:val="24"/>
          <w:szCs w:val="24"/>
          <w:highlight w:val="white"/>
          <w:u w:val="single"/>
        </w:rPr>
        <w:t xml:space="preserve">  /           。</w:t>
      </w:r>
    </w:p>
    <w:p w14:paraId="16F64CC0">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3、其他价格方式：</w:t>
      </w:r>
      <w:r>
        <w:rPr>
          <w:rFonts w:hint="eastAsia" w:ascii="宋体" w:hAnsi="宋体" w:eastAsia="宋体" w:cs="宋体"/>
          <w:color w:val="000000"/>
          <w:sz w:val="24"/>
          <w:szCs w:val="24"/>
          <w:highlight w:val="white"/>
          <w:u w:val="single"/>
        </w:rPr>
        <w:t xml:space="preserve">    /                             。</w:t>
      </w:r>
    </w:p>
    <w:p w14:paraId="3A4C36DC">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12.2.1 预付款的支付</w:t>
      </w:r>
    </w:p>
    <w:p w14:paraId="00D2A5F8">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预付款支付比例或金额：</w:t>
      </w:r>
      <w:r>
        <w:rPr>
          <w:rFonts w:hint="eastAsia" w:ascii="宋体" w:hAnsi="宋体" w:cs="宋体"/>
          <w:color w:val="000000"/>
          <w:sz w:val="24"/>
          <w:szCs w:val="24"/>
          <w:highlight w:val="none"/>
          <w:u w:val="single"/>
          <w:lang w:val="en-US" w:eastAsia="zh-CN"/>
        </w:rPr>
        <w:t>/</w:t>
      </w:r>
    </w:p>
    <w:p w14:paraId="6B523A2A">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预付款支付期限：</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rPr>
        <w:t>。</w:t>
      </w:r>
    </w:p>
    <w:p w14:paraId="1C0F63E3">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预付款扣回的方式</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rPr>
        <w:t>。</w:t>
      </w:r>
    </w:p>
    <w:p w14:paraId="0E62CE88">
      <w:pPr>
        <w:pStyle w:val="95"/>
        <w:spacing w:line="500" w:lineRule="exact"/>
        <w:ind w:firstLine="723" w:firstLineChars="300"/>
        <w:rPr>
          <w:rFonts w:hint="eastAsia" w:ascii="宋体" w:hAnsi="宋体" w:eastAsia="宋体" w:cs="宋体"/>
          <w:color w:val="000000"/>
          <w:sz w:val="24"/>
          <w:szCs w:val="24"/>
          <w:highlight w:val="none"/>
        </w:rPr>
      </w:pPr>
      <w:r>
        <w:rPr>
          <w:rFonts w:hint="eastAsia" w:ascii="宋体" w:hAnsi="宋体" w:eastAsia="宋体" w:cs="宋体"/>
          <w:b/>
          <w:bCs/>
          <w:color w:val="FF0000"/>
          <w:sz w:val="24"/>
          <w:szCs w:val="24"/>
          <w:highlight w:val="none"/>
        </w:rPr>
        <w:t xml:space="preserve"> </w:t>
      </w:r>
      <w:r>
        <w:rPr>
          <w:rFonts w:hint="eastAsia" w:ascii="宋体" w:hAnsi="宋体" w:eastAsia="宋体" w:cs="宋体"/>
          <w:color w:val="000000"/>
          <w:sz w:val="24"/>
          <w:szCs w:val="24"/>
          <w:highlight w:val="none"/>
        </w:rPr>
        <w:t>12.2.2 预付款担保</w:t>
      </w:r>
    </w:p>
    <w:p w14:paraId="2B11896C">
      <w:pPr>
        <w:pStyle w:val="95"/>
        <w:spacing w:line="500" w:lineRule="exact"/>
        <w:ind w:left="420" w:firstLine="48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承包人提交预付款担保的期限：</w:t>
      </w:r>
      <w:r>
        <w:rPr>
          <w:rFonts w:hint="eastAsia" w:ascii="宋体" w:hAnsi="宋体" w:eastAsia="宋体" w:cs="宋体"/>
          <w:b/>
          <w:bCs/>
          <w:color w:val="000000"/>
          <w:sz w:val="24"/>
          <w:szCs w:val="24"/>
          <w:highlight w:val="none"/>
          <w:u w:val="single"/>
        </w:rPr>
        <w:t xml:space="preserve">   /     </w:t>
      </w:r>
      <w:r>
        <w:rPr>
          <w:rFonts w:hint="eastAsia" w:ascii="宋体" w:hAnsi="宋体" w:eastAsia="宋体" w:cs="宋体"/>
          <w:b/>
          <w:bCs/>
          <w:color w:val="000000"/>
          <w:sz w:val="24"/>
          <w:szCs w:val="24"/>
          <w:highlight w:val="none"/>
        </w:rPr>
        <w:t>。</w:t>
      </w:r>
    </w:p>
    <w:p w14:paraId="295E95B2">
      <w:pPr>
        <w:pStyle w:val="95"/>
        <w:spacing w:line="500" w:lineRule="exact"/>
        <w:ind w:left="420" w:firstLine="48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预付款担保的形式为：  </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u w:val="single"/>
        </w:rPr>
        <w:t xml:space="preserve">   /     </w:t>
      </w:r>
      <w:r>
        <w:rPr>
          <w:rFonts w:hint="eastAsia" w:ascii="宋体" w:hAnsi="宋体" w:eastAsia="宋体" w:cs="宋体"/>
          <w:b/>
          <w:bCs/>
          <w:color w:val="000000"/>
          <w:sz w:val="24"/>
          <w:szCs w:val="24"/>
          <w:highlight w:val="none"/>
        </w:rPr>
        <w:t>。</w:t>
      </w:r>
    </w:p>
    <w:p w14:paraId="7300964B">
      <w:pPr>
        <w:pStyle w:val="95"/>
        <w:spacing w:after="120"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计量</w:t>
      </w:r>
    </w:p>
    <w:p w14:paraId="08F75234">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12.3.1 计量原则</w:t>
      </w:r>
    </w:p>
    <w:p w14:paraId="2623CEA7">
      <w:pPr>
        <w:pStyle w:val="95"/>
        <w:spacing w:line="500" w:lineRule="exact"/>
        <w:ind w:left="420"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工程量计算规则：</w:t>
      </w:r>
      <w:r>
        <w:rPr>
          <w:rFonts w:hint="eastAsia" w:ascii="宋体" w:hAnsi="宋体" w:eastAsia="宋体" w:cs="宋体"/>
          <w:color w:val="000000"/>
          <w:sz w:val="24"/>
          <w:szCs w:val="24"/>
          <w:highlight w:val="none"/>
          <w:u w:val="single"/>
        </w:rPr>
        <w:t xml:space="preserve"> 按国家有关规定执行。</w:t>
      </w:r>
    </w:p>
    <w:p w14:paraId="72D91E70">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12.3.2 计量周期</w:t>
      </w:r>
    </w:p>
    <w:p w14:paraId="78F5F734">
      <w:pPr>
        <w:pStyle w:val="95"/>
        <w:spacing w:line="500" w:lineRule="exact"/>
        <w:ind w:left="42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关于计量周期的约定：</w:t>
      </w:r>
      <w:r>
        <w:rPr>
          <w:rFonts w:hint="eastAsia" w:ascii="宋体" w:hAnsi="宋体" w:eastAsia="宋体" w:cs="宋体"/>
          <w:color w:val="000000"/>
          <w:sz w:val="24"/>
          <w:szCs w:val="24"/>
          <w:highlight w:val="none"/>
          <w:u w:val="single"/>
        </w:rPr>
        <w:t>按月计量</w:t>
      </w:r>
      <w:r>
        <w:rPr>
          <w:rFonts w:hint="eastAsia" w:ascii="宋体" w:hAnsi="宋体" w:eastAsia="宋体" w:cs="宋体"/>
          <w:color w:val="000000"/>
          <w:sz w:val="24"/>
          <w:szCs w:val="24"/>
          <w:highlight w:val="none"/>
        </w:rPr>
        <w:t>。</w:t>
      </w:r>
    </w:p>
    <w:p w14:paraId="5AF14BB4">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12.3.3 单价合同的计量</w:t>
      </w:r>
    </w:p>
    <w:p w14:paraId="4C09400E">
      <w:pPr>
        <w:pStyle w:val="95"/>
        <w:spacing w:line="500" w:lineRule="exact"/>
        <w:ind w:left="42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关于单价合同计量的约定：</w:t>
      </w:r>
      <w:r>
        <w:rPr>
          <w:rFonts w:hint="eastAsia" w:ascii="宋体" w:hAnsi="宋体" w:eastAsia="宋体" w:cs="宋体"/>
          <w:color w:val="000000"/>
          <w:sz w:val="24"/>
          <w:szCs w:val="24"/>
          <w:highlight w:val="none"/>
          <w:u w:val="single"/>
        </w:rPr>
        <w:t>按月计量</w:t>
      </w:r>
      <w:r>
        <w:rPr>
          <w:rFonts w:hint="eastAsia" w:ascii="宋体" w:hAnsi="宋体" w:eastAsia="宋体" w:cs="宋体"/>
          <w:color w:val="000000"/>
          <w:sz w:val="24"/>
          <w:szCs w:val="24"/>
          <w:highlight w:val="none"/>
        </w:rPr>
        <w:t>。</w:t>
      </w:r>
    </w:p>
    <w:p w14:paraId="28763564">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12.3.4 总价合同的计量</w:t>
      </w:r>
    </w:p>
    <w:p w14:paraId="4B7306D0">
      <w:pPr>
        <w:pStyle w:val="95"/>
        <w:spacing w:line="500" w:lineRule="exact"/>
        <w:ind w:left="42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关于总价合同计量的约定：</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14:paraId="6C55C26A">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12.3.5总价合同采用支付分解表计量支付的，是否适用第</w:t>
      </w:r>
      <w:r>
        <w:rPr>
          <w:rFonts w:hint="eastAsia" w:ascii="宋体" w:hAnsi="宋体" w:eastAsia="宋体" w:cs="宋体"/>
          <w:color w:val="000000"/>
          <w:kern w:val="0"/>
          <w:sz w:val="24"/>
          <w:szCs w:val="24"/>
          <w:highlight w:val="none"/>
        </w:rPr>
        <w:t xml:space="preserve">12.3.4 </w:t>
      </w:r>
      <w:r>
        <w:rPr>
          <w:rFonts w:hint="eastAsia" w:ascii="宋体" w:hAnsi="宋体" w:eastAsia="宋体" w:cs="宋体"/>
          <w:color w:val="000000"/>
          <w:sz w:val="24"/>
          <w:szCs w:val="24"/>
          <w:highlight w:val="none"/>
        </w:rPr>
        <w:t>项</w:t>
      </w:r>
      <w:r>
        <w:rPr>
          <w:rFonts w:hint="eastAsia" w:ascii="宋体" w:hAnsi="宋体" w:eastAsia="宋体" w:cs="宋体"/>
          <w:color w:val="000000"/>
          <w:kern w:val="0"/>
          <w:sz w:val="24"/>
          <w:szCs w:val="24"/>
          <w:highlight w:val="none"/>
        </w:rPr>
        <w:t>〔总价合同的计量〕</w:t>
      </w:r>
      <w:r>
        <w:rPr>
          <w:rFonts w:hint="eastAsia" w:ascii="宋体" w:hAnsi="宋体" w:eastAsia="宋体" w:cs="宋体"/>
          <w:color w:val="000000"/>
          <w:sz w:val="24"/>
          <w:szCs w:val="24"/>
          <w:highlight w:val="none"/>
        </w:rPr>
        <w:t>约定进行计量：</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p>
    <w:p w14:paraId="624029F1">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12.3.6 其他价格形式合同的计量</w:t>
      </w:r>
    </w:p>
    <w:p w14:paraId="2B23524A">
      <w:pPr>
        <w:pStyle w:val="95"/>
        <w:spacing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其他价格形式的计量方式和程序：</w:t>
      </w:r>
      <w:r>
        <w:rPr>
          <w:rFonts w:hint="eastAsia" w:ascii="宋体" w:hAnsi="宋体" w:eastAsia="宋体" w:cs="宋体"/>
          <w:color w:val="000000"/>
          <w:sz w:val="24"/>
          <w:szCs w:val="24"/>
          <w:highlight w:val="none"/>
          <w:u w:val="single"/>
        </w:rPr>
        <w:t xml:space="preserve">    /              。</w:t>
      </w:r>
    </w:p>
    <w:p w14:paraId="60FEF1B8">
      <w:pPr>
        <w:pStyle w:val="95"/>
        <w:spacing w:after="120" w:line="500" w:lineRule="exact"/>
        <w:ind w:left="42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 工程进度款支付</w:t>
      </w:r>
    </w:p>
    <w:p w14:paraId="0996B759">
      <w:pPr>
        <w:pStyle w:val="95"/>
        <w:spacing w:line="500" w:lineRule="exact"/>
        <w:ind w:left="42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12.4.1 付款周期</w:t>
      </w:r>
    </w:p>
    <w:p w14:paraId="618AC432">
      <w:pPr>
        <w:pStyle w:val="95"/>
        <w:spacing w:line="500" w:lineRule="exact"/>
        <w:ind w:left="420" w:firstLine="482" w:firstLineChars="200"/>
        <w:rPr>
          <w:rFonts w:hint="eastAsia" w:ascii="宋体" w:hAnsi="宋体" w:cs="宋体"/>
          <w:b/>
          <w:bCs/>
          <w:sz w:val="24"/>
          <w:szCs w:val="24"/>
          <w:highlight w:val="none"/>
          <w:u w:val="single"/>
          <w:lang w:eastAsia="zh-CN"/>
        </w:rPr>
      </w:pPr>
      <w:r>
        <w:rPr>
          <w:rFonts w:hint="eastAsia" w:ascii="宋体" w:hAnsi="宋体" w:eastAsia="宋体" w:cs="宋体"/>
          <w:b/>
          <w:bCs/>
          <w:sz w:val="24"/>
          <w:szCs w:val="24"/>
          <w:highlight w:val="none"/>
          <w:u w:val="single"/>
        </w:rPr>
        <w:t>关于付款周期的约定：</w:t>
      </w:r>
      <w:r>
        <w:rPr>
          <w:rFonts w:hint="eastAsia" w:ascii="宋体" w:hAnsi="宋体" w:eastAsia="宋体" w:cs="宋体"/>
          <w:b/>
          <w:bCs/>
          <w:sz w:val="24"/>
          <w:szCs w:val="24"/>
          <w:highlight w:val="none"/>
          <w:u w:val="single"/>
          <w:lang w:eastAsia="zh-CN"/>
        </w:rPr>
        <w:t>按一期拨款方式付款，工程结算审计完毕，由承包人向指定对公账户缴纳结算定案价的3%作为工程质量保修金或开具相同金额银行见索即付保函后，剩余工程款按照审计定案价一次性支付。</w:t>
      </w:r>
    </w:p>
    <w:p w14:paraId="68E4BF19">
      <w:pPr>
        <w:pStyle w:val="95"/>
        <w:spacing w:line="500" w:lineRule="exac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12.4.2 进度付款申请单的编制</w:t>
      </w:r>
    </w:p>
    <w:p w14:paraId="3E21C7A7">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关于进度付款申请单编制的约定：</w:t>
      </w:r>
      <w:r>
        <w:rPr>
          <w:rFonts w:hint="eastAsia" w:ascii="宋体" w:hAnsi="宋体" w:eastAsia="宋体" w:cs="宋体"/>
          <w:color w:val="000000"/>
          <w:sz w:val="24"/>
          <w:szCs w:val="24"/>
          <w:highlight w:val="white"/>
          <w:u w:val="single"/>
        </w:rPr>
        <w:t xml:space="preserve">  按本合同通用条款执行。</w:t>
      </w:r>
    </w:p>
    <w:p w14:paraId="493D5CC2">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12.4.3 进度付款申请单的提交</w:t>
      </w:r>
    </w:p>
    <w:p w14:paraId="36C4A412">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（1）单价合同进度付款申请单提交的约定：</w:t>
      </w:r>
      <w:r>
        <w:rPr>
          <w:rFonts w:hint="eastAsia" w:ascii="宋体" w:hAnsi="宋体" w:eastAsia="宋体" w:cs="宋体"/>
          <w:color w:val="000000"/>
          <w:sz w:val="24"/>
          <w:szCs w:val="24"/>
          <w:highlight w:val="white"/>
          <w:u w:val="single"/>
        </w:rPr>
        <w:t>按本合同通用条款执行</w:t>
      </w:r>
      <w:r>
        <w:rPr>
          <w:rFonts w:hint="eastAsia" w:ascii="宋体" w:hAnsi="宋体" w:eastAsia="宋体" w:cs="宋体"/>
          <w:color w:val="000000"/>
          <w:sz w:val="24"/>
          <w:szCs w:val="24"/>
          <w:highlight w:val="white"/>
        </w:rPr>
        <w:t>。</w:t>
      </w:r>
    </w:p>
    <w:p w14:paraId="3AE27373">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（2）总价合同进度付款申请单提交的约定：</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rPr>
        <w:t>。</w:t>
      </w:r>
    </w:p>
    <w:p w14:paraId="0EE47DDD">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（3）其他价格形式合同进度付款申请单提交的约定：</w:t>
      </w:r>
      <w:r>
        <w:rPr>
          <w:rFonts w:hint="eastAsia" w:ascii="宋体" w:hAnsi="宋体" w:eastAsia="宋体" w:cs="宋体"/>
          <w:color w:val="000000"/>
          <w:sz w:val="24"/>
          <w:szCs w:val="24"/>
          <w:highlight w:val="white"/>
          <w:u w:val="single"/>
        </w:rPr>
        <w:t xml:space="preserve">      /        。   </w:t>
      </w:r>
    </w:p>
    <w:p w14:paraId="373DEECE">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12.4.4 进度款审核和支付</w:t>
      </w:r>
    </w:p>
    <w:p w14:paraId="090AAE7F">
      <w:pPr>
        <w:pStyle w:val="95"/>
        <w:widowControl/>
        <w:spacing w:line="500" w:lineRule="exact"/>
        <w:ind w:left="42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监理人审查并报送发包人的期限：</w:t>
      </w:r>
      <w:r>
        <w:rPr>
          <w:rFonts w:hint="eastAsia" w:ascii="宋体" w:hAnsi="宋体" w:eastAsia="宋体" w:cs="宋体"/>
          <w:color w:val="000000"/>
          <w:sz w:val="24"/>
          <w:szCs w:val="24"/>
          <w:highlight w:val="white"/>
          <w:u w:val="single"/>
        </w:rPr>
        <w:t xml:space="preserve"> 在收到承包人进度付款申请单以及相关资料后7天内完成审查并报送发包人 </w:t>
      </w:r>
      <w:r>
        <w:rPr>
          <w:rFonts w:hint="eastAsia" w:ascii="宋体" w:hAnsi="宋体" w:eastAsia="宋体" w:cs="宋体"/>
          <w:color w:val="000000"/>
          <w:sz w:val="24"/>
          <w:szCs w:val="24"/>
          <w:highlight w:val="white"/>
        </w:rPr>
        <w:t>。</w:t>
      </w:r>
    </w:p>
    <w:p w14:paraId="00ABEB83">
      <w:pPr>
        <w:pStyle w:val="95"/>
        <w:widowControl/>
        <w:spacing w:line="500" w:lineRule="exact"/>
        <w:ind w:left="42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发包人完成审批并签发进度款支付证书的期限：</w:t>
      </w:r>
      <w:r>
        <w:rPr>
          <w:rFonts w:hint="eastAsia" w:ascii="宋体" w:hAnsi="宋体" w:eastAsia="宋体" w:cs="宋体"/>
          <w:color w:val="000000"/>
          <w:sz w:val="24"/>
          <w:szCs w:val="24"/>
          <w:highlight w:val="white"/>
          <w:u w:val="single"/>
        </w:rPr>
        <w:t xml:space="preserve">  发包人应在收到后7天内完成审批并签发进度款支付证书。</w:t>
      </w:r>
    </w:p>
    <w:p w14:paraId="68993B51">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（2）发包人支付进度款的期限：</w:t>
      </w:r>
      <w:r>
        <w:rPr>
          <w:rFonts w:hint="eastAsia" w:ascii="宋体" w:hAnsi="宋体" w:eastAsia="宋体" w:cs="宋体"/>
          <w:color w:val="000000"/>
          <w:sz w:val="24"/>
          <w:szCs w:val="24"/>
          <w:highlight w:val="white"/>
          <w:u w:val="single"/>
        </w:rPr>
        <w:t>发包人应在进度款支付证书或临时进度款支付证书签发后14天内完成支付。</w:t>
      </w:r>
    </w:p>
    <w:p w14:paraId="70A4DE58">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发包人逾期支付进度款的违约金的计算方式：</w:t>
      </w:r>
      <w:r>
        <w:rPr>
          <w:rFonts w:hint="eastAsia" w:ascii="宋体" w:hAnsi="宋体" w:eastAsia="宋体" w:cs="宋体"/>
          <w:color w:val="000000"/>
          <w:sz w:val="24"/>
          <w:szCs w:val="24"/>
          <w:highlight w:val="white"/>
          <w:u w:val="single"/>
        </w:rPr>
        <w:t>发包人</w:t>
      </w:r>
      <w:r>
        <w:rPr>
          <w:rFonts w:hint="eastAsia" w:ascii="宋体" w:hAnsi="宋体" w:cs="宋体"/>
          <w:color w:val="000000"/>
          <w:sz w:val="24"/>
          <w:szCs w:val="24"/>
          <w:highlight w:val="white"/>
          <w:u w:val="single"/>
          <w:lang w:val="en-US" w:eastAsia="zh-CN"/>
        </w:rPr>
        <w:t>无需</w:t>
      </w:r>
      <w:r>
        <w:rPr>
          <w:rFonts w:hint="eastAsia" w:ascii="宋体" w:hAnsi="宋体" w:eastAsia="宋体" w:cs="宋体"/>
          <w:color w:val="000000"/>
          <w:sz w:val="24"/>
          <w:szCs w:val="24"/>
          <w:highlight w:val="white"/>
          <w:u w:val="single"/>
        </w:rPr>
        <w:t>支付</w:t>
      </w:r>
      <w:r>
        <w:rPr>
          <w:rFonts w:hint="eastAsia" w:ascii="宋体" w:hAnsi="宋体" w:cs="宋体"/>
          <w:color w:val="000000"/>
          <w:sz w:val="24"/>
          <w:szCs w:val="24"/>
          <w:highlight w:val="white"/>
          <w:u w:val="single"/>
          <w:lang w:val="en-US" w:eastAsia="zh-CN"/>
        </w:rPr>
        <w:t>任何</w:t>
      </w:r>
      <w:r>
        <w:rPr>
          <w:rFonts w:hint="eastAsia" w:ascii="宋体" w:hAnsi="宋体" w:eastAsia="宋体" w:cs="宋体"/>
          <w:color w:val="000000"/>
          <w:sz w:val="24"/>
          <w:szCs w:val="24"/>
          <w:highlight w:val="white"/>
          <w:u w:val="single"/>
        </w:rPr>
        <w:t>违约金。</w:t>
      </w:r>
    </w:p>
    <w:p w14:paraId="4AC62A98">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12.4.6 支付分解表的编制</w:t>
      </w:r>
    </w:p>
    <w:p w14:paraId="44F1555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2、总价合同支付分解表的编制与审批：</w:t>
      </w:r>
      <w:r>
        <w:rPr>
          <w:rFonts w:hint="eastAsia" w:ascii="宋体" w:hAnsi="宋体" w:eastAsia="宋体" w:cs="宋体"/>
          <w:color w:val="000000"/>
          <w:sz w:val="24"/>
          <w:szCs w:val="24"/>
          <w:highlight w:val="white"/>
          <w:u w:val="single"/>
        </w:rPr>
        <w:t>按本合同通用条款执行</w:t>
      </w:r>
      <w:r>
        <w:rPr>
          <w:rFonts w:hint="eastAsia" w:ascii="宋体" w:hAnsi="宋体" w:eastAsia="宋体" w:cs="宋体"/>
          <w:color w:val="000000"/>
          <w:sz w:val="24"/>
          <w:szCs w:val="24"/>
          <w:highlight w:val="white"/>
        </w:rPr>
        <w:t>。</w:t>
      </w:r>
    </w:p>
    <w:p w14:paraId="7B3D8AA1">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3、单价合同的总价项目支付分解表的编制与审批：</w:t>
      </w:r>
      <w:r>
        <w:rPr>
          <w:rFonts w:hint="eastAsia" w:ascii="宋体" w:hAnsi="宋体" w:eastAsia="宋体" w:cs="宋体"/>
          <w:color w:val="000000"/>
          <w:sz w:val="24"/>
          <w:szCs w:val="24"/>
          <w:highlight w:val="white"/>
          <w:u w:val="single"/>
        </w:rPr>
        <w:t>按本合同通用合同条款12.4.6条第3款执行</w:t>
      </w:r>
      <w:r>
        <w:rPr>
          <w:rFonts w:hint="eastAsia" w:ascii="宋体" w:hAnsi="宋体" w:eastAsia="宋体" w:cs="宋体"/>
          <w:color w:val="000000"/>
          <w:sz w:val="24"/>
          <w:szCs w:val="24"/>
          <w:highlight w:val="white"/>
        </w:rPr>
        <w:t>。</w:t>
      </w:r>
    </w:p>
    <w:p w14:paraId="1A7B9DE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 验收和工程试车</w:t>
      </w:r>
    </w:p>
    <w:p w14:paraId="016051C4">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13.1 分部分项工程验收</w:t>
      </w:r>
    </w:p>
    <w:p w14:paraId="5FEC88CC">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13.1.2监理人不能按时进行验收时，应提前</w:t>
      </w:r>
      <w:r>
        <w:rPr>
          <w:rFonts w:hint="eastAsia" w:ascii="宋体" w:hAnsi="宋体" w:eastAsia="宋体" w:cs="宋体"/>
          <w:color w:val="000000"/>
          <w:sz w:val="24"/>
          <w:szCs w:val="24"/>
          <w:highlight w:val="white"/>
          <w:u w:val="single"/>
        </w:rPr>
        <w:t xml:space="preserve"> 24 </w:t>
      </w:r>
      <w:r>
        <w:rPr>
          <w:rFonts w:hint="eastAsia" w:ascii="宋体" w:hAnsi="宋体" w:eastAsia="宋体" w:cs="宋体"/>
          <w:color w:val="000000"/>
          <w:sz w:val="24"/>
          <w:szCs w:val="24"/>
          <w:highlight w:val="white"/>
        </w:rPr>
        <w:t>小时提交书面延期要求。</w:t>
      </w:r>
    </w:p>
    <w:p w14:paraId="2ED2FDC6">
      <w:pPr>
        <w:pStyle w:val="95"/>
        <w:spacing w:line="500" w:lineRule="exact"/>
        <w:ind w:left="420"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highlight w:val="white"/>
        </w:rPr>
        <w:t>关于延期最长不得超过：</w:t>
      </w:r>
      <w:r>
        <w:rPr>
          <w:rFonts w:hint="eastAsia" w:ascii="宋体" w:hAnsi="宋体" w:eastAsia="宋体" w:cs="宋体"/>
          <w:color w:val="000000"/>
          <w:sz w:val="24"/>
          <w:szCs w:val="24"/>
          <w:highlight w:val="white"/>
          <w:u w:val="single"/>
        </w:rPr>
        <w:t xml:space="preserve"> 48</w:t>
      </w:r>
      <w:r>
        <w:rPr>
          <w:rFonts w:hint="eastAsia" w:ascii="宋体" w:hAnsi="宋体" w:eastAsia="宋体" w:cs="宋体"/>
          <w:color w:val="000000"/>
          <w:sz w:val="24"/>
          <w:szCs w:val="24"/>
          <w:highlight w:val="white"/>
        </w:rPr>
        <w:t>小时。</w:t>
      </w:r>
    </w:p>
    <w:p w14:paraId="3B4CC625">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13.2 竣工验收</w:t>
      </w:r>
    </w:p>
    <w:p w14:paraId="0FA194AC">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13.2.2竣工验收程序</w:t>
      </w:r>
    </w:p>
    <w:p w14:paraId="7A904D78">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关于竣工验收程序的约定：</w:t>
      </w:r>
      <w:r>
        <w:rPr>
          <w:rFonts w:hint="eastAsia" w:ascii="宋体" w:hAnsi="宋体" w:eastAsia="宋体" w:cs="宋体"/>
          <w:color w:val="000000"/>
          <w:kern w:val="0"/>
          <w:sz w:val="24"/>
          <w:szCs w:val="24"/>
          <w:highlight w:val="white"/>
          <w:u w:val="single"/>
        </w:rPr>
        <w:t>按通用条款执行</w:t>
      </w:r>
      <w:r>
        <w:rPr>
          <w:rFonts w:hint="eastAsia" w:ascii="宋体" w:hAnsi="宋体" w:eastAsia="宋体" w:cs="宋体"/>
          <w:color w:val="000000"/>
          <w:kern w:val="0"/>
          <w:sz w:val="24"/>
          <w:szCs w:val="24"/>
          <w:highlight w:val="white"/>
        </w:rPr>
        <w:t>。</w:t>
      </w:r>
    </w:p>
    <w:p w14:paraId="43DFA50B">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发包人不按照本项约定组织竣工验收、颁发工程接收证书的违约金的计算方法：</w:t>
      </w:r>
      <w:r>
        <w:rPr>
          <w:rFonts w:hint="eastAsia" w:ascii="宋体" w:hAnsi="宋体" w:eastAsia="宋体" w:cs="宋体"/>
          <w:color w:val="000000"/>
          <w:kern w:val="0"/>
          <w:sz w:val="24"/>
          <w:szCs w:val="24"/>
          <w:highlight w:val="white"/>
          <w:u w:val="single"/>
        </w:rPr>
        <w:t xml:space="preserve">发包人无需支付任何违约金  </w:t>
      </w:r>
      <w:r>
        <w:rPr>
          <w:rFonts w:hint="eastAsia" w:ascii="宋体" w:hAnsi="宋体" w:eastAsia="宋体" w:cs="宋体"/>
          <w:color w:val="000000"/>
          <w:kern w:val="0"/>
          <w:sz w:val="24"/>
          <w:szCs w:val="24"/>
          <w:highlight w:val="white"/>
        </w:rPr>
        <w:t>。</w:t>
      </w:r>
    </w:p>
    <w:p w14:paraId="7197D281">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13.2.5移交、接收全部与部分工程</w:t>
      </w:r>
    </w:p>
    <w:p w14:paraId="3C4021CC">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承包人向发包人移交工程的期限：</w:t>
      </w:r>
      <w:r>
        <w:rPr>
          <w:rFonts w:hint="eastAsia" w:ascii="宋体" w:hAnsi="宋体" w:eastAsia="宋体" w:cs="宋体"/>
          <w:color w:val="000000"/>
          <w:sz w:val="24"/>
          <w:szCs w:val="24"/>
          <w:highlight w:val="white"/>
          <w:u w:val="single"/>
        </w:rPr>
        <w:t>合同当事人应当在颁发工程接收证书后7天内完成工程的移交</w:t>
      </w:r>
      <w:r>
        <w:rPr>
          <w:rFonts w:hint="eastAsia" w:ascii="宋体" w:hAnsi="宋体" w:eastAsia="宋体" w:cs="宋体"/>
          <w:color w:val="000000"/>
          <w:sz w:val="24"/>
          <w:szCs w:val="24"/>
          <w:highlight w:val="white"/>
        </w:rPr>
        <w:t>。</w:t>
      </w:r>
    </w:p>
    <w:p w14:paraId="366D3D56">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highlight w:val="white"/>
        </w:rPr>
        <w:t>发包人未按本合同约定接收全部或部分工程的，违约金的计算方法为：</w:t>
      </w:r>
      <w:r>
        <w:rPr>
          <w:rFonts w:hint="eastAsia" w:ascii="宋体" w:hAnsi="宋体" w:eastAsia="宋体" w:cs="宋体"/>
          <w:color w:val="000000"/>
          <w:kern w:val="0"/>
          <w:sz w:val="24"/>
          <w:szCs w:val="24"/>
          <w:highlight w:val="white"/>
          <w:u w:val="single"/>
          <w:lang w:eastAsia="zh-CN"/>
        </w:rPr>
        <w:t>发包人无需支付任何违约金</w:t>
      </w:r>
      <w:r>
        <w:rPr>
          <w:rFonts w:hint="eastAsia" w:ascii="宋体" w:hAnsi="宋体" w:eastAsia="宋体" w:cs="宋体"/>
          <w:color w:val="000000"/>
          <w:sz w:val="24"/>
          <w:szCs w:val="24"/>
          <w:highlight w:val="white"/>
          <w:u w:val="single"/>
        </w:rPr>
        <w:t xml:space="preserve">。 </w:t>
      </w:r>
    </w:p>
    <w:p w14:paraId="7D37E233">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承包人未按时移交工程的，违约金的计算方法为：</w:t>
      </w:r>
      <w:r>
        <w:rPr>
          <w:rFonts w:hint="eastAsia" w:ascii="宋体" w:hAnsi="宋体" w:eastAsia="宋体" w:cs="宋体"/>
          <w:color w:val="000000"/>
          <w:sz w:val="24"/>
          <w:szCs w:val="24"/>
          <w:highlight w:val="white"/>
          <w:u w:val="single"/>
        </w:rPr>
        <w:t>承包人无正当理由不移交工程的，承包人应承担工程照管、成品保护、保管等与工程有关的各项费用。每延误一天承担违约金2000元，违约金累计无上限，发包人有权从应付工程款项中直接扣除。</w:t>
      </w:r>
    </w:p>
    <w:p w14:paraId="2CDDFE42">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13.3 工程试车</w:t>
      </w:r>
    </w:p>
    <w:p w14:paraId="5DC43AE1">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13.3.1 试车程序</w:t>
      </w:r>
    </w:p>
    <w:p w14:paraId="41DA715C">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工程试车内容：</w:t>
      </w:r>
      <w:r>
        <w:rPr>
          <w:rFonts w:hint="eastAsia" w:ascii="宋体" w:hAnsi="宋体" w:eastAsia="宋体" w:cs="宋体"/>
          <w:color w:val="000000"/>
          <w:sz w:val="24"/>
          <w:szCs w:val="24"/>
          <w:highlight w:val="white"/>
          <w:u w:val="single"/>
        </w:rPr>
        <w:t>施工合同及现场实际施工的所有项目 。</w:t>
      </w:r>
    </w:p>
    <w:p w14:paraId="1C9D8C34">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（1）单机无负荷试车费用由</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lang w:val="en-US" w:eastAsia="zh-CN"/>
        </w:rPr>
        <w:t>承包方</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kern w:val="0"/>
          <w:sz w:val="24"/>
          <w:szCs w:val="24"/>
          <w:highlight w:val="white"/>
        </w:rPr>
        <w:t>承担；</w:t>
      </w:r>
    </w:p>
    <w:p w14:paraId="125A2B32">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（2）无负荷联动试车费用由</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u w:val="single"/>
          <w:lang w:val="en-US" w:eastAsia="zh-CN"/>
        </w:rPr>
        <w:t>承包方</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kern w:val="0"/>
          <w:sz w:val="24"/>
          <w:szCs w:val="24"/>
          <w:highlight w:val="white"/>
        </w:rPr>
        <w:t>承担。</w:t>
      </w:r>
    </w:p>
    <w:p w14:paraId="2B136489">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13.3.3 投料试车</w:t>
      </w:r>
    </w:p>
    <w:p w14:paraId="6663FEFF">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关于投料试车相关事项的约定：</w:t>
      </w:r>
      <w:r>
        <w:rPr>
          <w:rFonts w:hint="eastAsia" w:ascii="宋体" w:hAnsi="宋体" w:eastAsia="宋体" w:cs="宋体"/>
          <w:color w:val="000000"/>
          <w:sz w:val="24"/>
          <w:szCs w:val="24"/>
          <w:highlight w:val="white"/>
          <w:u w:val="single"/>
        </w:rPr>
        <w:t xml:space="preserve"> 按本合同通用条款执行。</w:t>
      </w:r>
    </w:p>
    <w:p w14:paraId="6665E8CB">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13.6 竣工退场</w:t>
      </w:r>
    </w:p>
    <w:p w14:paraId="59B650A4">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13.6.1 竣工退场</w:t>
      </w:r>
    </w:p>
    <w:p w14:paraId="1413C8EB">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承包人完成竣工退场的期限：</w:t>
      </w:r>
      <w:r>
        <w:rPr>
          <w:rFonts w:hint="eastAsia" w:ascii="宋体" w:hAnsi="宋体" w:eastAsia="宋体" w:cs="宋体"/>
          <w:color w:val="000000"/>
          <w:sz w:val="24"/>
          <w:szCs w:val="24"/>
          <w:highlight w:val="white"/>
          <w:u w:val="single"/>
        </w:rPr>
        <w:t>颁发工程接收证书后，承包人应对施工现场进行清理的要求按通用合同条款13.6.1条执行。完成竣工退场的期限为颁发工程接收证书后15日内。</w:t>
      </w:r>
    </w:p>
    <w:p w14:paraId="56622DC7">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14. 竣工结算</w:t>
      </w:r>
    </w:p>
    <w:p w14:paraId="31DC38B8">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14.1 竣工付款申请</w:t>
      </w:r>
    </w:p>
    <w:p w14:paraId="2FD62BDF">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承包人提交竣工付款申请单的期限：</w:t>
      </w:r>
      <w:r>
        <w:rPr>
          <w:rFonts w:hint="eastAsia" w:ascii="宋体" w:hAnsi="宋体" w:eastAsia="宋体" w:cs="宋体"/>
          <w:color w:val="000000"/>
          <w:sz w:val="24"/>
          <w:szCs w:val="24"/>
          <w:highlight w:val="white"/>
          <w:u w:val="single"/>
        </w:rPr>
        <w:t xml:space="preserve"> 工程竣工后28日内，承包方向发包方、审计单位提交完整的工程结算资料。</w:t>
      </w:r>
    </w:p>
    <w:p w14:paraId="14E8154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竣工付款申请单应包括的内容：</w:t>
      </w:r>
      <w:r>
        <w:rPr>
          <w:rFonts w:hint="eastAsia" w:ascii="宋体" w:hAnsi="宋体" w:eastAsia="宋体" w:cs="宋体"/>
          <w:color w:val="000000"/>
          <w:sz w:val="24"/>
          <w:szCs w:val="24"/>
          <w:highlight w:val="white"/>
          <w:u w:val="single"/>
        </w:rPr>
        <w:t>（1）竣工结算合同价格；（2）发包人已支付承包人的款项；（3）应扣留的质量保证金；（4）发包人应支付承包人的合同价款。</w:t>
      </w:r>
    </w:p>
    <w:p w14:paraId="5292E39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14.2 竣工结算审核</w:t>
      </w:r>
    </w:p>
    <w:p w14:paraId="7F80A84F">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发包人审批竣工付款申请单的期限：</w:t>
      </w:r>
      <w:r>
        <w:rPr>
          <w:rFonts w:hint="eastAsia" w:ascii="宋体" w:hAnsi="宋体" w:eastAsia="宋体" w:cs="宋体"/>
          <w:color w:val="000000"/>
          <w:sz w:val="24"/>
          <w:szCs w:val="24"/>
          <w:highlight w:val="white"/>
          <w:u w:val="single"/>
        </w:rPr>
        <w:t xml:space="preserve"> 发包方代表、审计中心收到竣工结算后28日内提出审核意见。</w:t>
      </w:r>
    </w:p>
    <w:p w14:paraId="38CCDD23">
      <w:pPr>
        <w:pStyle w:val="95"/>
        <w:spacing w:line="500" w:lineRule="exact"/>
        <w:ind w:left="420"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发包人完成竣工付款的期限：</w:t>
      </w:r>
      <w:r>
        <w:rPr>
          <w:rFonts w:hint="eastAsia" w:ascii="宋体" w:hAnsi="宋体" w:eastAsia="宋体" w:cs="宋体"/>
          <w:color w:val="000000"/>
          <w:sz w:val="24"/>
          <w:szCs w:val="24"/>
          <w:highlight w:val="white"/>
          <w:u w:val="single"/>
        </w:rPr>
        <w:t>竣工结算审计后15天内。</w:t>
      </w:r>
    </w:p>
    <w:p w14:paraId="31D0DD3F">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关于竣工付款证书异议部分复核的方式和程序：</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rPr>
        <w:t>。</w:t>
      </w:r>
    </w:p>
    <w:p w14:paraId="5B8566F2">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关于承包人收款账户的约定：</w:t>
      </w:r>
      <w:r>
        <w:rPr>
          <w:rFonts w:hint="eastAsia" w:ascii="宋体" w:hAnsi="宋体" w:eastAsia="宋体" w:cs="宋体"/>
          <w:color w:val="000000"/>
          <w:sz w:val="24"/>
          <w:szCs w:val="24"/>
          <w:highlight w:val="white"/>
          <w:u w:val="single"/>
        </w:rPr>
        <w:t>转入承包人基本账户</w:t>
      </w:r>
      <w:r>
        <w:rPr>
          <w:rFonts w:hint="eastAsia" w:ascii="宋体" w:hAnsi="宋体" w:eastAsia="宋体" w:cs="宋体"/>
          <w:color w:val="000000"/>
          <w:sz w:val="24"/>
          <w:szCs w:val="24"/>
          <w:highlight w:val="white"/>
        </w:rPr>
        <w:t>。</w:t>
      </w:r>
    </w:p>
    <w:p w14:paraId="3B619CC8">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14.4 最终结清</w:t>
      </w:r>
    </w:p>
    <w:p w14:paraId="72BC4557">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14.4.1 最终结清申请单</w:t>
      </w:r>
    </w:p>
    <w:p w14:paraId="68AF1174">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承包人提交最终结清申请单的份数：</w:t>
      </w:r>
      <w:r>
        <w:rPr>
          <w:rFonts w:hint="eastAsia" w:ascii="宋体" w:hAnsi="宋体" w:eastAsia="宋体" w:cs="宋体"/>
          <w:color w:val="000000"/>
          <w:sz w:val="24"/>
          <w:szCs w:val="24"/>
          <w:highlight w:val="white"/>
          <w:u w:val="single"/>
        </w:rPr>
        <w:t xml:space="preserve"> 3份</w:t>
      </w:r>
      <w:r>
        <w:rPr>
          <w:rFonts w:hint="eastAsia" w:ascii="宋体" w:hAnsi="宋体" w:eastAsia="宋体" w:cs="宋体"/>
          <w:color w:val="000000"/>
          <w:sz w:val="24"/>
          <w:szCs w:val="24"/>
          <w:highlight w:val="white"/>
        </w:rPr>
        <w:t>。</w:t>
      </w:r>
    </w:p>
    <w:p w14:paraId="2D5329C5">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承包人提交最终结算申请单的期限：</w:t>
      </w:r>
      <w:r>
        <w:rPr>
          <w:rFonts w:hint="eastAsia" w:ascii="宋体" w:hAnsi="宋体" w:eastAsia="宋体" w:cs="宋体"/>
          <w:color w:val="000000"/>
          <w:sz w:val="24"/>
          <w:szCs w:val="24"/>
          <w:highlight w:val="white"/>
          <w:u w:val="single"/>
        </w:rPr>
        <w:t>由发、承包双方在签订合同时约定</w:t>
      </w:r>
      <w:r>
        <w:rPr>
          <w:rFonts w:hint="eastAsia" w:ascii="宋体" w:hAnsi="宋体" w:eastAsia="宋体" w:cs="宋体"/>
          <w:color w:val="000000"/>
          <w:sz w:val="24"/>
          <w:szCs w:val="24"/>
          <w:highlight w:val="white"/>
        </w:rPr>
        <w:t xml:space="preserve">。 </w:t>
      </w:r>
    </w:p>
    <w:p w14:paraId="2425124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14.4.2 最终结清证书和支付</w:t>
      </w:r>
    </w:p>
    <w:p w14:paraId="058441C9">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（1）发包人完成最终结清申请单的审批并颁发最终结清证书的期限：</w:t>
      </w:r>
      <w:r>
        <w:rPr>
          <w:rFonts w:hint="eastAsia" w:ascii="宋体" w:hAnsi="宋体" w:eastAsia="宋体" w:cs="宋体"/>
          <w:color w:val="000000"/>
          <w:kern w:val="0"/>
          <w:sz w:val="24"/>
          <w:szCs w:val="24"/>
          <w:highlight w:val="white"/>
          <w:u w:val="single"/>
        </w:rPr>
        <w:t>发包人应在收到承包人提交的最终结清申请单后14天内完成审批并向承包人颁发最终结清证书。</w:t>
      </w:r>
    </w:p>
    <w:p w14:paraId="4E786B80">
      <w:pPr>
        <w:pStyle w:val="95"/>
        <w:spacing w:line="500" w:lineRule="exact"/>
        <w:ind w:left="420"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highlight w:val="white"/>
        </w:rPr>
        <w:t xml:space="preserve">（2）发包人完成支付的期限： </w:t>
      </w:r>
      <w:r>
        <w:rPr>
          <w:rFonts w:hint="eastAsia" w:ascii="宋体" w:hAnsi="宋体" w:eastAsia="宋体" w:cs="宋体"/>
          <w:color w:val="000000"/>
          <w:kern w:val="0"/>
          <w:sz w:val="24"/>
          <w:szCs w:val="24"/>
          <w:highlight w:val="white"/>
          <w:u w:val="single"/>
        </w:rPr>
        <w:t xml:space="preserve">  发包人应在颁发最终结清证书后7天内完成支付。</w:t>
      </w:r>
    </w:p>
    <w:p w14:paraId="67B6E48F">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15. 缺陷责任期与保修</w:t>
      </w:r>
    </w:p>
    <w:p w14:paraId="2D9CA143">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15.2缺陷责任期</w:t>
      </w:r>
    </w:p>
    <w:p w14:paraId="476C83C3">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缺陷责任期的具体期限：</w:t>
      </w:r>
      <w:r>
        <w:rPr>
          <w:rFonts w:hint="eastAsia" w:ascii="宋体" w:hAnsi="宋体" w:eastAsia="宋体" w:cs="宋体"/>
          <w:color w:val="000000"/>
          <w:sz w:val="24"/>
          <w:szCs w:val="24"/>
          <w:highlight w:val="white"/>
          <w:u w:val="single"/>
        </w:rPr>
        <w:t xml:space="preserve"> 24个月，缺陷责任期计算的起始时间按本合同通用合同条款15.2.1款执行</w:t>
      </w:r>
      <w:r>
        <w:rPr>
          <w:rFonts w:hint="eastAsia" w:ascii="宋体" w:hAnsi="宋体" w:eastAsia="宋体" w:cs="宋体"/>
          <w:color w:val="000000"/>
          <w:kern w:val="0"/>
          <w:sz w:val="24"/>
          <w:szCs w:val="24"/>
          <w:highlight w:val="white"/>
          <w:u w:val="single"/>
        </w:rPr>
        <w:t>。</w:t>
      </w:r>
    </w:p>
    <w:p w14:paraId="682216CB">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15.3 质量保证金</w:t>
      </w:r>
    </w:p>
    <w:p w14:paraId="544C6905">
      <w:pPr>
        <w:pStyle w:val="95"/>
        <w:spacing w:line="500" w:lineRule="exact"/>
        <w:ind w:left="42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关于是否扣留质量保证金的约定：</w:t>
      </w:r>
      <w:r>
        <w:rPr>
          <w:rFonts w:hint="eastAsia" w:ascii="宋体" w:hAnsi="宋体" w:cs="宋体"/>
          <w:color w:val="auto"/>
          <w:sz w:val="24"/>
          <w:szCs w:val="24"/>
          <w:highlight w:val="white"/>
          <w:u w:val="single"/>
          <w:lang w:val="en-US" w:eastAsia="zh-CN"/>
        </w:rPr>
        <w:t>否</w:t>
      </w:r>
      <w:r>
        <w:rPr>
          <w:rFonts w:hint="eastAsia" w:ascii="宋体" w:hAnsi="宋体" w:eastAsia="宋体" w:cs="宋体"/>
          <w:color w:val="auto"/>
          <w:sz w:val="24"/>
          <w:szCs w:val="24"/>
          <w:highlight w:val="white"/>
        </w:rPr>
        <w:t>。</w:t>
      </w:r>
    </w:p>
    <w:p w14:paraId="10CE69B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在工程项目竣工前，承包人按专用合同条款第3.7条提供履约担保的，发包人不得同时预留工程质量保证金。</w:t>
      </w:r>
    </w:p>
    <w:p w14:paraId="4973488F">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15.3.1 承包人提供质量保证金的方式</w:t>
      </w:r>
    </w:p>
    <w:p w14:paraId="24DB0048">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质量保证金采用以下第</w:t>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val="en-US" w:eastAsia="zh-CN"/>
        </w:rPr>
        <w:t>3</w:t>
      </w:r>
      <w:r>
        <w:rPr>
          <w:rFonts w:hint="eastAsia" w:ascii="宋体" w:hAnsi="宋体" w:eastAsia="宋体" w:cs="宋体"/>
          <w:color w:val="000000"/>
          <w:sz w:val="24"/>
          <w:szCs w:val="24"/>
          <w:highlight w:val="white"/>
          <w:u w:val="single"/>
        </w:rPr>
        <w:t>）</w:t>
      </w:r>
      <w:r>
        <w:rPr>
          <w:rFonts w:hint="eastAsia" w:ascii="宋体" w:hAnsi="宋体" w:eastAsia="宋体" w:cs="宋体"/>
          <w:color w:val="000000"/>
          <w:sz w:val="24"/>
          <w:szCs w:val="24"/>
          <w:highlight w:val="white"/>
        </w:rPr>
        <w:t>种方式：</w:t>
      </w:r>
    </w:p>
    <w:p w14:paraId="42D9CEB0">
      <w:pPr>
        <w:pStyle w:val="95"/>
        <w:autoSpaceDE w:val="0"/>
        <w:autoSpaceDN w:val="0"/>
        <w:adjustRightInd w:val="0"/>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（1）质量保证金保函，保证金额为：</w:t>
      </w:r>
      <w:r>
        <w:rPr>
          <w:rFonts w:hint="eastAsia" w:ascii="宋体" w:hAnsi="宋体" w:eastAsia="宋体" w:cs="宋体"/>
          <w:color w:val="000000"/>
          <w:kern w:val="0"/>
          <w:sz w:val="24"/>
          <w:szCs w:val="24"/>
          <w:highlight w:val="white"/>
          <w:u w:val="single"/>
        </w:rPr>
        <w:t xml:space="preserve">    /   </w:t>
      </w:r>
      <w:r>
        <w:rPr>
          <w:rFonts w:hint="eastAsia" w:ascii="宋体" w:hAnsi="宋体" w:eastAsia="宋体" w:cs="宋体"/>
          <w:color w:val="000000"/>
          <w:kern w:val="0"/>
          <w:sz w:val="24"/>
          <w:szCs w:val="24"/>
          <w:highlight w:val="white"/>
        </w:rPr>
        <w:t xml:space="preserve">； </w:t>
      </w:r>
    </w:p>
    <w:p w14:paraId="29928693">
      <w:pPr>
        <w:pStyle w:val="95"/>
        <w:autoSpaceDE w:val="0"/>
        <w:autoSpaceDN w:val="0"/>
        <w:adjustRightInd w:val="0"/>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w:t>
      </w:r>
      <w:r>
        <w:rPr>
          <w:rFonts w:hint="eastAsia" w:ascii="宋体" w:hAnsi="宋体" w:eastAsia="宋体" w:cs="宋体"/>
          <w:color w:val="000000"/>
          <w:kern w:val="0"/>
          <w:sz w:val="24"/>
          <w:szCs w:val="24"/>
          <w:highlight w:val="white"/>
          <w:u w:val="single"/>
        </w:rPr>
        <w:t xml:space="preserve"> </w:t>
      </w:r>
      <w:r>
        <w:rPr>
          <w:rFonts w:hint="eastAsia" w:ascii="宋体" w:hAnsi="宋体" w:cs="宋体"/>
          <w:color w:val="000000"/>
          <w:kern w:val="0"/>
          <w:sz w:val="24"/>
          <w:szCs w:val="24"/>
          <w:highlight w:val="white"/>
          <w:u w:val="single"/>
          <w:lang w:val="en-US" w:eastAsia="zh-CN"/>
        </w:rPr>
        <w:t>/</w:t>
      </w:r>
      <w:r>
        <w:rPr>
          <w:rFonts w:hint="eastAsia" w:ascii="宋体" w:hAnsi="宋体" w:eastAsia="宋体" w:cs="宋体"/>
          <w:color w:val="000000"/>
          <w:kern w:val="0"/>
          <w:sz w:val="24"/>
          <w:szCs w:val="24"/>
          <w:highlight w:val="white"/>
          <w:u w:val="single"/>
        </w:rPr>
        <w:t xml:space="preserve">  </w:t>
      </w:r>
      <w:r>
        <w:rPr>
          <w:rFonts w:hint="eastAsia" w:ascii="宋体" w:hAnsi="宋体" w:eastAsia="宋体" w:cs="宋体"/>
          <w:color w:val="000000"/>
          <w:kern w:val="0"/>
          <w:sz w:val="24"/>
          <w:szCs w:val="24"/>
          <w:highlight w:val="white"/>
        </w:rPr>
        <w:t>%的工程款；</w:t>
      </w:r>
    </w:p>
    <w:p w14:paraId="56177944">
      <w:pPr>
        <w:pStyle w:val="95"/>
        <w:autoSpaceDE w:val="0"/>
        <w:autoSpaceDN w:val="0"/>
        <w:adjustRightInd w:val="0"/>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（3）其他方式:</w:t>
      </w:r>
      <w:r>
        <w:rPr>
          <w:rFonts w:hint="eastAsia" w:ascii="宋体" w:hAnsi="宋体" w:eastAsia="宋体" w:cs="宋体"/>
          <w:color w:val="000000"/>
          <w:kern w:val="0"/>
          <w:sz w:val="24"/>
          <w:szCs w:val="24"/>
          <w:highlight w:val="white"/>
          <w:u w:val="single"/>
        </w:rPr>
        <w:t xml:space="preserve">  </w:t>
      </w:r>
      <w:r>
        <w:rPr>
          <w:rFonts w:hint="eastAsia" w:ascii="宋体" w:hAnsi="宋体" w:eastAsia="宋体" w:cs="宋体"/>
          <w:color w:val="000000"/>
          <w:kern w:val="0"/>
          <w:sz w:val="24"/>
          <w:szCs w:val="24"/>
          <w:highlight w:val="white"/>
          <w:u w:val="single"/>
          <w:lang w:eastAsia="zh-CN"/>
        </w:rPr>
        <w:t>结算审计后，成交供应商向支队指定账户对公转账缴纳结算定案价格的</w:t>
      </w:r>
      <w:r>
        <w:rPr>
          <w:rFonts w:hint="eastAsia" w:ascii="宋体" w:hAnsi="宋体" w:eastAsia="宋体" w:cs="宋体"/>
          <w:color w:val="000000"/>
          <w:kern w:val="0"/>
          <w:sz w:val="24"/>
          <w:szCs w:val="24"/>
          <w:highlight w:val="white"/>
          <w:u w:val="single"/>
          <w:lang w:val="en-US" w:eastAsia="zh-CN"/>
        </w:rPr>
        <w:t>3%作为工程质量保证金或开具相同金额银行见索即付保函。</w:t>
      </w:r>
      <w:r>
        <w:rPr>
          <w:rFonts w:hint="eastAsia" w:ascii="宋体" w:hAnsi="宋体" w:eastAsia="宋体" w:cs="宋体"/>
          <w:color w:val="000000"/>
          <w:kern w:val="0"/>
          <w:sz w:val="24"/>
          <w:szCs w:val="24"/>
          <w:highlight w:val="white"/>
          <w:u w:val="single"/>
        </w:rPr>
        <w:t xml:space="preserve"> </w:t>
      </w:r>
    </w:p>
    <w:p w14:paraId="7B073624">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15.3.2 质量保证金的扣留 </w:t>
      </w:r>
    </w:p>
    <w:p w14:paraId="45ADDAAE">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质量保证金的扣留采取以下第</w:t>
      </w:r>
      <w:r>
        <w:rPr>
          <w:rFonts w:hint="eastAsia" w:ascii="宋体" w:hAnsi="宋体" w:eastAsia="宋体" w:cs="宋体"/>
          <w:color w:val="000000"/>
          <w:sz w:val="24"/>
          <w:szCs w:val="24"/>
          <w:highlight w:val="white"/>
          <w:u w:val="single"/>
        </w:rPr>
        <w:t xml:space="preserve"> </w:t>
      </w:r>
      <w:r>
        <w:rPr>
          <w:rFonts w:hint="eastAsia" w:ascii="宋体" w:hAnsi="宋体" w:cs="宋体"/>
          <w:color w:val="000000"/>
          <w:sz w:val="24"/>
          <w:szCs w:val="24"/>
          <w:highlight w:val="white"/>
          <w:u w:val="single"/>
          <w:lang w:val="en-US" w:eastAsia="zh-CN"/>
        </w:rPr>
        <w:t>/</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sz w:val="24"/>
          <w:szCs w:val="24"/>
          <w:highlight w:val="white"/>
        </w:rPr>
        <w:t>种方式：</w:t>
      </w:r>
    </w:p>
    <w:p w14:paraId="77B01AA9">
      <w:pPr>
        <w:pStyle w:val="95"/>
        <w:autoSpaceDE w:val="0"/>
        <w:autoSpaceDN w:val="0"/>
        <w:adjustRightInd w:val="0"/>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（1）在支付工程进度款时逐次扣留，在此情形下，质量保证金的计算基数不包括预付款的支付、扣回以及价格调整的金额；</w:t>
      </w:r>
    </w:p>
    <w:p w14:paraId="02E0927E">
      <w:pPr>
        <w:pStyle w:val="95"/>
        <w:autoSpaceDE w:val="0"/>
        <w:autoSpaceDN w:val="0"/>
        <w:adjustRightInd w:val="0"/>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（2）工程竣工结算时一次性扣留质量保证金；</w:t>
      </w:r>
    </w:p>
    <w:p w14:paraId="4F2C3742">
      <w:pPr>
        <w:pStyle w:val="95"/>
        <w:autoSpaceDE w:val="0"/>
        <w:autoSpaceDN w:val="0"/>
        <w:adjustRightInd w:val="0"/>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（3）其他扣留方式:</w:t>
      </w:r>
      <w:r>
        <w:rPr>
          <w:rFonts w:hint="eastAsia" w:ascii="宋体" w:hAnsi="宋体" w:eastAsia="宋体" w:cs="宋体"/>
          <w:color w:val="000000"/>
          <w:kern w:val="0"/>
          <w:sz w:val="24"/>
          <w:szCs w:val="24"/>
          <w:highlight w:val="white"/>
          <w:u w:val="single"/>
        </w:rPr>
        <w:t xml:space="preserve">        /                 </w:t>
      </w:r>
      <w:r>
        <w:rPr>
          <w:rFonts w:hint="eastAsia" w:ascii="宋体" w:hAnsi="宋体" w:eastAsia="宋体" w:cs="宋体"/>
          <w:color w:val="000000"/>
          <w:kern w:val="0"/>
          <w:sz w:val="24"/>
          <w:szCs w:val="24"/>
          <w:highlight w:val="white"/>
        </w:rPr>
        <w:t>。</w:t>
      </w:r>
    </w:p>
    <w:p w14:paraId="272EB43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关于质量保证金的补充约定：</w:t>
      </w:r>
      <w:r>
        <w:rPr>
          <w:rFonts w:hint="eastAsia" w:ascii="宋体" w:hAnsi="宋体" w:eastAsia="宋体" w:cs="宋体"/>
          <w:color w:val="000000"/>
          <w:kern w:val="0"/>
          <w:sz w:val="24"/>
          <w:szCs w:val="24"/>
          <w:highlight w:val="white"/>
          <w:u w:val="single"/>
        </w:rPr>
        <w:t xml:space="preserve">    /                       。</w:t>
      </w:r>
    </w:p>
    <w:p w14:paraId="2957466D">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15.4保修</w:t>
      </w:r>
    </w:p>
    <w:p w14:paraId="02020FE3">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15.4.1 保修责任</w:t>
      </w:r>
    </w:p>
    <w:p w14:paraId="6C557390">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工程保修期为：</w:t>
      </w:r>
      <w:r>
        <w:rPr>
          <w:rFonts w:hint="eastAsia" w:ascii="宋体" w:hAnsi="宋体" w:eastAsia="宋体" w:cs="宋体"/>
          <w:color w:val="000000"/>
          <w:kern w:val="0"/>
          <w:sz w:val="24"/>
          <w:szCs w:val="24"/>
          <w:highlight w:val="white"/>
          <w:u w:val="single"/>
        </w:rPr>
        <w:t>按国家规定规范标准</w:t>
      </w:r>
      <w:r>
        <w:rPr>
          <w:rFonts w:hint="eastAsia" w:ascii="宋体" w:hAnsi="宋体" w:eastAsia="宋体" w:cs="宋体"/>
          <w:color w:val="000000"/>
          <w:sz w:val="24"/>
          <w:szCs w:val="24"/>
          <w:highlight w:val="white"/>
          <w:u w:val="single"/>
        </w:rPr>
        <w:t>。</w:t>
      </w:r>
    </w:p>
    <w:p w14:paraId="705320FA">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15.4.3 修复通知</w:t>
      </w:r>
    </w:p>
    <w:p w14:paraId="2C5E37DB">
      <w:pPr>
        <w:pStyle w:val="95"/>
        <w:spacing w:line="500" w:lineRule="exact"/>
        <w:ind w:left="420" w:firstLine="48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highlight w:val="white"/>
        </w:rPr>
        <w:t>承包人收到保修通知并到达工程现场的合理时间：</w:t>
      </w:r>
      <w:r>
        <w:rPr>
          <w:rFonts w:hint="eastAsia" w:ascii="宋体" w:hAnsi="宋体" w:eastAsia="宋体" w:cs="宋体"/>
          <w:color w:val="000000"/>
          <w:kern w:val="0"/>
          <w:sz w:val="24"/>
          <w:szCs w:val="24"/>
          <w:highlight w:val="white"/>
          <w:u w:val="single"/>
        </w:rPr>
        <w:t xml:space="preserve">  承包人在接到发包人通知（口头或书面）后，紧急修复应在12小时内到达现场、一般修复应在24小时内到达现场。若承包人未按时到场修复，发包人可自行安排修复，费用从质量保证金中扣除。 </w:t>
      </w:r>
    </w:p>
    <w:p w14:paraId="0EDD867C">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16. 违约</w:t>
      </w:r>
    </w:p>
    <w:p w14:paraId="71BEA2A6">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16.1 发包人违约</w:t>
      </w:r>
    </w:p>
    <w:p w14:paraId="377E3942">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16.1.1发包人违约的情形</w:t>
      </w:r>
    </w:p>
    <w:p w14:paraId="3787342B">
      <w:pPr>
        <w:pStyle w:val="95"/>
        <w:spacing w:line="500" w:lineRule="exact"/>
        <w:ind w:left="1200" w:hanging="1200" w:hanging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发包人违约的其他情形：</w:t>
      </w:r>
      <w:r>
        <w:rPr>
          <w:rFonts w:hint="eastAsia" w:ascii="宋体" w:hAnsi="宋体" w:cs="宋体"/>
          <w:color w:val="000000"/>
          <w:kern w:val="0"/>
          <w:sz w:val="24"/>
          <w:szCs w:val="24"/>
          <w:highlight w:val="white"/>
          <w:u w:val="single"/>
          <w:lang w:val="en-US" w:eastAsia="zh-CN"/>
        </w:rPr>
        <w:t>无</w:t>
      </w:r>
      <w:r>
        <w:rPr>
          <w:rFonts w:hint="eastAsia" w:ascii="宋体" w:hAnsi="宋体" w:eastAsia="宋体" w:cs="宋体"/>
          <w:color w:val="000000"/>
          <w:kern w:val="0"/>
          <w:sz w:val="24"/>
          <w:szCs w:val="24"/>
          <w:highlight w:val="white"/>
          <w:u w:val="single"/>
        </w:rPr>
        <w:t>。</w:t>
      </w:r>
    </w:p>
    <w:p w14:paraId="04953C18">
      <w:pPr>
        <w:pStyle w:val="95"/>
        <w:spacing w:line="500" w:lineRule="exact"/>
        <w:ind w:left="1200" w:hanging="1200" w:hangingChars="5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16.1.2 发包人违约的责任</w:t>
      </w:r>
    </w:p>
    <w:p w14:paraId="4E3BDC3E">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发包人违约责任的承担方式和计算方法：</w:t>
      </w:r>
    </w:p>
    <w:p w14:paraId="4951FB06">
      <w:pPr>
        <w:pStyle w:val="95"/>
        <w:spacing w:line="500" w:lineRule="exact"/>
        <w:ind w:left="420"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highlight w:val="white"/>
        </w:rPr>
        <w:t>（1）因发包人原因未能在计划开工日期前7天内下达开工通知的违约责任：</w:t>
      </w:r>
      <w:r>
        <w:rPr>
          <w:rFonts w:hint="eastAsia" w:ascii="宋体" w:hAnsi="宋体" w:eastAsia="宋体" w:cs="宋体"/>
          <w:color w:val="000000"/>
          <w:kern w:val="0"/>
          <w:sz w:val="24"/>
          <w:szCs w:val="24"/>
          <w:highlight w:val="white"/>
          <w:u w:val="single"/>
        </w:rPr>
        <w:t xml:space="preserve"> </w:t>
      </w:r>
      <w:r>
        <w:rPr>
          <w:rFonts w:hint="eastAsia" w:ascii="宋体" w:hAnsi="宋体" w:cs="宋体"/>
          <w:color w:val="000000"/>
          <w:kern w:val="0"/>
          <w:sz w:val="24"/>
          <w:szCs w:val="24"/>
          <w:highlight w:val="white"/>
          <w:u w:val="single"/>
          <w:lang w:val="en-US" w:eastAsia="zh-CN"/>
        </w:rPr>
        <w:t>无</w:t>
      </w:r>
      <w:r>
        <w:rPr>
          <w:rFonts w:hint="eastAsia" w:ascii="宋体" w:hAnsi="宋体" w:eastAsia="宋体" w:cs="宋体"/>
          <w:color w:val="000000"/>
          <w:kern w:val="0"/>
          <w:sz w:val="24"/>
          <w:szCs w:val="24"/>
          <w:highlight w:val="white"/>
        </w:rPr>
        <w:t>。</w:t>
      </w:r>
    </w:p>
    <w:p w14:paraId="2C9BAF4A">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（2）因发包人原因未能按合同约定支付合同价款的违约责任：</w:t>
      </w:r>
      <w:r>
        <w:rPr>
          <w:rFonts w:hint="eastAsia" w:ascii="宋体" w:hAnsi="宋体" w:eastAsia="宋体" w:cs="宋体"/>
          <w:color w:val="000000"/>
          <w:kern w:val="0"/>
          <w:sz w:val="24"/>
          <w:szCs w:val="24"/>
          <w:highlight w:val="white"/>
          <w:u w:val="single"/>
        </w:rPr>
        <w:t xml:space="preserve"> </w:t>
      </w:r>
      <w:r>
        <w:rPr>
          <w:rFonts w:hint="eastAsia" w:ascii="宋体" w:hAnsi="宋体" w:cs="宋体"/>
          <w:color w:val="000000"/>
          <w:kern w:val="0"/>
          <w:sz w:val="24"/>
          <w:szCs w:val="24"/>
          <w:highlight w:val="white"/>
          <w:u w:val="single"/>
          <w:lang w:val="en-US" w:eastAsia="zh-CN"/>
        </w:rPr>
        <w:t>无</w:t>
      </w:r>
      <w:r>
        <w:rPr>
          <w:rFonts w:hint="eastAsia" w:ascii="宋体" w:hAnsi="宋体" w:eastAsia="宋体" w:cs="宋体"/>
          <w:color w:val="000000"/>
          <w:kern w:val="0"/>
          <w:sz w:val="24"/>
          <w:szCs w:val="24"/>
          <w:highlight w:val="white"/>
        </w:rPr>
        <w:t>。</w:t>
      </w:r>
    </w:p>
    <w:p w14:paraId="2F80FAD2">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（3）发包人违反第10.1款〔变更的范围〕第（2）项约定，自行实施被取消的工作或转由他人实施的违约责任：</w:t>
      </w:r>
      <w:r>
        <w:rPr>
          <w:rFonts w:hint="eastAsia" w:ascii="宋体" w:hAnsi="宋体" w:cs="宋体"/>
          <w:color w:val="000000"/>
          <w:kern w:val="0"/>
          <w:sz w:val="24"/>
          <w:szCs w:val="24"/>
          <w:highlight w:val="white"/>
          <w:u w:val="single"/>
          <w:lang w:val="en-US" w:eastAsia="zh-CN"/>
        </w:rPr>
        <w:t>无</w:t>
      </w:r>
      <w:r>
        <w:rPr>
          <w:rFonts w:hint="eastAsia" w:ascii="宋体" w:hAnsi="宋体" w:eastAsia="宋体" w:cs="宋体"/>
          <w:color w:val="000000"/>
          <w:kern w:val="0"/>
          <w:sz w:val="24"/>
          <w:szCs w:val="24"/>
          <w:highlight w:val="white"/>
          <w:u w:val="single"/>
        </w:rPr>
        <w:t>。</w:t>
      </w:r>
    </w:p>
    <w:p w14:paraId="6A8BD26F">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（4）发包人提供的材料、工程设备的规格、数量或质量不符合合同约定，或因发包人原因导致交货日期延误或交货地点变更等情况的违约责任：</w:t>
      </w:r>
      <w:r>
        <w:rPr>
          <w:rFonts w:hint="eastAsia" w:ascii="宋体" w:hAnsi="宋体" w:cs="宋体"/>
          <w:color w:val="000000"/>
          <w:kern w:val="0"/>
          <w:sz w:val="24"/>
          <w:szCs w:val="24"/>
          <w:highlight w:val="white"/>
          <w:u w:val="single"/>
          <w:lang w:val="en-US" w:eastAsia="zh-CN"/>
        </w:rPr>
        <w:t>无</w:t>
      </w:r>
      <w:r>
        <w:rPr>
          <w:rFonts w:hint="eastAsia" w:ascii="宋体" w:hAnsi="宋体" w:eastAsia="宋体" w:cs="宋体"/>
          <w:color w:val="000000"/>
          <w:kern w:val="0"/>
          <w:sz w:val="24"/>
          <w:szCs w:val="24"/>
          <w:highlight w:val="white"/>
        </w:rPr>
        <w:t>。</w:t>
      </w:r>
    </w:p>
    <w:p w14:paraId="2B814187">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（5）因发包人违反合同约定造成暂停施工的违约责任：</w:t>
      </w:r>
      <w:r>
        <w:rPr>
          <w:rFonts w:hint="eastAsia" w:ascii="宋体" w:hAnsi="宋体" w:cs="宋体"/>
          <w:color w:val="000000"/>
          <w:kern w:val="0"/>
          <w:sz w:val="24"/>
          <w:szCs w:val="24"/>
          <w:highlight w:val="white"/>
          <w:u w:val="single"/>
          <w:lang w:val="en-US" w:eastAsia="zh-CN"/>
        </w:rPr>
        <w:t>无</w:t>
      </w:r>
      <w:r>
        <w:rPr>
          <w:rFonts w:hint="eastAsia" w:ascii="宋体" w:hAnsi="宋体" w:eastAsia="宋体" w:cs="宋体"/>
          <w:color w:val="000000"/>
          <w:kern w:val="0"/>
          <w:sz w:val="24"/>
          <w:szCs w:val="24"/>
          <w:highlight w:val="white"/>
          <w:u w:val="single"/>
        </w:rPr>
        <w:t xml:space="preserve"> 。</w:t>
      </w:r>
    </w:p>
    <w:p w14:paraId="697C9AF3">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（6）发包人无正当理由没有在约定期限内发出复工指示，导致承包人无法复工的违约责任：</w:t>
      </w:r>
      <w:r>
        <w:rPr>
          <w:rFonts w:hint="eastAsia" w:ascii="宋体" w:hAnsi="宋体" w:eastAsia="宋体" w:cs="宋体"/>
          <w:color w:val="000000"/>
          <w:kern w:val="0"/>
          <w:sz w:val="24"/>
          <w:szCs w:val="24"/>
          <w:highlight w:val="white"/>
          <w:u w:val="single"/>
        </w:rPr>
        <w:t xml:space="preserve">  </w:t>
      </w:r>
      <w:r>
        <w:rPr>
          <w:rFonts w:hint="eastAsia" w:ascii="宋体" w:hAnsi="宋体" w:cs="宋体"/>
          <w:color w:val="000000"/>
          <w:kern w:val="0"/>
          <w:sz w:val="24"/>
          <w:szCs w:val="24"/>
          <w:highlight w:val="white"/>
          <w:u w:val="single"/>
          <w:lang w:val="en-US" w:eastAsia="zh-CN"/>
        </w:rPr>
        <w:t>无</w:t>
      </w:r>
      <w:r>
        <w:rPr>
          <w:rFonts w:hint="eastAsia" w:ascii="宋体" w:hAnsi="宋体" w:eastAsia="宋体" w:cs="宋体"/>
          <w:color w:val="000000"/>
          <w:kern w:val="0"/>
          <w:sz w:val="24"/>
          <w:szCs w:val="24"/>
          <w:highlight w:val="white"/>
        </w:rPr>
        <w:t>。</w:t>
      </w:r>
    </w:p>
    <w:p w14:paraId="7C298F53">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（7）其他：</w:t>
      </w:r>
      <w:r>
        <w:rPr>
          <w:rFonts w:hint="eastAsia" w:ascii="宋体" w:hAnsi="宋体" w:eastAsia="宋体" w:cs="宋体"/>
          <w:color w:val="000000"/>
          <w:kern w:val="0"/>
          <w:sz w:val="24"/>
          <w:szCs w:val="24"/>
          <w:highlight w:val="white"/>
          <w:u w:val="single"/>
        </w:rPr>
        <w:t xml:space="preserve">          无                                 </w:t>
      </w:r>
      <w:r>
        <w:rPr>
          <w:rFonts w:hint="eastAsia" w:ascii="宋体" w:hAnsi="宋体" w:eastAsia="宋体" w:cs="宋体"/>
          <w:color w:val="000000"/>
          <w:kern w:val="0"/>
          <w:sz w:val="24"/>
          <w:szCs w:val="24"/>
          <w:highlight w:val="white"/>
        </w:rPr>
        <w:t>。</w:t>
      </w:r>
    </w:p>
    <w:p w14:paraId="09E2EEEB">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16.1.3 因发包人违约解除合同</w:t>
      </w:r>
    </w:p>
    <w:p w14:paraId="24EB2B95">
      <w:pPr>
        <w:pStyle w:val="95"/>
        <w:autoSpaceDE w:val="0"/>
        <w:autoSpaceDN w:val="0"/>
        <w:adjustRightInd w:val="0"/>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承包人按16.1.1项〔发包人违约的情形〕约定暂停施工满</w:t>
      </w:r>
      <w:r>
        <w:rPr>
          <w:rFonts w:hint="eastAsia" w:ascii="宋体" w:hAnsi="宋体" w:eastAsia="宋体" w:cs="宋体"/>
          <w:color w:val="000000"/>
          <w:kern w:val="0"/>
          <w:sz w:val="24"/>
          <w:szCs w:val="24"/>
          <w:highlight w:val="white"/>
          <w:u w:val="single"/>
        </w:rPr>
        <w:t xml:space="preserve">  28  </w:t>
      </w:r>
      <w:r>
        <w:rPr>
          <w:rFonts w:hint="eastAsia" w:ascii="宋体" w:hAnsi="宋体" w:eastAsia="宋体" w:cs="宋体"/>
          <w:color w:val="000000"/>
          <w:kern w:val="0"/>
          <w:sz w:val="24"/>
          <w:szCs w:val="24"/>
          <w:highlight w:val="white"/>
        </w:rPr>
        <w:t>天后发包人仍不纠正其违约行为并致使合同目的不能实现的，承包人有权解除合同。</w:t>
      </w:r>
    </w:p>
    <w:p w14:paraId="455E8439">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16.2 承包人违约</w:t>
      </w:r>
    </w:p>
    <w:p w14:paraId="2D342AA1">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16.2.1 承包人违约的情形</w:t>
      </w:r>
    </w:p>
    <w:p w14:paraId="63EBD9C2">
      <w:pPr>
        <w:pStyle w:val="95"/>
        <w:spacing w:line="500" w:lineRule="exact"/>
        <w:ind w:left="420" w:firstLine="480"/>
        <w:rPr>
          <w:rFonts w:hint="eastAsia" w:ascii="宋体" w:hAnsi="宋体" w:eastAsia="宋体" w:cs="宋体"/>
          <w:color w:val="000000"/>
          <w:kern w:val="0"/>
          <w:sz w:val="24"/>
          <w:szCs w:val="24"/>
          <w:highlight w:val="white"/>
          <w:u w:val="single"/>
        </w:rPr>
      </w:pPr>
      <w:r>
        <w:rPr>
          <w:rFonts w:hint="eastAsia" w:ascii="宋体" w:hAnsi="宋体" w:eastAsia="宋体" w:cs="宋体"/>
          <w:color w:val="000000"/>
          <w:kern w:val="0"/>
          <w:sz w:val="24"/>
          <w:szCs w:val="24"/>
          <w:highlight w:val="white"/>
        </w:rPr>
        <w:t>承包人违约的其他情形：</w:t>
      </w:r>
      <w:r>
        <w:rPr>
          <w:rFonts w:hint="eastAsia" w:ascii="宋体" w:hAnsi="宋体" w:eastAsia="宋体" w:cs="宋体"/>
          <w:color w:val="000000"/>
          <w:kern w:val="0"/>
          <w:sz w:val="24"/>
          <w:szCs w:val="24"/>
          <w:highlight w:val="white"/>
          <w:u w:val="single"/>
        </w:rPr>
        <w:t>合同协议书及专用合同条款有约定的，优先执行合同协议书及专用合同条款；合同协议书及专用合同条款未明确约定的，按本合同通用条款的本条执行。</w:t>
      </w:r>
    </w:p>
    <w:p w14:paraId="05BF77D8">
      <w:pPr>
        <w:pStyle w:val="95"/>
        <w:spacing w:line="500" w:lineRule="exact"/>
        <w:ind w:left="420" w:firstLine="480"/>
        <w:rPr>
          <w:rFonts w:hint="eastAsia" w:ascii="宋体" w:hAnsi="宋体" w:eastAsia="宋体" w:cs="宋体"/>
          <w:color w:val="000000"/>
          <w:kern w:val="0"/>
          <w:sz w:val="24"/>
          <w:szCs w:val="24"/>
          <w:highlight w:val="white"/>
          <w:u w:val="none"/>
        </w:rPr>
      </w:pPr>
      <w:r>
        <w:rPr>
          <w:rFonts w:hint="eastAsia" w:ascii="宋体" w:hAnsi="宋体" w:eastAsia="宋体" w:cs="宋体"/>
          <w:color w:val="000000"/>
          <w:kern w:val="0"/>
          <w:sz w:val="24"/>
          <w:szCs w:val="24"/>
          <w:highlight w:val="white"/>
          <w:u w:val="none"/>
        </w:rPr>
        <w:t>（1）承包人未按照合同约定交工的或者任意阶段的施工进度逾期完工的，逾期竣工违约金的计算方法为：每延误一日，支付违约金合同价的</w:t>
      </w:r>
      <w:r>
        <w:rPr>
          <w:rFonts w:hint="eastAsia" w:ascii="宋体" w:hAnsi="宋体" w:cs="宋体"/>
          <w:color w:val="000000"/>
          <w:kern w:val="0"/>
          <w:sz w:val="24"/>
          <w:szCs w:val="24"/>
          <w:highlight w:val="white"/>
          <w:u w:val="none"/>
          <w:lang w:val="en-US" w:eastAsia="zh-CN"/>
        </w:rPr>
        <w:t>1</w:t>
      </w:r>
      <w:r>
        <w:rPr>
          <w:rFonts w:hint="eastAsia" w:ascii="宋体" w:hAnsi="宋体" w:eastAsia="宋体" w:cs="宋体"/>
          <w:color w:val="000000"/>
          <w:kern w:val="0"/>
          <w:sz w:val="24"/>
          <w:szCs w:val="24"/>
          <w:highlight w:val="white"/>
          <w:u w:val="none"/>
        </w:rPr>
        <w:t>‰，违约金按此累计无上限，逾期超过</w:t>
      </w:r>
      <w:r>
        <w:rPr>
          <w:rFonts w:hint="eastAsia" w:ascii="宋体" w:hAnsi="宋体" w:cs="宋体"/>
          <w:color w:val="000000"/>
          <w:kern w:val="0"/>
          <w:sz w:val="24"/>
          <w:szCs w:val="24"/>
          <w:highlight w:val="white"/>
          <w:u w:val="none"/>
          <w:lang w:val="en-US" w:eastAsia="zh-CN"/>
        </w:rPr>
        <w:t>15</w:t>
      </w:r>
      <w:r>
        <w:rPr>
          <w:rFonts w:hint="eastAsia" w:ascii="宋体" w:hAnsi="宋体" w:eastAsia="宋体" w:cs="宋体"/>
          <w:color w:val="000000"/>
          <w:kern w:val="0"/>
          <w:sz w:val="24"/>
          <w:szCs w:val="24"/>
          <w:highlight w:val="white"/>
          <w:u w:val="none"/>
        </w:rPr>
        <w:t>日的，发包人有权单方解除合同，拒绝支付工程款，承包人应承担上述违约金，造成发包人损失的，承包人全额承担赔偿责任。</w:t>
      </w:r>
    </w:p>
    <w:p w14:paraId="208659E2">
      <w:pPr>
        <w:pStyle w:val="95"/>
        <w:spacing w:line="500" w:lineRule="exact"/>
        <w:ind w:left="420" w:firstLine="480"/>
        <w:rPr>
          <w:rFonts w:hint="eastAsia" w:ascii="宋体" w:hAnsi="宋体" w:eastAsia="宋体" w:cs="宋体"/>
          <w:color w:val="000000"/>
          <w:kern w:val="0"/>
          <w:sz w:val="24"/>
          <w:szCs w:val="24"/>
          <w:highlight w:val="white"/>
          <w:u w:val="none"/>
        </w:rPr>
      </w:pPr>
      <w:r>
        <w:rPr>
          <w:rFonts w:hint="eastAsia" w:ascii="宋体" w:hAnsi="宋体" w:eastAsia="宋体" w:cs="宋体"/>
          <w:color w:val="000000"/>
          <w:kern w:val="0"/>
          <w:sz w:val="24"/>
          <w:szCs w:val="24"/>
          <w:highlight w:val="white"/>
          <w:u w:val="none"/>
        </w:rPr>
        <w:t xml:space="preserve">（2）因承包人原因造成工程质量不合格，承包人应无条件返工直至达到合格标准，返工费用自理；发包人亦有权单方解除合同，承包人应向发包人支付合同价款 </w:t>
      </w:r>
      <w:r>
        <w:rPr>
          <w:rFonts w:hint="eastAsia" w:ascii="宋体" w:hAnsi="宋体" w:cs="宋体"/>
          <w:color w:val="000000"/>
          <w:kern w:val="0"/>
          <w:sz w:val="24"/>
          <w:szCs w:val="24"/>
          <w:highlight w:val="white"/>
          <w:u w:val="none"/>
          <w:lang w:val="en-US" w:eastAsia="zh-CN"/>
        </w:rPr>
        <w:t>10</w:t>
      </w:r>
      <w:r>
        <w:rPr>
          <w:rFonts w:hint="eastAsia" w:ascii="宋体" w:hAnsi="宋体" w:eastAsia="宋体" w:cs="宋体"/>
          <w:color w:val="000000"/>
          <w:kern w:val="0"/>
          <w:sz w:val="24"/>
          <w:szCs w:val="24"/>
          <w:highlight w:val="white"/>
          <w:u w:val="none"/>
        </w:rPr>
        <w:t xml:space="preserve"> %的违约金，造成发包人损失的，承包人全额承担赔偿责任。</w:t>
      </w:r>
    </w:p>
    <w:p w14:paraId="0F64629A">
      <w:pPr>
        <w:pStyle w:val="95"/>
        <w:spacing w:line="500" w:lineRule="exact"/>
        <w:ind w:left="420" w:firstLine="480"/>
        <w:rPr>
          <w:rFonts w:hint="eastAsia" w:ascii="宋体" w:hAnsi="宋体" w:eastAsia="宋体" w:cs="宋体"/>
          <w:color w:val="000000"/>
          <w:kern w:val="0"/>
          <w:sz w:val="24"/>
          <w:szCs w:val="24"/>
          <w:highlight w:val="white"/>
          <w:u w:val="none"/>
        </w:rPr>
      </w:pPr>
      <w:r>
        <w:rPr>
          <w:rFonts w:hint="eastAsia" w:ascii="宋体" w:hAnsi="宋体" w:eastAsia="宋体" w:cs="宋体"/>
          <w:color w:val="000000"/>
          <w:kern w:val="0"/>
          <w:sz w:val="24"/>
          <w:szCs w:val="24"/>
          <w:highlight w:val="white"/>
          <w:u w:val="none"/>
        </w:rPr>
        <w:t xml:space="preserve">（3）承包人派出的施工人员与承包人之间建立劳动关系并由承包人自行承担相应的用人责任。因承包人未足额或未按时向农民工支付工资的，或者发生农民工信访、上访事件的，或者承包人未按合同约定给其施工人员购买相应保险的，发包人有权要求承包人立即向农民工支付全部拖欠工资、平息信访或上访事件、购买相应保险并要求承包人承担工程总价款 </w:t>
      </w:r>
      <w:r>
        <w:rPr>
          <w:rFonts w:hint="eastAsia" w:ascii="宋体" w:hAnsi="宋体" w:cs="宋体"/>
          <w:color w:val="000000"/>
          <w:kern w:val="0"/>
          <w:sz w:val="24"/>
          <w:szCs w:val="24"/>
          <w:highlight w:val="white"/>
          <w:u w:val="none"/>
          <w:lang w:val="en-US" w:eastAsia="zh-CN"/>
        </w:rPr>
        <w:t>10</w:t>
      </w:r>
      <w:r>
        <w:rPr>
          <w:rFonts w:hint="eastAsia" w:ascii="宋体" w:hAnsi="宋体" w:eastAsia="宋体" w:cs="宋体"/>
          <w:color w:val="000000"/>
          <w:kern w:val="0"/>
          <w:sz w:val="24"/>
          <w:szCs w:val="24"/>
          <w:highlight w:val="white"/>
          <w:u w:val="none"/>
        </w:rPr>
        <w:t xml:space="preserve"> %的违约金，若因此给发包人造成包括但不限于名誉损害、财产损失、人身损害等一切损失的，承包人还应承担全部赔偿责任。</w:t>
      </w:r>
    </w:p>
    <w:p w14:paraId="39760C6B">
      <w:pPr>
        <w:pStyle w:val="95"/>
        <w:spacing w:line="500" w:lineRule="exact"/>
        <w:ind w:left="420" w:firstLine="480"/>
        <w:rPr>
          <w:rFonts w:hint="eastAsia" w:ascii="宋体" w:hAnsi="宋体" w:eastAsia="宋体" w:cs="宋体"/>
          <w:color w:val="000000"/>
          <w:kern w:val="0"/>
          <w:sz w:val="24"/>
          <w:szCs w:val="24"/>
          <w:highlight w:val="white"/>
          <w:u w:val="none"/>
        </w:rPr>
      </w:pPr>
      <w:r>
        <w:rPr>
          <w:rFonts w:hint="eastAsia" w:ascii="宋体" w:hAnsi="宋体" w:eastAsia="宋体" w:cs="宋体"/>
          <w:color w:val="000000"/>
          <w:kern w:val="0"/>
          <w:sz w:val="24"/>
          <w:szCs w:val="24"/>
          <w:highlight w:val="white"/>
          <w:u w:val="none"/>
        </w:rPr>
        <w:t xml:space="preserve">（4）承包人未按本合同约定履行保修义务的，发包人有权要求承包人立即履行保修义务并承担工程总价款 </w:t>
      </w:r>
      <w:r>
        <w:rPr>
          <w:rFonts w:hint="eastAsia" w:ascii="宋体" w:hAnsi="宋体" w:cs="宋体"/>
          <w:color w:val="000000"/>
          <w:kern w:val="0"/>
          <w:sz w:val="24"/>
          <w:szCs w:val="24"/>
          <w:highlight w:val="white"/>
          <w:u w:val="none"/>
          <w:lang w:val="en-US" w:eastAsia="zh-CN"/>
        </w:rPr>
        <w:t>10</w:t>
      </w:r>
      <w:r>
        <w:rPr>
          <w:rFonts w:hint="eastAsia" w:ascii="宋体" w:hAnsi="宋体" w:eastAsia="宋体" w:cs="宋体"/>
          <w:color w:val="000000"/>
          <w:kern w:val="0"/>
          <w:sz w:val="24"/>
          <w:szCs w:val="24"/>
          <w:highlight w:val="white"/>
          <w:u w:val="none"/>
        </w:rPr>
        <w:t xml:space="preserve"> %的违约金；发包人亦有权单方委托其他施工单位修复，修复费用由承包人承包或者发包人有权直接从履约保证金、质保金中扣除，承包人还应承担工程总价款 </w:t>
      </w:r>
      <w:r>
        <w:rPr>
          <w:rFonts w:hint="eastAsia" w:ascii="宋体" w:hAnsi="宋体" w:cs="宋体"/>
          <w:color w:val="000000"/>
          <w:kern w:val="0"/>
          <w:sz w:val="24"/>
          <w:szCs w:val="24"/>
          <w:highlight w:val="white"/>
          <w:u w:val="none"/>
          <w:lang w:val="en-US" w:eastAsia="zh-CN"/>
        </w:rPr>
        <w:t>10</w:t>
      </w:r>
      <w:r>
        <w:rPr>
          <w:rFonts w:hint="eastAsia" w:ascii="宋体" w:hAnsi="宋体" w:eastAsia="宋体" w:cs="宋体"/>
          <w:color w:val="000000"/>
          <w:kern w:val="0"/>
          <w:sz w:val="24"/>
          <w:szCs w:val="24"/>
          <w:highlight w:val="white"/>
          <w:u w:val="none"/>
        </w:rPr>
        <w:t xml:space="preserve"> %的违约金，若因此给发包人造成损失的，承包人应当承担全部赔偿责任。</w:t>
      </w:r>
    </w:p>
    <w:p w14:paraId="707F059E">
      <w:pPr>
        <w:pStyle w:val="95"/>
        <w:spacing w:line="500" w:lineRule="exact"/>
        <w:ind w:left="420" w:firstLine="480"/>
        <w:rPr>
          <w:rFonts w:hint="eastAsia" w:ascii="宋体" w:hAnsi="宋体" w:eastAsia="宋体" w:cs="宋体"/>
          <w:color w:val="000000"/>
          <w:kern w:val="0"/>
          <w:sz w:val="24"/>
          <w:szCs w:val="24"/>
          <w:highlight w:val="white"/>
          <w:u w:val="none"/>
        </w:rPr>
      </w:pPr>
      <w:r>
        <w:rPr>
          <w:rFonts w:hint="eastAsia" w:ascii="宋体" w:hAnsi="宋体" w:eastAsia="宋体" w:cs="宋体"/>
          <w:color w:val="000000"/>
          <w:kern w:val="0"/>
          <w:sz w:val="24"/>
          <w:szCs w:val="24"/>
          <w:highlight w:val="white"/>
          <w:u w:val="none"/>
        </w:rPr>
        <w:t>（5）若承包人未及时提交资料竣工结算报告及竣工结算书或者提交资料不齐全时造成工程竣工结算时间延误的，发包人有权单方解除合同并要求承包人承担工程总价款</w:t>
      </w:r>
      <w:r>
        <w:rPr>
          <w:rFonts w:hint="eastAsia" w:ascii="宋体" w:hAnsi="宋体" w:cs="宋体"/>
          <w:color w:val="000000"/>
          <w:kern w:val="0"/>
          <w:sz w:val="24"/>
          <w:szCs w:val="24"/>
          <w:highlight w:val="white"/>
          <w:u w:val="none"/>
          <w:lang w:val="en-US" w:eastAsia="zh-CN"/>
        </w:rPr>
        <w:t>10</w:t>
      </w:r>
      <w:r>
        <w:rPr>
          <w:rFonts w:hint="eastAsia" w:ascii="宋体" w:hAnsi="宋体" w:eastAsia="宋体" w:cs="宋体"/>
          <w:color w:val="000000"/>
          <w:kern w:val="0"/>
          <w:sz w:val="24"/>
          <w:szCs w:val="24"/>
          <w:highlight w:val="white"/>
          <w:u w:val="none"/>
        </w:rPr>
        <w:t>%的违约金，同时，发包人有权拒绝支付任何款项，若因此给发包人造成损失的，承包人还应承担全部赔偿责任。</w:t>
      </w:r>
    </w:p>
    <w:p w14:paraId="67A9CA4B">
      <w:pPr>
        <w:pStyle w:val="95"/>
        <w:spacing w:line="500" w:lineRule="exact"/>
        <w:ind w:left="420" w:firstLine="480"/>
        <w:rPr>
          <w:rFonts w:hint="eastAsia" w:ascii="宋体" w:hAnsi="宋体" w:eastAsia="宋体" w:cs="宋体"/>
          <w:color w:val="000000"/>
          <w:kern w:val="0"/>
          <w:sz w:val="24"/>
          <w:szCs w:val="24"/>
          <w:highlight w:val="white"/>
          <w:u w:val="none"/>
        </w:rPr>
      </w:pPr>
      <w:r>
        <w:rPr>
          <w:rFonts w:hint="eastAsia" w:ascii="宋体" w:hAnsi="宋体" w:eastAsia="宋体" w:cs="宋体"/>
          <w:color w:val="000000"/>
          <w:kern w:val="0"/>
          <w:sz w:val="24"/>
          <w:szCs w:val="24"/>
          <w:highlight w:val="white"/>
          <w:u w:val="none"/>
        </w:rPr>
        <w:t>（6）若本合同的违约责任无法确认，需要鉴定或者评估的，双方应在  日内协商确定评估或者鉴定机构，对工程存在缺陷或瑕疵的地方进行鉴定、评估。若双方未在约定时间内协商一致的，则发包人有权进行单方委托，承包人对一切鉴定报告、评估报告等予以认可。</w:t>
      </w:r>
    </w:p>
    <w:p w14:paraId="79C04854">
      <w:pPr>
        <w:pStyle w:val="95"/>
        <w:spacing w:line="500" w:lineRule="exact"/>
        <w:ind w:left="420" w:firstLine="480"/>
        <w:rPr>
          <w:rFonts w:hint="eastAsia" w:ascii="宋体" w:hAnsi="宋体" w:eastAsia="宋体" w:cs="宋体"/>
          <w:color w:val="000000"/>
          <w:kern w:val="0"/>
          <w:sz w:val="24"/>
          <w:szCs w:val="24"/>
          <w:highlight w:val="white"/>
          <w:u w:val="none"/>
        </w:rPr>
      </w:pPr>
      <w:r>
        <w:rPr>
          <w:rFonts w:hint="eastAsia" w:ascii="宋体" w:hAnsi="宋体" w:eastAsia="宋体" w:cs="宋体"/>
          <w:color w:val="000000"/>
          <w:kern w:val="0"/>
          <w:sz w:val="24"/>
          <w:szCs w:val="24"/>
          <w:highlight w:val="white"/>
          <w:u w:val="none"/>
        </w:rPr>
        <w:t>（7）发包人有权直接从任一笔所付款项中扣除承包人应付的违约金以及赔偿金等，承包人对此无任何异议。</w:t>
      </w:r>
    </w:p>
    <w:p w14:paraId="08E976E3">
      <w:pPr>
        <w:pStyle w:val="95"/>
        <w:spacing w:line="500" w:lineRule="exact"/>
        <w:ind w:left="420" w:firstLine="480"/>
        <w:rPr>
          <w:rFonts w:hint="eastAsia" w:ascii="宋体" w:hAnsi="宋体" w:eastAsia="宋体" w:cs="宋体"/>
          <w:color w:val="000000"/>
          <w:kern w:val="0"/>
          <w:sz w:val="24"/>
          <w:szCs w:val="24"/>
          <w:highlight w:val="white"/>
          <w:u w:val="none"/>
        </w:rPr>
      </w:pPr>
      <w:r>
        <w:rPr>
          <w:rFonts w:hint="eastAsia" w:ascii="宋体" w:hAnsi="宋体" w:eastAsia="宋体" w:cs="宋体"/>
          <w:color w:val="000000"/>
          <w:kern w:val="0"/>
          <w:sz w:val="24"/>
          <w:szCs w:val="24"/>
          <w:highlight w:val="white"/>
          <w:u w:val="none"/>
        </w:rPr>
        <w:t>（8）本合同约定的任何违约金标准、违约责任、法律责任，均是经发包人及承包人双方充分考虑和衡量遵循执行合同约定的重要性以及违约的后果和危害性而协商确认而成，如果承包人被判令违约，承包人不可撤销的承诺放弃请求人民法院或者仲裁机构对于违约金标准、违约责任、法律责任进行任何形式的调整或降低的权利。</w:t>
      </w:r>
    </w:p>
    <w:p w14:paraId="3F4BBBA3">
      <w:pPr>
        <w:pStyle w:val="95"/>
        <w:spacing w:line="500" w:lineRule="exact"/>
        <w:ind w:left="420" w:firstLine="480"/>
        <w:rPr>
          <w:rFonts w:hint="eastAsia" w:ascii="宋体" w:hAnsi="宋体" w:eastAsia="宋体" w:cs="宋体"/>
          <w:color w:val="000000"/>
          <w:kern w:val="0"/>
          <w:sz w:val="24"/>
          <w:szCs w:val="24"/>
          <w:highlight w:val="white"/>
          <w:u w:val="none"/>
        </w:rPr>
      </w:pPr>
      <w:r>
        <w:rPr>
          <w:rFonts w:hint="eastAsia" w:ascii="宋体" w:hAnsi="宋体" w:eastAsia="宋体" w:cs="宋体"/>
          <w:color w:val="000000"/>
          <w:kern w:val="0"/>
          <w:sz w:val="24"/>
          <w:szCs w:val="24"/>
          <w:highlight w:val="white"/>
          <w:u w:val="none"/>
        </w:rPr>
        <w:t>（9）承包人应当承担发包人因实现债权或维护权益所产生的律师费、交通费、鉴定费、评估费等。律师费的金额以律师事务所开具的发票金额为准。</w:t>
      </w:r>
    </w:p>
    <w:p w14:paraId="2158FCB1">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16.2.2承包人违约的责任</w:t>
      </w:r>
    </w:p>
    <w:p w14:paraId="1EAC6742">
      <w:pPr>
        <w:pStyle w:val="95"/>
        <w:spacing w:line="500" w:lineRule="exact"/>
        <w:ind w:left="1200" w:hanging="1200" w:hangingChars="5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highlight w:val="white"/>
        </w:rPr>
        <w:t>承包人违约责任的承担方式和计算方法：</w:t>
      </w:r>
      <w:r>
        <w:rPr>
          <w:rFonts w:hint="eastAsia" w:ascii="宋体" w:hAnsi="宋体" w:eastAsia="宋体" w:cs="宋体"/>
          <w:color w:val="000000"/>
          <w:kern w:val="0"/>
          <w:sz w:val="24"/>
          <w:szCs w:val="24"/>
          <w:highlight w:val="white"/>
          <w:u w:val="single"/>
        </w:rPr>
        <w:t>按本合同通用条款的本条执行</w:t>
      </w:r>
      <w:r>
        <w:rPr>
          <w:rFonts w:hint="eastAsia" w:ascii="宋体" w:hAnsi="宋体" w:cs="宋体"/>
          <w:color w:val="000000"/>
          <w:kern w:val="0"/>
          <w:sz w:val="24"/>
          <w:szCs w:val="24"/>
          <w:highlight w:val="white"/>
          <w:u w:val="single"/>
          <w:lang w:eastAsia="zh-CN"/>
        </w:rPr>
        <w:t>，</w:t>
      </w:r>
      <w:r>
        <w:rPr>
          <w:rFonts w:hint="eastAsia" w:ascii="宋体" w:hAnsi="宋体" w:eastAsia="宋体" w:cs="宋体"/>
          <w:color w:val="000000"/>
          <w:kern w:val="0"/>
          <w:sz w:val="24"/>
          <w:szCs w:val="24"/>
          <w:highlight w:val="white"/>
          <w:u w:val="single"/>
        </w:rPr>
        <w:t>且由承包人承担全部费用并承担相关法律责任</w:t>
      </w:r>
      <w:r>
        <w:rPr>
          <w:rFonts w:hint="eastAsia" w:ascii="宋体" w:hAnsi="宋体" w:eastAsia="宋体" w:cs="宋体"/>
          <w:color w:val="000000"/>
          <w:kern w:val="0"/>
          <w:sz w:val="24"/>
          <w:szCs w:val="24"/>
          <w:highlight w:val="white"/>
        </w:rPr>
        <w:t>。</w:t>
      </w:r>
      <w:r>
        <w:rPr>
          <w:rFonts w:hint="eastAsia" w:ascii="宋体" w:hAnsi="宋体" w:eastAsia="宋体" w:cs="宋体"/>
          <w:color w:val="000000"/>
          <w:sz w:val="24"/>
          <w:szCs w:val="24"/>
          <w:highlight w:val="white"/>
        </w:rPr>
        <w:t xml:space="preserve">    </w:t>
      </w:r>
    </w:p>
    <w:p w14:paraId="7D232821">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16.2.3 因承包人违约解除合同</w:t>
      </w:r>
    </w:p>
    <w:p w14:paraId="11EDA415">
      <w:pPr>
        <w:pStyle w:val="95"/>
        <w:spacing w:before="120" w:after="120" w:line="500" w:lineRule="exact"/>
        <w:ind w:left="42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关于承包人违约解除合同的特别约定：</w:t>
      </w:r>
      <w:r>
        <w:rPr>
          <w:rFonts w:hint="eastAsia" w:ascii="宋体" w:hAnsi="宋体" w:eastAsia="宋体" w:cs="宋体"/>
          <w:b/>
          <w:bCs/>
          <w:color w:val="000000"/>
          <w:sz w:val="24"/>
          <w:szCs w:val="24"/>
          <w:highlight w:val="white"/>
          <w:u w:val="single"/>
        </w:rPr>
        <w:t>按本合同通用条款的本条执行，除按本合同通用条款的规定执行外，在施工过程中非发包人原因和不可抗力因素承包人未能按审批的施工组织设计组织施工，不能完成阶段性的计划施工任务，造成工程返工的，承包人承担所有损失，造成阶段性工期延误的，累计延期达到30天以上（含30天），发包人有权</w:t>
      </w:r>
      <w:r>
        <w:rPr>
          <w:rFonts w:hint="eastAsia" w:ascii="宋体" w:hAnsi="宋体" w:cs="宋体"/>
          <w:b/>
          <w:bCs/>
          <w:color w:val="000000"/>
          <w:sz w:val="24"/>
          <w:szCs w:val="24"/>
          <w:highlight w:val="white"/>
          <w:u w:val="single"/>
          <w:lang w:val="en-US" w:eastAsia="zh-CN"/>
        </w:rPr>
        <w:t>单方</w:t>
      </w:r>
      <w:r>
        <w:rPr>
          <w:rFonts w:hint="eastAsia" w:ascii="宋体" w:hAnsi="宋体" w:eastAsia="宋体" w:cs="宋体"/>
          <w:b/>
          <w:bCs/>
          <w:color w:val="000000"/>
          <w:sz w:val="24"/>
          <w:szCs w:val="24"/>
          <w:highlight w:val="white"/>
          <w:u w:val="single"/>
        </w:rPr>
        <w:t>解除合同。同签订之日起5天内提供监理和业主认可合格的施工组织设计和施工组织总进度计划，每延期一天罚款2000元，累计延期达到一周未提供经监理方和业主方认可的施工组织设计，发包人有权</w:t>
      </w:r>
      <w:r>
        <w:rPr>
          <w:rFonts w:hint="eastAsia" w:ascii="宋体" w:hAnsi="宋体" w:cs="宋体"/>
          <w:b/>
          <w:bCs/>
          <w:color w:val="000000"/>
          <w:sz w:val="24"/>
          <w:szCs w:val="24"/>
          <w:highlight w:val="white"/>
          <w:u w:val="single"/>
          <w:lang w:val="en-US" w:eastAsia="zh-CN"/>
        </w:rPr>
        <w:t>单方</w:t>
      </w:r>
      <w:r>
        <w:rPr>
          <w:rFonts w:hint="eastAsia" w:ascii="宋体" w:hAnsi="宋体" w:eastAsia="宋体" w:cs="宋体"/>
          <w:b/>
          <w:bCs/>
          <w:color w:val="000000"/>
          <w:sz w:val="24"/>
          <w:szCs w:val="24"/>
          <w:highlight w:val="white"/>
          <w:u w:val="single"/>
        </w:rPr>
        <w:t>解除合同。</w:t>
      </w:r>
    </w:p>
    <w:p w14:paraId="196ADF82">
      <w:pPr>
        <w:pStyle w:val="95"/>
        <w:spacing w:before="120" w:after="120"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white"/>
          <w:u w:val="single"/>
        </w:rPr>
        <w:t>按本合同通用条款的本条执行</w:t>
      </w:r>
      <w:r>
        <w:rPr>
          <w:rFonts w:hint="eastAsia" w:ascii="宋体" w:hAnsi="宋体" w:eastAsia="宋体" w:cs="宋体"/>
          <w:color w:val="000000"/>
          <w:kern w:val="0"/>
          <w:sz w:val="24"/>
          <w:szCs w:val="24"/>
          <w:highlight w:val="white"/>
        </w:rPr>
        <w:t>。</w:t>
      </w:r>
    </w:p>
    <w:p w14:paraId="32B08CF3">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 xml:space="preserve">17. 不可抗力 </w:t>
      </w:r>
    </w:p>
    <w:p w14:paraId="2B82A6C9">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17.1 不可抗力的确认</w:t>
      </w:r>
    </w:p>
    <w:p w14:paraId="0AD14719">
      <w:pPr>
        <w:pStyle w:val="95"/>
        <w:spacing w:line="500" w:lineRule="exact"/>
        <w:ind w:left="420"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highlight w:val="white"/>
        </w:rPr>
        <w:t>除通用合同条款约定的不可抗力事件之外，视为不可抗力的其他情形：</w:t>
      </w:r>
      <w:r>
        <w:rPr>
          <w:rFonts w:hint="eastAsia" w:ascii="宋体" w:hAnsi="宋体" w:eastAsia="宋体" w:cs="宋体"/>
          <w:color w:val="000000"/>
          <w:kern w:val="0"/>
          <w:sz w:val="24"/>
          <w:szCs w:val="24"/>
          <w:highlight w:val="white"/>
          <w:u w:val="single"/>
        </w:rPr>
        <w:t>下雨超过4小时造成停工</w:t>
      </w:r>
      <w:r>
        <w:rPr>
          <w:rFonts w:hint="eastAsia" w:ascii="宋体" w:hAnsi="宋体" w:eastAsia="宋体" w:cs="宋体"/>
          <w:color w:val="000000"/>
          <w:kern w:val="0"/>
          <w:sz w:val="24"/>
          <w:szCs w:val="24"/>
          <w:highlight w:val="white"/>
        </w:rPr>
        <w:t>。</w:t>
      </w:r>
    </w:p>
    <w:p w14:paraId="56D3B75C">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17.4 因不可抗力解除合同</w:t>
      </w:r>
    </w:p>
    <w:p w14:paraId="1A3EF6B0">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合同解除后，发包人应在商定或确定发包人应支付款项后</w:t>
      </w:r>
      <w:r>
        <w:rPr>
          <w:rFonts w:hint="eastAsia" w:ascii="宋体" w:hAnsi="宋体" w:eastAsia="宋体" w:cs="宋体"/>
          <w:color w:val="000000"/>
          <w:sz w:val="24"/>
          <w:szCs w:val="24"/>
          <w:highlight w:val="white"/>
          <w:u w:val="single"/>
        </w:rPr>
        <w:t xml:space="preserve">  28  </w:t>
      </w:r>
      <w:r>
        <w:rPr>
          <w:rFonts w:hint="eastAsia" w:ascii="宋体" w:hAnsi="宋体" w:eastAsia="宋体" w:cs="宋体"/>
          <w:color w:val="000000"/>
          <w:sz w:val="24"/>
          <w:szCs w:val="24"/>
          <w:highlight w:val="white"/>
        </w:rPr>
        <w:t>天内完成款项的支付。</w:t>
      </w:r>
    </w:p>
    <w:p w14:paraId="4918646F">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18. 保险</w:t>
      </w:r>
    </w:p>
    <w:p w14:paraId="2861BE38">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18.1 工程保险</w:t>
      </w:r>
    </w:p>
    <w:p w14:paraId="4C283348">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关于工程保险的特别约定：</w:t>
      </w:r>
      <w:r>
        <w:rPr>
          <w:rFonts w:hint="eastAsia" w:ascii="宋体" w:hAnsi="宋体" w:eastAsia="宋体" w:cs="宋体"/>
          <w:color w:val="000000"/>
          <w:sz w:val="24"/>
          <w:szCs w:val="24"/>
          <w:highlight w:val="white"/>
          <w:u w:val="single"/>
        </w:rPr>
        <w:t>相关保险由承包人负责购买</w:t>
      </w:r>
      <w:r>
        <w:rPr>
          <w:rFonts w:hint="eastAsia" w:ascii="宋体" w:hAnsi="宋体" w:eastAsia="宋体" w:cs="宋体"/>
          <w:color w:val="000000"/>
          <w:kern w:val="0"/>
          <w:sz w:val="24"/>
          <w:szCs w:val="24"/>
          <w:highlight w:val="white"/>
          <w:u w:val="single"/>
        </w:rPr>
        <w:t>。</w:t>
      </w:r>
    </w:p>
    <w:p w14:paraId="4B4F3666">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18.3 其他保险</w:t>
      </w:r>
    </w:p>
    <w:p w14:paraId="69AA6F71">
      <w:pPr>
        <w:pStyle w:val="95"/>
        <w:spacing w:line="500" w:lineRule="exact"/>
        <w:ind w:left="420" w:firstLine="480" w:firstLineChars="200"/>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关于其他保险的约定：</w:t>
      </w:r>
      <w:r>
        <w:rPr>
          <w:rFonts w:hint="eastAsia" w:ascii="宋体" w:hAnsi="宋体" w:eastAsia="宋体" w:cs="宋体"/>
          <w:color w:val="000000"/>
          <w:kern w:val="0"/>
          <w:sz w:val="24"/>
          <w:szCs w:val="24"/>
          <w:highlight w:val="white"/>
          <w:u w:val="single"/>
        </w:rPr>
        <w:t>按本合同通用条款的本条执行。</w:t>
      </w:r>
    </w:p>
    <w:p w14:paraId="647C4931">
      <w:pPr>
        <w:pStyle w:val="95"/>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sz w:val="24"/>
          <w:szCs w:val="24"/>
          <w:highlight w:val="white"/>
        </w:rPr>
        <w:t>承包人是否应为其施工设备等办理财产保险：</w:t>
      </w:r>
      <w:r>
        <w:rPr>
          <w:rFonts w:hint="eastAsia" w:ascii="宋体" w:hAnsi="宋体" w:eastAsia="宋体" w:cs="宋体"/>
          <w:color w:val="000000"/>
          <w:sz w:val="24"/>
          <w:szCs w:val="24"/>
          <w:highlight w:val="white"/>
          <w:u w:val="single"/>
        </w:rPr>
        <w:t xml:space="preserve"> 是</w:t>
      </w:r>
      <w:r>
        <w:rPr>
          <w:rFonts w:hint="eastAsia" w:ascii="宋体" w:hAnsi="宋体" w:eastAsia="宋体" w:cs="宋体"/>
          <w:color w:val="000000"/>
          <w:sz w:val="24"/>
          <w:szCs w:val="24"/>
          <w:highlight w:val="white"/>
        </w:rPr>
        <w:t>。</w:t>
      </w:r>
    </w:p>
    <w:p w14:paraId="7B79E524">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18.7 通知义务</w:t>
      </w:r>
    </w:p>
    <w:p w14:paraId="128194D5">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highlight w:val="white"/>
        </w:rPr>
        <w:t>关于变更保险合同时的通知义务的约定：</w:t>
      </w:r>
      <w:r>
        <w:rPr>
          <w:rFonts w:hint="eastAsia" w:ascii="宋体" w:hAnsi="宋体" w:eastAsia="宋体" w:cs="宋体"/>
          <w:color w:val="000000"/>
          <w:kern w:val="0"/>
          <w:sz w:val="24"/>
          <w:szCs w:val="24"/>
          <w:highlight w:val="white"/>
          <w:u w:val="single"/>
        </w:rPr>
        <w:t>按本合同通用条款的本条执行</w:t>
      </w:r>
    </w:p>
    <w:p w14:paraId="287706EA">
      <w:pPr>
        <w:pStyle w:val="95"/>
        <w:spacing w:line="500" w:lineRule="exact"/>
        <w:ind w:left="420" w:firstLine="482"/>
        <w:rPr>
          <w:rFonts w:hint="eastAsia" w:ascii="宋体" w:hAnsi="宋体" w:eastAsia="宋体" w:cs="宋体"/>
          <w:b/>
          <w:bCs/>
          <w:color w:val="000000"/>
          <w:sz w:val="24"/>
          <w:szCs w:val="24"/>
        </w:rPr>
      </w:pPr>
      <w:r>
        <w:rPr>
          <w:rFonts w:hint="eastAsia" w:ascii="宋体" w:hAnsi="宋体" w:eastAsia="宋体" w:cs="宋体"/>
          <w:b/>
          <w:bCs/>
          <w:color w:val="000000"/>
          <w:sz w:val="24"/>
          <w:szCs w:val="24"/>
          <w:highlight w:val="white"/>
        </w:rPr>
        <w:t>20. 争议解决</w:t>
      </w:r>
    </w:p>
    <w:p w14:paraId="670F5C5F">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20.3 争议评审</w:t>
      </w:r>
    </w:p>
    <w:p w14:paraId="3FB264D8">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合同当事人是否同意将工程争议提交争议评审小组决定：</w:t>
      </w:r>
      <w:r>
        <w:rPr>
          <w:rFonts w:hint="eastAsia" w:ascii="宋体" w:hAnsi="宋体" w:eastAsia="宋体" w:cs="宋体"/>
          <w:color w:val="000000"/>
          <w:sz w:val="24"/>
          <w:szCs w:val="24"/>
          <w:highlight w:val="white"/>
          <w:u w:val="single"/>
        </w:rPr>
        <w:t xml:space="preserve">  </w:t>
      </w:r>
      <w:r>
        <w:rPr>
          <w:rFonts w:hint="eastAsia" w:ascii="宋体" w:hAnsi="宋体" w:eastAsia="宋体" w:cs="宋体"/>
          <w:color w:val="000000"/>
          <w:kern w:val="0"/>
          <w:sz w:val="24"/>
          <w:szCs w:val="24"/>
          <w:highlight w:val="white"/>
          <w:u w:val="single"/>
        </w:rPr>
        <w:t>按本合同通用条款的本条执行。</w:t>
      </w:r>
      <w:r>
        <w:rPr>
          <w:rFonts w:hint="eastAsia" w:ascii="宋体" w:hAnsi="宋体" w:eastAsia="宋体" w:cs="宋体"/>
          <w:color w:val="000000"/>
          <w:sz w:val="24"/>
          <w:szCs w:val="24"/>
          <w:highlight w:val="white"/>
        </w:rPr>
        <w:t xml:space="preserve">  </w:t>
      </w:r>
    </w:p>
    <w:p w14:paraId="5C41A3F9">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20.3.1 争议评审小组的确定</w:t>
      </w:r>
    </w:p>
    <w:p w14:paraId="1CBB6D5E">
      <w:pPr>
        <w:pStyle w:val="95"/>
        <w:spacing w:line="500" w:lineRule="exact"/>
        <w:ind w:left="420"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highlight w:val="white"/>
        </w:rPr>
        <w:t xml:space="preserve"> 争议评审小组成员的确定：</w:t>
      </w:r>
      <w:r>
        <w:rPr>
          <w:rFonts w:hint="eastAsia" w:ascii="宋体" w:hAnsi="宋体" w:eastAsia="宋体" w:cs="宋体"/>
          <w:color w:val="000000"/>
          <w:kern w:val="0"/>
          <w:sz w:val="24"/>
          <w:szCs w:val="24"/>
          <w:highlight w:val="white"/>
          <w:u w:val="single"/>
        </w:rPr>
        <w:t>按本合同通用条款的本条执行。</w:t>
      </w:r>
    </w:p>
    <w:p w14:paraId="509EAB3E">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 选定争议评审员的期限：</w:t>
      </w:r>
      <w:r>
        <w:rPr>
          <w:rFonts w:hint="eastAsia" w:ascii="宋体" w:hAnsi="宋体" w:eastAsia="宋体" w:cs="宋体"/>
          <w:color w:val="000000"/>
          <w:kern w:val="0"/>
          <w:sz w:val="24"/>
          <w:szCs w:val="24"/>
          <w:highlight w:val="white"/>
          <w:u w:val="single"/>
        </w:rPr>
        <w:t>自收到争议评审申请报告后14天内作出书面决定</w:t>
      </w:r>
      <w:r>
        <w:rPr>
          <w:rFonts w:hint="eastAsia" w:ascii="宋体" w:hAnsi="宋体" w:eastAsia="宋体" w:cs="宋体"/>
          <w:color w:val="000000"/>
          <w:sz w:val="24"/>
          <w:szCs w:val="24"/>
          <w:highlight w:val="white"/>
        </w:rPr>
        <w:t>。</w:t>
      </w:r>
    </w:p>
    <w:p w14:paraId="19440E7C">
      <w:pPr>
        <w:pStyle w:val="95"/>
        <w:spacing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 xml:space="preserve"> 争议评审小组成员的报酬承担方式：</w:t>
      </w:r>
      <w:r>
        <w:rPr>
          <w:rFonts w:hint="eastAsia" w:ascii="宋体" w:hAnsi="宋体" w:eastAsia="宋体" w:cs="宋体"/>
          <w:color w:val="000000"/>
          <w:sz w:val="24"/>
          <w:szCs w:val="24"/>
          <w:highlight w:val="white"/>
          <w:u w:val="single"/>
        </w:rPr>
        <w:t>由发包人和承包人各承担一半</w:t>
      </w:r>
      <w:r>
        <w:rPr>
          <w:rFonts w:hint="eastAsia" w:ascii="宋体" w:hAnsi="宋体" w:eastAsia="宋体" w:cs="宋体"/>
          <w:color w:val="000000"/>
          <w:sz w:val="24"/>
          <w:szCs w:val="24"/>
          <w:highlight w:val="white"/>
        </w:rPr>
        <w:t>。</w:t>
      </w:r>
    </w:p>
    <w:p w14:paraId="715CFDA1">
      <w:pPr>
        <w:pStyle w:val="95"/>
        <w:spacing w:line="500" w:lineRule="exact"/>
        <w:ind w:left="420" w:firstLine="482"/>
        <w:rPr>
          <w:rFonts w:hint="eastAsia" w:ascii="宋体" w:hAnsi="宋体" w:eastAsia="宋体" w:cs="宋体"/>
          <w:color w:val="000000"/>
          <w:sz w:val="24"/>
          <w:szCs w:val="24"/>
        </w:rPr>
      </w:pPr>
      <w:r>
        <w:rPr>
          <w:rFonts w:hint="eastAsia" w:ascii="宋体" w:hAnsi="宋体" w:eastAsia="宋体" w:cs="宋体"/>
          <w:b/>
          <w:bCs/>
          <w:color w:val="000000"/>
          <w:sz w:val="24"/>
          <w:szCs w:val="24"/>
          <w:highlight w:val="white"/>
        </w:rPr>
        <w:t xml:space="preserve"> </w:t>
      </w:r>
      <w:r>
        <w:rPr>
          <w:rFonts w:hint="eastAsia" w:ascii="宋体" w:hAnsi="宋体" w:eastAsia="宋体" w:cs="宋体"/>
          <w:color w:val="000000"/>
          <w:sz w:val="24"/>
          <w:szCs w:val="24"/>
          <w:highlight w:val="white"/>
        </w:rPr>
        <w:t>其他事项的约定：</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rPr>
        <w:t>。</w:t>
      </w:r>
    </w:p>
    <w:p w14:paraId="0FA1B749">
      <w:pPr>
        <w:pStyle w:val="95"/>
        <w:autoSpaceDE w:val="0"/>
        <w:autoSpaceDN w:val="0"/>
        <w:adjustRightInd w:val="0"/>
        <w:spacing w:line="500" w:lineRule="exact"/>
        <w:ind w:left="420"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white"/>
        </w:rPr>
        <w:t>20.3.2 争议评审小组的决定</w:t>
      </w:r>
    </w:p>
    <w:p w14:paraId="1B13EF3F">
      <w:pPr>
        <w:pStyle w:val="95"/>
        <w:spacing w:line="500" w:lineRule="exact"/>
        <w:ind w:left="420" w:firstLine="480"/>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highlight w:val="white"/>
        </w:rPr>
        <w:t>合同当事人关于本项的约定：</w:t>
      </w:r>
      <w:r>
        <w:rPr>
          <w:rFonts w:hint="eastAsia" w:ascii="宋体" w:hAnsi="宋体" w:eastAsia="宋体" w:cs="宋体"/>
          <w:color w:val="000000"/>
          <w:kern w:val="0"/>
          <w:sz w:val="24"/>
          <w:szCs w:val="24"/>
          <w:highlight w:val="white"/>
          <w:u w:val="single"/>
        </w:rPr>
        <w:t>按本合同通用条款的本条执行。</w:t>
      </w:r>
      <w:r>
        <w:rPr>
          <w:rFonts w:hint="eastAsia" w:ascii="宋体" w:hAnsi="宋体" w:eastAsia="宋体" w:cs="宋体"/>
          <w:color w:val="000000"/>
          <w:sz w:val="24"/>
          <w:szCs w:val="24"/>
          <w:highlight w:val="white"/>
        </w:rPr>
        <w:t xml:space="preserve">  </w:t>
      </w:r>
    </w:p>
    <w:p w14:paraId="2D4F34BD">
      <w:pPr>
        <w:pStyle w:val="95"/>
        <w:spacing w:after="120" w:line="500" w:lineRule="exact"/>
        <w:ind w:left="420" w:firstLine="48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20.4仲裁或诉讼</w:t>
      </w:r>
    </w:p>
    <w:p w14:paraId="715231E5">
      <w:pPr>
        <w:pStyle w:val="95"/>
        <w:spacing w:after="120"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因合同及合同有关事项发生的争议，按下列第</w:t>
      </w:r>
      <w:r>
        <w:rPr>
          <w:rFonts w:hint="eastAsia" w:ascii="宋体" w:hAnsi="宋体" w:eastAsia="宋体" w:cs="宋体"/>
          <w:color w:val="000000"/>
          <w:sz w:val="24"/>
          <w:szCs w:val="24"/>
          <w:highlight w:val="white"/>
          <w:u w:val="single"/>
        </w:rPr>
        <w:t>2</w:t>
      </w:r>
      <w:r>
        <w:rPr>
          <w:rFonts w:hint="eastAsia" w:ascii="宋体" w:hAnsi="宋体" w:eastAsia="宋体" w:cs="宋体"/>
          <w:color w:val="000000"/>
          <w:sz w:val="24"/>
          <w:szCs w:val="24"/>
          <w:highlight w:val="white"/>
        </w:rPr>
        <w:t>种方式解决：</w:t>
      </w:r>
    </w:p>
    <w:p w14:paraId="46A0D619">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（1）向</w:t>
      </w:r>
      <w:r>
        <w:rPr>
          <w:rFonts w:hint="eastAsia" w:ascii="宋体" w:hAnsi="宋体" w:eastAsia="宋体" w:cs="宋体"/>
          <w:color w:val="000000"/>
          <w:sz w:val="24"/>
          <w:szCs w:val="24"/>
          <w:highlight w:val="white"/>
          <w:u w:val="single"/>
        </w:rPr>
        <w:t xml:space="preserve">        /             </w:t>
      </w:r>
      <w:r>
        <w:rPr>
          <w:rFonts w:hint="eastAsia" w:ascii="宋体" w:hAnsi="宋体" w:eastAsia="宋体" w:cs="宋体"/>
          <w:color w:val="000000"/>
          <w:sz w:val="24"/>
          <w:szCs w:val="24"/>
          <w:highlight w:val="white"/>
        </w:rPr>
        <w:t>仲裁委员会申请仲裁；</w:t>
      </w:r>
    </w:p>
    <w:p w14:paraId="7BD6F01D">
      <w:pPr>
        <w:pStyle w:val="95"/>
        <w:spacing w:line="500" w:lineRule="exact"/>
        <w:ind w:left="42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white"/>
        </w:rPr>
        <w:t>（2）向</w:t>
      </w:r>
      <w:r>
        <w:rPr>
          <w:rFonts w:hint="eastAsia" w:ascii="宋体" w:hAnsi="宋体" w:eastAsia="宋体" w:cs="宋体"/>
          <w:color w:val="000000"/>
          <w:sz w:val="24"/>
          <w:szCs w:val="24"/>
          <w:highlight w:val="white"/>
          <w:u w:val="single"/>
        </w:rPr>
        <w:t>工程所在地</w:t>
      </w:r>
      <w:r>
        <w:rPr>
          <w:rFonts w:hint="eastAsia" w:ascii="宋体" w:hAnsi="宋体" w:eastAsia="宋体" w:cs="宋体"/>
          <w:color w:val="000000"/>
          <w:sz w:val="24"/>
          <w:szCs w:val="24"/>
          <w:highlight w:val="white"/>
        </w:rPr>
        <w:t>人民法院起诉。</w:t>
      </w:r>
    </w:p>
    <w:p w14:paraId="54CD8981">
      <w:pPr>
        <w:pStyle w:val="45"/>
        <w:spacing w:line="460" w:lineRule="exact"/>
        <w:ind w:firstLine="480" w:firstLineChars="200"/>
        <w:jc w:val="left"/>
        <w:rPr>
          <w:rStyle w:val="86"/>
          <w:rFonts w:hint="eastAsia" w:ascii="宋体" w:hAnsi="宋体" w:eastAsia="宋体" w:cs="宋体"/>
          <w:color w:val="auto"/>
          <w:sz w:val="24"/>
          <w:szCs w:val="24"/>
          <w:highlight w:val="none"/>
        </w:rPr>
      </w:pPr>
    </w:p>
    <w:p w14:paraId="54DDD0E8">
      <w:pPr>
        <w:pStyle w:val="45"/>
        <w:rPr>
          <w:rStyle w:val="86"/>
          <w:rFonts w:hint="eastAsia" w:ascii="宋体" w:hAnsi="宋体" w:eastAsia="宋体" w:cs="宋体"/>
          <w:color w:val="auto"/>
          <w:highlight w:val="none"/>
        </w:rPr>
      </w:pPr>
      <w:r>
        <w:rPr>
          <w:rStyle w:val="86"/>
          <w:rFonts w:hint="eastAsia" w:ascii="宋体" w:hAnsi="宋体" w:eastAsia="宋体" w:cs="宋体"/>
          <w:color w:val="auto"/>
          <w:highlight w:val="none"/>
        </w:rPr>
        <w:t xml:space="preserve"> </w:t>
      </w:r>
      <w:bookmarkStart w:id="441" w:name="_Toc6852"/>
      <w:bookmarkEnd w:id="441"/>
    </w:p>
    <w:p w14:paraId="37AD3715">
      <w:pPr>
        <w:pStyle w:val="45"/>
        <w:jc w:val="center"/>
        <w:rPr>
          <w:rStyle w:val="86"/>
          <w:rFonts w:hint="eastAsia" w:ascii="宋体" w:hAnsi="宋体" w:eastAsia="宋体" w:cs="宋体"/>
          <w:b/>
          <w:color w:val="auto"/>
          <w:sz w:val="32"/>
          <w:szCs w:val="32"/>
          <w:highlight w:val="none"/>
        </w:rPr>
      </w:pPr>
      <w:r>
        <w:rPr>
          <w:rStyle w:val="86"/>
          <w:rFonts w:hint="eastAsia" w:ascii="宋体" w:hAnsi="宋体" w:eastAsia="宋体" w:cs="宋体"/>
          <w:b/>
          <w:color w:val="auto"/>
          <w:sz w:val="32"/>
          <w:szCs w:val="32"/>
          <w:highlight w:val="none"/>
        </w:rPr>
        <w:br w:type="page"/>
      </w:r>
      <w:r>
        <w:rPr>
          <w:rStyle w:val="86"/>
          <w:rFonts w:hint="eastAsia" w:ascii="宋体" w:hAnsi="宋体" w:eastAsia="宋体" w:cs="宋体"/>
          <w:b/>
          <w:color w:val="auto"/>
          <w:sz w:val="32"/>
          <w:szCs w:val="32"/>
          <w:highlight w:val="none"/>
        </w:rPr>
        <w:t xml:space="preserve"> 合同附件格式</w:t>
      </w:r>
    </w:p>
    <w:p w14:paraId="2D7E0C50">
      <w:pPr>
        <w:pStyle w:val="45"/>
        <w:spacing w:line="460" w:lineRule="exact"/>
        <w:jc w:val="left"/>
        <w:rPr>
          <w:rStyle w:val="86"/>
          <w:rFonts w:hint="eastAsia" w:ascii="宋体" w:hAnsi="宋体" w:eastAsia="宋体" w:cs="宋体"/>
          <w:color w:val="auto"/>
          <w:highlight w:val="none"/>
        </w:rPr>
      </w:pPr>
      <w:r>
        <w:rPr>
          <w:rStyle w:val="86"/>
          <w:rFonts w:hint="eastAsia" w:ascii="宋体" w:hAnsi="宋体" w:eastAsia="宋体" w:cs="宋体"/>
          <w:color w:val="auto"/>
          <w:highlight w:val="none"/>
        </w:rPr>
        <w:t xml:space="preserve"> </w:t>
      </w:r>
    </w:p>
    <w:p w14:paraId="325521CE">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一、合同协议书及附件：</w:t>
      </w:r>
    </w:p>
    <w:p w14:paraId="15B6E63E">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附件1：承包人承揽工程项目一览表</w:t>
      </w:r>
    </w:p>
    <w:p w14:paraId="5AE30945">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二、专用合同条款附件：</w:t>
      </w:r>
    </w:p>
    <w:p w14:paraId="160CCAC1">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附件2：发包人供应材料设备一览表</w:t>
      </w:r>
    </w:p>
    <w:p w14:paraId="61C87D36">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附件3：工程质量保修书</w:t>
      </w:r>
    </w:p>
    <w:p w14:paraId="5F25919A">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附件4：主要建设工程文件目录</w:t>
      </w:r>
    </w:p>
    <w:p w14:paraId="73F37200">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附件5：承包人用于本工程施工的机械设备表</w:t>
      </w:r>
    </w:p>
    <w:p w14:paraId="006E711E">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附件6：承包人主要施工管理人员表</w:t>
      </w:r>
    </w:p>
    <w:p w14:paraId="62346307">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附件7：分包人主要施工管理人员表</w:t>
      </w:r>
    </w:p>
    <w:p w14:paraId="469ECCFF">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附件8：履约担保格式</w:t>
      </w:r>
    </w:p>
    <w:p w14:paraId="5CAEEABB">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附件9：支付担保格式</w:t>
      </w:r>
    </w:p>
    <w:p w14:paraId="541BDB33">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附件10：暂估价一览表</w:t>
      </w:r>
    </w:p>
    <w:p w14:paraId="6A976E9A">
      <w:pPr>
        <w:pStyle w:val="45"/>
        <w:spacing w:line="460" w:lineRule="exact"/>
        <w:jc w:val="left"/>
        <w:rPr>
          <w:rStyle w:val="86"/>
          <w:rFonts w:hint="eastAsia" w:ascii="宋体" w:hAnsi="宋体" w:eastAsia="宋体" w:cs="宋体"/>
          <w:color w:val="auto"/>
          <w:kern w:val="0"/>
          <w:sz w:val="24"/>
          <w:szCs w:val="24"/>
          <w:highlight w:val="none"/>
        </w:rPr>
      </w:pPr>
      <w:r>
        <w:rPr>
          <w:rStyle w:val="86"/>
          <w:rFonts w:hint="eastAsia" w:ascii="宋体" w:hAnsi="宋体" w:eastAsia="宋体" w:cs="宋体"/>
          <w:color w:val="auto"/>
          <w:kern w:val="0"/>
          <w:sz w:val="24"/>
          <w:szCs w:val="24"/>
          <w:highlight w:val="none"/>
        </w:rPr>
        <w:t>附件11：建设工程廉政责任书</w:t>
      </w:r>
    </w:p>
    <w:p w14:paraId="070E2969">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4BB54254">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2AFDCE06">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附件1：</w:t>
      </w:r>
    </w:p>
    <w:p w14:paraId="75BF0165">
      <w:pPr>
        <w:pStyle w:val="45"/>
        <w:spacing w:before="156" w:beforeLines="50" w:after="156" w:afterLines="50" w:line="440" w:lineRule="exact"/>
        <w:jc w:val="center"/>
        <w:rPr>
          <w:rStyle w:val="86"/>
          <w:rFonts w:hint="eastAsia" w:ascii="宋体" w:hAnsi="宋体" w:eastAsia="宋体" w:cs="宋体"/>
          <w:color w:val="auto"/>
          <w:sz w:val="30"/>
          <w:szCs w:val="30"/>
          <w:highlight w:val="none"/>
        </w:rPr>
      </w:pPr>
      <w:r>
        <w:rPr>
          <w:rStyle w:val="86"/>
          <w:rFonts w:hint="eastAsia" w:ascii="宋体" w:hAnsi="宋体" w:eastAsia="宋体" w:cs="宋体"/>
          <w:color w:val="auto"/>
          <w:sz w:val="32"/>
          <w:szCs w:val="32"/>
          <w:highlight w:val="none"/>
        </w:rPr>
        <w:t>承包人承揽工程项目一览表</w:t>
      </w:r>
    </w:p>
    <w:tbl>
      <w:tblPr>
        <w:tblStyle w:val="27"/>
        <w:tblW w:w="9029" w:type="dxa"/>
        <w:tblInd w:w="16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763"/>
        <w:gridCol w:w="1406"/>
        <w:gridCol w:w="737"/>
        <w:gridCol w:w="843"/>
        <w:gridCol w:w="764"/>
        <w:gridCol w:w="1071"/>
        <w:gridCol w:w="893"/>
        <w:gridCol w:w="844"/>
        <w:gridCol w:w="843"/>
      </w:tblGrid>
      <w:tr w14:paraId="23A05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68" w:hRule="atLeast"/>
        </w:trPr>
        <w:tc>
          <w:tcPr>
            <w:tcW w:w="865" w:type="dxa"/>
            <w:tcBorders>
              <w:top w:val="single" w:color="auto" w:sz="12" w:space="0"/>
              <w:left w:val="single" w:color="auto" w:sz="12" w:space="0"/>
              <w:bottom w:val="double" w:color="auto" w:sz="2" w:space="0"/>
              <w:right w:val="single" w:color="auto" w:sz="6" w:space="0"/>
            </w:tcBorders>
            <w:noWrap w:val="0"/>
            <w:vAlign w:val="center"/>
          </w:tcPr>
          <w:p w14:paraId="661785FA">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单位工程名称</w:t>
            </w:r>
          </w:p>
        </w:tc>
        <w:tc>
          <w:tcPr>
            <w:tcW w:w="763" w:type="dxa"/>
            <w:tcBorders>
              <w:top w:val="single" w:color="auto" w:sz="12" w:space="0"/>
              <w:left w:val="nil"/>
              <w:bottom w:val="double" w:color="auto" w:sz="2" w:space="0"/>
              <w:right w:val="single" w:color="auto" w:sz="6" w:space="0"/>
            </w:tcBorders>
            <w:noWrap w:val="0"/>
            <w:vAlign w:val="center"/>
          </w:tcPr>
          <w:p w14:paraId="28EAD497">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建设规模</w:t>
            </w:r>
          </w:p>
        </w:tc>
        <w:tc>
          <w:tcPr>
            <w:tcW w:w="1406" w:type="dxa"/>
            <w:tcBorders>
              <w:top w:val="single" w:color="auto" w:sz="12" w:space="0"/>
              <w:left w:val="nil"/>
              <w:bottom w:val="double" w:color="auto" w:sz="2" w:space="0"/>
              <w:right w:val="single" w:color="auto" w:sz="6" w:space="0"/>
            </w:tcBorders>
            <w:noWrap w:val="0"/>
            <w:vAlign w:val="center"/>
          </w:tcPr>
          <w:p w14:paraId="758DC404">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建筑面积(平方米)</w:t>
            </w:r>
          </w:p>
        </w:tc>
        <w:tc>
          <w:tcPr>
            <w:tcW w:w="737" w:type="dxa"/>
            <w:tcBorders>
              <w:top w:val="single" w:color="auto" w:sz="12" w:space="0"/>
              <w:left w:val="nil"/>
              <w:bottom w:val="double" w:color="auto" w:sz="2" w:space="0"/>
              <w:right w:val="single" w:color="auto" w:sz="6" w:space="0"/>
            </w:tcBorders>
            <w:noWrap w:val="0"/>
            <w:vAlign w:val="center"/>
          </w:tcPr>
          <w:p w14:paraId="7D821FED">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结构形式</w:t>
            </w:r>
          </w:p>
        </w:tc>
        <w:tc>
          <w:tcPr>
            <w:tcW w:w="843" w:type="dxa"/>
            <w:tcBorders>
              <w:top w:val="single" w:color="auto" w:sz="12" w:space="0"/>
              <w:left w:val="nil"/>
              <w:bottom w:val="double" w:color="auto" w:sz="2" w:space="0"/>
              <w:right w:val="single" w:color="auto" w:sz="6" w:space="0"/>
            </w:tcBorders>
            <w:noWrap w:val="0"/>
            <w:vAlign w:val="center"/>
          </w:tcPr>
          <w:p w14:paraId="3AC2714C">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层数</w:t>
            </w:r>
          </w:p>
        </w:tc>
        <w:tc>
          <w:tcPr>
            <w:tcW w:w="764" w:type="dxa"/>
            <w:tcBorders>
              <w:top w:val="single" w:color="auto" w:sz="12" w:space="0"/>
              <w:left w:val="nil"/>
              <w:bottom w:val="double" w:color="auto" w:sz="2" w:space="0"/>
              <w:right w:val="single" w:color="auto" w:sz="6" w:space="0"/>
            </w:tcBorders>
            <w:noWrap w:val="0"/>
            <w:vAlign w:val="center"/>
          </w:tcPr>
          <w:p w14:paraId="50D3EB00">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生产能力</w:t>
            </w:r>
          </w:p>
        </w:tc>
        <w:tc>
          <w:tcPr>
            <w:tcW w:w="1071" w:type="dxa"/>
            <w:tcBorders>
              <w:top w:val="single" w:color="auto" w:sz="12" w:space="0"/>
              <w:left w:val="nil"/>
              <w:bottom w:val="double" w:color="auto" w:sz="2" w:space="0"/>
              <w:right w:val="single" w:color="auto" w:sz="6" w:space="0"/>
            </w:tcBorders>
            <w:noWrap w:val="0"/>
            <w:vAlign w:val="center"/>
          </w:tcPr>
          <w:p w14:paraId="5DF2929B">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设备安装内容</w:t>
            </w:r>
          </w:p>
        </w:tc>
        <w:tc>
          <w:tcPr>
            <w:tcW w:w="893" w:type="dxa"/>
            <w:tcBorders>
              <w:top w:val="single" w:color="auto" w:sz="12" w:space="0"/>
              <w:left w:val="nil"/>
              <w:bottom w:val="double" w:color="auto" w:sz="2" w:space="0"/>
              <w:right w:val="single" w:color="auto" w:sz="6" w:space="0"/>
            </w:tcBorders>
            <w:noWrap w:val="0"/>
            <w:vAlign w:val="center"/>
          </w:tcPr>
          <w:p w14:paraId="289CA41B">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合同价格（元）</w:t>
            </w:r>
          </w:p>
        </w:tc>
        <w:tc>
          <w:tcPr>
            <w:tcW w:w="844" w:type="dxa"/>
            <w:tcBorders>
              <w:top w:val="single" w:color="auto" w:sz="12" w:space="0"/>
              <w:left w:val="nil"/>
              <w:bottom w:val="double" w:color="auto" w:sz="2" w:space="0"/>
              <w:right w:val="single" w:color="auto" w:sz="6" w:space="0"/>
            </w:tcBorders>
            <w:noWrap w:val="0"/>
            <w:vAlign w:val="center"/>
          </w:tcPr>
          <w:p w14:paraId="3853EDA1">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开工日期</w:t>
            </w:r>
          </w:p>
        </w:tc>
        <w:tc>
          <w:tcPr>
            <w:tcW w:w="843" w:type="dxa"/>
            <w:tcBorders>
              <w:top w:val="single" w:color="auto" w:sz="12" w:space="0"/>
              <w:left w:val="nil"/>
              <w:bottom w:val="double" w:color="auto" w:sz="2" w:space="0"/>
              <w:right w:val="single" w:color="auto" w:sz="12" w:space="0"/>
            </w:tcBorders>
            <w:noWrap w:val="0"/>
            <w:vAlign w:val="center"/>
          </w:tcPr>
          <w:p w14:paraId="3BD6176A">
            <w:pPr>
              <w:pStyle w:val="52"/>
              <w:keepNext/>
              <w:widowControl w:val="0"/>
              <w:spacing w:line="44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竣工日期</w:t>
            </w:r>
          </w:p>
        </w:tc>
      </w:tr>
      <w:tr w14:paraId="40609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double" w:color="auto" w:sz="2" w:space="0"/>
              <w:left w:val="single" w:color="auto" w:sz="12" w:space="0"/>
              <w:bottom w:val="single" w:color="auto" w:sz="6" w:space="0"/>
              <w:right w:val="single" w:color="auto" w:sz="6" w:space="0"/>
            </w:tcBorders>
            <w:noWrap w:val="0"/>
            <w:vAlign w:val="center"/>
          </w:tcPr>
          <w:p w14:paraId="05EB2A2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double" w:color="auto" w:sz="2" w:space="0"/>
              <w:left w:val="nil"/>
              <w:bottom w:val="single" w:color="auto" w:sz="6" w:space="0"/>
              <w:right w:val="single" w:color="auto" w:sz="6" w:space="0"/>
            </w:tcBorders>
            <w:noWrap w:val="0"/>
            <w:vAlign w:val="center"/>
          </w:tcPr>
          <w:p w14:paraId="5FD3B51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double" w:color="auto" w:sz="2" w:space="0"/>
              <w:left w:val="nil"/>
              <w:bottom w:val="single" w:color="auto" w:sz="6" w:space="0"/>
              <w:right w:val="single" w:color="auto" w:sz="6" w:space="0"/>
            </w:tcBorders>
            <w:noWrap w:val="0"/>
            <w:vAlign w:val="center"/>
          </w:tcPr>
          <w:p w14:paraId="4C38B2A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double" w:color="auto" w:sz="2" w:space="0"/>
              <w:left w:val="nil"/>
              <w:bottom w:val="single" w:color="auto" w:sz="6" w:space="0"/>
              <w:right w:val="single" w:color="auto" w:sz="6" w:space="0"/>
            </w:tcBorders>
            <w:noWrap w:val="0"/>
            <w:vAlign w:val="center"/>
          </w:tcPr>
          <w:p w14:paraId="0CFC57F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double" w:color="auto" w:sz="2" w:space="0"/>
              <w:left w:val="nil"/>
              <w:bottom w:val="single" w:color="auto" w:sz="6" w:space="0"/>
              <w:right w:val="single" w:color="auto" w:sz="6" w:space="0"/>
            </w:tcBorders>
            <w:noWrap w:val="0"/>
            <w:vAlign w:val="center"/>
          </w:tcPr>
          <w:p w14:paraId="1430E1B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double" w:color="auto" w:sz="2" w:space="0"/>
              <w:left w:val="nil"/>
              <w:bottom w:val="single" w:color="auto" w:sz="6" w:space="0"/>
              <w:right w:val="single" w:color="auto" w:sz="6" w:space="0"/>
            </w:tcBorders>
            <w:noWrap w:val="0"/>
            <w:vAlign w:val="center"/>
          </w:tcPr>
          <w:p w14:paraId="5BEA4ABD">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double" w:color="auto" w:sz="2" w:space="0"/>
              <w:left w:val="nil"/>
              <w:bottom w:val="single" w:color="auto" w:sz="6" w:space="0"/>
              <w:right w:val="single" w:color="auto" w:sz="6" w:space="0"/>
            </w:tcBorders>
            <w:noWrap w:val="0"/>
            <w:vAlign w:val="center"/>
          </w:tcPr>
          <w:p w14:paraId="2B8E747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double" w:color="auto" w:sz="2" w:space="0"/>
              <w:left w:val="nil"/>
              <w:bottom w:val="single" w:color="auto" w:sz="6" w:space="0"/>
              <w:right w:val="single" w:color="auto" w:sz="6" w:space="0"/>
            </w:tcBorders>
            <w:noWrap w:val="0"/>
            <w:vAlign w:val="center"/>
          </w:tcPr>
          <w:p w14:paraId="066988D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double" w:color="auto" w:sz="2" w:space="0"/>
              <w:left w:val="nil"/>
              <w:bottom w:val="single" w:color="auto" w:sz="6" w:space="0"/>
              <w:right w:val="single" w:color="auto" w:sz="6" w:space="0"/>
            </w:tcBorders>
            <w:noWrap w:val="0"/>
            <w:vAlign w:val="center"/>
          </w:tcPr>
          <w:p w14:paraId="318A150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double" w:color="auto" w:sz="2" w:space="0"/>
              <w:left w:val="nil"/>
              <w:bottom w:val="single" w:color="auto" w:sz="6" w:space="0"/>
              <w:right w:val="single" w:color="auto" w:sz="12" w:space="0"/>
            </w:tcBorders>
            <w:noWrap w:val="0"/>
            <w:vAlign w:val="center"/>
          </w:tcPr>
          <w:p w14:paraId="50D7D4A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0302B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nil"/>
              <w:left w:val="single" w:color="auto" w:sz="12" w:space="0"/>
              <w:bottom w:val="single" w:color="auto" w:sz="6" w:space="0"/>
              <w:right w:val="single" w:color="auto" w:sz="6" w:space="0"/>
            </w:tcBorders>
            <w:noWrap w:val="0"/>
            <w:vAlign w:val="center"/>
          </w:tcPr>
          <w:p w14:paraId="7FCE4AF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nil"/>
              <w:left w:val="nil"/>
              <w:bottom w:val="single" w:color="auto" w:sz="6" w:space="0"/>
              <w:right w:val="single" w:color="auto" w:sz="6" w:space="0"/>
            </w:tcBorders>
            <w:noWrap w:val="0"/>
            <w:vAlign w:val="center"/>
          </w:tcPr>
          <w:p w14:paraId="31DDBFB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nil"/>
              <w:left w:val="nil"/>
              <w:bottom w:val="single" w:color="auto" w:sz="6" w:space="0"/>
              <w:right w:val="single" w:color="auto" w:sz="6" w:space="0"/>
            </w:tcBorders>
            <w:noWrap w:val="0"/>
            <w:vAlign w:val="center"/>
          </w:tcPr>
          <w:p w14:paraId="0CA0377C">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nil"/>
              <w:left w:val="nil"/>
              <w:bottom w:val="single" w:color="auto" w:sz="6" w:space="0"/>
              <w:right w:val="single" w:color="auto" w:sz="6" w:space="0"/>
            </w:tcBorders>
            <w:noWrap w:val="0"/>
            <w:vAlign w:val="center"/>
          </w:tcPr>
          <w:p w14:paraId="49853047">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6" w:space="0"/>
            </w:tcBorders>
            <w:noWrap w:val="0"/>
            <w:vAlign w:val="center"/>
          </w:tcPr>
          <w:p w14:paraId="6B4F336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nil"/>
              <w:left w:val="nil"/>
              <w:bottom w:val="single" w:color="auto" w:sz="6" w:space="0"/>
              <w:right w:val="single" w:color="auto" w:sz="6" w:space="0"/>
            </w:tcBorders>
            <w:noWrap w:val="0"/>
            <w:vAlign w:val="center"/>
          </w:tcPr>
          <w:p w14:paraId="2B70A54C">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nil"/>
              <w:left w:val="nil"/>
              <w:bottom w:val="single" w:color="auto" w:sz="6" w:space="0"/>
              <w:right w:val="single" w:color="auto" w:sz="6" w:space="0"/>
            </w:tcBorders>
            <w:noWrap w:val="0"/>
            <w:vAlign w:val="center"/>
          </w:tcPr>
          <w:p w14:paraId="0804E34D">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nil"/>
              <w:left w:val="nil"/>
              <w:bottom w:val="single" w:color="auto" w:sz="6" w:space="0"/>
              <w:right w:val="single" w:color="auto" w:sz="6" w:space="0"/>
            </w:tcBorders>
            <w:noWrap w:val="0"/>
            <w:vAlign w:val="center"/>
          </w:tcPr>
          <w:p w14:paraId="2370AE4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nil"/>
              <w:left w:val="nil"/>
              <w:bottom w:val="single" w:color="auto" w:sz="6" w:space="0"/>
              <w:right w:val="single" w:color="auto" w:sz="6" w:space="0"/>
            </w:tcBorders>
            <w:noWrap w:val="0"/>
            <w:vAlign w:val="center"/>
          </w:tcPr>
          <w:p w14:paraId="0DE3950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12" w:space="0"/>
            </w:tcBorders>
            <w:noWrap w:val="0"/>
            <w:vAlign w:val="center"/>
          </w:tcPr>
          <w:p w14:paraId="0C3B34B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3E725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nil"/>
              <w:left w:val="single" w:color="auto" w:sz="12" w:space="0"/>
              <w:bottom w:val="single" w:color="auto" w:sz="6" w:space="0"/>
              <w:right w:val="single" w:color="auto" w:sz="6" w:space="0"/>
            </w:tcBorders>
            <w:noWrap w:val="0"/>
            <w:vAlign w:val="center"/>
          </w:tcPr>
          <w:p w14:paraId="53E164A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nil"/>
              <w:left w:val="nil"/>
              <w:bottom w:val="single" w:color="auto" w:sz="6" w:space="0"/>
              <w:right w:val="single" w:color="auto" w:sz="6" w:space="0"/>
            </w:tcBorders>
            <w:noWrap w:val="0"/>
            <w:vAlign w:val="center"/>
          </w:tcPr>
          <w:p w14:paraId="04BD0DC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nil"/>
              <w:left w:val="nil"/>
              <w:bottom w:val="single" w:color="auto" w:sz="6" w:space="0"/>
              <w:right w:val="single" w:color="auto" w:sz="6" w:space="0"/>
            </w:tcBorders>
            <w:noWrap w:val="0"/>
            <w:vAlign w:val="center"/>
          </w:tcPr>
          <w:p w14:paraId="7ADE286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nil"/>
              <w:left w:val="nil"/>
              <w:bottom w:val="single" w:color="auto" w:sz="6" w:space="0"/>
              <w:right w:val="single" w:color="auto" w:sz="6" w:space="0"/>
            </w:tcBorders>
            <w:noWrap w:val="0"/>
            <w:vAlign w:val="center"/>
          </w:tcPr>
          <w:p w14:paraId="5457797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6" w:space="0"/>
            </w:tcBorders>
            <w:noWrap w:val="0"/>
            <w:vAlign w:val="center"/>
          </w:tcPr>
          <w:p w14:paraId="7076857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nil"/>
              <w:left w:val="nil"/>
              <w:bottom w:val="single" w:color="auto" w:sz="6" w:space="0"/>
              <w:right w:val="single" w:color="auto" w:sz="6" w:space="0"/>
            </w:tcBorders>
            <w:noWrap w:val="0"/>
            <w:vAlign w:val="center"/>
          </w:tcPr>
          <w:p w14:paraId="04345F7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nil"/>
              <w:left w:val="nil"/>
              <w:bottom w:val="single" w:color="auto" w:sz="6" w:space="0"/>
              <w:right w:val="single" w:color="auto" w:sz="6" w:space="0"/>
            </w:tcBorders>
            <w:noWrap w:val="0"/>
            <w:vAlign w:val="center"/>
          </w:tcPr>
          <w:p w14:paraId="44B8D18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nil"/>
              <w:left w:val="nil"/>
              <w:bottom w:val="single" w:color="auto" w:sz="6" w:space="0"/>
              <w:right w:val="single" w:color="auto" w:sz="6" w:space="0"/>
            </w:tcBorders>
            <w:noWrap w:val="0"/>
            <w:vAlign w:val="center"/>
          </w:tcPr>
          <w:p w14:paraId="74DD19F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nil"/>
              <w:left w:val="nil"/>
              <w:bottom w:val="single" w:color="auto" w:sz="6" w:space="0"/>
              <w:right w:val="single" w:color="auto" w:sz="6" w:space="0"/>
            </w:tcBorders>
            <w:noWrap w:val="0"/>
            <w:vAlign w:val="center"/>
          </w:tcPr>
          <w:p w14:paraId="380E19E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12" w:space="0"/>
            </w:tcBorders>
            <w:noWrap w:val="0"/>
            <w:vAlign w:val="center"/>
          </w:tcPr>
          <w:p w14:paraId="540FC49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7AF64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2BA185A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4132C64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601C642D">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0CA1594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2FEA82C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6675194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568AE8C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45D2711B">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447850ED">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21A4D49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4A3DE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nil"/>
              <w:left w:val="single" w:color="auto" w:sz="12" w:space="0"/>
              <w:bottom w:val="single" w:color="auto" w:sz="6" w:space="0"/>
              <w:right w:val="single" w:color="auto" w:sz="6" w:space="0"/>
            </w:tcBorders>
            <w:noWrap w:val="0"/>
            <w:vAlign w:val="center"/>
          </w:tcPr>
          <w:p w14:paraId="09D5E71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nil"/>
              <w:left w:val="nil"/>
              <w:bottom w:val="single" w:color="auto" w:sz="6" w:space="0"/>
              <w:right w:val="single" w:color="auto" w:sz="6" w:space="0"/>
            </w:tcBorders>
            <w:noWrap w:val="0"/>
            <w:vAlign w:val="center"/>
          </w:tcPr>
          <w:p w14:paraId="0E55AA7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nil"/>
              <w:left w:val="nil"/>
              <w:bottom w:val="single" w:color="auto" w:sz="6" w:space="0"/>
              <w:right w:val="single" w:color="auto" w:sz="6" w:space="0"/>
            </w:tcBorders>
            <w:noWrap w:val="0"/>
            <w:vAlign w:val="center"/>
          </w:tcPr>
          <w:p w14:paraId="061B1A6B">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nil"/>
              <w:left w:val="nil"/>
              <w:bottom w:val="single" w:color="auto" w:sz="6" w:space="0"/>
              <w:right w:val="single" w:color="auto" w:sz="6" w:space="0"/>
            </w:tcBorders>
            <w:noWrap w:val="0"/>
            <w:vAlign w:val="center"/>
          </w:tcPr>
          <w:p w14:paraId="2174C8D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6" w:space="0"/>
            </w:tcBorders>
            <w:noWrap w:val="0"/>
            <w:vAlign w:val="center"/>
          </w:tcPr>
          <w:p w14:paraId="32380E6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nil"/>
              <w:left w:val="nil"/>
              <w:bottom w:val="single" w:color="auto" w:sz="6" w:space="0"/>
              <w:right w:val="single" w:color="auto" w:sz="6" w:space="0"/>
            </w:tcBorders>
            <w:noWrap w:val="0"/>
            <w:vAlign w:val="center"/>
          </w:tcPr>
          <w:p w14:paraId="7BCADB4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nil"/>
              <w:left w:val="nil"/>
              <w:bottom w:val="single" w:color="auto" w:sz="6" w:space="0"/>
              <w:right w:val="single" w:color="auto" w:sz="6" w:space="0"/>
            </w:tcBorders>
            <w:noWrap w:val="0"/>
            <w:vAlign w:val="center"/>
          </w:tcPr>
          <w:p w14:paraId="2398A7B7">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nil"/>
              <w:left w:val="nil"/>
              <w:bottom w:val="single" w:color="auto" w:sz="6" w:space="0"/>
              <w:right w:val="single" w:color="auto" w:sz="6" w:space="0"/>
            </w:tcBorders>
            <w:noWrap w:val="0"/>
            <w:vAlign w:val="center"/>
          </w:tcPr>
          <w:p w14:paraId="2CBFC86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nil"/>
              <w:left w:val="nil"/>
              <w:bottom w:val="single" w:color="auto" w:sz="6" w:space="0"/>
              <w:right w:val="single" w:color="auto" w:sz="6" w:space="0"/>
            </w:tcBorders>
            <w:noWrap w:val="0"/>
            <w:vAlign w:val="center"/>
          </w:tcPr>
          <w:p w14:paraId="6D0BFF5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12" w:space="0"/>
            </w:tcBorders>
            <w:noWrap w:val="0"/>
            <w:vAlign w:val="center"/>
          </w:tcPr>
          <w:p w14:paraId="5A8D44E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0B13C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630B603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52081DC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5FBFF46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12B0756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109AE50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02B27B6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0EC7482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0C515E9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4C87EA8E">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6043908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0D7D5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20B8969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23B10D4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7F6FA11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144D35A7">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37B2F56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55A9F47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5CA8AA9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19B0848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1304952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4A8D93E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58472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3830397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6037CDE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5AA9950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37B221C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11DB058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1A9912F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3A61129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6D8EC2B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6B96DFE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11EDF56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53D39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nil"/>
              <w:left w:val="single" w:color="auto" w:sz="12" w:space="0"/>
              <w:bottom w:val="single" w:color="auto" w:sz="6" w:space="0"/>
              <w:right w:val="single" w:color="auto" w:sz="6" w:space="0"/>
            </w:tcBorders>
            <w:noWrap w:val="0"/>
            <w:vAlign w:val="center"/>
          </w:tcPr>
          <w:p w14:paraId="41F9C2F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nil"/>
              <w:left w:val="nil"/>
              <w:bottom w:val="single" w:color="auto" w:sz="6" w:space="0"/>
              <w:right w:val="single" w:color="auto" w:sz="6" w:space="0"/>
            </w:tcBorders>
            <w:noWrap w:val="0"/>
            <w:vAlign w:val="center"/>
          </w:tcPr>
          <w:p w14:paraId="71DF270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nil"/>
              <w:left w:val="nil"/>
              <w:bottom w:val="single" w:color="auto" w:sz="6" w:space="0"/>
              <w:right w:val="single" w:color="auto" w:sz="6" w:space="0"/>
            </w:tcBorders>
            <w:noWrap w:val="0"/>
            <w:vAlign w:val="center"/>
          </w:tcPr>
          <w:p w14:paraId="4661082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nil"/>
              <w:left w:val="nil"/>
              <w:bottom w:val="single" w:color="auto" w:sz="6" w:space="0"/>
              <w:right w:val="single" w:color="auto" w:sz="6" w:space="0"/>
            </w:tcBorders>
            <w:noWrap w:val="0"/>
            <w:vAlign w:val="center"/>
          </w:tcPr>
          <w:p w14:paraId="1523CAED">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6" w:space="0"/>
            </w:tcBorders>
            <w:noWrap w:val="0"/>
            <w:vAlign w:val="center"/>
          </w:tcPr>
          <w:p w14:paraId="2E07F85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nil"/>
              <w:left w:val="nil"/>
              <w:bottom w:val="single" w:color="auto" w:sz="6" w:space="0"/>
              <w:right w:val="single" w:color="auto" w:sz="6" w:space="0"/>
            </w:tcBorders>
            <w:noWrap w:val="0"/>
            <w:vAlign w:val="center"/>
          </w:tcPr>
          <w:p w14:paraId="50C03CF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nil"/>
              <w:left w:val="nil"/>
              <w:bottom w:val="single" w:color="auto" w:sz="6" w:space="0"/>
              <w:right w:val="single" w:color="auto" w:sz="6" w:space="0"/>
            </w:tcBorders>
            <w:noWrap w:val="0"/>
            <w:vAlign w:val="center"/>
          </w:tcPr>
          <w:p w14:paraId="3A3E7548">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nil"/>
              <w:left w:val="nil"/>
              <w:bottom w:val="single" w:color="auto" w:sz="6" w:space="0"/>
              <w:right w:val="single" w:color="auto" w:sz="6" w:space="0"/>
            </w:tcBorders>
            <w:noWrap w:val="0"/>
            <w:vAlign w:val="center"/>
          </w:tcPr>
          <w:p w14:paraId="5032D28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nil"/>
              <w:left w:val="nil"/>
              <w:bottom w:val="single" w:color="auto" w:sz="6" w:space="0"/>
              <w:right w:val="single" w:color="auto" w:sz="6" w:space="0"/>
            </w:tcBorders>
            <w:noWrap w:val="0"/>
            <w:vAlign w:val="center"/>
          </w:tcPr>
          <w:p w14:paraId="344A609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12" w:space="0"/>
            </w:tcBorders>
            <w:noWrap w:val="0"/>
            <w:vAlign w:val="center"/>
          </w:tcPr>
          <w:p w14:paraId="18F052E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4A517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nil"/>
              <w:left w:val="single" w:color="auto" w:sz="12" w:space="0"/>
              <w:bottom w:val="single" w:color="auto" w:sz="6" w:space="0"/>
              <w:right w:val="single" w:color="auto" w:sz="6" w:space="0"/>
            </w:tcBorders>
            <w:noWrap w:val="0"/>
            <w:vAlign w:val="center"/>
          </w:tcPr>
          <w:p w14:paraId="4A3CE57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nil"/>
              <w:left w:val="nil"/>
              <w:bottom w:val="single" w:color="auto" w:sz="6" w:space="0"/>
              <w:right w:val="single" w:color="auto" w:sz="6" w:space="0"/>
            </w:tcBorders>
            <w:noWrap w:val="0"/>
            <w:vAlign w:val="center"/>
          </w:tcPr>
          <w:p w14:paraId="7AD741AF">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nil"/>
              <w:left w:val="nil"/>
              <w:bottom w:val="single" w:color="auto" w:sz="6" w:space="0"/>
              <w:right w:val="single" w:color="auto" w:sz="6" w:space="0"/>
            </w:tcBorders>
            <w:noWrap w:val="0"/>
            <w:vAlign w:val="center"/>
          </w:tcPr>
          <w:p w14:paraId="5B6FD96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nil"/>
              <w:left w:val="nil"/>
              <w:bottom w:val="single" w:color="auto" w:sz="6" w:space="0"/>
              <w:right w:val="single" w:color="auto" w:sz="6" w:space="0"/>
            </w:tcBorders>
            <w:noWrap w:val="0"/>
            <w:vAlign w:val="center"/>
          </w:tcPr>
          <w:p w14:paraId="1A3AC1F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6" w:space="0"/>
            </w:tcBorders>
            <w:noWrap w:val="0"/>
            <w:vAlign w:val="center"/>
          </w:tcPr>
          <w:p w14:paraId="79EAFFDB">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nil"/>
              <w:left w:val="nil"/>
              <w:bottom w:val="single" w:color="auto" w:sz="6" w:space="0"/>
              <w:right w:val="single" w:color="auto" w:sz="6" w:space="0"/>
            </w:tcBorders>
            <w:noWrap w:val="0"/>
            <w:vAlign w:val="center"/>
          </w:tcPr>
          <w:p w14:paraId="0C411F7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nil"/>
              <w:left w:val="nil"/>
              <w:bottom w:val="single" w:color="auto" w:sz="6" w:space="0"/>
              <w:right w:val="single" w:color="auto" w:sz="6" w:space="0"/>
            </w:tcBorders>
            <w:noWrap w:val="0"/>
            <w:vAlign w:val="center"/>
          </w:tcPr>
          <w:p w14:paraId="5ACFB0FE">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nil"/>
              <w:left w:val="nil"/>
              <w:bottom w:val="single" w:color="auto" w:sz="6" w:space="0"/>
              <w:right w:val="single" w:color="auto" w:sz="6" w:space="0"/>
            </w:tcBorders>
            <w:noWrap w:val="0"/>
            <w:vAlign w:val="center"/>
          </w:tcPr>
          <w:p w14:paraId="0CB39A7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nil"/>
              <w:left w:val="nil"/>
              <w:bottom w:val="single" w:color="auto" w:sz="6" w:space="0"/>
              <w:right w:val="single" w:color="auto" w:sz="6" w:space="0"/>
            </w:tcBorders>
            <w:noWrap w:val="0"/>
            <w:vAlign w:val="center"/>
          </w:tcPr>
          <w:p w14:paraId="6C8DAC5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nil"/>
              <w:left w:val="nil"/>
              <w:bottom w:val="single" w:color="auto" w:sz="6" w:space="0"/>
              <w:right w:val="single" w:color="auto" w:sz="12" w:space="0"/>
            </w:tcBorders>
            <w:noWrap w:val="0"/>
            <w:vAlign w:val="center"/>
          </w:tcPr>
          <w:p w14:paraId="0E637D63">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52DD9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2C99EA91">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31FFC4D7">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73AD764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6EA72E2C">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17567AE0">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00C977CC">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6366B17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59B8F636">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72F2136B">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7924CC7E">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r w14:paraId="66F00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65" w:type="dxa"/>
            <w:tcBorders>
              <w:top w:val="single" w:color="auto" w:sz="6" w:space="0"/>
              <w:left w:val="single" w:color="auto" w:sz="12" w:space="0"/>
              <w:bottom w:val="single" w:color="auto" w:sz="6" w:space="0"/>
              <w:right w:val="single" w:color="auto" w:sz="6" w:space="0"/>
            </w:tcBorders>
            <w:noWrap w:val="0"/>
            <w:vAlign w:val="center"/>
          </w:tcPr>
          <w:p w14:paraId="4C228AE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3" w:type="dxa"/>
            <w:tcBorders>
              <w:top w:val="single" w:color="auto" w:sz="6" w:space="0"/>
              <w:left w:val="nil"/>
              <w:bottom w:val="single" w:color="auto" w:sz="6" w:space="0"/>
              <w:right w:val="single" w:color="auto" w:sz="6" w:space="0"/>
            </w:tcBorders>
            <w:noWrap w:val="0"/>
            <w:vAlign w:val="center"/>
          </w:tcPr>
          <w:p w14:paraId="24427C3B">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406" w:type="dxa"/>
            <w:tcBorders>
              <w:top w:val="single" w:color="auto" w:sz="6" w:space="0"/>
              <w:left w:val="nil"/>
              <w:bottom w:val="single" w:color="auto" w:sz="6" w:space="0"/>
              <w:right w:val="single" w:color="auto" w:sz="6" w:space="0"/>
            </w:tcBorders>
            <w:noWrap w:val="0"/>
            <w:vAlign w:val="center"/>
          </w:tcPr>
          <w:p w14:paraId="67D0246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37" w:type="dxa"/>
            <w:tcBorders>
              <w:top w:val="single" w:color="auto" w:sz="6" w:space="0"/>
              <w:left w:val="nil"/>
              <w:bottom w:val="single" w:color="auto" w:sz="6" w:space="0"/>
              <w:right w:val="single" w:color="auto" w:sz="6" w:space="0"/>
            </w:tcBorders>
            <w:noWrap w:val="0"/>
            <w:vAlign w:val="center"/>
          </w:tcPr>
          <w:p w14:paraId="56996F8A">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6" w:space="0"/>
            </w:tcBorders>
            <w:noWrap w:val="0"/>
            <w:vAlign w:val="center"/>
          </w:tcPr>
          <w:p w14:paraId="4BB28762">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764" w:type="dxa"/>
            <w:tcBorders>
              <w:top w:val="single" w:color="auto" w:sz="6" w:space="0"/>
              <w:left w:val="nil"/>
              <w:bottom w:val="single" w:color="auto" w:sz="6" w:space="0"/>
              <w:right w:val="single" w:color="auto" w:sz="6" w:space="0"/>
            </w:tcBorders>
            <w:noWrap w:val="0"/>
            <w:vAlign w:val="center"/>
          </w:tcPr>
          <w:p w14:paraId="5174262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1071" w:type="dxa"/>
            <w:tcBorders>
              <w:top w:val="single" w:color="auto" w:sz="6" w:space="0"/>
              <w:left w:val="nil"/>
              <w:bottom w:val="single" w:color="auto" w:sz="6" w:space="0"/>
              <w:right w:val="single" w:color="auto" w:sz="6" w:space="0"/>
            </w:tcBorders>
            <w:noWrap w:val="0"/>
            <w:vAlign w:val="center"/>
          </w:tcPr>
          <w:p w14:paraId="0E1D9DB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93" w:type="dxa"/>
            <w:tcBorders>
              <w:top w:val="single" w:color="auto" w:sz="6" w:space="0"/>
              <w:left w:val="nil"/>
              <w:bottom w:val="single" w:color="auto" w:sz="6" w:space="0"/>
              <w:right w:val="single" w:color="auto" w:sz="6" w:space="0"/>
            </w:tcBorders>
            <w:noWrap w:val="0"/>
            <w:vAlign w:val="center"/>
          </w:tcPr>
          <w:p w14:paraId="11E84AD9">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4" w:type="dxa"/>
            <w:tcBorders>
              <w:top w:val="single" w:color="auto" w:sz="6" w:space="0"/>
              <w:left w:val="nil"/>
              <w:bottom w:val="single" w:color="auto" w:sz="6" w:space="0"/>
              <w:right w:val="single" w:color="auto" w:sz="6" w:space="0"/>
            </w:tcBorders>
            <w:noWrap w:val="0"/>
            <w:vAlign w:val="center"/>
          </w:tcPr>
          <w:p w14:paraId="3B896B14">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c>
          <w:tcPr>
            <w:tcW w:w="843" w:type="dxa"/>
            <w:tcBorders>
              <w:top w:val="single" w:color="auto" w:sz="6" w:space="0"/>
              <w:left w:val="nil"/>
              <w:bottom w:val="single" w:color="auto" w:sz="6" w:space="0"/>
              <w:right w:val="single" w:color="auto" w:sz="12" w:space="0"/>
            </w:tcBorders>
            <w:noWrap w:val="0"/>
            <w:vAlign w:val="center"/>
          </w:tcPr>
          <w:p w14:paraId="61BD3FF5">
            <w:pPr>
              <w:pStyle w:val="52"/>
              <w:keepNext/>
              <w:widowControl w:val="0"/>
              <w:spacing w:line="440" w:lineRule="exact"/>
              <w:ind w:left="63" w:right="63" w:firstLine="600"/>
              <w:jc w:val="both"/>
              <w:rPr>
                <w:rStyle w:val="86"/>
                <w:rFonts w:hint="eastAsia" w:ascii="宋体" w:hAnsi="宋体" w:eastAsia="宋体" w:cs="宋体"/>
                <w:color w:val="auto"/>
                <w:kern w:val="0"/>
                <w:sz w:val="30"/>
                <w:szCs w:val="30"/>
                <w:highlight w:val="none"/>
                <w:lang w:val="en-US" w:eastAsia="zh-CN" w:bidi="ar-SA"/>
              </w:rPr>
            </w:pPr>
          </w:p>
        </w:tc>
      </w:tr>
    </w:tbl>
    <w:p w14:paraId="094715AA">
      <w:pPr>
        <w:pStyle w:val="45"/>
        <w:spacing w:line="460" w:lineRule="exact"/>
        <w:rPr>
          <w:rStyle w:val="86"/>
          <w:rFonts w:hint="eastAsia" w:ascii="宋体" w:hAnsi="宋体" w:eastAsia="宋体" w:cs="宋体"/>
          <w:color w:val="auto"/>
          <w:highlight w:val="none"/>
        </w:rPr>
      </w:pPr>
      <w:r>
        <w:rPr>
          <w:rStyle w:val="86"/>
          <w:rFonts w:hint="eastAsia" w:ascii="宋体" w:hAnsi="宋体" w:eastAsia="宋体" w:cs="宋体"/>
          <w:color w:val="auto"/>
          <w:sz w:val="24"/>
          <w:szCs w:val="24"/>
          <w:highlight w:val="none"/>
        </w:rPr>
        <w:t xml:space="preserve"> </w:t>
      </w:r>
    </w:p>
    <w:p w14:paraId="11667B40">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6F2E154F">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附件2：</w:t>
      </w:r>
    </w:p>
    <w:p w14:paraId="4B398F8D">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发包人供应材料设备一览表</w:t>
      </w:r>
    </w:p>
    <w:tbl>
      <w:tblPr>
        <w:tblStyle w:val="27"/>
        <w:tblW w:w="97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92"/>
        <w:gridCol w:w="1186"/>
        <w:gridCol w:w="1319"/>
        <w:gridCol w:w="875"/>
        <w:gridCol w:w="792"/>
        <w:gridCol w:w="971"/>
        <w:gridCol w:w="923"/>
        <w:gridCol w:w="792"/>
        <w:gridCol w:w="1167"/>
        <w:gridCol w:w="923"/>
      </w:tblGrid>
      <w:tr w14:paraId="6EF83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jc w:val="center"/>
        </w:trPr>
        <w:tc>
          <w:tcPr>
            <w:tcW w:w="792" w:type="dxa"/>
            <w:tcBorders>
              <w:top w:val="single" w:color="auto" w:sz="12" w:space="0"/>
              <w:left w:val="single" w:color="auto" w:sz="12" w:space="0"/>
              <w:bottom w:val="double" w:color="auto" w:sz="2" w:space="0"/>
              <w:right w:val="single" w:color="auto" w:sz="6" w:space="0"/>
            </w:tcBorders>
            <w:noWrap w:val="0"/>
            <w:vAlign w:val="center"/>
          </w:tcPr>
          <w:p w14:paraId="4B593D8C">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序号</w:t>
            </w:r>
          </w:p>
        </w:tc>
        <w:tc>
          <w:tcPr>
            <w:tcW w:w="1186" w:type="dxa"/>
            <w:tcBorders>
              <w:top w:val="single" w:color="auto" w:sz="12" w:space="0"/>
              <w:left w:val="nil"/>
              <w:bottom w:val="double" w:color="auto" w:sz="2" w:space="0"/>
              <w:right w:val="single" w:color="auto" w:sz="6" w:space="0"/>
            </w:tcBorders>
            <w:noWrap w:val="0"/>
            <w:vAlign w:val="center"/>
          </w:tcPr>
          <w:p w14:paraId="580BD2AE">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材料、设备品种</w:t>
            </w:r>
          </w:p>
        </w:tc>
        <w:tc>
          <w:tcPr>
            <w:tcW w:w="1319" w:type="dxa"/>
            <w:tcBorders>
              <w:top w:val="single" w:color="auto" w:sz="12" w:space="0"/>
              <w:left w:val="nil"/>
              <w:bottom w:val="double" w:color="auto" w:sz="2" w:space="0"/>
              <w:right w:val="single" w:color="auto" w:sz="6" w:space="0"/>
            </w:tcBorders>
            <w:noWrap w:val="0"/>
            <w:vAlign w:val="center"/>
          </w:tcPr>
          <w:p w14:paraId="64860146">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规格型号</w:t>
            </w:r>
          </w:p>
        </w:tc>
        <w:tc>
          <w:tcPr>
            <w:tcW w:w="875" w:type="dxa"/>
            <w:tcBorders>
              <w:top w:val="single" w:color="auto" w:sz="12" w:space="0"/>
              <w:left w:val="nil"/>
              <w:bottom w:val="double" w:color="auto" w:sz="2" w:space="0"/>
              <w:right w:val="single" w:color="auto" w:sz="6" w:space="0"/>
            </w:tcBorders>
            <w:noWrap w:val="0"/>
            <w:vAlign w:val="center"/>
          </w:tcPr>
          <w:p w14:paraId="663894DA">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单位</w:t>
            </w:r>
          </w:p>
        </w:tc>
        <w:tc>
          <w:tcPr>
            <w:tcW w:w="792" w:type="dxa"/>
            <w:tcBorders>
              <w:top w:val="single" w:color="auto" w:sz="12" w:space="0"/>
              <w:left w:val="nil"/>
              <w:bottom w:val="double" w:color="auto" w:sz="2" w:space="0"/>
              <w:right w:val="single" w:color="auto" w:sz="6" w:space="0"/>
            </w:tcBorders>
            <w:noWrap w:val="0"/>
            <w:vAlign w:val="center"/>
          </w:tcPr>
          <w:p w14:paraId="4D675F51">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数量</w:t>
            </w:r>
          </w:p>
        </w:tc>
        <w:tc>
          <w:tcPr>
            <w:tcW w:w="971" w:type="dxa"/>
            <w:tcBorders>
              <w:top w:val="single" w:color="auto" w:sz="12" w:space="0"/>
              <w:left w:val="nil"/>
              <w:bottom w:val="double" w:color="auto" w:sz="2" w:space="0"/>
              <w:right w:val="single" w:color="auto" w:sz="6" w:space="0"/>
            </w:tcBorders>
            <w:noWrap w:val="0"/>
            <w:vAlign w:val="center"/>
          </w:tcPr>
          <w:p w14:paraId="35B83D5F">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单价（元）</w:t>
            </w:r>
          </w:p>
        </w:tc>
        <w:tc>
          <w:tcPr>
            <w:tcW w:w="923" w:type="dxa"/>
            <w:tcBorders>
              <w:top w:val="single" w:color="auto" w:sz="12" w:space="0"/>
              <w:left w:val="nil"/>
              <w:bottom w:val="double" w:color="auto" w:sz="2" w:space="0"/>
              <w:right w:val="single" w:color="auto" w:sz="6" w:space="0"/>
            </w:tcBorders>
            <w:noWrap w:val="0"/>
            <w:vAlign w:val="center"/>
          </w:tcPr>
          <w:p w14:paraId="2F62833C">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质量等级</w:t>
            </w:r>
          </w:p>
        </w:tc>
        <w:tc>
          <w:tcPr>
            <w:tcW w:w="792" w:type="dxa"/>
            <w:tcBorders>
              <w:top w:val="single" w:color="auto" w:sz="12" w:space="0"/>
              <w:left w:val="nil"/>
              <w:bottom w:val="double" w:color="auto" w:sz="2" w:space="0"/>
              <w:right w:val="single" w:color="auto" w:sz="6" w:space="0"/>
            </w:tcBorders>
            <w:noWrap w:val="0"/>
            <w:vAlign w:val="center"/>
          </w:tcPr>
          <w:p w14:paraId="58D94F61">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供应时间</w:t>
            </w:r>
          </w:p>
        </w:tc>
        <w:tc>
          <w:tcPr>
            <w:tcW w:w="1167" w:type="dxa"/>
            <w:tcBorders>
              <w:top w:val="single" w:color="auto" w:sz="12" w:space="0"/>
              <w:left w:val="nil"/>
              <w:bottom w:val="double" w:color="auto" w:sz="2" w:space="0"/>
              <w:right w:val="single" w:color="auto" w:sz="6" w:space="0"/>
            </w:tcBorders>
            <w:noWrap w:val="0"/>
            <w:vAlign w:val="center"/>
          </w:tcPr>
          <w:p w14:paraId="7AF9C91F">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送达地点</w:t>
            </w:r>
          </w:p>
        </w:tc>
        <w:tc>
          <w:tcPr>
            <w:tcW w:w="923" w:type="dxa"/>
            <w:tcBorders>
              <w:top w:val="single" w:color="auto" w:sz="12" w:space="0"/>
              <w:left w:val="nil"/>
              <w:bottom w:val="double" w:color="auto" w:sz="2" w:space="0"/>
              <w:right w:val="single" w:color="auto" w:sz="12" w:space="0"/>
            </w:tcBorders>
            <w:noWrap w:val="0"/>
            <w:vAlign w:val="center"/>
          </w:tcPr>
          <w:p w14:paraId="290C0761">
            <w:pPr>
              <w:pStyle w:val="52"/>
              <w:keepNext/>
              <w:widowControl w:val="0"/>
              <w:spacing w:line="460" w:lineRule="exact"/>
              <w:ind w:right="63"/>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备注</w:t>
            </w:r>
          </w:p>
        </w:tc>
      </w:tr>
      <w:tr w14:paraId="67A9C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double" w:color="auto" w:sz="2" w:space="0"/>
              <w:left w:val="single" w:color="auto" w:sz="12" w:space="0"/>
              <w:bottom w:val="single" w:color="auto" w:sz="6" w:space="0"/>
              <w:right w:val="single" w:color="auto" w:sz="6" w:space="0"/>
            </w:tcBorders>
            <w:noWrap w:val="0"/>
            <w:vAlign w:val="center"/>
          </w:tcPr>
          <w:p w14:paraId="6A72035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double" w:color="auto" w:sz="2" w:space="0"/>
              <w:left w:val="nil"/>
              <w:bottom w:val="single" w:color="auto" w:sz="6" w:space="0"/>
              <w:right w:val="single" w:color="auto" w:sz="6" w:space="0"/>
            </w:tcBorders>
            <w:noWrap w:val="0"/>
            <w:vAlign w:val="center"/>
          </w:tcPr>
          <w:p w14:paraId="02B7751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double" w:color="auto" w:sz="2" w:space="0"/>
              <w:left w:val="nil"/>
              <w:bottom w:val="single" w:color="auto" w:sz="6" w:space="0"/>
              <w:right w:val="single" w:color="auto" w:sz="6" w:space="0"/>
            </w:tcBorders>
            <w:noWrap w:val="0"/>
            <w:vAlign w:val="center"/>
          </w:tcPr>
          <w:p w14:paraId="48B3073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double" w:color="auto" w:sz="2" w:space="0"/>
              <w:left w:val="nil"/>
              <w:bottom w:val="single" w:color="auto" w:sz="6" w:space="0"/>
              <w:right w:val="single" w:color="auto" w:sz="6" w:space="0"/>
            </w:tcBorders>
            <w:noWrap w:val="0"/>
            <w:vAlign w:val="center"/>
          </w:tcPr>
          <w:p w14:paraId="23DA5A2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double" w:color="auto" w:sz="2" w:space="0"/>
              <w:left w:val="nil"/>
              <w:bottom w:val="single" w:color="auto" w:sz="6" w:space="0"/>
              <w:right w:val="single" w:color="auto" w:sz="6" w:space="0"/>
            </w:tcBorders>
            <w:noWrap w:val="0"/>
            <w:vAlign w:val="center"/>
          </w:tcPr>
          <w:p w14:paraId="1516268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double" w:color="auto" w:sz="2" w:space="0"/>
              <w:left w:val="nil"/>
              <w:bottom w:val="single" w:color="auto" w:sz="6" w:space="0"/>
              <w:right w:val="single" w:color="auto" w:sz="6" w:space="0"/>
            </w:tcBorders>
            <w:noWrap w:val="0"/>
            <w:vAlign w:val="center"/>
          </w:tcPr>
          <w:p w14:paraId="58162BF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double" w:color="auto" w:sz="2" w:space="0"/>
              <w:left w:val="nil"/>
              <w:bottom w:val="single" w:color="auto" w:sz="6" w:space="0"/>
              <w:right w:val="single" w:color="auto" w:sz="6" w:space="0"/>
            </w:tcBorders>
            <w:noWrap w:val="0"/>
            <w:vAlign w:val="center"/>
          </w:tcPr>
          <w:p w14:paraId="2469CC2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double" w:color="auto" w:sz="2" w:space="0"/>
              <w:left w:val="nil"/>
              <w:bottom w:val="single" w:color="auto" w:sz="6" w:space="0"/>
              <w:right w:val="single" w:color="auto" w:sz="6" w:space="0"/>
            </w:tcBorders>
            <w:noWrap w:val="0"/>
            <w:vAlign w:val="center"/>
          </w:tcPr>
          <w:p w14:paraId="3C4D00E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double" w:color="auto" w:sz="2" w:space="0"/>
              <w:left w:val="nil"/>
              <w:bottom w:val="single" w:color="auto" w:sz="6" w:space="0"/>
              <w:right w:val="single" w:color="auto" w:sz="6" w:space="0"/>
            </w:tcBorders>
            <w:noWrap w:val="0"/>
            <w:vAlign w:val="center"/>
          </w:tcPr>
          <w:p w14:paraId="54B870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double" w:color="auto" w:sz="2" w:space="0"/>
              <w:left w:val="nil"/>
              <w:bottom w:val="single" w:color="auto" w:sz="6" w:space="0"/>
              <w:right w:val="single" w:color="auto" w:sz="12" w:space="0"/>
            </w:tcBorders>
            <w:noWrap w:val="0"/>
            <w:vAlign w:val="center"/>
          </w:tcPr>
          <w:p w14:paraId="147F4D2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8F58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nil"/>
              <w:left w:val="single" w:color="auto" w:sz="12" w:space="0"/>
              <w:bottom w:val="single" w:color="auto" w:sz="6" w:space="0"/>
              <w:right w:val="single" w:color="auto" w:sz="6" w:space="0"/>
            </w:tcBorders>
            <w:noWrap w:val="0"/>
            <w:vAlign w:val="center"/>
          </w:tcPr>
          <w:p w14:paraId="1707F3B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nil"/>
              <w:left w:val="nil"/>
              <w:bottom w:val="single" w:color="auto" w:sz="6" w:space="0"/>
              <w:right w:val="single" w:color="auto" w:sz="6" w:space="0"/>
            </w:tcBorders>
            <w:noWrap w:val="0"/>
            <w:vAlign w:val="center"/>
          </w:tcPr>
          <w:p w14:paraId="12F929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nil"/>
              <w:left w:val="nil"/>
              <w:bottom w:val="single" w:color="auto" w:sz="6" w:space="0"/>
              <w:right w:val="single" w:color="auto" w:sz="6" w:space="0"/>
            </w:tcBorders>
            <w:noWrap w:val="0"/>
            <w:vAlign w:val="center"/>
          </w:tcPr>
          <w:p w14:paraId="1D6B6DC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nil"/>
              <w:left w:val="nil"/>
              <w:bottom w:val="single" w:color="auto" w:sz="6" w:space="0"/>
              <w:right w:val="single" w:color="auto" w:sz="6" w:space="0"/>
            </w:tcBorders>
            <w:noWrap w:val="0"/>
            <w:vAlign w:val="center"/>
          </w:tcPr>
          <w:p w14:paraId="0DA4F1F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nil"/>
              <w:left w:val="nil"/>
              <w:bottom w:val="single" w:color="auto" w:sz="6" w:space="0"/>
              <w:right w:val="single" w:color="auto" w:sz="6" w:space="0"/>
            </w:tcBorders>
            <w:noWrap w:val="0"/>
            <w:vAlign w:val="center"/>
          </w:tcPr>
          <w:p w14:paraId="32CF32B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nil"/>
              <w:left w:val="nil"/>
              <w:bottom w:val="single" w:color="auto" w:sz="6" w:space="0"/>
              <w:right w:val="single" w:color="auto" w:sz="6" w:space="0"/>
            </w:tcBorders>
            <w:noWrap w:val="0"/>
            <w:vAlign w:val="center"/>
          </w:tcPr>
          <w:p w14:paraId="3774DDD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nil"/>
              <w:left w:val="nil"/>
              <w:bottom w:val="single" w:color="auto" w:sz="6" w:space="0"/>
              <w:right w:val="single" w:color="auto" w:sz="6" w:space="0"/>
            </w:tcBorders>
            <w:noWrap w:val="0"/>
            <w:vAlign w:val="center"/>
          </w:tcPr>
          <w:p w14:paraId="00BE47F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nil"/>
              <w:left w:val="nil"/>
              <w:bottom w:val="single" w:color="auto" w:sz="6" w:space="0"/>
              <w:right w:val="single" w:color="auto" w:sz="6" w:space="0"/>
            </w:tcBorders>
            <w:noWrap w:val="0"/>
            <w:vAlign w:val="center"/>
          </w:tcPr>
          <w:p w14:paraId="62D24BB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nil"/>
              <w:left w:val="nil"/>
              <w:bottom w:val="single" w:color="auto" w:sz="6" w:space="0"/>
              <w:right w:val="single" w:color="auto" w:sz="6" w:space="0"/>
            </w:tcBorders>
            <w:noWrap w:val="0"/>
            <w:vAlign w:val="center"/>
          </w:tcPr>
          <w:p w14:paraId="4DC1907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nil"/>
              <w:left w:val="nil"/>
              <w:bottom w:val="single" w:color="auto" w:sz="6" w:space="0"/>
              <w:right w:val="single" w:color="auto" w:sz="12" w:space="0"/>
            </w:tcBorders>
            <w:noWrap w:val="0"/>
            <w:vAlign w:val="center"/>
          </w:tcPr>
          <w:p w14:paraId="01F517D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B394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6F7ED5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2C3F6E8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095156F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04EF0F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195B511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589169D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6DECE0E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3BADF9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0305BF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031EF9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67D8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661FF39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4C54D4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24B239C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3AD5625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35D1DAC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42B5FBA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53276F5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500E398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6F7838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23F9DE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D202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1DC6E02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4E5A7E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71D9C4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34BDE4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5C9B92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2A5F45C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51A2011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2CA29D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5CDC4F2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3CC43CB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F869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4F94C7D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0A674CF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65A9A8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41EAAB9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24D91C7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69068C8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540FE24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108516E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212D191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16C0ED2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08A1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70B6A26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4A6DCE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3454E77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2CEB992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4F0C3D9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1B4D61C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5655E6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2F7192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2D7059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5ED8FE2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718A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74F062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7495DD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058811E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535FD1E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50FE4CB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39B63A2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04957DC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EE363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58C024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1DC54A8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ABAB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1AA0FDBD">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5CD9766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1BB2209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3DD2019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4C0271DD">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32779DE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110975B0">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5D101A15">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36D6A1C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4576BE39">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25C85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1B68033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20EC4D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719092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40186C9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619D60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4BB4F56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5C66058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791A518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168881B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6165EAC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02FC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1A041802">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422F3DEF">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0E9D834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3F271F42">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7B8CEF0E">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010BE812">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04112F4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4D72A415">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62AE22B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27F288E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19275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7E9BD45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0226344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0871C0A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0077F69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782D211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0CDBC0F2">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24103C8F">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46139860">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4AD7B4CF">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27AFAD17">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64AC2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66C8E58E">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5EEE6A35">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5BF9E79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3C04030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645C58A">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090DF95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1CD1D3AA">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3298D8A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078C7C67">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03B67A9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11827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2F118FAA">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3A91345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748D9B2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46742FF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1374D27D">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4F7CF79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672E187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8F27EC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575F196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2632C75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606C7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474F985F">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1535B89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4D404D7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7824A727">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3377D9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2D116E7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49E71B3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71DABAB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4B3E609F">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33CD8FF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6526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6" w:space="0"/>
              <w:right w:val="single" w:color="auto" w:sz="6" w:space="0"/>
            </w:tcBorders>
            <w:noWrap w:val="0"/>
            <w:vAlign w:val="center"/>
          </w:tcPr>
          <w:p w14:paraId="5D49E5FE">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6" w:space="0"/>
              <w:right w:val="single" w:color="auto" w:sz="6" w:space="0"/>
            </w:tcBorders>
            <w:noWrap w:val="0"/>
            <w:vAlign w:val="center"/>
          </w:tcPr>
          <w:p w14:paraId="7E3774E5">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6" w:space="0"/>
              <w:right w:val="single" w:color="auto" w:sz="6" w:space="0"/>
            </w:tcBorders>
            <w:noWrap w:val="0"/>
            <w:vAlign w:val="center"/>
          </w:tcPr>
          <w:p w14:paraId="18D69FC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6" w:space="0"/>
              <w:right w:val="single" w:color="auto" w:sz="6" w:space="0"/>
            </w:tcBorders>
            <w:noWrap w:val="0"/>
            <w:vAlign w:val="center"/>
          </w:tcPr>
          <w:p w14:paraId="165465A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0A014923">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6" w:space="0"/>
              <w:right w:val="single" w:color="auto" w:sz="6" w:space="0"/>
            </w:tcBorders>
            <w:noWrap w:val="0"/>
            <w:vAlign w:val="center"/>
          </w:tcPr>
          <w:p w14:paraId="5BF0236D">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6" w:space="0"/>
            </w:tcBorders>
            <w:noWrap w:val="0"/>
            <w:vAlign w:val="center"/>
          </w:tcPr>
          <w:p w14:paraId="066E1D5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6" w:space="0"/>
              <w:right w:val="single" w:color="auto" w:sz="6" w:space="0"/>
            </w:tcBorders>
            <w:noWrap w:val="0"/>
            <w:vAlign w:val="center"/>
          </w:tcPr>
          <w:p w14:paraId="4A9D3D0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6" w:space="0"/>
              <w:right w:val="single" w:color="auto" w:sz="6" w:space="0"/>
            </w:tcBorders>
            <w:noWrap w:val="0"/>
            <w:vAlign w:val="center"/>
          </w:tcPr>
          <w:p w14:paraId="369F9E62">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6" w:space="0"/>
              <w:right w:val="single" w:color="auto" w:sz="12" w:space="0"/>
            </w:tcBorders>
            <w:noWrap w:val="0"/>
            <w:vAlign w:val="center"/>
          </w:tcPr>
          <w:p w14:paraId="4A569750">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r w14:paraId="3BF80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92" w:type="dxa"/>
            <w:tcBorders>
              <w:top w:val="single" w:color="auto" w:sz="6" w:space="0"/>
              <w:left w:val="single" w:color="auto" w:sz="12" w:space="0"/>
              <w:bottom w:val="single" w:color="auto" w:sz="12" w:space="0"/>
              <w:right w:val="single" w:color="auto" w:sz="6" w:space="0"/>
            </w:tcBorders>
            <w:noWrap w:val="0"/>
            <w:vAlign w:val="center"/>
          </w:tcPr>
          <w:p w14:paraId="320F733A">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86" w:type="dxa"/>
            <w:tcBorders>
              <w:top w:val="single" w:color="auto" w:sz="6" w:space="0"/>
              <w:left w:val="nil"/>
              <w:bottom w:val="single" w:color="auto" w:sz="12" w:space="0"/>
              <w:right w:val="single" w:color="auto" w:sz="6" w:space="0"/>
            </w:tcBorders>
            <w:noWrap w:val="0"/>
            <w:vAlign w:val="center"/>
          </w:tcPr>
          <w:p w14:paraId="7F4FAF3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319" w:type="dxa"/>
            <w:tcBorders>
              <w:top w:val="single" w:color="auto" w:sz="6" w:space="0"/>
              <w:left w:val="nil"/>
              <w:bottom w:val="single" w:color="auto" w:sz="12" w:space="0"/>
              <w:right w:val="single" w:color="auto" w:sz="6" w:space="0"/>
            </w:tcBorders>
            <w:noWrap w:val="0"/>
            <w:vAlign w:val="center"/>
          </w:tcPr>
          <w:p w14:paraId="21E4994D">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875" w:type="dxa"/>
            <w:tcBorders>
              <w:top w:val="single" w:color="auto" w:sz="6" w:space="0"/>
              <w:left w:val="nil"/>
              <w:bottom w:val="single" w:color="auto" w:sz="12" w:space="0"/>
              <w:right w:val="single" w:color="auto" w:sz="6" w:space="0"/>
            </w:tcBorders>
            <w:noWrap w:val="0"/>
            <w:vAlign w:val="center"/>
          </w:tcPr>
          <w:p w14:paraId="64551E14">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12" w:space="0"/>
              <w:right w:val="single" w:color="auto" w:sz="6" w:space="0"/>
            </w:tcBorders>
            <w:noWrap w:val="0"/>
            <w:vAlign w:val="center"/>
          </w:tcPr>
          <w:p w14:paraId="422230D6">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71" w:type="dxa"/>
            <w:tcBorders>
              <w:top w:val="single" w:color="auto" w:sz="6" w:space="0"/>
              <w:left w:val="nil"/>
              <w:bottom w:val="single" w:color="auto" w:sz="12" w:space="0"/>
              <w:right w:val="single" w:color="auto" w:sz="6" w:space="0"/>
            </w:tcBorders>
            <w:noWrap w:val="0"/>
            <w:vAlign w:val="center"/>
          </w:tcPr>
          <w:p w14:paraId="03485339">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12" w:space="0"/>
              <w:right w:val="single" w:color="auto" w:sz="6" w:space="0"/>
            </w:tcBorders>
            <w:noWrap w:val="0"/>
            <w:vAlign w:val="center"/>
          </w:tcPr>
          <w:p w14:paraId="3B2FE351">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792" w:type="dxa"/>
            <w:tcBorders>
              <w:top w:val="single" w:color="auto" w:sz="6" w:space="0"/>
              <w:left w:val="nil"/>
              <w:bottom w:val="single" w:color="auto" w:sz="12" w:space="0"/>
              <w:right w:val="single" w:color="auto" w:sz="6" w:space="0"/>
            </w:tcBorders>
            <w:noWrap w:val="0"/>
            <w:vAlign w:val="center"/>
          </w:tcPr>
          <w:p w14:paraId="2E9F9AE8">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1167" w:type="dxa"/>
            <w:tcBorders>
              <w:top w:val="single" w:color="auto" w:sz="6" w:space="0"/>
              <w:left w:val="nil"/>
              <w:bottom w:val="single" w:color="auto" w:sz="12" w:space="0"/>
              <w:right w:val="single" w:color="auto" w:sz="6" w:space="0"/>
            </w:tcBorders>
            <w:noWrap w:val="0"/>
            <w:vAlign w:val="center"/>
          </w:tcPr>
          <w:p w14:paraId="78FAB77C">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c>
          <w:tcPr>
            <w:tcW w:w="923" w:type="dxa"/>
            <w:tcBorders>
              <w:top w:val="single" w:color="auto" w:sz="6" w:space="0"/>
              <w:left w:val="nil"/>
              <w:bottom w:val="single" w:color="auto" w:sz="12" w:space="0"/>
              <w:right w:val="single" w:color="auto" w:sz="12" w:space="0"/>
            </w:tcBorders>
            <w:noWrap w:val="0"/>
            <w:vAlign w:val="center"/>
          </w:tcPr>
          <w:p w14:paraId="32A5BC7B">
            <w:pPr>
              <w:pStyle w:val="45"/>
              <w:widowControl w:val="0"/>
              <w:spacing w:line="460" w:lineRule="exact"/>
              <w:jc w:val="center"/>
              <w:rPr>
                <w:rStyle w:val="86"/>
                <w:rFonts w:hint="eastAsia" w:ascii="宋体" w:hAnsi="宋体" w:eastAsia="宋体" w:cs="宋体"/>
                <w:color w:val="auto"/>
                <w:kern w:val="2"/>
                <w:sz w:val="24"/>
                <w:szCs w:val="24"/>
                <w:highlight w:val="none"/>
                <w:lang w:val="en-US" w:eastAsia="zh-CN" w:bidi="ar-SA"/>
              </w:rPr>
            </w:pPr>
          </w:p>
        </w:tc>
      </w:tr>
    </w:tbl>
    <w:p w14:paraId="3C4AEEE0">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w:t>
      </w:r>
      <w:bookmarkStart w:id="442" w:name="_Toc296944565"/>
      <w:bookmarkEnd w:id="442"/>
      <w:bookmarkStart w:id="443" w:name="_Toc296891266"/>
      <w:bookmarkEnd w:id="443"/>
      <w:bookmarkStart w:id="444" w:name="_Toc296347225"/>
      <w:bookmarkEnd w:id="444"/>
      <w:bookmarkStart w:id="445" w:name="_Toc296891054"/>
      <w:bookmarkEnd w:id="445"/>
      <w:bookmarkStart w:id="446" w:name="_Toc267261693"/>
      <w:bookmarkEnd w:id="446"/>
      <w:bookmarkStart w:id="447" w:name="_Toc296346727"/>
      <w:bookmarkEnd w:id="447"/>
      <w:bookmarkStart w:id="448" w:name="_Toc296503226"/>
      <w:r>
        <w:rPr>
          <w:rStyle w:val="86"/>
          <w:rFonts w:hint="eastAsia" w:ascii="宋体" w:hAnsi="宋体" w:eastAsia="宋体" w:cs="宋体"/>
          <w:color w:val="auto"/>
          <w:sz w:val="24"/>
          <w:szCs w:val="24"/>
          <w:highlight w:val="none"/>
        </w:rPr>
        <w:t>件3：</w:t>
      </w:r>
      <w:bookmarkEnd w:id="448"/>
      <w:r>
        <w:rPr>
          <w:rStyle w:val="86"/>
          <w:rFonts w:hint="eastAsia" w:ascii="宋体" w:hAnsi="宋体" w:eastAsia="宋体" w:cs="宋体"/>
          <w:color w:val="auto"/>
          <w:sz w:val="24"/>
          <w:szCs w:val="24"/>
          <w:highlight w:val="none"/>
        </w:rPr>
        <w:t xml:space="preserve">    </w:t>
      </w:r>
    </w:p>
    <w:p w14:paraId="5B26389D">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工程质量保修书</w:t>
      </w:r>
    </w:p>
    <w:p w14:paraId="69B5C05C">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05D77DC5">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发包人（全称）：</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 </w:t>
      </w:r>
    </w:p>
    <w:p w14:paraId="00D923CD">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承包人（全称）：</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 </w:t>
      </w:r>
    </w:p>
    <w:p w14:paraId="0C70AC6D">
      <w:pPr>
        <w:pStyle w:val="45"/>
        <w:spacing w:line="32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59B5185D">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发包人和承包人根据《中华人民共和国建筑法》和《建设工程质量管理条例》，经协商一致就</w:t>
      </w:r>
      <w:r>
        <w:rPr>
          <w:rStyle w:val="86"/>
          <w:rFonts w:hint="eastAsia" w:ascii="宋体" w:hAnsi="宋体" w:eastAsia="宋体" w:cs="宋体"/>
          <w:bCs/>
          <w:color w:val="auto"/>
          <w:sz w:val="24"/>
          <w:szCs w:val="24"/>
          <w:highlight w:val="none"/>
          <w:u w:val="single"/>
          <w:lang w:val="en-US" w:eastAsia="zh-CN"/>
        </w:rPr>
        <w:t xml:space="preserve">  </w:t>
      </w:r>
      <w:r>
        <w:rPr>
          <w:rStyle w:val="86"/>
          <w:rFonts w:hint="eastAsia" w:ascii="宋体" w:hAnsi="宋体" w:eastAsia="宋体" w:cs="宋体"/>
          <w:color w:val="auto"/>
          <w:sz w:val="24"/>
          <w:szCs w:val="24"/>
          <w:highlight w:val="none"/>
        </w:rPr>
        <w:t>（工程全称）签订工程质量保修书。</w:t>
      </w:r>
    </w:p>
    <w:p w14:paraId="43160CBB">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一、工程质量保修范围和内容</w:t>
      </w:r>
    </w:p>
    <w:p w14:paraId="43C7D4B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承包人在质量保修期内，按照有关法律规定和合同约定，承担工程质量保修责任。</w:t>
      </w:r>
    </w:p>
    <w:p w14:paraId="453F7DC9">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F8192E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本项目具体保修内容为：</w:t>
      </w:r>
      <w:r>
        <w:rPr>
          <w:rStyle w:val="86"/>
          <w:rFonts w:hint="eastAsia" w:ascii="宋体" w:hAnsi="宋体" w:eastAsia="宋体" w:cs="宋体"/>
          <w:color w:val="auto"/>
          <w:sz w:val="24"/>
          <w:szCs w:val="24"/>
          <w:highlight w:val="none"/>
          <w:u w:val="single"/>
        </w:rPr>
        <w:t>地基基础工程、主体结构工程，屋面防水工程、有防水要求的卫生间、房间和外墙面的防渗漏，供热与供冷系统，电气管线、给排水管道、设备安装、装修工程以及绿化、亮化、道路维修等附属工程</w:t>
      </w:r>
      <w:r>
        <w:rPr>
          <w:rStyle w:val="86"/>
          <w:rFonts w:hint="eastAsia" w:ascii="宋体" w:hAnsi="宋体" w:eastAsia="宋体" w:cs="宋体"/>
          <w:color w:val="auto"/>
          <w:sz w:val="24"/>
          <w:szCs w:val="24"/>
          <w:highlight w:val="none"/>
        </w:rPr>
        <w:t>。</w:t>
      </w:r>
    </w:p>
    <w:p w14:paraId="7D1D5E2F">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二、质量保修期</w:t>
      </w:r>
    </w:p>
    <w:p w14:paraId="10303F36">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根据《建设工程质量管理条例》及有关规定，工程的质量保修期如下：</w:t>
      </w:r>
    </w:p>
    <w:p w14:paraId="4BBB4B6F">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1.地基基础工程和主体结构工程为设计文件规定的工程合理使用年限；</w:t>
      </w:r>
    </w:p>
    <w:p w14:paraId="14C17E9F">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2.屋面防水工程、有防水要求的卫生间、房间和外墙面的防渗漏，为</w:t>
      </w:r>
      <w:r>
        <w:rPr>
          <w:rStyle w:val="86"/>
          <w:rFonts w:hint="eastAsia" w:ascii="宋体" w:hAnsi="宋体" w:eastAsia="宋体" w:cs="宋体"/>
          <w:color w:val="auto"/>
          <w:sz w:val="24"/>
          <w:szCs w:val="24"/>
          <w:highlight w:val="none"/>
          <w:u w:val="single"/>
        </w:rPr>
        <w:t xml:space="preserve"> 5 </w:t>
      </w:r>
      <w:r>
        <w:rPr>
          <w:rStyle w:val="86"/>
          <w:rFonts w:hint="eastAsia" w:ascii="宋体" w:hAnsi="宋体" w:eastAsia="宋体" w:cs="宋体"/>
          <w:color w:val="auto"/>
          <w:sz w:val="24"/>
          <w:szCs w:val="24"/>
          <w:highlight w:val="none"/>
        </w:rPr>
        <w:t>年；</w:t>
      </w:r>
    </w:p>
    <w:p w14:paraId="0FECB500">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3.装修工程为</w:t>
      </w:r>
      <w:r>
        <w:rPr>
          <w:rStyle w:val="86"/>
          <w:rFonts w:hint="eastAsia" w:ascii="宋体" w:hAnsi="宋体" w:eastAsia="宋体" w:cs="宋体"/>
          <w:color w:val="auto"/>
          <w:sz w:val="24"/>
          <w:szCs w:val="24"/>
          <w:highlight w:val="none"/>
          <w:u w:val="single"/>
        </w:rPr>
        <w:t xml:space="preserve"> 2 </w:t>
      </w:r>
      <w:r>
        <w:rPr>
          <w:rStyle w:val="86"/>
          <w:rFonts w:hint="eastAsia" w:ascii="宋体" w:hAnsi="宋体" w:eastAsia="宋体" w:cs="宋体"/>
          <w:color w:val="auto"/>
          <w:sz w:val="24"/>
          <w:szCs w:val="24"/>
          <w:highlight w:val="none"/>
        </w:rPr>
        <w:t>年；</w:t>
      </w:r>
    </w:p>
    <w:p w14:paraId="2B5F8CEE">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4.电气管线、给排水管道、设备安装工程为</w:t>
      </w:r>
      <w:r>
        <w:rPr>
          <w:rStyle w:val="86"/>
          <w:rFonts w:hint="eastAsia" w:ascii="宋体" w:hAnsi="宋体" w:eastAsia="宋体" w:cs="宋体"/>
          <w:color w:val="auto"/>
          <w:sz w:val="24"/>
          <w:szCs w:val="24"/>
          <w:highlight w:val="none"/>
          <w:u w:val="single"/>
        </w:rPr>
        <w:t xml:space="preserve"> 2 </w:t>
      </w:r>
      <w:r>
        <w:rPr>
          <w:rStyle w:val="86"/>
          <w:rFonts w:hint="eastAsia" w:ascii="宋体" w:hAnsi="宋体" w:eastAsia="宋体" w:cs="宋体"/>
          <w:color w:val="auto"/>
          <w:sz w:val="24"/>
          <w:szCs w:val="24"/>
          <w:highlight w:val="none"/>
        </w:rPr>
        <w:t>年；</w:t>
      </w:r>
    </w:p>
    <w:p w14:paraId="4B38069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5.供热与供冷系统为</w:t>
      </w:r>
      <w:r>
        <w:rPr>
          <w:rStyle w:val="86"/>
          <w:rFonts w:hint="eastAsia" w:ascii="宋体" w:hAnsi="宋体" w:eastAsia="宋体" w:cs="宋体"/>
          <w:color w:val="auto"/>
          <w:sz w:val="24"/>
          <w:szCs w:val="24"/>
          <w:highlight w:val="none"/>
          <w:u w:val="single"/>
        </w:rPr>
        <w:t xml:space="preserve"> 2 </w:t>
      </w:r>
      <w:r>
        <w:rPr>
          <w:rStyle w:val="86"/>
          <w:rFonts w:hint="eastAsia" w:ascii="宋体" w:hAnsi="宋体" w:eastAsia="宋体" w:cs="宋体"/>
          <w:color w:val="auto"/>
          <w:sz w:val="24"/>
          <w:szCs w:val="24"/>
          <w:highlight w:val="none"/>
        </w:rPr>
        <w:t>个采暖期、供冷期；</w:t>
      </w:r>
    </w:p>
    <w:p w14:paraId="54611977">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6.室外等其它工程为</w:t>
      </w:r>
      <w:r>
        <w:rPr>
          <w:rStyle w:val="86"/>
          <w:rFonts w:hint="eastAsia" w:ascii="宋体" w:hAnsi="宋体" w:eastAsia="宋体" w:cs="宋体"/>
          <w:color w:val="auto"/>
          <w:sz w:val="24"/>
          <w:szCs w:val="24"/>
          <w:highlight w:val="none"/>
          <w:u w:val="single"/>
        </w:rPr>
        <w:t xml:space="preserve"> 2 </w:t>
      </w:r>
      <w:r>
        <w:rPr>
          <w:rStyle w:val="86"/>
          <w:rFonts w:hint="eastAsia" w:ascii="宋体" w:hAnsi="宋体" w:eastAsia="宋体" w:cs="宋体"/>
          <w:color w:val="auto"/>
          <w:sz w:val="24"/>
          <w:szCs w:val="24"/>
          <w:highlight w:val="none"/>
        </w:rPr>
        <w:t>年；</w:t>
      </w:r>
    </w:p>
    <w:p w14:paraId="6110128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7.其他项目保修期限约定如下：</w:t>
      </w:r>
      <w:r>
        <w:rPr>
          <w:rStyle w:val="86"/>
          <w:rFonts w:hint="eastAsia" w:ascii="宋体" w:hAnsi="宋体" w:eastAsia="宋体" w:cs="宋体"/>
          <w:color w:val="auto"/>
          <w:sz w:val="24"/>
          <w:szCs w:val="24"/>
          <w:highlight w:val="none"/>
          <w:u w:val="single"/>
        </w:rPr>
        <w:t xml:space="preserve"> 绿化树木2年 </w:t>
      </w:r>
      <w:r>
        <w:rPr>
          <w:rStyle w:val="86"/>
          <w:rFonts w:hint="eastAsia" w:ascii="宋体" w:hAnsi="宋体" w:eastAsia="宋体" w:cs="宋体"/>
          <w:color w:val="auto"/>
          <w:sz w:val="24"/>
          <w:szCs w:val="24"/>
          <w:highlight w:val="none"/>
        </w:rPr>
        <w:t>。</w:t>
      </w:r>
    </w:p>
    <w:p w14:paraId="3F64FC2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质量保修期自工程竣工验收合格之日起计算。</w:t>
      </w:r>
    </w:p>
    <w:p w14:paraId="60193C4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三、缺陷责任期</w:t>
      </w:r>
    </w:p>
    <w:p w14:paraId="22B4F80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工程缺陷责任期为</w:t>
      </w:r>
      <w:r>
        <w:rPr>
          <w:rStyle w:val="86"/>
          <w:rFonts w:hint="eastAsia" w:ascii="宋体" w:hAnsi="宋体" w:eastAsia="宋体" w:cs="宋体"/>
          <w:color w:val="auto"/>
          <w:sz w:val="24"/>
          <w:szCs w:val="24"/>
          <w:highlight w:val="none"/>
          <w:u w:val="single"/>
        </w:rPr>
        <w:t xml:space="preserve"> 24 </w:t>
      </w:r>
      <w:r>
        <w:rPr>
          <w:rStyle w:val="86"/>
          <w:rFonts w:hint="eastAsia" w:ascii="宋体" w:hAnsi="宋体" w:eastAsia="宋体" w:cs="宋体"/>
          <w:color w:val="auto"/>
          <w:sz w:val="24"/>
          <w:szCs w:val="24"/>
          <w:highlight w:val="none"/>
        </w:rPr>
        <w:t>个月，缺陷责任期自工程竣工验收合格之日起计算。单位工程先于全部工程进行验收，单位工程缺陷责任期自单位工程验收合格之日起算。</w:t>
      </w:r>
    </w:p>
    <w:p w14:paraId="7DF4348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缺陷责任期终止后，发包人应退还剩余的质量保证金。</w:t>
      </w:r>
    </w:p>
    <w:p w14:paraId="289EF7F8">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四、质量保修责任</w:t>
      </w:r>
    </w:p>
    <w:p w14:paraId="640226B7">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1.属于保修范围、内容的项目，承包人应当在接到保修通知之日起48小时内派人保修。承包人不在约定期限内派人保修的，发包人可以委托他人修理。</w:t>
      </w:r>
    </w:p>
    <w:p w14:paraId="6D157D5D">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2.发生紧急事故需抢修的，承包人在接到事故通知后，应当立即到达事故现场抢修。</w:t>
      </w:r>
    </w:p>
    <w:p w14:paraId="20AACAF1">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162C608">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4.质量保修完成后，由发包人组织验收。</w:t>
      </w:r>
    </w:p>
    <w:p w14:paraId="7F671A87">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五、保修费用</w:t>
      </w:r>
    </w:p>
    <w:p w14:paraId="02C7AB8E">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保修费用由造成质量缺陷的责任方承担。</w:t>
      </w:r>
    </w:p>
    <w:p w14:paraId="512237CD">
      <w:pPr>
        <w:pStyle w:val="45"/>
        <w:spacing w:line="460" w:lineRule="exact"/>
        <w:ind w:firstLine="482"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b/>
          <w:color w:val="auto"/>
          <w:sz w:val="24"/>
          <w:szCs w:val="24"/>
          <w:highlight w:val="none"/>
        </w:rPr>
        <w:t>六</w:t>
      </w:r>
      <w:r>
        <w:rPr>
          <w:rStyle w:val="86"/>
          <w:rFonts w:hint="eastAsia" w:ascii="宋体" w:hAnsi="宋体" w:eastAsia="宋体" w:cs="宋体"/>
          <w:color w:val="auto"/>
          <w:sz w:val="24"/>
          <w:szCs w:val="24"/>
          <w:highlight w:val="none"/>
        </w:rPr>
        <w:t>、双方约定的其他工程质量保修事项：</w:t>
      </w:r>
      <w:r>
        <w:rPr>
          <w:rStyle w:val="86"/>
          <w:rFonts w:hint="eastAsia" w:ascii="宋体" w:hAnsi="宋体" w:eastAsia="宋体" w:cs="宋体"/>
          <w:color w:val="auto"/>
          <w:sz w:val="24"/>
          <w:szCs w:val="24"/>
          <w:highlight w:val="none"/>
          <w:u w:val="single"/>
        </w:rPr>
        <w:t xml:space="preserve">  /  </w:t>
      </w:r>
      <w:r>
        <w:rPr>
          <w:rStyle w:val="86"/>
          <w:rFonts w:hint="eastAsia" w:ascii="宋体" w:hAnsi="宋体" w:eastAsia="宋体" w:cs="宋体"/>
          <w:color w:val="auto"/>
          <w:sz w:val="24"/>
          <w:szCs w:val="24"/>
          <w:highlight w:val="none"/>
        </w:rPr>
        <w:t>。</w:t>
      </w:r>
    </w:p>
    <w:p w14:paraId="5DA8AB61">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tbl>
      <w:tblPr>
        <w:tblStyle w:val="27"/>
        <w:tblW w:w="9796" w:type="dxa"/>
        <w:tblInd w:w="0" w:type="dxa"/>
        <w:tblLayout w:type="fixed"/>
        <w:tblCellMar>
          <w:top w:w="0" w:type="dxa"/>
          <w:left w:w="108" w:type="dxa"/>
          <w:bottom w:w="0" w:type="dxa"/>
          <w:right w:w="108" w:type="dxa"/>
        </w:tblCellMar>
      </w:tblPr>
      <w:tblGrid>
        <w:gridCol w:w="2941"/>
        <w:gridCol w:w="2175"/>
        <w:gridCol w:w="3120"/>
        <w:gridCol w:w="1560"/>
      </w:tblGrid>
      <w:tr w14:paraId="5A67FEBC">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517B8696">
            <w:pPr>
              <w:pStyle w:val="19"/>
              <w:spacing w:line="240" w:lineRule="exact"/>
              <w:ind w:firstLine="360"/>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highlight w:val="none"/>
              </w:rPr>
              <w:t xml:space="preserve"> </w:t>
            </w:r>
            <w:r>
              <w:rPr>
                <w:rStyle w:val="86"/>
                <w:rFonts w:hint="eastAsia" w:ascii="宋体" w:hAnsi="宋体" w:eastAsia="宋体" w:cs="宋体"/>
                <w:color w:val="auto"/>
                <w:kern w:val="2"/>
                <w:sz w:val="24"/>
                <w:szCs w:val="24"/>
                <w:highlight w:val="none"/>
                <w:lang w:val="en-US" w:eastAsia="zh-CN" w:bidi="ar-SA"/>
              </w:rPr>
              <w:t>发包人：</w:t>
            </w:r>
          </w:p>
        </w:tc>
        <w:tc>
          <w:tcPr>
            <w:tcW w:w="2175" w:type="dxa"/>
            <w:tcBorders>
              <w:top w:val="nil"/>
              <w:left w:val="nil"/>
              <w:bottom w:val="nil"/>
              <w:right w:val="nil"/>
            </w:tcBorders>
            <w:noWrap w:val="0"/>
            <w:vAlign w:val="center"/>
          </w:tcPr>
          <w:p w14:paraId="3557C5C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(公章)</w:t>
            </w:r>
          </w:p>
        </w:tc>
        <w:tc>
          <w:tcPr>
            <w:tcW w:w="3120" w:type="dxa"/>
            <w:tcBorders>
              <w:top w:val="nil"/>
              <w:left w:val="nil"/>
              <w:bottom w:val="nil"/>
              <w:right w:val="nil"/>
            </w:tcBorders>
            <w:noWrap w:val="0"/>
            <w:vAlign w:val="center"/>
          </w:tcPr>
          <w:p w14:paraId="5C6C85B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承包人：</w:t>
            </w:r>
          </w:p>
        </w:tc>
        <w:tc>
          <w:tcPr>
            <w:tcW w:w="1560" w:type="dxa"/>
            <w:tcBorders>
              <w:top w:val="nil"/>
              <w:left w:val="nil"/>
              <w:bottom w:val="nil"/>
              <w:right w:val="nil"/>
            </w:tcBorders>
            <w:noWrap w:val="0"/>
            <w:vAlign w:val="center"/>
          </w:tcPr>
          <w:p w14:paraId="0710AE0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(公章)</w:t>
            </w:r>
          </w:p>
        </w:tc>
      </w:tr>
      <w:tr w14:paraId="0E2604D7">
        <w:tblPrEx>
          <w:tblCellMar>
            <w:top w:w="0" w:type="dxa"/>
            <w:left w:w="108" w:type="dxa"/>
            <w:bottom w:w="0" w:type="dxa"/>
            <w:right w:w="108" w:type="dxa"/>
          </w:tblCellMar>
        </w:tblPrEx>
        <w:trPr>
          <w:trHeight w:val="683" w:hRule="atLeast"/>
        </w:trPr>
        <w:tc>
          <w:tcPr>
            <w:tcW w:w="5116" w:type="dxa"/>
            <w:gridSpan w:val="2"/>
            <w:tcBorders>
              <w:top w:val="nil"/>
              <w:left w:val="nil"/>
              <w:bottom w:val="nil"/>
              <w:right w:val="nil"/>
            </w:tcBorders>
            <w:noWrap w:val="0"/>
            <w:vAlign w:val="center"/>
          </w:tcPr>
          <w:p w14:paraId="71668334">
            <w:pPr>
              <w:pStyle w:val="45"/>
              <w:widowControl w:val="0"/>
              <w:spacing w:line="300" w:lineRule="exact"/>
              <w:ind w:firstLine="120" w:firstLineChars="50"/>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法定代表人或其委托代理人：</w:t>
            </w:r>
          </w:p>
          <w:p w14:paraId="0F7A0B38">
            <w:pPr>
              <w:pStyle w:val="19"/>
              <w:widowControl w:val="0"/>
              <w:adjustRightInd w:val="0"/>
              <w:snapToGrid w:val="0"/>
              <w:spacing w:line="360" w:lineRule="auto"/>
              <w:ind w:firstLine="720" w:firstLineChars="300"/>
              <w:jc w:val="both"/>
              <w:rPr>
                <w:rStyle w:val="86"/>
                <w:rFonts w:hint="eastAsia" w:ascii="宋体" w:hAnsi="宋体" w:eastAsia="宋体" w:cs="宋体"/>
                <w:color w:val="auto"/>
                <w:kern w:val="0"/>
                <w:sz w:val="18"/>
                <w:szCs w:val="18"/>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（签字）</w:t>
            </w:r>
          </w:p>
        </w:tc>
        <w:tc>
          <w:tcPr>
            <w:tcW w:w="4680" w:type="dxa"/>
            <w:gridSpan w:val="2"/>
            <w:tcBorders>
              <w:top w:val="nil"/>
              <w:left w:val="nil"/>
              <w:bottom w:val="nil"/>
              <w:right w:val="nil"/>
            </w:tcBorders>
            <w:noWrap w:val="0"/>
            <w:vAlign w:val="top"/>
          </w:tcPr>
          <w:p w14:paraId="0CEF2A7C">
            <w:pPr>
              <w:pStyle w:val="45"/>
              <w:widowControl w:val="0"/>
              <w:spacing w:line="300" w:lineRule="exact"/>
              <w:ind w:firstLine="120" w:firstLineChars="50"/>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法定代表人或其委托代理人：</w:t>
            </w:r>
          </w:p>
          <w:p w14:paraId="348BB4DC">
            <w:pPr>
              <w:pStyle w:val="19"/>
              <w:widowControl w:val="0"/>
              <w:adjustRightInd w:val="0"/>
              <w:snapToGrid w:val="0"/>
              <w:spacing w:line="360" w:lineRule="auto"/>
              <w:ind w:firstLine="720" w:firstLineChars="300"/>
              <w:jc w:val="both"/>
              <w:rPr>
                <w:rStyle w:val="86"/>
                <w:rFonts w:hint="eastAsia" w:ascii="宋体" w:hAnsi="宋体" w:eastAsia="宋体" w:cs="宋体"/>
                <w:color w:val="auto"/>
                <w:kern w:val="0"/>
                <w:sz w:val="18"/>
                <w:szCs w:val="18"/>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（签字）</w:t>
            </w:r>
          </w:p>
        </w:tc>
      </w:tr>
      <w:tr w14:paraId="0935CD21">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245AFE9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组织机构代码：</w:t>
            </w:r>
          </w:p>
        </w:tc>
        <w:tc>
          <w:tcPr>
            <w:tcW w:w="2175" w:type="dxa"/>
            <w:tcBorders>
              <w:top w:val="nil"/>
              <w:left w:val="nil"/>
              <w:bottom w:val="nil"/>
              <w:right w:val="nil"/>
            </w:tcBorders>
            <w:noWrap w:val="0"/>
            <w:vAlign w:val="center"/>
          </w:tcPr>
          <w:p w14:paraId="39ADAFB2">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23753942">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组织机构代码：</w:t>
            </w:r>
          </w:p>
        </w:tc>
        <w:tc>
          <w:tcPr>
            <w:tcW w:w="1560" w:type="dxa"/>
            <w:tcBorders>
              <w:top w:val="nil"/>
              <w:left w:val="nil"/>
              <w:bottom w:val="nil"/>
              <w:right w:val="nil"/>
            </w:tcBorders>
            <w:noWrap w:val="0"/>
            <w:vAlign w:val="center"/>
          </w:tcPr>
          <w:p w14:paraId="78F1B02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2603FAA3">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379F6B9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地  址：</w:t>
            </w:r>
          </w:p>
        </w:tc>
        <w:tc>
          <w:tcPr>
            <w:tcW w:w="2175" w:type="dxa"/>
            <w:tcBorders>
              <w:top w:val="nil"/>
              <w:left w:val="nil"/>
              <w:bottom w:val="nil"/>
              <w:right w:val="nil"/>
            </w:tcBorders>
            <w:noWrap w:val="0"/>
            <w:vAlign w:val="center"/>
          </w:tcPr>
          <w:p w14:paraId="719CCC8B">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1EB73AB9">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地  址：</w:t>
            </w:r>
          </w:p>
        </w:tc>
        <w:tc>
          <w:tcPr>
            <w:tcW w:w="1560" w:type="dxa"/>
            <w:tcBorders>
              <w:top w:val="nil"/>
              <w:left w:val="nil"/>
              <w:bottom w:val="nil"/>
              <w:right w:val="nil"/>
            </w:tcBorders>
            <w:noWrap w:val="0"/>
            <w:vAlign w:val="center"/>
          </w:tcPr>
          <w:p w14:paraId="6A9EE35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00A2DEF3">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57FD6B1A">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邮政编码：</w:t>
            </w:r>
          </w:p>
        </w:tc>
        <w:tc>
          <w:tcPr>
            <w:tcW w:w="2175" w:type="dxa"/>
            <w:tcBorders>
              <w:top w:val="nil"/>
              <w:left w:val="nil"/>
              <w:bottom w:val="nil"/>
              <w:right w:val="nil"/>
            </w:tcBorders>
            <w:noWrap w:val="0"/>
            <w:vAlign w:val="center"/>
          </w:tcPr>
          <w:p w14:paraId="299701B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194D12B9">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邮政编码：</w:t>
            </w:r>
          </w:p>
        </w:tc>
        <w:tc>
          <w:tcPr>
            <w:tcW w:w="1560" w:type="dxa"/>
            <w:tcBorders>
              <w:top w:val="nil"/>
              <w:left w:val="nil"/>
              <w:bottom w:val="nil"/>
              <w:right w:val="nil"/>
            </w:tcBorders>
            <w:noWrap w:val="0"/>
            <w:vAlign w:val="center"/>
          </w:tcPr>
          <w:p w14:paraId="5B1D63E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60C72CFD">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4FB53512">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w:t>
            </w:r>
          </w:p>
        </w:tc>
        <w:tc>
          <w:tcPr>
            <w:tcW w:w="2175" w:type="dxa"/>
            <w:tcBorders>
              <w:top w:val="nil"/>
              <w:left w:val="nil"/>
              <w:bottom w:val="nil"/>
              <w:right w:val="nil"/>
            </w:tcBorders>
            <w:noWrap w:val="0"/>
            <w:vAlign w:val="center"/>
          </w:tcPr>
          <w:p w14:paraId="034EBFB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7E0B37D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w:t>
            </w:r>
          </w:p>
        </w:tc>
        <w:tc>
          <w:tcPr>
            <w:tcW w:w="1560" w:type="dxa"/>
            <w:tcBorders>
              <w:top w:val="nil"/>
              <w:left w:val="nil"/>
              <w:bottom w:val="nil"/>
              <w:right w:val="nil"/>
            </w:tcBorders>
            <w:noWrap w:val="0"/>
            <w:vAlign w:val="center"/>
          </w:tcPr>
          <w:p w14:paraId="6E86F68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1D7CE242">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7C21BB7F">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委托代理人：</w:t>
            </w:r>
          </w:p>
        </w:tc>
        <w:tc>
          <w:tcPr>
            <w:tcW w:w="2175" w:type="dxa"/>
            <w:tcBorders>
              <w:top w:val="nil"/>
              <w:left w:val="nil"/>
              <w:bottom w:val="nil"/>
              <w:right w:val="nil"/>
            </w:tcBorders>
            <w:noWrap w:val="0"/>
            <w:vAlign w:val="center"/>
          </w:tcPr>
          <w:p w14:paraId="7D0D247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7B3DED52">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委托代理人：</w:t>
            </w:r>
          </w:p>
        </w:tc>
        <w:tc>
          <w:tcPr>
            <w:tcW w:w="1560" w:type="dxa"/>
            <w:tcBorders>
              <w:top w:val="nil"/>
              <w:left w:val="nil"/>
              <w:bottom w:val="nil"/>
              <w:right w:val="nil"/>
            </w:tcBorders>
            <w:noWrap w:val="0"/>
            <w:vAlign w:val="center"/>
          </w:tcPr>
          <w:p w14:paraId="30FFD35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421AA28D">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726B0901">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  话：</w:t>
            </w:r>
          </w:p>
        </w:tc>
        <w:tc>
          <w:tcPr>
            <w:tcW w:w="2175" w:type="dxa"/>
            <w:tcBorders>
              <w:top w:val="nil"/>
              <w:left w:val="nil"/>
              <w:bottom w:val="nil"/>
              <w:right w:val="nil"/>
            </w:tcBorders>
            <w:noWrap w:val="0"/>
            <w:vAlign w:val="center"/>
          </w:tcPr>
          <w:p w14:paraId="74B9982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05582CA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  话：</w:t>
            </w:r>
          </w:p>
        </w:tc>
        <w:tc>
          <w:tcPr>
            <w:tcW w:w="1560" w:type="dxa"/>
            <w:tcBorders>
              <w:top w:val="nil"/>
              <w:left w:val="nil"/>
              <w:bottom w:val="nil"/>
              <w:right w:val="nil"/>
            </w:tcBorders>
            <w:noWrap w:val="0"/>
            <w:vAlign w:val="center"/>
          </w:tcPr>
          <w:p w14:paraId="125102FF">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4EE7795B">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74C4814B">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传  真：</w:t>
            </w:r>
          </w:p>
        </w:tc>
        <w:tc>
          <w:tcPr>
            <w:tcW w:w="2175" w:type="dxa"/>
            <w:tcBorders>
              <w:top w:val="nil"/>
              <w:left w:val="nil"/>
              <w:bottom w:val="nil"/>
              <w:right w:val="nil"/>
            </w:tcBorders>
            <w:noWrap w:val="0"/>
            <w:vAlign w:val="center"/>
          </w:tcPr>
          <w:p w14:paraId="4AED3A1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2F5C69F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传  真：</w:t>
            </w:r>
          </w:p>
        </w:tc>
        <w:tc>
          <w:tcPr>
            <w:tcW w:w="1560" w:type="dxa"/>
            <w:tcBorders>
              <w:top w:val="nil"/>
              <w:left w:val="nil"/>
              <w:bottom w:val="nil"/>
              <w:right w:val="nil"/>
            </w:tcBorders>
            <w:noWrap w:val="0"/>
            <w:vAlign w:val="center"/>
          </w:tcPr>
          <w:p w14:paraId="3D0EF24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27E7776A">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7F33F41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电子信箱：</w:t>
            </w:r>
          </w:p>
        </w:tc>
        <w:tc>
          <w:tcPr>
            <w:tcW w:w="2175" w:type="dxa"/>
            <w:tcBorders>
              <w:top w:val="nil"/>
              <w:left w:val="nil"/>
              <w:bottom w:val="nil"/>
              <w:right w:val="nil"/>
            </w:tcBorders>
            <w:noWrap w:val="0"/>
            <w:vAlign w:val="center"/>
          </w:tcPr>
          <w:p w14:paraId="4D9B0B4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321D311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电子信箱：</w:t>
            </w:r>
          </w:p>
        </w:tc>
        <w:tc>
          <w:tcPr>
            <w:tcW w:w="1560" w:type="dxa"/>
            <w:tcBorders>
              <w:top w:val="nil"/>
              <w:left w:val="nil"/>
              <w:bottom w:val="nil"/>
              <w:right w:val="nil"/>
            </w:tcBorders>
            <w:noWrap w:val="0"/>
            <w:vAlign w:val="center"/>
          </w:tcPr>
          <w:p w14:paraId="6A519B1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462C5EEA">
        <w:tblPrEx>
          <w:tblCellMar>
            <w:top w:w="0" w:type="dxa"/>
            <w:left w:w="108" w:type="dxa"/>
            <w:bottom w:w="0" w:type="dxa"/>
            <w:right w:w="108" w:type="dxa"/>
          </w:tblCellMar>
        </w:tblPrEx>
        <w:trPr>
          <w:trHeight w:val="683" w:hRule="atLeast"/>
        </w:trPr>
        <w:tc>
          <w:tcPr>
            <w:tcW w:w="2941" w:type="dxa"/>
            <w:tcBorders>
              <w:top w:val="nil"/>
              <w:left w:val="nil"/>
              <w:bottom w:val="nil"/>
              <w:right w:val="nil"/>
            </w:tcBorders>
            <w:noWrap w:val="0"/>
            <w:vAlign w:val="center"/>
          </w:tcPr>
          <w:p w14:paraId="6B1AD28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开户银行：</w:t>
            </w:r>
          </w:p>
        </w:tc>
        <w:tc>
          <w:tcPr>
            <w:tcW w:w="2175" w:type="dxa"/>
            <w:tcBorders>
              <w:top w:val="nil"/>
              <w:left w:val="nil"/>
              <w:bottom w:val="nil"/>
              <w:right w:val="nil"/>
            </w:tcBorders>
            <w:noWrap w:val="0"/>
            <w:vAlign w:val="center"/>
          </w:tcPr>
          <w:p w14:paraId="633A53B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3120" w:type="dxa"/>
            <w:tcBorders>
              <w:top w:val="nil"/>
              <w:left w:val="nil"/>
              <w:bottom w:val="nil"/>
              <w:right w:val="nil"/>
            </w:tcBorders>
            <w:noWrap w:val="0"/>
            <w:vAlign w:val="center"/>
          </w:tcPr>
          <w:p w14:paraId="7543DB6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开户银行：</w:t>
            </w:r>
          </w:p>
        </w:tc>
        <w:tc>
          <w:tcPr>
            <w:tcW w:w="1560" w:type="dxa"/>
            <w:tcBorders>
              <w:top w:val="nil"/>
              <w:left w:val="nil"/>
              <w:bottom w:val="nil"/>
              <w:right w:val="nil"/>
            </w:tcBorders>
            <w:noWrap w:val="0"/>
            <w:vAlign w:val="center"/>
          </w:tcPr>
          <w:p w14:paraId="3383F7D1">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bl>
    <w:p w14:paraId="2D75AD1F">
      <w:pPr>
        <w:pStyle w:val="45"/>
        <w:spacing w:line="460" w:lineRule="exact"/>
        <w:rPr>
          <w:rStyle w:val="86"/>
          <w:rFonts w:hint="eastAsia" w:ascii="宋体" w:hAnsi="宋体" w:eastAsia="宋体" w:cs="宋体"/>
          <w:color w:val="auto"/>
          <w:highlight w:val="none"/>
        </w:rPr>
      </w:pPr>
    </w:p>
    <w:p w14:paraId="48A49FB0">
      <w:pPr>
        <w:pStyle w:val="45"/>
        <w:spacing w:line="460" w:lineRule="exact"/>
        <w:rPr>
          <w:rStyle w:val="86"/>
          <w:rFonts w:hint="eastAsia" w:ascii="宋体" w:hAnsi="宋体" w:eastAsia="宋体" w:cs="宋体"/>
          <w:color w:val="auto"/>
          <w:highlight w:val="none"/>
        </w:rPr>
      </w:pPr>
    </w:p>
    <w:p w14:paraId="56C36C06">
      <w:pPr>
        <w:pStyle w:val="45"/>
        <w:spacing w:line="460" w:lineRule="exact"/>
        <w:rPr>
          <w:rStyle w:val="86"/>
          <w:rFonts w:hint="eastAsia" w:ascii="宋体" w:hAnsi="宋体" w:eastAsia="宋体" w:cs="宋体"/>
          <w:color w:val="auto"/>
          <w:highlight w:val="none"/>
        </w:rPr>
      </w:pPr>
    </w:p>
    <w:p w14:paraId="12949487">
      <w:pPr>
        <w:pStyle w:val="45"/>
        <w:spacing w:line="460" w:lineRule="exact"/>
        <w:rPr>
          <w:rStyle w:val="86"/>
          <w:rFonts w:hint="eastAsia" w:ascii="宋体" w:hAnsi="宋体" w:eastAsia="宋体" w:cs="宋体"/>
          <w:color w:val="auto"/>
          <w:highlight w:val="none"/>
        </w:rPr>
      </w:pPr>
    </w:p>
    <w:p w14:paraId="26F9E07E">
      <w:pPr>
        <w:pStyle w:val="45"/>
        <w:spacing w:line="460" w:lineRule="exact"/>
        <w:rPr>
          <w:rStyle w:val="86"/>
          <w:rFonts w:hint="eastAsia" w:ascii="宋体" w:hAnsi="宋体" w:eastAsia="宋体" w:cs="宋体"/>
          <w:color w:val="auto"/>
          <w:highlight w:val="none"/>
        </w:rPr>
      </w:pPr>
    </w:p>
    <w:p w14:paraId="5E8482CF">
      <w:pPr>
        <w:pStyle w:val="45"/>
        <w:spacing w:line="460" w:lineRule="exact"/>
        <w:rPr>
          <w:rStyle w:val="86"/>
          <w:rFonts w:hint="eastAsia" w:ascii="宋体" w:hAnsi="宋体" w:eastAsia="宋体" w:cs="宋体"/>
          <w:color w:val="auto"/>
          <w:highlight w:val="none"/>
        </w:rPr>
      </w:pPr>
    </w:p>
    <w:p w14:paraId="050CC5A5">
      <w:pPr>
        <w:pStyle w:val="45"/>
        <w:spacing w:line="460" w:lineRule="exact"/>
        <w:rPr>
          <w:rStyle w:val="86"/>
          <w:rFonts w:hint="eastAsia" w:ascii="宋体" w:hAnsi="宋体" w:eastAsia="宋体" w:cs="宋体"/>
          <w:color w:val="auto"/>
          <w:highlight w:val="none"/>
        </w:rPr>
      </w:pPr>
    </w:p>
    <w:p w14:paraId="6FA7243E">
      <w:pPr>
        <w:pStyle w:val="45"/>
        <w:spacing w:line="460" w:lineRule="exact"/>
        <w:rPr>
          <w:rStyle w:val="86"/>
          <w:rFonts w:hint="eastAsia" w:ascii="宋体" w:hAnsi="宋体" w:eastAsia="宋体" w:cs="宋体"/>
          <w:color w:val="auto"/>
          <w:highlight w:val="none"/>
        </w:rPr>
      </w:pPr>
    </w:p>
    <w:p w14:paraId="0330E330">
      <w:pPr>
        <w:pStyle w:val="45"/>
        <w:spacing w:line="460" w:lineRule="exact"/>
        <w:rPr>
          <w:rStyle w:val="86"/>
          <w:rFonts w:hint="eastAsia" w:ascii="宋体" w:hAnsi="宋体" w:eastAsia="宋体" w:cs="宋体"/>
          <w:color w:val="auto"/>
          <w:highlight w:val="none"/>
        </w:rPr>
      </w:pPr>
    </w:p>
    <w:p w14:paraId="79830CA0">
      <w:pPr>
        <w:pStyle w:val="45"/>
        <w:spacing w:line="460" w:lineRule="exact"/>
        <w:rPr>
          <w:rStyle w:val="86"/>
          <w:rFonts w:hint="eastAsia" w:ascii="宋体" w:hAnsi="宋体" w:eastAsia="宋体" w:cs="宋体"/>
          <w:color w:val="auto"/>
          <w:highlight w:val="none"/>
        </w:rPr>
      </w:pPr>
    </w:p>
    <w:p w14:paraId="359972F4">
      <w:pPr>
        <w:pStyle w:val="45"/>
        <w:spacing w:line="460" w:lineRule="exact"/>
        <w:rPr>
          <w:rStyle w:val="86"/>
          <w:rFonts w:hint="eastAsia" w:ascii="宋体" w:hAnsi="宋体" w:eastAsia="宋体" w:cs="宋体"/>
          <w:color w:val="auto"/>
          <w:highlight w:val="none"/>
        </w:rPr>
      </w:pPr>
    </w:p>
    <w:p w14:paraId="1C706893">
      <w:pPr>
        <w:pStyle w:val="45"/>
        <w:spacing w:line="460" w:lineRule="exact"/>
        <w:rPr>
          <w:rStyle w:val="86"/>
          <w:rFonts w:hint="eastAsia" w:ascii="宋体" w:hAnsi="宋体" w:eastAsia="宋体" w:cs="宋体"/>
          <w:color w:val="auto"/>
          <w:highlight w:val="none"/>
        </w:rPr>
      </w:pPr>
    </w:p>
    <w:p w14:paraId="238F2083">
      <w:pPr>
        <w:pStyle w:val="45"/>
        <w:spacing w:line="460" w:lineRule="exact"/>
        <w:rPr>
          <w:rStyle w:val="86"/>
          <w:rFonts w:hint="eastAsia" w:ascii="宋体" w:hAnsi="宋体" w:eastAsia="宋体" w:cs="宋体"/>
          <w:color w:val="auto"/>
          <w:highlight w:val="none"/>
        </w:rPr>
      </w:pPr>
    </w:p>
    <w:p w14:paraId="090BA10E">
      <w:pPr>
        <w:pStyle w:val="45"/>
        <w:spacing w:line="460" w:lineRule="exact"/>
        <w:rPr>
          <w:rStyle w:val="86"/>
          <w:rFonts w:hint="eastAsia" w:ascii="宋体" w:hAnsi="宋体" w:eastAsia="宋体" w:cs="宋体"/>
          <w:color w:val="auto"/>
          <w:highlight w:val="none"/>
        </w:rPr>
      </w:pPr>
    </w:p>
    <w:p w14:paraId="2B20D7AF">
      <w:pPr>
        <w:pStyle w:val="45"/>
        <w:spacing w:line="460" w:lineRule="exact"/>
        <w:rPr>
          <w:rStyle w:val="86"/>
          <w:rFonts w:hint="eastAsia" w:ascii="宋体" w:hAnsi="宋体" w:eastAsia="宋体" w:cs="宋体"/>
          <w:color w:val="auto"/>
          <w:highlight w:val="none"/>
        </w:rPr>
      </w:pPr>
    </w:p>
    <w:p w14:paraId="1C3F9B57">
      <w:pPr>
        <w:pStyle w:val="45"/>
        <w:spacing w:line="460" w:lineRule="exact"/>
        <w:rPr>
          <w:rStyle w:val="86"/>
          <w:rFonts w:hint="eastAsia" w:ascii="宋体" w:hAnsi="宋体" w:eastAsia="宋体" w:cs="宋体"/>
          <w:color w:val="auto"/>
          <w:highlight w:val="none"/>
        </w:rPr>
      </w:pPr>
    </w:p>
    <w:p w14:paraId="6D4528B8">
      <w:pPr>
        <w:pStyle w:val="45"/>
        <w:spacing w:line="460" w:lineRule="exact"/>
        <w:rPr>
          <w:rStyle w:val="86"/>
          <w:rFonts w:hint="eastAsia" w:ascii="宋体" w:hAnsi="宋体" w:eastAsia="宋体" w:cs="宋体"/>
          <w:color w:val="auto"/>
          <w:highlight w:val="none"/>
        </w:rPr>
      </w:pPr>
    </w:p>
    <w:p w14:paraId="134B96ED">
      <w:pPr>
        <w:pStyle w:val="45"/>
        <w:spacing w:line="460" w:lineRule="exact"/>
        <w:rPr>
          <w:rStyle w:val="86"/>
          <w:rFonts w:hint="eastAsia" w:ascii="宋体" w:hAnsi="宋体" w:eastAsia="宋体" w:cs="宋体"/>
          <w:color w:val="auto"/>
          <w:highlight w:val="none"/>
        </w:rPr>
      </w:pPr>
    </w:p>
    <w:p w14:paraId="6211672D">
      <w:pPr>
        <w:pStyle w:val="45"/>
        <w:spacing w:line="460" w:lineRule="exact"/>
        <w:rPr>
          <w:rStyle w:val="86"/>
          <w:rFonts w:hint="eastAsia" w:ascii="宋体" w:hAnsi="宋体" w:eastAsia="宋体" w:cs="宋体"/>
          <w:color w:val="auto"/>
          <w:highlight w:val="none"/>
        </w:rPr>
      </w:pPr>
    </w:p>
    <w:p w14:paraId="7224B7E7">
      <w:pPr>
        <w:pStyle w:val="45"/>
        <w:spacing w:line="460" w:lineRule="exact"/>
        <w:rPr>
          <w:rStyle w:val="86"/>
          <w:rFonts w:hint="eastAsia" w:ascii="宋体" w:hAnsi="宋体" w:eastAsia="宋体" w:cs="宋体"/>
          <w:color w:val="auto"/>
          <w:highlight w:val="none"/>
        </w:rPr>
      </w:pPr>
    </w:p>
    <w:p w14:paraId="7A25A709">
      <w:pPr>
        <w:pStyle w:val="45"/>
        <w:spacing w:line="460" w:lineRule="exact"/>
        <w:rPr>
          <w:rStyle w:val="86"/>
          <w:rFonts w:hint="eastAsia" w:ascii="宋体" w:hAnsi="宋体" w:eastAsia="宋体" w:cs="宋体"/>
          <w:color w:val="auto"/>
          <w:highlight w:val="none"/>
        </w:rPr>
      </w:pPr>
    </w:p>
    <w:p w14:paraId="3C3E4A18">
      <w:pPr>
        <w:pStyle w:val="45"/>
        <w:spacing w:line="460" w:lineRule="exact"/>
        <w:rPr>
          <w:rStyle w:val="86"/>
          <w:rFonts w:hint="eastAsia" w:ascii="宋体" w:hAnsi="宋体" w:eastAsia="宋体" w:cs="宋体"/>
          <w:color w:val="auto"/>
          <w:highlight w:val="none"/>
        </w:rPr>
      </w:pPr>
    </w:p>
    <w:p w14:paraId="0C9A472D">
      <w:pPr>
        <w:pStyle w:val="45"/>
        <w:spacing w:line="460" w:lineRule="exact"/>
        <w:rPr>
          <w:rStyle w:val="86"/>
          <w:rFonts w:hint="eastAsia" w:ascii="宋体" w:hAnsi="宋体" w:eastAsia="宋体" w:cs="宋体"/>
          <w:color w:val="auto"/>
          <w:highlight w:val="none"/>
        </w:rPr>
      </w:pPr>
    </w:p>
    <w:p w14:paraId="40964278">
      <w:pPr>
        <w:pStyle w:val="45"/>
        <w:spacing w:line="460" w:lineRule="exact"/>
        <w:rPr>
          <w:rStyle w:val="86"/>
          <w:rFonts w:hint="eastAsia" w:ascii="宋体" w:hAnsi="宋体" w:eastAsia="宋体" w:cs="宋体"/>
          <w:color w:val="auto"/>
          <w:highlight w:val="none"/>
        </w:rPr>
      </w:pPr>
    </w:p>
    <w:p w14:paraId="61CC143D">
      <w:pPr>
        <w:pStyle w:val="45"/>
        <w:spacing w:line="460" w:lineRule="exact"/>
        <w:rPr>
          <w:rStyle w:val="86"/>
          <w:rFonts w:hint="eastAsia" w:ascii="宋体" w:hAnsi="宋体" w:eastAsia="宋体" w:cs="宋体"/>
          <w:color w:val="auto"/>
          <w:highlight w:val="none"/>
        </w:rPr>
      </w:pPr>
    </w:p>
    <w:p w14:paraId="544EC9C6">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highlight w:val="none"/>
        </w:rPr>
        <w:t xml:space="preserve"> </w:t>
      </w:r>
      <w:r>
        <w:rPr>
          <w:rStyle w:val="86"/>
          <w:rFonts w:hint="eastAsia" w:ascii="宋体" w:hAnsi="宋体" w:eastAsia="宋体" w:cs="宋体"/>
          <w:color w:val="auto"/>
          <w:sz w:val="24"/>
          <w:szCs w:val="24"/>
          <w:highlight w:val="none"/>
        </w:rPr>
        <w:t>附件4：</w:t>
      </w:r>
    </w:p>
    <w:p w14:paraId="6569F5BF">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主要建设工程文件目录</w:t>
      </w:r>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9146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53" w:type="dxa"/>
            <w:tcBorders>
              <w:top w:val="single" w:color="auto" w:sz="12" w:space="0"/>
              <w:left w:val="single" w:color="auto" w:sz="12" w:space="0"/>
              <w:bottom w:val="double" w:color="auto" w:sz="2" w:space="0"/>
              <w:right w:val="single" w:color="auto" w:sz="6" w:space="0"/>
            </w:tcBorders>
            <w:noWrap w:val="0"/>
            <w:vAlign w:val="center"/>
          </w:tcPr>
          <w:p w14:paraId="712E7BCF">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文件名称</w:t>
            </w:r>
          </w:p>
        </w:tc>
        <w:tc>
          <w:tcPr>
            <w:tcW w:w="1276" w:type="dxa"/>
            <w:tcBorders>
              <w:top w:val="single" w:color="auto" w:sz="12" w:space="0"/>
              <w:left w:val="nil"/>
              <w:bottom w:val="double" w:color="auto" w:sz="2" w:space="0"/>
              <w:right w:val="single" w:color="auto" w:sz="6" w:space="0"/>
            </w:tcBorders>
            <w:noWrap w:val="0"/>
            <w:vAlign w:val="center"/>
          </w:tcPr>
          <w:p w14:paraId="7D9324B7">
            <w:pPr>
              <w:pStyle w:val="52"/>
              <w:keepNext/>
              <w:widowControl w:val="0"/>
              <w:spacing w:line="300" w:lineRule="exact"/>
              <w:ind w:firstLine="480"/>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套数</w:t>
            </w:r>
          </w:p>
        </w:tc>
        <w:tc>
          <w:tcPr>
            <w:tcW w:w="1450" w:type="dxa"/>
            <w:tcBorders>
              <w:top w:val="single" w:color="auto" w:sz="12" w:space="0"/>
              <w:left w:val="nil"/>
              <w:bottom w:val="double" w:color="auto" w:sz="2" w:space="0"/>
              <w:right w:val="single" w:color="auto" w:sz="6" w:space="0"/>
            </w:tcBorders>
            <w:noWrap w:val="0"/>
            <w:vAlign w:val="center"/>
          </w:tcPr>
          <w:p w14:paraId="0E6A4048">
            <w:pPr>
              <w:pStyle w:val="52"/>
              <w:keepNext/>
              <w:widowControl w:val="0"/>
              <w:spacing w:line="30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费用（元）</w:t>
            </w:r>
          </w:p>
        </w:tc>
        <w:tc>
          <w:tcPr>
            <w:tcW w:w="1243" w:type="dxa"/>
            <w:tcBorders>
              <w:top w:val="single" w:color="auto" w:sz="12" w:space="0"/>
              <w:left w:val="nil"/>
              <w:bottom w:val="double" w:color="auto" w:sz="2" w:space="0"/>
              <w:right w:val="single" w:color="auto" w:sz="6" w:space="0"/>
            </w:tcBorders>
            <w:noWrap w:val="0"/>
            <w:vAlign w:val="center"/>
          </w:tcPr>
          <w:p w14:paraId="51A45054">
            <w:pPr>
              <w:pStyle w:val="52"/>
              <w:keepNext/>
              <w:widowControl w:val="0"/>
              <w:spacing w:line="30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质量</w:t>
            </w:r>
          </w:p>
        </w:tc>
        <w:tc>
          <w:tcPr>
            <w:tcW w:w="1450" w:type="dxa"/>
            <w:tcBorders>
              <w:top w:val="single" w:color="auto" w:sz="12" w:space="0"/>
              <w:left w:val="nil"/>
              <w:bottom w:val="double" w:color="auto" w:sz="2" w:space="0"/>
              <w:right w:val="single" w:color="auto" w:sz="6" w:space="0"/>
            </w:tcBorders>
            <w:noWrap w:val="0"/>
            <w:vAlign w:val="center"/>
          </w:tcPr>
          <w:p w14:paraId="51B8968C">
            <w:pPr>
              <w:pStyle w:val="45"/>
              <w:widowControl w:val="0"/>
              <w:spacing w:line="300" w:lineRule="exact"/>
              <w:jc w:val="center"/>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移交时间</w:t>
            </w:r>
          </w:p>
        </w:tc>
        <w:tc>
          <w:tcPr>
            <w:tcW w:w="1667" w:type="dxa"/>
            <w:tcBorders>
              <w:top w:val="single" w:color="auto" w:sz="12" w:space="0"/>
              <w:left w:val="nil"/>
              <w:bottom w:val="double" w:color="auto" w:sz="2" w:space="0"/>
              <w:right w:val="single" w:color="auto" w:sz="12" w:space="0"/>
            </w:tcBorders>
            <w:noWrap w:val="0"/>
            <w:vAlign w:val="center"/>
          </w:tcPr>
          <w:p w14:paraId="135B9519">
            <w:pPr>
              <w:pStyle w:val="45"/>
              <w:widowControl w:val="0"/>
              <w:spacing w:line="300" w:lineRule="exact"/>
              <w:jc w:val="center"/>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责任人</w:t>
            </w:r>
          </w:p>
        </w:tc>
      </w:tr>
      <w:tr w14:paraId="1421A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noWrap w:val="0"/>
            <w:vAlign w:val="center"/>
          </w:tcPr>
          <w:p w14:paraId="65F1961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double" w:color="auto" w:sz="2" w:space="0"/>
              <w:left w:val="nil"/>
              <w:bottom w:val="single" w:color="auto" w:sz="6" w:space="0"/>
              <w:right w:val="single" w:color="auto" w:sz="6" w:space="0"/>
            </w:tcBorders>
            <w:noWrap w:val="0"/>
            <w:vAlign w:val="center"/>
          </w:tcPr>
          <w:p w14:paraId="3207DED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double" w:color="auto" w:sz="2" w:space="0"/>
              <w:left w:val="nil"/>
              <w:bottom w:val="single" w:color="auto" w:sz="6" w:space="0"/>
              <w:right w:val="single" w:color="auto" w:sz="6" w:space="0"/>
            </w:tcBorders>
            <w:noWrap w:val="0"/>
            <w:vAlign w:val="center"/>
          </w:tcPr>
          <w:p w14:paraId="54A291C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double" w:color="auto" w:sz="2" w:space="0"/>
              <w:left w:val="nil"/>
              <w:bottom w:val="single" w:color="auto" w:sz="6" w:space="0"/>
              <w:right w:val="single" w:color="auto" w:sz="6" w:space="0"/>
            </w:tcBorders>
            <w:noWrap w:val="0"/>
            <w:vAlign w:val="center"/>
          </w:tcPr>
          <w:p w14:paraId="56C272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double" w:color="auto" w:sz="2" w:space="0"/>
              <w:left w:val="nil"/>
              <w:bottom w:val="single" w:color="auto" w:sz="6" w:space="0"/>
              <w:right w:val="single" w:color="auto" w:sz="6" w:space="0"/>
            </w:tcBorders>
            <w:noWrap w:val="0"/>
            <w:vAlign w:val="center"/>
          </w:tcPr>
          <w:p w14:paraId="1725A8B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double" w:color="auto" w:sz="2" w:space="0"/>
              <w:left w:val="nil"/>
              <w:bottom w:val="single" w:color="auto" w:sz="6" w:space="0"/>
              <w:right w:val="single" w:color="auto" w:sz="12" w:space="0"/>
            </w:tcBorders>
            <w:noWrap w:val="0"/>
            <w:vAlign w:val="center"/>
          </w:tcPr>
          <w:p w14:paraId="0FDCCD3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5037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noWrap w:val="0"/>
            <w:vAlign w:val="center"/>
          </w:tcPr>
          <w:p w14:paraId="08D4BC2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nil"/>
              <w:left w:val="nil"/>
              <w:bottom w:val="single" w:color="auto" w:sz="6" w:space="0"/>
              <w:right w:val="single" w:color="auto" w:sz="6" w:space="0"/>
            </w:tcBorders>
            <w:noWrap w:val="0"/>
            <w:vAlign w:val="center"/>
          </w:tcPr>
          <w:p w14:paraId="011B7DC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nil"/>
              <w:left w:val="nil"/>
              <w:bottom w:val="single" w:color="auto" w:sz="6" w:space="0"/>
              <w:right w:val="single" w:color="auto" w:sz="6" w:space="0"/>
            </w:tcBorders>
            <w:noWrap w:val="0"/>
            <w:vAlign w:val="center"/>
          </w:tcPr>
          <w:p w14:paraId="50CFB7F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nil"/>
              <w:left w:val="nil"/>
              <w:bottom w:val="single" w:color="auto" w:sz="6" w:space="0"/>
              <w:right w:val="single" w:color="auto" w:sz="6" w:space="0"/>
            </w:tcBorders>
            <w:noWrap w:val="0"/>
            <w:vAlign w:val="center"/>
          </w:tcPr>
          <w:p w14:paraId="3D1EAD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nil"/>
              <w:left w:val="nil"/>
              <w:bottom w:val="single" w:color="auto" w:sz="6" w:space="0"/>
              <w:right w:val="single" w:color="auto" w:sz="6" w:space="0"/>
            </w:tcBorders>
            <w:noWrap w:val="0"/>
            <w:vAlign w:val="center"/>
          </w:tcPr>
          <w:p w14:paraId="27B520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nil"/>
              <w:left w:val="nil"/>
              <w:bottom w:val="single" w:color="auto" w:sz="6" w:space="0"/>
              <w:right w:val="single" w:color="auto" w:sz="12" w:space="0"/>
            </w:tcBorders>
            <w:noWrap w:val="0"/>
            <w:vAlign w:val="center"/>
          </w:tcPr>
          <w:p w14:paraId="5E793D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ACDE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52E3085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151E48E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53E8D4C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0F17EAB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60CE3F4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0BB3E3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3930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20690DC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60E69CC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4F90D1E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79293F5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0CA7370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31AB3B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7963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7B75E56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2003E4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58781AD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57D9DB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4EB638E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3338FC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3D7E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7A0124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0C2B2C7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76329EF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58BC95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3F86AF3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1361FA3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795C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24E4E17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591D669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4971F2C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22E0D71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2A65EE9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0F3166B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6FAC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05ECCFA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6F2B121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6B23961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652BC6F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57AEB3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73DD045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A564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14CA0A8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6849311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47EED62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26AE349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55DB62D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28D87FD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5F0A0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14:paraId="19D612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center"/>
          </w:tcPr>
          <w:p w14:paraId="73652A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2882155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center"/>
          </w:tcPr>
          <w:p w14:paraId="17CE9F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center"/>
          </w:tcPr>
          <w:p w14:paraId="4535AD7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center"/>
          </w:tcPr>
          <w:p w14:paraId="12485CD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578D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4992985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5244A6F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4361326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2B68807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01D0845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5959A2E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6C440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7200144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4041B56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0B43F6F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2163688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76287E5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474C9E9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5E964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123CE56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105C179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76D4132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4C6657B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25C3933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35138B5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54D50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6D51A98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1D612B4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4A377FD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238EEFB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61E901C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4B807EC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03F67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3CFBCCB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5DCA1D9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09122B3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1DB3DC8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371509F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2DF12CD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45E35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2F35F19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2CFB2ED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5290BCB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406007B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5D5454E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0564198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35140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45DB9B3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617B177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0B986DE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2ECE05D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1464554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796684A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29805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14:paraId="69E17DA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6" w:space="0"/>
              <w:right w:val="single" w:color="auto" w:sz="6" w:space="0"/>
            </w:tcBorders>
            <w:noWrap w:val="0"/>
            <w:vAlign w:val="top"/>
          </w:tcPr>
          <w:p w14:paraId="16D841C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490BA75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6" w:space="0"/>
              <w:right w:val="single" w:color="auto" w:sz="6" w:space="0"/>
            </w:tcBorders>
            <w:noWrap w:val="0"/>
            <w:vAlign w:val="top"/>
          </w:tcPr>
          <w:p w14:paraId="0399927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6" w:space="0"/>
              <w:right w:val="single" w:color="auto" w:sz="6" w:space="0"/>
            </w:tcBorders>
            <w:noWrap w:val="0"/>
            <w:vAlign w:val="top"/>
          </w:tcPr>
          <w:p w14:paraId="3FC6D8F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6" w:space="0"/>
              <w:right w:val="single" w:color="auto" w:sz="12" w:space="0"/>
            </w:tcBorders>
            <w:noWrap w:val="0"/>
            <w:vAlign w:val="top"/>
          </w:tcPr>
          <w:p w14:paraId="17E2B3F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42D26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noWrap w:val="0"/>
            <w:vAlign w:val="top"/>
          </w:tcPr>
          <w:p w14:paraId="07F4145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76" w:type="dxa"/>
            <w:tcBorders>
              <w:top w:val="single" w:color="auto" w:sz="6" w:space="0"/>
              <w:left w:val="nil"/>
              <w:bottom w:val="single" w:color="auto" w:sz="12" w:space="0"/>
              <w:right w:val="single" w:color="auto" w:sz="6" w:space="0"/>
            </w:tcBorders>
            <w:noWrap w:val="0"/>
            <w:vAlign w:val="top"/>
          </w:tcPr>
          <w:p w14:paraId="0934B9C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12" w:space="0"/>
              <w:right w:val="single" w:color="auto" w:sz="6" w:space="0"/>
            </w:tcBorders>
            <w:noWrap w:val="0"/>
            <w:vAlign w:val="top"/>
          </w:tcPr>
          <w:p w14:paraId="48CCA82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243" w:type="dxa"/>
            <w:tcBorders>
              <w:top w:val="single" w:color="auto" w:sz="6" w:space="0"/>
              <w:left w:val="nil"/>
              <w:bottom w:val="single" w:color="auto" w:sz="12" w:space="0"/>
              <w:right w:val="single" w:color="auto" w:sz="6" w:space="0"/>
            </w:tcBorders>
            <w:noWrap w:val="0"/>
            <w:vAlign w:val="top"/>
          </w:tcPr>
          <w:p w14:paraId="08DD7C8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50" w:type="dxa"/>
            <w:tcBorders>
              <w:top w:val="single" w:color="auto" w:sz="6" w:space="0"/>
              <w:left w:val="nil"/>
              <w:bottom w:val="single" w:color="auto" w:sz="12" w:space="0"/>
              <w:right w:val="single" w:color="auto" w:sz="6" w:space="0"/>
            </w:tcBorders>
            <w:noWrap w:val="0"/>
            <w:vAlign w:val="top"/>
          </w:tcPr>
          <w:p w14:paraId="24B17F2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667" w:type="dxa"/>
            <w:tcBorders>
              <w:top w:val="single" w:color="auto" w:sz="6" w:space="0"/>
              <w:left w:val="nil"/>
              <w:bottom w:val="single" w:color="auto" w:sz="12" w:space="0"/>
              <w:right w:val="single" w:color="auto" w:sz="12" w:space="0"/>
            </w:tcBorders>
            <w:noWrap w:val="0"/>
            <w:vAlign w:val="top"/>
          </w:tcPr>
          <w:p w14:paraId="635794A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bl>
    <w:p w14:paraId="7B9D8B58">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附件5：</w:t>
      </w:r>
    </w:p>
    <w:p w14:paraId="45E3DB08">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承包人用于本工程施工的机械设备表</w:t>
      </w:r>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3C47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162" w:type="dxa"/>
            <w:tcBorders>
              <w:top w:val="single" w:color="auto" w:sz="12" w:space="0"/>
              <w:left w:val="single" w:color="auto" w:sz="12" w:space="0"/>
              <w:bottom w:val="double" w:color="auto" w:sz="2" w:space="0"/>
              <w:right w:val="single" w:color="auto" w:sz="6" w:space="0"/>
            </w:tcBorders>
            <w:noWrap w:val="0"/>
            <w:vAlign w:val="center"/>
          </w:tcPr>
          <w:p w14:paraId="569E0071">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序号</w:t>
            </w:r>
          </w:p>
        </w:tc>
        <w:tc>
          <w:tcPr>
            <w:tcW w:w="1418" w:type="dxa"/>
            <w:tcBorders>
              <w:top w:val="single" w:color="auto" w:sz="12" w:space="0"/>
              <w:left w:val="nil"/>
              <w:bottom w:val="double" w:color="auto" w:sz="2" w:space="0"/>
              <w:right w:val="single" w:color="auto" w:sz="6" w:space="0"/>
            </w:tcBorders>
            <w:noWrap w:val="0"/>
            <w:vAlign w:val="center"/>
          </w:tcPr>
          <w:p w14:paraId="653F6085">
            <w:pPr>
              <w:pStyle w:val="52"/>
              <w:keepNext/>
              <w:widowControl w:val="0"/>
              <w:spacing w:line="30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机械或设备名称</w:t>
            </w:r>
          </w:p>
        </w:tc>
        <w:tc>
          <w:tcPr>
            <w:tcW w:w="850" w:type="dxa"/>
            <w:tcBorders>
              <w:top w:val="single" w:color="auto" w:sz="12" w:space="0"/>
              <w:left w:val="nil"/>
              <w:bottom w:val="double" w:color="auto" w:sz="2" w:space="0"/>
              <w:right w:val="single" w:color="auto" w:sz="6" w:space="0"/>
            </w:tcBorders>
            <w:noWrap w:val="0"/>
            <w:vAlign w:val="center"/>
          </w:tcPr>
          <w:p w14:paraId="5EE5C06E">
            <w:pPr>
              <w:pStyle w:val="52"/>
              <w:keepNext/>
              <w:widowControl w:val="0"/>
              <w:spacing w:line="30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规格型号</w:t>
            </w:r>
          </w:p>
        </w:tc>
        <w:tc>
          <w:tcPr>
            <w:tcW w:w="1058" w:type="dxa"/>
            <w:tcBorders>
              <w:top w:val="single" w:color="auto" w:sz="12" w:space="0"/>
              <w:left w:val="nil"/>
              <w:bottom w:val="double" w:color="auto" w:sz="2" w:space="0"/>
              <w:right w:val="single" w:color="auto" w:sz="6" w:space="0"/>
            </w:tcBorders>
            <w:noWrap w:val="0"/>
            <w:vAlign w:val="center"/>
          </w:tcPr>
          <w:p w14:paraId="56F72383">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数量</w:t>
            </w:r>
          </w:p>
        </w:tc>
        <w:tc>
          <w:tcPr>
            <w:tcW w:w="880" w:type="dxa"/>
            <w:tcBorders>
              <w:top w:val="single" w:color="auto" w:sz="12" w:space="0"/>
              <w:left w:val="nil"/>
              <w:bottom w:val="double" w:color="auto" w:sz="2" w:space="0"/>
              <w:right w:val="single" w:color="auto" w:sz="6" w:space="0"/>
            </w:tcBorders>
            <w:noWrap w:val="0"/>
            <w:vAlign w:val="center"/>
          </w:tcPr>
          <w:p w14:paraId="589107B6">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产地</w:t>
            </w:r>
          </w:p>
        </w:tc>
        <w:tc>
          <w:tcPr>
            <w:tcW w:w="1020" w:type="dxa"/>
            <w:tcBorders>
              <w:top w:val="single" w:color="auto" w:sz="12" w:space="0"/>
              <w:left w:val="nil"/>
              <w:bottom w:val="double" w:color="auto" w:sz="2" w:space="0"/>
              <w:right w:val="single" w:color="auto" w:sz="6" w:space="0"/>
            </w:tcBorders>
            <w:noWrap w:val="0"/>
            <w:vAlign w:val="center"/>
          </w:tcPr>
          <w:p w14:paraId="24FA282C">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制造年份</w:t>
            </w:r>
          </w:p>
        </w:tc>
        <w:tc>
          <w:tcPr>
            <w:tcW w:w="1480" w:type="dxa"/>
            <w:tcBorders>
              <w:top w:val="single" w:color="auto" w:sz="12" w:space="0"/>
              <w:left w:val="nil"/>
              <w:bottom w:val="double" w:color="auto" w:sz="2" w:space="0"/>
              <w:right w:val="single" w:color="auto" w:sz="6" w:space="0"/>
            </w:tcBorders>
            <w:noWrap w:val="0"/>
            <w:vAlign w:val="center"/>
          </w:tcPr>
          <w:p w14:paraId="77E0665D">
            <w:pPr>
              <w:pStyle w:val="52"/>
              <w:keepNext/>
              <w:widowControl w:val="0"/>
              <w:spacing w:line="30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额定功率(kW)</w:t>
            </w:r>
          </w:p>
        </w:tc>
        <w:tc>
          <w:tcPr>
            <w:tcW w:w="1020" w:type="dxa"/>
            <w:tcBorders>
              <w:top w:val="single" w:color="auto" w:sz="12" w:space="0"/>
              <w:left w:val="nil"/>
              <w:bottom w:val="double" w:color="auto" w:sz="2" w:space="0"/>
              <w:right w:val="single" w:color="auto" w:sz="6" w:space="0"/>
            </w:tcBorders>
            <w:noWrap w:val="0"/>
            <w:vAlign w:val="center"/>
          </w:tcPr>
          <w:p w14:paraId="432860FA">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生产能力</w:t>
            </w:r>
          </w:p>
        </w:tc>
        <w:tc>
          <w:tcPr>
            <w:tcW w:w="921" w:type="dxa"/>
            <w:tcBorders>
              <w:top w:val="single" w:color="auto" w:sz="12" w:space="0"/>
              <w:left w:val="nil"/>
              <w:bottom w:val="double" w:color="auto" w:sz="2" w:space="0"/>
              <w:right w:val="single" w:color="auto" w:sz="12" w:space="0"/>
            </w:tcBorders>
            <w:noWrap w:val="0"/>
            <w:vAlign w:val="center"/>
          </w:tcPr>
          <w:p w14:paraId="0AA1EFD5">
            <w:pPr>
              <w:pStyle w:val="52"/>
              <w:keepNext/>
              <w:widowControl w:val="0"/>
              <w:spacing w:line="460" w:lineRule="exact"/>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备注</w:t>
            </w:r>
          </w:p>
        </w:tc>
      </w:tr>
      <w:tr w14:paraId="59DE3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2" w:space="0"/>
              <w:left w:val="single" w:color="auto" w:sz="12" w:space="0"/>
              <w:bottom w:val="single" w:color="auto" w:sz="6" w:space="0"/>
              <w:right w:val="single" w:color="auto" w:sz="6" w:space="0"/>
            </w:tcBorders>
            <w:noWrap w:val="0"/>
            <w:vAlign w:val="center"/>
          </w:tcPr>
          <w:p w14:paraId="1C6A4B1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double" w:color="auto" w:sz="2" w:space="0"/>
              <w:left w:val="nil"/>
              <w:bottom w:val="single" w:color="auto" w:sz="6" w:space="0"/>
              <w:right w:val="single" w:color="auto" w:sz="6" w:space="0"/>
            </w:tcBorders>
            <w:noWrap w:val="0"/>
            <w:vAlign w:val="center"/>
          </w:tcPr>
          <w:p w14:paraId="6DB362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double" w:color="auto" w:sz="2" w:space="0"/>
              <w:left w:val="nil"/>
              <w:bottom w:val="single" w:color="auto" w:sz="6" w:space="0"/>
              <w:right w:val="single" w:color="auto" w:sz="6" w:space="0"/>
            </w:tcBorders>
            <w:noWrap w:val="0"/>
            <w:vAlign w:val="center"/>
          </w:tcPr>
          <w:p w14:paraId="5B912B9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double" w:color="auto" w:sz="2" w:space="0"/>
              <w:left w:val="nil"/>
              <w:bottom w:val="single" w:color="auto" w:sz="6" w:space="0"/>
              <w:right w:val="single" w:color="auto" w:sz="6" w:space="0"/>
            </w:tcBorders>
            <w:noWrap w:val="0"/>
            <w:vAlign w:val="center"/>
          </w:tcPr>
          <w:p w14:paraId="0C7FFFC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double" w:color="auto" w:sz="2" w:space="0"/>
              <w:left w:val="nil"/>
              <w:bottom w:val="single" w:color="auto" w:sz="6" w:space="0"/>
              <w:right w:val="single" w:color="auto" w:sz="6" w:space="0"/>
            </w:tcBorders>
            <w:noWrap w:val="0"/>
            <w:vAlign w:val="center"/>
          </w:tcPr>
          <w:p w14:paraId="4F72DCF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double" w:color="auto" w:sz="2" w:space="0"/>
              <w:left w:val="nil"/>
              <w:bottom w:val="single" w:color="auto" w:sz="6" w:space="0"/>
              <w:right w:val="single" w:color="auto" w:sz="6" w:space="0"/>
            </w:tcBorders>
            <w:noWrap w:val="0"/>
            <w:vAlign w:val="center"/>
          </w:tcPr>
          <w:p w14:paraId="1071DE1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double" w:color="auto" w:sz="2" w:space="0"/>
              <w:left w:val="nil"/>
              <w:bottom w:val="single" w:color="auto" w:sz="6" w:space="0"/>
              <w:right w:val="single" w:color="auto" w:sz="6" w:space="0"/>
            </w:tcBorders>
            <w:noWrap w:val="0"/>
            <w:vAlign w:val="center"/>
          </w:tcPr>
          <w:p w14:paraId="4DF73BD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double" w:color="auto" w:sz="2" w:space="0"/>
              <w:left w:val="nil"/>
              <w:bottom w:val="single" w:color="auto" w:sz="6" w:space="0"/>
              <w:right w:val="single" w:color="auto" w:sz="6" w:space="0"/>
            </w:tcBorders>
            <w:noWrap w:val="0"/>
            <w:vAlign w:val="center"/>
          </w:tcPr>
          <w:p w14:paraId="39A3603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double" w:color="auto" w:sz="2" w:space="0"/>
              <w:left w:val="nil"/>
              <w:bottom w:val="single" w:color="auto" w:sz="6" w:space="0"/>
              <w:right w:val="single" w:color="auto" w:sz="12" w:space="0"/>
            </w:tcBorders>
            <w:noWrap w:val="0"/>
            <w:vAlign w:val="center"/>
          </w:tcPr>
          <w:p w14:paraId="75CC5A8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4D15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noWrap w:val="0"/>
            <w:vAlign w:val="center"/>
          </w:tcPr>
          <w:p w14:paraId="7F09F00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nil"/>
              <w:left w:val="nil"/>
              <w:bottom w:val="single" w:color="auto" w:sz="6" w:space="0"/>
              <w:right w:val="single" w:color="auto" w:sz="6" w:space="0"/>
            </w:tcBorders>
            <w:noWrap w:val="0"/>
            <w:vAlign w:val="center"/>
          </w:tcPr>
          <w:p w14:paraId="784103A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nil"/>
              <w:left w:val="nil"/>
              <w:bottom w:val="single" w:color="auto" w:sz="6" w:space="0"/>
              <w:right w:val="single" w:color="auto" w:sz="6" w:space="0"/>
            </w:tcBorders>
            <w:noWrap w:val="0"/>
            <w:vAlign w:val="center"/>
          </w:tcPr>
          <w:p w14:paraId="74745E6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nil"/>
              <w:left w:val="nil"/>
              <w:bottom w:val="single" w:color="auto" w:sz="6" w:space="0"/>
              <w:right w:val="single" w:color="auto" w:sz="6" w:space="0"/>
            </w:tcBorders>
            <w:noWrap w:val="0"/>
            <w:vAlign w:val="center"/>
          </w:tcPr>
          <w:p w14:paraId="4A3549C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nil"/>
              <w:left w:val="nil"/>
              <w:bottom w:val="single" w:color="auto" w:sz="6" w:space="0"/>
              <w:right w:val="single" w:color="auto" w:sz="6" w:space="0"/>
            </w:tcBorders>
            <w:noWrap w:val="0"/>
            <w:vAlign w:val="center"/>
          </w:tcPr>
          <w:p w14:paraId="0A26EE6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nil"/>
              <w:left w:val="nil"/>
              <w:bottom w:val="single" w:color="auto" w:sz="6" w:space="0"/>
              <w:right w:val="single" w:color="auto" w:sz="6" w:space="0"/>
            </w:tcBorders>
            <w:noWrap w:val="0"/>
            <w:vAlign w:val="center"/>
          </w:tcPr>
          <w:p w14:paraId="1A40C24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nil"/>
              <w:left w:val="nil"/>
              <w:bottom w:val="single" w:color="auto" w:sz="6" w:space="0"/>
              <w:right w:val="single" w:color="auto" w:sz="6" w:space="0"/>
            </w:tcBorders>
            <w:noWrap w:val="0"/>
            <w:vAlign w:val="center"/>
          </w:tcPr>
          <w:p w14:paraId="0CBAFE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nil"/>
              <w:left w:val="nil"/>
              <w:bottom w:val="single" w:color="auto" w:sz="6" w:space="0"/>
              <w:right w:val="single" w:color="auto" w:sz="6" w:space="0"/>
            </w:tcBorders>
            <w:noWrap w:val="0"/>
            <w:vAlign w:val="center"/>
          </w:tcPr>
          <w:p w14:paraId="02A1049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nil"/>
              <w:left w:val="nil"/>
              <w:bottom w:val="single" w:color="auto" w:sz="6" w:space="0"/>
              <w:right w:val="single" w:color="auto" w:sz="12" w:space="0"/>
            </w:tcBorders>
            <w:noWrap w:val="0"/>
            <w:vAlign w:val="center"/>
          </w:tcPr>
          <w:p w14:paraId="04E3D9D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B9C1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6C5D589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00B31BB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1396B11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5150ABF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405A388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555EE0F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1F7FCC5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2A940C2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7E0AEDF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67C7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3095BF8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28F6C47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31BBF5F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737BAA6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577E32D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2FFD18D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14FA5E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69ADAEE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007A42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929D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5690042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34FCE01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44C95BC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0211ED8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1AA9DF6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5968043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4E4DFC9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6F8AA24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2DA6259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3A0B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6E18EDF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48B038F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073CCD5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67C7DBA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261A2E1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3828651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2496141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10F2045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3164E1C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E269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24C871D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3DEF32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7339E7B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42D41A0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196AA9E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3626A22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717F22B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51FA9B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34E088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75CA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4D2B551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436698A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5E83683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28E0CD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62E3459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23F5C07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0F80C2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347A963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3853E3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5CE9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7EDCF0D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10CEDD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3C89D13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062FD3F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633A27A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4C7AA86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628B9E6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28AF7FC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167C80C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196B6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center"/>
          </w:tcPr>
          <w:p w14:paraId="4C6DF3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4614B34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center"/>
          </w:tcPr>
          <w:p w14:paraId="300333D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center"/>
          </w:tcPr>
          <w:p w14:paraId="3870888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center"/>
          </w:tcPr>
          <w:p w14:paraId="7F0F125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17DD3BB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center"/>
          </w:tcPr>
          <w:p w14:paraId="488127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center"/>
          </w:tcPr>
          <w:p w14:paraId="433E314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center"/>
          </w:tcPr>
          <w:p w14:paraId="6D9E52D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3497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3861A2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416EE34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31498EC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51DAF81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1CF957A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61620A0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577AE6B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4E97199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646FD68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6C919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2270DA5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5291451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5E22400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78F02CA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47E5B67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2FD882B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29AAE49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7A1CB9A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33CD0C4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59D18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73EB610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5C287F4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668BE83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338D837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436B838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0AD8B00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22EE1EB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2803E1B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0EFDFE5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2BD8C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2F5807E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A294BE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15FF771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300884C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317E8EA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0710063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5AA214E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7E48536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1D90DC5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663BC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930F4B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22776E7">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08750FB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5EC54FF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50C3ABA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2DF035F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4FD4A16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0167657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132FE7B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06CC9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E1A2BB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208AF09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022645CB">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1DF2E46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1AA36322">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4B54918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1F7A09A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340DE6C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1C905CF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1369E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1FC1699">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2B7F77E6">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61CF7D1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0063C09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3F23648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63DEAC6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3EFD5D7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424C587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4A0CA2E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64E09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noWrap w:val="0"/>
            <w:vAlign w:val="top"/>
          </w:tcPr>
          <w:p w14:paraId="6555142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D809FF4">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6" w:space="0"/>
              <w:right w:val="single" w:color="auto" w:sz="6" w:space="0"/>
            </w:tcBorders>
            <w:noWrap w:val="0"/>
            <w:vAlign w:val="top"/>
          </w:tcPr>
          <w:p w14:paraId="69836A80">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6" w:space="0"/>
              <w:right w:val="single" w:color="auto" w:sz="6" w:space="0"/>
            </w:tcBorders>
            <w:noWrap w:val="0"/>
            <w:vAlign w:val="top"/>
          </w:tcPr>
          <w:p w14:paraId="2FE13A1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6" w:space="0"/>
              <w:right w:val="single" w:color="auto" w:sz="6" w:space="0"/>
            </w:tcBorders>
            <w:noWrap w:val="0"/>
            <w:vAlign w:val="top"/>
          </w:tcPr>
          <w:p w14:paraId="3E23DEBF">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674F49D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6" w:space="0"/>
              <w:right w:val="single" w:color="auto" w:sz="6" w:space="0"/>
            </w:tcBorders>
            <w:noWrap w:val="0"/>
            <w:vAlign w:val="top"/>
          </w:tcPr>
          <w:p w14:paraId="6DD6036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6" w:space="0"/>
              <w:right w:val="single" w:color="auto" w:sz="6" w:space="0"/>
            </w:tcBorders>
            <w:noWrap w:val="0"/>
            <w:vAlign w:val="top"/>
          </w:tcPr>
          <w:p w14:paraId="7725A3DC">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6" w:space="0"/>
              <w:right w:val="single" w:color="auto" w:sz="12" w:space="0"/>
            </w:tcBorders>
            <w:noWrap w:val="0"/>
            <w:vAlign w:val="top"/>
          </w:tcPr>
          <w:p w14:paraId="12D13791">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r w14:paraId="5DE9C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noWrap w:val="0"/>
            <w:vAlign w:val="top"/>
          </w:tcPr>
          <w:p w14:paraId="1ACB6E7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12" w:space="0"/>
              <w:right w:val="single" w:color="auto" w:sz="6" w:space="0"/>
            </w:tcBorders>
            <w:noWrap w:val="0"/>
            <w:vAlign w:val="top"/>
          </w:tcPr>
          <w:p w14:paraId="21053EA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50" w:type="dxa"/>
            <w:tcBorders>
              <w:top w:val="single" w:color="auto" w:sz="6" w:space="0"/>
              <w:left w:val="nil"/>
              <w:bottom w:val="single" w:color="auto" w:sz="12" w:space="0"/>
              <w:right w:val="single" w:color="auto" w:sz="6" w:space="0"/>
            </w:tcBorders>
            <w:noWrap w:val="0"/>
            <w:vAlign w:val="top"/>
          </w:tcPr>
          <w:p w14:paraId="0DE6B6B3">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58" w:type="dxa"/>
            <w:tcBorders>
              <w:top w:val="single" w:color="auto" w:sz="6" w:space="0"/>
              <w:left w:val="nil"/>
              <w:bottom w:val="single" w:color="auto" w:sz="12" w:space="0"/>
              <w:right w:val="single" w:color="auto" w:sz="6" w:space="0"/>
            </w:tcBorders>
            <w:noWrap w:val="0"/>
            <w:vAlign w:val="top"/>
          </w:tcPr>
          <w:p w14:paraId="0084836D">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880" w:type="dxa"/>
            <w:tcBorders>
              <w:top w:val="single" w:color="auto" w:sz="6" w:space="0"/>
              <w:left w:val="nil"/>
              <w:bottom w:val="single" w:color="auto" w:sz="12" w:space="0"/>
              <w:right w:val="single" w:color="auto" w:sz="6" w:space="0"/>
            </w:tcBorders>
            <w:noWrap w:val="0"/>
            <w:vAlign w:val="top"/>
          </w:tcPr>
          <w:p w14:paraId="743F7E3E">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12" w:space="0"/>
              <w:right w:val="single" w:color="auto" w:sz="6" w:space="0"/>
            </w:tcBorders>
            <w:noWrap w:val="0"/>
            <w:vAlign w:val="top"/>
          </w:tcPr>
          <w:p w14:paraId="2579518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480" w:type="dxa"/>
            <w:tcBorders>
              <w:top w:val="single" w:color="auto" w:sz="6" w:space="0"/>
              <w:left w:val="nil"/>
              <w:bottom w:val="single" w:color="auto" w:sz="12" w:space="0"/>
              <w:right w:val="single" w:color="auto" w:sz="6" w:space="0"/>
            </w:tcBorders>
            <w:noWrap w:val="0"/>
            <w:vAlign w:val="top"/>
          </w:tcPr>
          <w:p w14:paraId="11725A35">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1020" w:type="dxa"/>
            <w:tcBorders>
              <w:top w:val="single" w:color="auto" w:sz="6" w:space="0"/>
              <w:left w:val="nil"/>
              <w:bottom w:val="single" w:color="auto" w:sz="12" w:space="0"/>
              <w:right w:val="single" w:color="auto" w:sz="6" w:space="0"/>
            </w:tcBorders>
            <w:noWrap w:val="0"/>
            <w:vAlign w:val="top"/>
          </w:tcPr>
          <w:p w14:paraId="58A682EA">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c>
          <w:tcPr>
            <w:tcW w:w="921" w:type="dxa"/>
            <w:tcBorders>
              <w:top w:val="single" w:color="auto" w:sz="6" w:space="0"/>
              <w:left w:val="nil"/>
              <w:bottom w:val="single" w:color="auto" w:sz="12" w:space="0"/>
              <w:right w:val="single" w:color="auto" w:sz="12" w:space="0"/>
            </w:tcBorders>
            <w:noWrap w:val="0"/>
            <w:vAlign w:val="top"/>
          </w:tcPr>
          <w:p w14:paraId="6B095A18">
            <w:pPr>
              <w:pStyle w:val="45"/>
              <w:widowControl w:val="0"/>
              <w:spacing w:line="460" w:lineRule="exact"/>
              <w:jc w:val="both"/>
              <w:rPr>
                <w:rStyle w:val="86"/>
                <w:rFonts w:hint="eastAsia" w:ascii="宋体" w:hAnsi="宋体" w:eastAsia="宋体" w:cs="宋体"/>
                <w:color w:val="auto"/>
                <w:kern w:val="2"/>
                <w:sz w:val="24"/>
                <w:szCs w:val="24"/>
                <w:highlight w:val="none"/>
                <w:lang w:val="en-US" w:eastAsia="zh-CN" w:bidi="ar-SA"/>
              </w:rPr>
            </w:pPr>
          </w:p>
        </w:tc>
      </w:tr>
    </w:tbl>
    <w:p w14:paraId="15970EC9">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附件6：</w:t>
      </w:r>
    </w:p>
    <w:p w14:paraId="7AD29B51">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承包人主要施工管理人员表</w:t>
      </w:r>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FF65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457E62D1">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名称</w:t>
            </w:r>
          </w:p>
        </w:tc>
        <w:tc>
          <w:tcPr>
            <w:tcW w:w="1418" w:type="dxa"/>
            <w:tcBorders>
              <w:top w:val="single" w:color="auto" w:sz="12" w:space="0"/>
              <w:left w:val="nil"/>
              <w:bottom w:val="double" w:color="auto" w:sz="2" w:space="0"/>
              <w:right w:val="single" w:color="auto" w:sz="6" w:space="0"/>
            </w:tcBorders>
            <w:noWrap w:val="0"/>
            <w:vAlign w:val="center"/>
          </w:tcPr>
          <w:p w14:paraId="3ECA6C93">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姓名</w:t>
            </w:r>
          </w:p>
        </w:tc>
        <w:tc>
          <w:tcPr>
            <w:tcW w:w="1134" w:type="dxa"/>
            <w:tcBorders>
              <w:top w:val="single" w:color="auto" w:sz="12" w:space="0"/>
              <w:left w:val="nil"/>
              <w:bottom w:val="double" w:color="auto" w:sz="2" w:space="0"/>
              <w:right w:val="single" w:color="auto" w:sz="6" w:space="0"/>
            </w:tcBorders>
            <w:noWrap w:val="0"/>
            <w:vAlign w:val="center"/>
          </w:tcPr>
          <w:p w14:paraId="09EE1159">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职务</w:t>
            </w:r>
          </w:p>
        </w:tc>
        <w:tc>
          <w:tcPr>
            <w:tcW w:w="1134" w:type="dxa"/>
            <w:tcBorders>
              <w:top w:val="single" w:color="auto" w:sz="12" w:space="0"/>
              <w:left w:val="nil"/>
              <w:bottom w:val="double" w:color="auto" w:sz="2" w:space="0"/>
              <w:right w:val="single" w:color="auto" w:sz="6" w:space="0"/>
            </w:tcBorders>
            <w:noWrap w:val="0"/>
            <w:vAlign w:val="center"/>
          </w:tcPr>
          <w:p w14:paraId="597319C5">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职称</w:t>
            </w:r>
          </w:p>
        </w:tc>
        <w:tc>
          <w:tcPr>
            <w:tcW w:w="4252" w:type="dxa"/>
            <w:tcBorders>
              <w:top w:val="single" w:color="auto" w:sz="12" w:space="0"/>
              <w:left w:val="nil"/>
              <w:bottom w:val="double" w:color="auto" w:sz="2" w:space="0"/>
              <w:right w:val="single" w:color="auto" w:sz="12" w:space="0"/>
            </w:tcBorders>
            <w:noWrap w:val="0"/>
            <w:vAlign w:val="center"/>
          </w:tcPr>
          <w:p w14:paraId="71CF1C7E">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主要资历、经验及承担过的项目</w:t>
            </w:r>
          </w:p>
        </w:tc>
      </w:tr>
      <w:tr w14:paraId="0C251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09" w:type="dxa"/>
            <w:gridSpan w:val="5"/>
            <w:tcBorders>
              <w:top w:val="double" w:color="auto" w:sz="2" w:space="0"/>
              <w:left w:val="single" w:color="auto" w:sz="12" w:space="0"/>
              <w:bottom w:val="single" w:color="auto" w:sz="6" w:space="0"/>
              <w:right w:val="single" w:color="auto" w:sz="12" w:space="0"/>
            </w:tcBorders>
            <w:noWrap w:val="0"/>
            <w:vAlign w:val="center"/>
          </w:tcPr>
          <w:p w14:paraId="7B19268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一、总部人员</w:t>
            </w:r>
          </w:p>
        </w:tc>
      </w:tr>
      <w:tr w14:paraId="2204B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nil"/>
              <w:left w:val="single" w:color="auto" w:sz="12" w:space="0"/>
              <w:bottom w:val="nil"/>
              <w:right w:val="single" w:color="auto" w:sz="6" w:space="0"/>
            </w:tcBorders>
            <w:noWrap w:val="0"/>
            <w:vAlign w:val="center"/>
          </w:tcPr>
          <w:p w14:paraId="3DDD93B2">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项目主管</w:t>
            </w:r>
          </w:p>
        </w:tc>
        <w:tc>
          <w:tcPr>
            <w:tcW w:w="1418" w:type="dxa"/>
            <w:tcBorders>
              <w:top w:val="nil"/>
              <w:left w:val="nil"/>
              <w:bottom w:val="single" w:color="auto" w:sz="6" w:space="0"/>
              <w:right w:val="single" w:color="auto" w:sz="6" w:space="0"/>
            </w:tcBorders>
            <w:noWrap w:val="0"/>
            <w:vAlign w:val="center"/>
          </w:tcPr>
          <w:p w14:paraId="306B882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nil"/>
              <w:left w:val="nil"/>
              <w:bottom w:val="single" w:color="auto" w:sz="6" w:space="0"/>
              <w:right w:val="single" w:color="auto" w:sz="6" w:space="0"/>
            </w:tcBorders>
            <w:noWrap w:val="0"/>
            <w:vAlign w:val="center"/>
          </w:tcPr>
          <w:p w14:paraId="4425BDB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nil"/>
              <w:left w:val="nil"/>
              <w:bottom w:val="single" w:color="auto" w:sz="6" w:space="0"/>
              <w:right w:val="single" w:color="auto" w:sz="6" w:space="0"/>
            </w:tcBorders>
            <w:noWrap w:val="0"/>
            <w:vAlign w:val="center"/>
          </w:tcPr>
          <w:p w14:paraId="21C405D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nil"/>
              <w:left w:val="nil"/>
              <w:bottom w:val="single" w:color="auto" w:sz="6" w:space="0"/>
              <w:right w:val="single" w:color="auto" w:sz="12" w:space="0"/>
            </w:tcBorders>
            <w:noWrap w:val="0"/>
            <w:vAlign w:val="center"/>
          </w:tcPr>
          <w:p w14:paraId="7EA3501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5B14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restart"/>
            <w:tcBorders>
              <w:top w:val="single" w:color="auto" w:sz="6" w:space="0"/>
              <w:left w:val="single" w:color="auto" w:sz="12" w:space="0"/>
              <w:bottom w:val="single" w:color="auto" w:sz="6" w:space="0"/>
              <w:right w:val="single" w:color="auto" w:sz="6" w:space="0"/>
            </w:tcBorders>
            <w:noWrap w:val="0"/>
            <w:vAlign w:val="center"/>
          </w:tcPr>
          <w:p w14:paraId="298A20C6">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其他人员</w:t>
            </w:r>
          </w:p>
        </w:tc>
        <w:tc>
          <w:tcPr>
            <w:tcW w:w="1418" w:type="dxa"/>
            <w:tcBorders>
              <w:top w:val="single" w:color="auto" w:sz="6" w:space="0"/>
              <w:left w:val="nil"/>
              <w:bottom w:val="single" w:color="auto" w:sz="6" w:space="0"/>
              <w:right w:val="single" w:color="auto" w:sz="6" w:space="0"/>
            </w:tcBorders>
            <w:noWrap w:val="0"/>
            <w:vAlign w:val="center"/>
          </w:tcPr>
          <w:p w14:paraId="0EF9D1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0F3E4E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15756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1059F8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63CD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16F6B248">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0CA941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B378ED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6EEA8E7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09B2457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BE92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525162AD">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0BB19AE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60EBB63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19A63F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1E631E6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BAE3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22A4E945">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28D67F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D9D22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0C4015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553DF8A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8CF2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1B2140E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二、现场人员</w:t>
            </w:r>
          </w:p>
        </w:tc>
      </w:tr>
      <w:tr w14:paraId="52C0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35BCB3F">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项目负责人</w:t>
            </w:r>
          </w:p>
        </w:tc>
        <w:tc>
          <w:tcPr>
            <w:tcW w:w="1418" w:type="dxa"/>
            <w:tcBorders>
              <w:top w:val="single" w:color="auto" w:sz="6" w:space="0"/>
              <w:left w:val="nil"/>
              <w:bottom w:val="single" w:color="auto" w:sz="6" w:space="0"/>
              <w:right w:val="single" w:color="auto" w:sz="6" w:space="0"/>
            </w:tcBorders>
            <w:noWrap w:val="0"/>
            <w:vAlign w:val="center"/>
          </w:tcPr>
          <w:p w14:paraId="49FE49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0D39E9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163E4F9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6B8ED76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BC79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5B1F686">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项目副经理</w:t>
            </w:r>
          </w:p>
        </w:tc>
        <w:tc>
          <w:tcPr>
            <w:tcW w:w="1418" w:type="dxa"/>
            <w:tcBorders>
              <w:top w:val="single" w:color="auto" w:sz="6" w:space="0"/>
              <w:left w:val="nil"/>
              <w:bottom w:val="single" w:color="auto" w:sz="6" w:space="0"/>
              <w:right w:val="single" w:color="auto" w:sz="6" w:space="0"/>
            </w:tcBorders>
            <w:noWrap w:val="0"/>
            <w:vAlign w:val="center"/>
          </w:tcPr>
          <w:p w14:paraId="2A51DBC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5392A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5CB46B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050F407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CBBE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7B0C3A80">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技术负责人</w:t>
            </w:r>
          </w:p>
        </w:tc>
        <w:tc>
          <w:tcPr>
            <w:tcW w:w="1418" w:type="dxa"/>
            <w:tcBorders>
              <w:top w:val="single" w:color="auto" w:sz="6" w:space="0"/>
              <w:left w:val="nil"/>
              <w:bottom w:val="single" w:color="auto" w:sz="6" w:space="0"/>
              <w:right w:val="single" w:color="auto" w:sz="6" w:space="0"/>
            </w:tcBorders>
            <w:noWrap w:val="0"/>
            <w:vAlign w:val="center"/>
          </w:tcPr>
          <w:p w14:paraId="1FC5CF6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DF4B8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18F3166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4E8AB7F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24EE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0B79CC3">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造价管理</w:t>
            </w:r>
          </w:p>
        </w:tc>
        <w:tc>
          <w:tcPr>
            <w:tcW w:w="1418" w:type="dxa"/>
            <w:tcBorders>
              <w:top w:val="single" w:color="auto" w:sz="6" w:space="0"/>
              <w:left w:val="nil"/>
              <w:bottom w:val="single" w:color="auto" w:sz="6" w:space="0"/>
              <w:right w:val="single" w:color="auto" w:sz="6" w:space="0"/>
            </w:tcBorders>
            <w:noWrap w:val="0"/>
            <w:vAlign w:val="center"/>
          </w:tcPr>
          <w:p w14:paraId="59E87D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658BAF9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40997F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B9E878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876A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341C3EC">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质量管理</w:t>
            </w:r>
          </w:p>
        </w:tc>
        <w:tc>
          <w:tcPr>
            <w:tcW w:w="1418" w:type="dxa"/>
            <w:tcBorders>
              <w:top w:val="single" w:color="auto" w:sz="6" w:space="0"/>
              <w:left w:val="nil"/>
              <w:bottom w:val="single" w:color="auto" w:sz="6" w:space="0"/>
              <w:right w:val="single" w:color="auto" w:sz="6" w:space="0"/>
            </w:tcBorders>
            <w:noWrap w:val="0"/>
            <w:vAlign w:val="center"/>
          </w:tcPr>
          <w:p w14:paraId="040882B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203F4B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05407B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4B8B160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EDF0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DD8B7D9">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材料管理</w:t>
            </w:r>
          </w:p>
        </w:tc>
        <w:tc>
          <w:tcPr>
            <w:tcW w:w="1418" w:type="dxa"/>
            <w:tcBorders>
              <w:top w:val="single" w:color="auto" w:sz="6" w:space="0"/>
              <w:left w:val="nil"/>
              <w:bottom w:val="single" w:color="auto" w:sz="6" w:space="0"/>
              <w:right w:val="single" w:color="auto" w:sz="6" w:space="0"/>
            </w:tcBorders>
            <w:noWrap w:val="0"/>
            <w:vAlign w:val="center"/>
          </w:tcPr>
          <w:p w14:paraId="341BF5F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090E66E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127E70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289278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6544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971CE1F">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计划管理</w:t>
            </w:r>
          </w:p>
        </w:tc>
        <w:tc>
          <w:tcPr>
            <w:tcW w:w="1418" w:type="dxa"/>
            <w:tcBorders>
              <w:top w:val="single" w:color="auto" w:sz="6" w:space="0"/>
              <w:left w:val="nil"/>
              <w:bottom w:val="single" w:color="auto" w:sz="6" w:space="0"/>
              <w:right w:val="single" w:color="auto" w:sz="6" w:space="0"/>
            </w:tcBorders>
            <w:noWrap w:val="0"/>
            <w:vAlign w:val="center"/>
          </w:tcPr>
          <w:p w14:paraId="2B582F4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FA2FFB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2016AE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4DF4674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3808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5B00BDFC">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安全管理</w:t>
            </w:r>
          </w:p>
        </w:tc>
        <w:tc>
          <w:tcPr>
            <w:tcW w:w="1418" w:type="dxa"/>
            <w:tcBorders>
              <w:top w:val="single" w:color="auto" w:sz="6" w:space="0"/>
              <w:left w:val="nil"/>
              <w:bottom w:val="single" w:color="auto" w:sz="6" w:space="0"/>
              <w:right w:val="single" w:color="auto" w:sz="6" w:space="0"/>
            </w:tcBorders>
            <w:noWrap w:val="0"/>
            <w:vAlign w:val="center"/>
          </w:tcPr>
          <w:p w14:paraId="059A5F8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0A8B455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AD0921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2848290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CE0B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66A123A2">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其他人员</w:t>
            </w:r>
          </w:p>
        </w:tc>
        <w:tc>
          <w:tcPr>
            <w:tcW w:w="1418" w:type="dxa"/>
            <w:tcBorders>
              <w:top w:val="single" w:color="auto" w:sz="6" w:space="0"/>
              <w:left w:val="nil"/>
              <w:bottom w:val="single" w:color="auto" w:sz="6" w:space="0"/>
              <w:right w:val="single" w:color="auto" w:sz="6" w:space="0"/>
            </w:tcBorders>
            <w:noWrap w:val="0"/>
            <w:vAlign w:val="center"/>
          </w:tcPr>
          <w:p w14:paraId="7E4F392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DAD049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A49F65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ED04FD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5966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422746B6">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114580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41C33B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146E76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3BFC03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bl>
    <w:p w14:paraId="3B2F0AC2">
      <w:pPr>
        <w:pStyle w:val="45"/>
        <w:spacing w:line="460" w:lineRule="exact"/>
        <w:rPr>
          <w:rStyle w:val="86"/>
          <w:rFonts w:hint="eastAsia" w:ascii="宋体" w:hAnsi="宋体" w:eastAsia="宋体" w:cs="宋体"/>
          <w:color w:val="auto"/>
          <w:sz w:val="24"/>
          <w:szCs w:val="24"/>
          <w:highlight w:val="none"/>
        </w:rPr>
      </w:pPr>
    </w:p>
    <w:p w14:paraId="6049666B">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附件7：</w:t>
      </w:r>
    </w:p>
    <w:p w14:paraId="5DC4C721">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分包人主要施工管理人员表</w:t>
      </w:r>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A454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12" w:space="0"/>
              <w:left w:val="single" w:color="auto" w:sz="12" w:space="0"/>
              <w:bottom w:val="double" w:color="auto" w:sz="2" w:space="0"/>
              <w:right w:val="single" w:color="auto" w:sz="6" w:space="0"/>
            </w:tcBorders>
            <w:noWrap w:val="0"/>
            <w:vAlign w:val="center"/>
          </w:tcPr>
          <w:p w14:paraId="4AA1201F">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名    称</w:t>
            </w:r>
          </w:p>
        </w:tc>
        <w:tc>
          <w:tcPr>
            <w:tcW w:w="1418" w:type="dxa"/>
            <w:tcBorders>
              <w:top w:val="single" w:color="auto" w:sz="12" w:space="0"/>
              <w:left w:val="nil"/>
              <w:bottom w:val="double" w:color="auto" w:sz="2" w:space="0"/>
              <w:right w:val="single" w:color="auto" w:sz="6" w:space="0"/>
            </w:tcBorders>
            <w:noWrap w:val="0"/>
            <w:vAlign w:val="center"/>
          </w:tcPr>
          <w:p w14:paraId="27942D89">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姓名</w:t>
            </w:r>
          </w:p>
        </w:tc>
        <w:tc>
          <w:tcPr>
            <w:tcW w:w="1134" w:type="dxa"/>
            <w:tcBorders>
              <w:top w:val="single" w:color="auto" w:sz="12" w:space="0"/>
              <w:left w:val="nil"/>
              <w:bottom w:val="double" w:color="auto" w:sz="2" w:space="0"/>
              <w:right w:val="single" w:color="auto" w:sz="6" w:space="0"/>
            </w:tcBorders>
            <w:noWrap w:val="0"/>
            <w:vAlign w:val="center"/>
          </w:tcPr>
          <w:p w14:paraId="6B93C5F8">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职务</w:t>
            </w:r>
          </w:p>
        </w:tc>
        <w:tc>
          <w:tcPr>
            <w:tcW w:w="1134" w:type="dxa"/>
            <w:tcBorders>
              <w:top w:val="single" w:color="auto" w:sz="12" w:space="0"/>
              <w:left w:val="nil"/>
              <w:bottom w:val="double" w:color="auto" w:sz="2" w:space="0"/>
              <w:right w:val="single" w:color="auto" w:sz="6" w:space="0"/>
            </w:tcBorders>
            <w:noWrap w:val="0"/>
            <w:vAlign w:val="center"/>
          </w:tcPr>
          <w:p w14:paraId="0D802BBF">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职称</w:t>
            </w:r>
          </w:p>
        </w:tc>
        <w:tc>
          <w:tcPr>
            <w:tcW w:w="4252" w:type="dxa"/>
            <w:tcBorders>
              <w:top w:val="single" w:color="auto" w:sz="12" w:space="0"/>
              <w:left w:val="nil"/>
              <w:bottom w:val="double" w:color="auto" w:sz="2" w:space="0"/>
              <w:right w:val="single" w:color="auto" w:sz="12" w:space="0"/>
            </w:tcBorders>
            <w:noWrap w:val="0"/>
            <w:vAlign w:val="center"/>
          </w:tcPr>
          <w:p w14:paraId="460993C9">
            <w:pPr>
              <w:pStyle w:val="52"/>
              <w:keepNext/>
              <w:widowControl w:val="0"/>
              <w:spacing w:line="300" w:lineRule="exact"/>
              <w:ind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主要资历、经验及承担过的项目</w:t>
            </w:r>
          </w:p>
        </w:tc>
      </w:tr>
      <w:tr w14:paraId="0F1EB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09" w:type="dxa"/>
            <w:gridSpan w:val="5"/>
            <w:tcBorders>
              <w:top w:val="double" w:color="auto" w:sz="2" w:space="0"/>
              <w:left w:val="single" w:color="auto" w:sz="12" w:space="0"/>
              <w:bottom w:val="single" w:color="auto" w:sz="6" w:space="0"/>
              <w:right w:val="single" w:color="auto" w:sz="12" w:space="0"/>
            </w:tcBorders>
            <w:noWrap w:val="0"/>
            <w:vAlign w:val="center"/>
          </w:tcPr>
          <w:p w14:paraId="3EE562D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一、总部人员</w:t>
            </w:r>
          </w:p>
        </w:tc>
      </w:tr>
      <w:tr w14:paraId="5BADF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nil"/>
              <w:left w:val="single" w:color="auto" w:sz="12" w:space="0"/>
              <w:bottom w:val="nil"/>
              <w:right w:val="single" w:color="auto" w:sz="6" w:space="0"/>
            </w:tcBorders>
            <w:noWrap w:val="0"/>
            <w:vAlign w:val="center"/>
          </w:tcPr>
          <w:p w14:paraId="18327055">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项目主管</w:t>
            </w:r>
          </w:p>
        </w:tc>
        <w:tc>
          <w:tcPr>
            <w:tcW w:w="1418" w:type="dxa"/>
            <w:tcBorders>
              <w:top w:val="nil"/>
              <w:left w:val="nil"/>
              <w:bottom w:val="single" w:color="auto" w:sz="6" w:space="0"/>
              <w:right w:val="single" w:color="auto" w:sz="6" w:space="0"/>
            </w:tcBorders>
            <w:noWrap w:val="0"/>
            <w:vAlign w:val="center"/>
          </w:tcPr>
          <w:p w14:paraId="567F2DD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nil"/>
              <w:left w:val="nil"/>
              <w:bottom w:val="single" w:color="auto" w:sz="6" w:space="0"/>
              <w:right w:val="single" w:color="auto" w:sz="6" w:space="0"/>
            </w:tcBorders>
            <w:noWrap w:val="0"/>
            <w:vAlign w:val="center"/>
          </w:tcPr>
          <w:p w14:paraId="6092F4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nil"/>
              <w:left w:val="nil"/>
              <w:bottom w:val="single" w:color="auto" w:sz="6" w:space="0"/>
              <w:right w:val="single" w:color="auto" w:sz="6" w:space="0"/>
            </w:tcBorders>
            <w:noWrap w:val="0"/>
            <w:vAlign w:val="center"/>
          </w:tcPr>
          <w:p w14:paraId="512FBC7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nil"/>
              <w:left w:val="nil"/>
              <w:bottom w:val="single" w:color="auto" w:sz="6" w:space="0"/>
              <w:right w:val="single" w:color="auto" w:sz="12" w:space="0"/>
            </w:tcBorders>
            <w:noWrap w:val="0"/>
            <w:vAlign w:val="center"/>
          </w:tcPr>
          <w:p w14:paraId="16508EB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0D81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restart"/>
            <w:tcBorders>
              <w:top w:val="single" w:color="auto" w:sz="6" w:space="0"/>
              <w:left w:val="single" w:color="auto" w:sz="12" w:space="0"/>
              <w:bottom w:val="single" w:color="auto" w:sz="6" w:space="0"/>
              <w:right w:val="single" w:color="auto" w:sz="6" w:space="0"/>
            </w:tcBorders>
            <w:noWrap w:val="0"/>
            <w:vAlign w:val="center"/>
          </w:tcPr>
          <w:p w14:paraId="4B97B0E1">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其他人员</w:t>
            </w:r>
          </w:p>
        </w:tc>
        <w:tc>
          <w:tcPr>
            <w:tcW w:w="1418" w:type="dxa"/>
            <w:tcBorders>
              <w:top w:val="single" w:color="auto" w:sz="6" w:space="0"/>
              <w:left w:val="nil"/>
              <w:bottom w:val="single" w:color="auto" w:sz="6" w:space="0"/>
              <w:right w:val="single" w:color="auto" w:sz="6" w:space="0"/>
            </w:tcBorders>
            <w:noWrap w:val="0"/>
            <w:vAlign w:val="center"/>
          </w:tcPr>
          <w:p w14:paraId="0268FF6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07C7D9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5396C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15C0623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01D6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35E7706E">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5FDF81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3EC8B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CB2ED8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41B3764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C568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362E4069">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154F24D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8CE805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115D0CD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2A8B0EA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B61C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single" w:color="auto" w:sz="6" w:space="0"/>
              <w:left w:val="single" w:color="auto" w:sz="12" w:space="0"/>
              <w:bottom w:val="single" w:color="auto" w:sz="6" w:space="0"/>
              <w:right w:val="single" w:color="auto" w:sz="6" w:space="0"/>
            </w:tcBorders>
            <w:noWrap w:val="0"/>
            <w:vAlign w:val="center"/>
          </w:tcPr>
          <w:p w14:paraId="4DECBF26">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center"/>
          </w:tcPr>
          <w:p w14:paraId="2ED2E0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EB62EB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373EFB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77F931A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1AC6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14:paraId="6B78AAB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二、现场人员</w:t>
            </w:r>
          </w:p>
        </w:tc>
      </w:tr>
      <w:tr w14:paraId="0C615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CFAE5E4">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项目负责人</w:t>
            </w:r>
          </w:p>
        </w:tc>
        <w:tc>
          <w:tcPr>
            <w:tcW w:w="1418" w:type="dxa"/>
            <w:tcBorders>
              <w:top w:val="single" w:color="auto" w:sz="6" w:space="0"/>
              <w:left w:val="nil"/>
              <w:bottom w:val="single" w:color="auto" w:sz="6" w:space="0"/>
              <w:right w:val="single" w:color="auto" w:sz="6" w:space="0"/>
            </w:tcBorders>
            <w:noWrap w:val="0"/>
            <w:vAlign w:val="center"/>
          </w:tcPr>
          <w:p w14:paraId="3895B3A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DD63C6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2B882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EBE9E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E8C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01802ABC">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项目副经理</w:t>
            </w:r>
          </w:p>
        </w:tc>
        <w:tc>
          <w:tcPr>
            <w:tcW w:w="1418" w:type="dxa"/>
            <w:tcBorders>
              <w:top w:val="single" w:color="auto" w:sz="6" w:space="0"/>
              <w:left w:val="nil"/>
              <w:bottom w:val="single" w:color="auto" w:sz="6" w:space="0"/>
              <w:right w:val="single" w:color="auto" w:sz="6" w:space="0"/>
            </w:tcBorders>
            <w:noWrap w:val="0"/>
            <w:vAlign w:val="center"/>
          </w:tcPr>
          <w:p w14:paraId="482ACA6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1A249F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6B17D78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197A986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5152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E2D0B8D">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技术负责人</w:t>
            </w:r>
          </w:p>
        </w:tc>
        <w:tc>
          <w:tcPr>
            <w:tcW w:w="1418" w:type="dxa"/>
            <w:tcBorders>
              <w:top w:val="single" w:color="auto" w:sz="6" w:space="0"/>
              <w:left w:val="nil"/>
              <w:bottom w:val="single" w:color="auto" w:sz="6" w:space="0"/>
              <w:right w:val="single" w:color="auto" w:sz="6" w:space="0"/>
            </w:tcBorders>
            <w:noWrap w:val="0"/>
            <w:vAlign w:val="center"/>
          </w:tcPr>
          <w:p w14:paraId="280761B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05FFA6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628A1BF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22693CB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8FA1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1A7576D">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造价管理</w:t>
            </w:r>
          </w:p>
        </w:tc>
        <w:tc>
          <w:tcPr>
            <w:tcW w:w="1418" w:type="dxa"/>
            <w:tcBorders>
              <w:top w:val="single" w:color="auto" w:sz="6" w:space="0"/>
              <w:left w:val="nil"/>
              <w:bottom w:val="single" w:color="auto" w:sz="6" w:space="0"/>
              <w:right w:val="single" w:color="auto" w:sz="6" w:space="0"/>
            </w:tcBorders>
            <w:noWrap w:val="0"/>
            <w:vAlign w:val="center"/>
          </w:tcPr>
          <w:p w14:paraId="103966C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0DD700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C37F2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0177BEC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9219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349C95E1">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质量管理</w:t>
            </w:r>
          </w:p>
        </w:tc>
        <w:tc>
          <w:tcPr>
            <w:tcW w:w="1418" w:type="dxa"/>
            <w:tcBorders>
              <w:top w:val="single" w:color="auto" w:sz="6" w:space="0"/>
              <w:left w:val="nil"/>
              <w:bottom w:val="single" w:color="auto" w:sz="6" w:space="0"/>
              <w:right w:val="single" w:color="auto" w:sz="6" w:space="0"/>
            </w:tcBorders>
            <w:noWrap w:val="0"/>
            <w:vAlign w:val="center"/>
          </w:tcPr>
          <w:p w14:paraId="43C2B70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A504CF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C07273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51C4F8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570A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A48FF2D">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材料管理</w:t>
            </w:r>
          </w:p>
        </w:tc>
        <w:tc>
          <w:tcPr>
            <w:tcW w:w="1418" w:type="dxa"/>
            <w:tcBorders>
              <w:top w:val="single" w:color="auto" w:sz="6" w:space="0"/>
              <w:left w:val="nil"/>
              <w:bottom w:val="single" w:color="auto" w:sz="6" w:space="0"/>
              <w:right w:val="single" w:color="auto" w:sz="6" w:space="0"/>
            </w:tcBorders>
            <w:noWrap w:val="0"/>
            <w:vAlign w:val="center"/>
          </w:tcPr>
          <w:p w14:paraId="542AB48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D75DFD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5AAF816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32A19F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930B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6E41A693">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计划管理</w:t>
            </w:r>
          </w:p>
        </w:tc>
        <w:tc>
          <w:tcPr>
            <w:tcW w:w="1418" w:type="dxa"/>
            <w:tcBorders>
              <w:top w:val="single" w:color="auto" w:sz="6" w:space="0"/>
              <w:left w:val="nil"/>
              <w:bottom w:val="single" w:color="auto" w:sz="6" w:space="0"/>
              <w:right w:val="single" w:color="auto" w:sz="6" w:space="0"/>
            </w:tcBorders>
            <w:noWrap w:val="0"/>
            <w:vAlign w:val="center"/>
          </w:tcPr>
          <w:p w14:paraId="3D72582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AF71CB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35DAF3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288FA4C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C300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14:paraId="1D608221">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安全管理</w:t>
            </w:r>
          </w:p>
        </w:tc>
        <w:tc>
          <w:tcPr>
            <w:tcW w:w="1418" w:type="dxa"/>
            <w:tcBorders>
              <w:top w:val="single" w:color="auto" w:sz="6" w:space="0"/>
              <w:left w:val="nil"/>
              <w:bottom w:val="single" w:color="auto" w:sz="6" w:space="0"/>
              <w:right w:val="single" w:color="auto" w:sz="6" w:space="0"/>
            </w:tcBorders>
            <w:noWrap w:val="0"/>
            <w:vAlign w:val="center"/>
          </w:tcPr>
          <w:p w14:paraId="3ACEB4E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95B281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2E71B34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546A52A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71D8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restart"/>
            <w:tcBorders>
              <w:top w:val="nil"/>
              <w:left w:val="single" w:color="auto" w:sz="12" w:space="0"/>
              <w:bottom w:val="single" w:color="auto" w:sz="6" w:space="0"/>
              <w:right w:val="single" w:color="auto" w:sz="6" w:space="0"/>
            </w:tcBorders>
            <w:noWrap w:val="0"/>
            <w:vAlign w:val="center"/>
          </w:tcPr>
          <w:p w14:paraId="378B9E7C">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其他人员</w:t>
            </w:r>
          </w:p>
        </w:tc>
        <w:tc>
          <w:tcPr>
            <w:tcW w:w="1418" w:type="dxa"/>
            <w:tcBorders>
              <w:top w:val="single" w:color="auto" w:sz="6" w:space="0"/>
              <w:left w:val="nil"/>
              <w:bottom w:val="single" w:color="auto" w:sz="6" w:space="0"/>
              <w:right w:val="single" w:color="auto" w:sz="6" w:space="0"/>
            </w:tcBorders>
            <w:noWrap w:val="0"/>
            <w:vAlign w:val="center"/>
          </w:tcPr>
          <w:p w14:paraId="1EC24FE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4C3971C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6" w:space="0"/>
              <w:right w:val="single" w:color="auto" w:sz="6" w:space="0"/>
            </w:tcBorders>
            <w:noWrap w:val="0"/>
            <w:vAlign w:val="center"/>
          </w:tcPr>
          <w:p w14:paraId="774B0A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6" w:space="0"/>
              <w:right w:val="single" w:color="auto" w:sz="12" w:space="0"/>
            </w:tcBorders>
            <w:noWrap w:val="0"/>
            <w:vAlign w:val="center"/>
          </w:tcPr>
          <w:p w14:paraId="61ECFA6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1871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796CC070">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nil"/>
              <w:right w:val="single" w:color="auto" w:sz="6" w:space="0"/>
            </w:tcBorders>
            <w:noWrap w:val="0"/>
            <w:vAlign w:val="center"/>
          </w:tcPr>
          <w:p w14:paraId="289F933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nil"/>
              <w:right w:val="single" w:color="auto" w:sz="6" w:space="0"/>
            </w:tcBorders>
            <w:noWrap w:val="0"/>
            <w:vAlign w:val="center"/>
          </w:tcPr>
          <w:p w14:paraId="6D6540F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nil"/>
              <w:right w:val="single" w:color="auto" w:sz="6" w:space="0"/>
            </w:tcBorders>
            <w:noWrap w:val="0"/>
            <w:vAlign w:val="center"/>
          </w:tcPr>
          <w:p w14:paraId="058A770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nil"/>
              <w:right w:val="single" w:color="auto" w:sz="12" w:space="0"/>
            </w:tcBorders>
            <w:noWrap w:val="0"/>
            <w:vAlign w:val="center"/>
          </w:tcPr>
          <w:p w14:paraId="106961B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B351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71" w:type="dxa"/>
            <w:vMerge w:val="continue"/>
            <w:tcBorders>
              <w:top w:val="nil"/>
              <w:left w:val="single" w:color="auto" w:sz="12" w:space="0"/>
              <w:bottom w:val="single" w:color="auto" w:sz="6" w:space="0"/>
              <w:right w:val="single" w:color="auto" w:sz="6" w:space="0"/>
            </w:tcBorders>
            <w:noWrap w:val="0"/>
            <w:vAlign w:val="center"/>
          </w:tcPr>
          <w:p w14:paraId="46A6B57A">
            <w:pPr>
              <w:pStyle w:val="20"/>
              <w:widowControl/>
              <w:jc w:val="left"/>
              <w:rPr>
                <w:rStyle w:val="86"/>
                <w:rFonts w:hint="eastAsia" w:ascii="宋体" w:hAnsi="宋体" w:eastAsia="宋体" w:cs="宋体"/>
                <w:color w:val="auto"/>
                <w:kern w:val="2"/>
                <w:sz w:val="24"/>
                <w:szCs w:val="24"/>
                <w:highlight w:val="none"/>
                <w:lang w:val="en-US" w:eastAsia="zh-CN" w:bidi="ar-SA"/>
              </w:rPr>
            </w:pPr>
          </w:p>
        </w:tc>
        <w:tc>
          <w:tcPr>
            <w:tcW w:w="1418" w:type="dxa"/>
            <w:tcBorders>
              <w:top w:val="single" w:color="auto" w:sz="6" w:space="0"/>
              <w:left w:val="nil"/>
              <w:bottom w:val="single" w:color="auto" w:sz="12" w:space="0"/>
              <w:right w:val="single" w:color="auto" w:sz="6" w:space="0"/>
            </w:tcBorders>
            <w:noWrap w:val="0"/>
            <w:vAlign w:val="center"/>
          </w:tcPr>
          <w:p w14:paraId="7D512D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12" w:space="0"/>
              <w:right w:val="single" w:color="auto" w:sz="6" w:space="0"/>
            </w:tcBorders>
            <w:noWrap w:val="0"/>
            <w:vAlign w:val="center"/>
          </w:tcPr>
          <w:p w14:paraId="73E63C3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134" w:type="dxa"/>
            <w:tcBorders>
              <w:top w:val="single" w:color="auto" w:sz="6" w:space="0"/>
              <w:left w:val="nil"/>
              <w:bottom w:val="single" w:color="auto" w:sz="12" w:space="0"/>
              <w:right w:val="single" w:color="auto" w:sz="6" w:space="0"/>
            </w:tcBorders>
            <w:noWrap w:val="0"/>
            <w:vAlign w:val="center"/>
          </w:tcPr>
          <w:p w14:paraId="7D99D59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4252" w:type="dxa"/>
            <w:tcBorders>
              <w:top w:val="single" w:color="auto" w:sz="6" w:space="0"/>
              <w:left w:val="nil"/>
              <w:bottom w:val="single" w:color="auto" w:sz="12" w:space="0"/>
              <w:right w:val="single" w:color="auto" w:sz="12" w:space="0"/>
            </w:tcBorders>
            <w:noWrap w:val="0"/>
            <w:vAlign w:val="center"/>
          </w:tcPr>
          <w:p w14:paraId="31225B0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bl>
    <w:p w14:paraId="0894C7A3">
      <w:pPr>
        <w:pStyle w:val="45"/>
        <w:spacing w:line="460" w:lineRule="exact"/>
        <w:rPr>
          <w:rStyle w:val="86"/>
          <w:rFonts w:hint="eastAsia" w:ascii="宋体" w:hAnsi="宋体" w:eastAsia="宋体" w:cs="宋体"/>
          <w:color w:val="auto"/>
          <w:highlight w:val="none"/>
        </w:rPr>
      </w:pPr>
      <w:r>
        <w:rPr>
          <w:rStyle w:val="86"/>
          <w:rFonts w:hint="eastAsia" w:ascii="宋体" w:hAnsi="宋体" w:eastAsia="宋体" w:cs="宋体"/>
          <w:color w:val="auto"/>
          <w:sz w:val="24"/>
          <w:szCs w:val="24"/>
          <w:highlight w:val="none"/>
        </w:rPr>
        <w:t xml:space="preserve"> </w:t>
      </w:r>
    </w:p>
    <w:p w14:paraId="3288E26F">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附件8：</w:t>
      </w:r>
    </w:p>
    <w:p w14:paraId="320C8325">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履约担保</w:t>
      </w:r>
    </w:p>
    <w:p w14:paraId="087846A3">
      <w:pPr>
        <w:pStyle w:val="45"/>
        <w:spacing w:line="460" w:lineRule="exact"/>
        <w:jc w:val="left"/>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sz w:val="24"/>
          <w:szCs w:val="24"/>
          <w:highlight w:val="none"/>
          <w:u w:val="single"/>
        </w:rPr>
        <w:t xml:space="preserve"> </w:t>
      </w:r>
    </w:p>
    <w:p w14:paraId="30E10179">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w:t>
      </w:r>
    </w:p>
    <w:p w14:paraId="426C423E">
      <w:pPr>
        <w:pStyle w:val="45"/>
        <w:spacing w:line="32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784D6CB1">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鉴于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（发包人名称，以下简称“发包人”）与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（承包人名称）（以下称“承包人”）于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年</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月</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日就</w:t>
      </w:r>
      <w:r>
        <w:rPr>
          <w:rStyle w:val="86"/>
          <w:rFonts w:hint="eastAsia" w:ascii="宋体" w:hAnsi="宋体" w:eastAsia="宋体" w:cs="宋体"/>
          <w:color w:val="auto"/>
          <w:sz w:val="24"/>
          <w:szCs w:val="24"/>
          <w:highlight w:val="none"/>
          <w:u w:val="single"/>
          <w:lang w:val="en-US" w:eastAsia="zh-CN"/>
        </w:rPr>
        <w:t xml:space="preserve">     </w:t>
      </w:r>
      <w:r>
        <w:rPr>
          <w:rStyle w:val="86"/>
          <w:rFonts w:hint="eastAsia" w:ascii="宋体" w:hAnsi="宋体" w:eastAsia="宋体" w:cs="宋体"/>
          <w:color w:val="auto"/>
          <w:sz w:val="24"/>
          <w:szCs w:val="24"/>
          <w:highlight w:val="none"/>
        </w:rPr>
        <w:t xml:space="preserve">施工及有关事项协商一致共同签订《建设工程施工合同》。我方愿意无条件地、不可撤销地就承包人履行与你方签订的合同，向你方提供连带责任担保。 </w:t>
      </w:r>
    </w:p>
    <w:p w14:paraId="1801C55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1.担保金额人民币（大写）</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元（¥</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w:t>
      </w:r>
    </w:p>
    <w:p w14:paraId="77B8EA3A">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2.担保有效期自你方与承包人签订的合同生效之日起至你方签发或应签发工程接收证书之日止。</w:t>
      </w:r>
    </w:p>
    <w:p w14:paraId="697B9C2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3.在本担保有效期内，因承包人违反合同约定的义务给你方造成经济损失时，我方在收到你方以书面形式提出的在担保金额内的赔偿要求后，在7天内无条件支付。</w:t>
      </w:r>
    </w:p>
    <w:p w14:paraId="29955814">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4.你方和承包人按合同约定变更合同时，我方承担本担保规定的义务不变。</w:t>
      </w:r>
    </w:p>
    <w:p w14:paraId="1C416ED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5.因本保函发生的纠纷，可由双方协商解决，协商不成的，任何一方均可通过到甲方所在地法院诉讼的方式解决争议。</w:t>
      </w:r>
    </w:p>
    <w:p w14:paraId="3D110D4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6.本保函自我方法定代表人（或其授权代理人）签字并加盖公章之日起生效。</w:t>
      </w:r>
    </w:p>
    <w:p w14:paraId="04EF3EFA">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414194BE">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担 保 人：</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（盖单位章）</w:t>
      </w:r>
    </w:p>
    <w:p w14:paraId="6E099423">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法定代表人或其委托代理人：</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（签字）</w:t>
      </w:r>
    </w:p>
    <w:p w14:paraId="401687AB">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地    址：</w:t>
      </w:r>
      <w:r>
        <w:rPr>
          <w:rStyle w:val="86"/>
          <w:rFonts w:hint="eastAsia" w:ascii="宋体" w:hAnsi="宋体" w:eastAsia="宋体" w:cs="宋体"/>
          <w:color w:val="auto"/>
          <w:sz w:val="24"/>
          <w:szCs w:val="24"/>
          <w:highlight w:val="none"/>
          <w:u w:val="single"/>
        </w:rPr>
        <w:t xml:space="preserve">                                      </w:t>
      </w:r>
    </w:p>
    <w:p w14:paraId="4F85FC4F">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邮政编码：</w:t>
      </w:r>
      <w:r>
        <w:rPr>
          <w:rStyle w:val="86"/>
          <w:rFonts w:hint="eastAsia" w:ascii="宋体" w:hAnsi="宋体" w:eastAsia="宋体" w:cs="宋体"/>
          <w:color w:val="auto"/>
          <w:sz w:val="24"/>
          <w:szCs w:val="24"/>
          <w:highlight w:val="none"/>
          <w:u w:val="single"/>
        </w:rPr>
        <w:t xml:space="preserve">                                      </w:t>
      </w:r>
    </w:p>
    <w:p w14:paraId="6040B2B9">
      <w:pPr>
        <w:pStyle w:val="45"/>
        <w:spacing w:line="460" w:lineRule="exact"/>
        <w:jc w:val="left"/>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sz w:val="24"/>
          <w:szCs w:val="24"/>
          <w:highlight w:val="none"/>
        </w:rPr>
        <w:t>电    话：</w:t>
      </w:r>
      <w:r>
        <w:rPr>
          <w:rStyle w:val="86"/>
          <w:rFonts w:hint="eastAsia" w:ascii="宋体" w:hAnsi="宋体" w:eastAsia="宋体" w:cs="宋体"/>
          <w:color w:val="auto"/>
          <w:sz w:val="24"/>
          <w:szCs w:val="24"/>
          <w:highlight w:val="none"/>
          <w:u w:val="single"/>
        </w:rPr>
        <w:t xml:space="preserve">                                      </w:t>
      </w:r>
    </w:p>
    <w:p w14:paraId="1D08F685">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传    真：</w:t>
      </w:r>
      <w:r>
        <w:rPr>
          <w:rStyle w:val="86"/>
          <w:rFonts w:hint="eastAsia" w:ascii="宋体" w:hAnsi="宋体" w:eastAsia="宋体" w:cs="宋体"/>
          <w:color w:val="auto"/>
          <w:sz w:val="24"/>
          <w:szCs w:val="24"/>
          <w:highlight w:val="none"/>
          <w:u w:val="single"/>
        </w:rPr>
        <w:t xml:space="preserve">                                      </w:t>
      </w:r>
    </w:p>
    <w:p w14:paraId="5A8DB39A">
      <w:pPr>
        <w:pStyle w:val="45"/>
        <w:spacing w:line="460" w:lineRule="exact"/>
        <w:jc w:val="left"/>
        <w:rPr>
          <w:rStyle w:val="86"/>
          <w:rFonts w:hint="eastAsia" w:ascii="宋体" w:hAnsi="宋体" w:eastAsia="宋体" w:cs="宋体"/>
          <w:color w:val="auto"/>
          <w:sz w:val="24"/>
          <w:szCs w:val="24"/>
          <w:highlight w:val="none"/>
          <w:u w:val="single"/>
        </w:rPr>
      </w:pPr>
      <w:r>
        <w:rPr>
          <w:rStyle w:val="86"/>
          <w:rFonts w:hint="eastAsia" w:ascii="宋体" w:hAnsi="宋体" w:eastAsia="宋体" w:cs="宋体"/>
          <w:color w:val="auto"/>
          <w:sz w:val="24"/>
          <w:szCs w:val="24"/>
          <w:highlight w:val="none"/>
          <w:u w:val="single"/>
        </w:rPr>
        <w:t xml:space="preserve"> </w:t>
      </w:r>
    </w:p>
    <w:p w14:paraId="623E5B42">
      <w:pPr>
        <w:pStyle w:val="45"/>
        <w:wordWrap w:val="0"/>
        <w:spacing w:line="460" w:lineRule="exact"/>
        <w:ind w:left="1519" w:hanging="1519" w:hangingChars="633"/>
        <w:jc w:val="righ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年</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月</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 xml:space="preserve">日    </w:t>
      </w:r>
    </w:p>
    <w:p w14:paraId="77FEAF4D">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附件9 ：</w:t>
      </w:r>
    </w:p>
    <w:p w14:paraId="77FD0946">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支付担保</w:t>
      </w:r>
    </w:p>
    <w:p w14:paraId="6AB33B9E">
      <w:pPr>
        <w:pStyle w:val="45"/>
        <w:spacing w:line="44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（承包人）：</w:t>
      </w:r>
    </w:p>
    <w:p w14:paraId="6AE3815F">
      <w:pPr>
        <w:pStyle w:val="19"/>
        <w:spacing w:line="320" w:lineRule="exact"/>
        <w:ind w:firstLine="360"/>
        <w:rPr>
          <w:rStyle w:val="86"/>
          <w:rFonts w:hint="eastAsia" w:ascii="宋体" w:hAnsi="宋体" w:eastAsia="宋体" w:cs="宋体"/>
          <w:color w:val="auto"/>
          <w:highlight w:val="none"/>
        </w:rPr>
      </w:pPr>
      <w:r>
        <w:rPr>
          <w:rStyle w:val="86"/>
          <w:rFonts w:hint="eastAsia" w:ascii="宋体" w:hAnsi="宋体" w:eastAsia="宋体" w:cs="宋体"/>
          <w:color w:val="auto"/>
          <w:highlight w:val="none"/>
        </w:rPr>
        <w:t xml:space="preserve"> </w:t>
      </w:r>
    </w:p>
    <w:p w14:paraId="5B025C4D">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鉴于你方作为承包人已经与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（发包人名称）（以下称“发包人”）于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年</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月</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日签订了</w:t>
      </w:r>
      <w:r>
        <w:rPr>
          <w:rStyle w:val="86"/>
          <w:rFonts w:hint="eastAsia" w:ascii="宋体" w:hAnsi="宋体" w:eastAsia="宋体" w:cs="宋体"/>
          <w:color w:val="auto"/>
          <w:sz w:val="24"/>
          <w:szCs w:val="24"/>
          <w:highlight w:val="none"/>
          <w:u w:val="single"/>
          <w:lang w:val="en-US" w:eastAsia="zh-CN"/>
        </w:rPr>
        <w:t xml:space="preserve">      </w:t>
      </w:r>
      <w:r>
        <w:rPr>
          <w:rStyle w:val="86"/>
          <w:rFonts w:hint="eastAsia" w:ascii="宋体" w:hAnsi="宋体" w:eastAsia="宋体" w:cs="宋体"/>
          <w:color w:val="auto"/>
          <w:sz w:val="24"/>
          <w:szCs w:val="24"/>
          <w:highlight w:val="none"/>
        </w:rPr>
        <w:t>《建设工程施工合同》（以下称“主合同”），应发包人的申请，我方愿就发包人履行主合同约定的工程款支付义务以保证的方式向你方提供如下担保：</w:t>
      </w:r>
    </w:p>
    <w:p w14:paraId="693C2B78">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一、保证的范围及保证金额</w:t>
      </w:r>
    </w:p>
    <w:p w14:paraId="4C8B1D10">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1.我方的保证范围是主合同约定的工程款。</w:t>
      </w:r>
    </w:p>
    <w:p w14:paraId="7237776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2.本保函所称主合同约定的工程款是指主合同约定的除工程质量保证金以外的合同价款。</w:t>
      </w:r>
    </w:p>
    <w:p w14:paraId="06D5C3B6">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3.我方保证的金额是主合同约定的工程款的</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%，数额最高不超过人民币</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元（大写：</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w:t>
      </w:r>
    </w:p>
    <w:p w14:paraId="0F414023">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二、保证的方式及保证期间</w:t>
      </w:r>
    </w:p>
    <w:p w14:paraId="03E37E5F">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1.我方保证的方式为：连带责任保证。</w:t>
      </w:r>
    </w:p>
    <w:p w14:paraId="3F54976E">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2.我方保证的期间为：自本合同生效之日起至主合同约定的工程款支付完毕之日后</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日内。</w:t>
      </w:r>
    </w:p>
    <w:p w14:paraId="667C9734">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3.你方与发包人协议变更工程款支付日期的，经我方书面同意后，保证期间按照变更后的支付日期做相应调整。</w:t>
      </w:r>
    </w:p>
    <w:p w14:paraId="6132A18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三、承担保证责任的形式</w:t>
      </w:r>
    </w:p>
    <w:p w14:paraId="24D99EFE">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我方承担保证责任的形式是代为支付。发包人未按主合同约定向你方支付工程款的，由我方在保证金额内代为支付。</w:t>
      </w:r>
    </w:p>
    <w:p w14:paraId="16AFA547">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四、代偿的安排</w:t>
      </w:r>
    </w:p>
    <w:p w14:paraId="489CC65B">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1.你方要求我方承担保证责任的，应向我方发出书面索赔通知及发包人未支付主合同约定工程款的证明材料。索赔通知应写明要求索赔的金额，支付款项应到达的账号。</w:t>
      </w:r>
    </w:p>
    <w:p w14:paraId="105648A9">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2.在出现你方与发包人因工程质量发生争议，发包人拒绝向你方支付工程款的情形时，你方要求我方履行保证责任代为支付的，需提供符合相应条件要求的工程质量检测机构出具的质量说明材料。</w:t>
      </w:r>
    </w:p>
    <w:p w14:paraId="01B74846">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3.我方收到你方的书面索赔通知及相应的证明材料后７天内无条件支付。</w:t>
      </w:r>
    </w:p>
    <w:p w14:paraId="23C0F8A4">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五、保证责任的解除</w:t>
      </w:r>
    </w:p>
    <w:p w14:paraId="010762FA">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1.在本保函承诺的保证期间内，你方未书面向我方主张保证责任的，自保证期间届满次日起，我方保证责任解除。</w:t>
      </w:r>
    </w:p>
    <w:p w14:paraId="572CAD1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2.发包人按主合同约定履行了工程款的全部支付义务的，自本保函承诺的保证期间届满次日起，我方保证责任解除。</w:t>
      </w:r>
    </w:p>
    <w:p w14:paraId="6A5AF650">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3.我方按照本保函向你方履行保证责任所支付金额达到本保函保证金额时，自我方向你方支付（支付款项从我方账户划出）之日起，保证责任即解除。</w:t>
      </w:r>
    </w:p>
    <w:p w14:paraId="23DDE4AA">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4.按照法律法规的规定或出现应解除我方保证责任的其他情形的，我方在本保函项下的保证责任亦解除。</w:t>
      </w:r>
    </w:p>
    <w:p w14:paraId="56329E83">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5.我方解除保证责任后，你方应自我方保证责任解除之日起</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个工作日内，将本保函原件返还我方。</w:t>
      </w:r>
    </w:p>
    <w:p w14:paraId="3D71047A">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六、免责条款</w:t>
      </w:r>
    </w:p>
    <w:p w14:paraId="2D128125">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1.因你方违约致使发包人不能履行义务的，我方不承担保证责任。</w:t>
      </w:r>
    </w:p>
    <w:p w14:paraId="075289AE">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2.依照法律法规的规定或你方与发包人的另行约定，免除发包人部分或全部义务的，我方亦免除其相应的保证责任。</w:t>
      </w:r>
    </w:p>
    <w:p w14:paraId="520C9934">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3.你方与发包人协议变更主合同的，如加重发包人责任致使我方保证责任加重的，需征得我方书面同意，否则我方不再承担因此而加重部分的保证责任，但主合同第10条〔变更〕约定的变更不受本款限制。</w:t>
      </w:r>
    </w:p>
    <w:p w14:paraId="193FB28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4.因不可抗力造成发包人不能履行义务的，我方不承担保证责任。</w:t>
      </w:r>
    </w:p>
    <w:p w14:paraId="17D9C189">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七、争议解决</w:t>
      </w:r>
    </w:p>
    <w:p w14:paraId="797EE915">
      <w:pPr>
        <w:pStyle w:val="45"/>
        <w:spacing w:line="460" w:lineRule="exact"/>
        <w:ind w:firstLine="480" w:firstLineChars="200"/>
        <w:jc w:val="left"/>
        <w:rPr>
          <w:rStyle w:val="86"/>
          <w:rFonts w:hint="eastAsia" w:ascii="宋体" w:hAnsi="宋体" w:eastAsia="宋体" w:cs="宋体"/>
          <w:color w:val="auto"/>
          <w:sz w:val="24"/>
          <w:szCs w:val="24"/>
          <w:highlight w:val="none"/>
          <w:lang w:eastAsia="zh-CN"/>
        </w:rPr>
      </w:pPr>
      <w:r>
        <w:rPr>
          <w:rStyle w:val="86"/>
          <w:rFonts w:hint="eastAsia" w:ascii="宋体" w:hAnsi="宋体" w:eastAsia="宋体" w:cs="宋体"/>
          <w:color w:val="auto"/>
          <w:sz w:val="24"/>
          <w:szCs w:val="24"/>
          <w:highlight w:val="none"/>
        </w:rPr>
        <w:t>因本保函或本保函相关事项发生的纠纷，可由双方协商解决，协商不成的，通过到甲方所在地法院诉讼的方式解决争议</w:t>
      </w:r>
      <w:r>
        <w:rPr>
          <w:rStyle w:val="86"/>
          <w:rFonts w:hint="eastAsia" w:ascii="宋体" w:hAnsi="宋体" w:eastAsia="宋体" w:cs="宋体"/>
          <w:color w:val="auto"/>
          <w:sz w:val="24"/>
          <w:szCs w:val="24"/>
          <w:highlight w:val="none"/>
          <w:lang w:eastAsia="zh-CN"/>
        </w:rPr>
        <w:t>。</w:t>
      </w:r>
    </w:p>
    <w:p w14:paraId="042B7FF2">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八、保函的生效</w:t>
      </w:r>
    </w:p>
    <w:p w14:paraId="4422F599">
      <w:pPr>
        <w:pStyle w:val="45"/>
        <w:spacing w:line="460" w:lineRule="exact"/>
        <w:ind w:firstLine="480" w:firstLineChars="200"/>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本保函自我方法定代表人（或其授权代理人）签字并加盖公章之日起生效。</w:t>
      </w:r>
    </w:p>
    <w:p w14:paraId="55BDCE76">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担保人：</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（盖章）</w:t>
      </w:r>
    </w:p>
    <w:p w14:paraId="421E50D1">
      <w:pPr>
        <w:pStyle w:val="45"/>
        <w:spacing w:line="46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法定代表人或委托代理人：</w:t>
      </w:r>
      <w:r>
        <w:rPr>
          <w:rStyle w:val="86"/>
          <w:rFonts w:hint="eastAsia" w:ascii="宋体" w:hAnsi="宋体" w:eastAsia="宋体" w:cs="宋体"/>
          <w:color w:val="auto"/>
          <w:sz w:val="24"/>
          <w:szCs w:val="24"/>
          <w:highlight w:val="none"/>
          <w:u w:val="single"/>
        </w:rPr>
        <w:t xml:space="preserve">                   </w:t>
      </w:r>
      <w:r>
        <w:rPr>
          <w:rStyle w:val="86"/>
          <w:rFonts w:hint="eastAsia" w:ascii="宋体" w:hAnsi="宋体" w:eastAsia="宋体" w:cs="宋体"/>
          <w:color w:val="auto"/>
          <w:sz w:val="24"/>
          <w:szCs w:val="24"/>
          <w:highlight w:val="none"/>
        </w:rPr>
        <w:t>（签字）</w:t>
      </w:r>
    </w:p>
    <w:p w14:paraId="2370B3AC">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地    址：</w:t>
      </w:r>
      <w:r>
        <w:rPr>
          <w:rStyle w:val="86"/>
          <w:rFonts w:hint="eastAsia" w:ascii="宋体" w:hAnsi="宋体" w:eastAsia="宋体" w:cs="宋体"/>
          <w:color w:val="auto"/>
          <w:sz w:val="24"/>
          <w:szCs w:val="24"/>
          <w:highlight w:val="none"/>
          <w:u w:val="single"/>
        </w:rPr>
        <w:t xml:space="preserve">                                        </w:t>
      </w:r>
    </w:p>
    <w:p w14:paraId="4A51BE22">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邮政编码：</w:t>
      </w:r>
      <w:r>
        <w:rPr>
          <w:rStyle w:val="86"/>
          <w:rFonts w:hint="eastAsia" w:ascii="宋体" w:hAnsi="宋体" w:eastAsia="宋体" w:cs="宋体"/>
          <w:color w:val="auto"/>
          <w:sz w:val="24"/>
          <w:szCs w:val="24"/>
          <w:highlight w:val="none"/>
          <w:u w:val="single"/>
        </w:rPr>
        <w:t xml:space="preserve">                                        </w:t>
      </w:r>
    </w:p>
    <w:p w14:paraId="0CA99207">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传    真：</w:t>
      </w:r>
      <w:r>
        <w:rPr>
          <w:rStyle w:val="86"/>
          <w:rFonts w:hint="eastAsia" w:ascii="宋体" w:hAnsi="宋体" w:eastAsia="宋体" w:cs="宋体"/>
          <w:color w:val="auto"/>
          <w:sz w:val="24"/>
          <w:szCs w:val="24"/>
          <w:highlight w:val="none"/>
          <w:u w:val="single"/>
        </w:rPr>
        <w:t xml:space="preserve">                                        </w:t>
      </w:r>
    </w:p>
    <w:p w14:paraId="3C9E2280">
      <w:pPr>
        <w:pStyle w:val="45"/>
        <w:spacing w:line="460" w:lineRule="exact"/>
        <w:jc w:val="lef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 xml:space="preserve"> 附件1</w:t>
      </w:r>
      <w:r>
        <w:rPr>
          <w:rStyle w:val="86"/>
          <w:rFonts w:hint="eastAsia" w:ascii="宋体" w:hAnsi="宋体" w:eastAsia="宋体" w:cs="宋体"/>
          <w:color w:val="auto"/>
          <w:sz w:val="24"/>
          <w:szCs w:val="24"/>
          <w:highlight w:val="none"/>
          <w:lang w:val="en-US" w:eastAsia="zh-CN"/>
        </w:rPr>
        <w:t>0</w:t>
      </w:r>
      <w:r>
        <w:rPr>
          <w:rStyle w:val="86"/>
          <w:rFonts w:hint="eastAsia" w:ascii="宋体" w:hAnsi="宋体" w:eastAsia="宋体" w:cs="宋体"/>
          <w:color w:val="auto"/>
          <w:sz w:val="24"/>
          <w:szCs w:val="24"/>
          <w:highlight w:val="none"/>
        </w:rPr>
        <w:t>：</w:t>
      </w:r>
    </w:p>
    <w:p w14:paraId="7B516158">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1</w:t>
      </w:r>
      <w:r>
        <w:rPr>
          <w:rStyle w:val="86"/>
          <w:rFonts w:hint="eastAsia" w:ascii="宋体" w:hAnsi="宋体" w:eastAsia="宋体" w:cs="宋体"/>
          <w:color w:val="auto"/>
          <w:sz w:val="32"/>
          <w:szCs w:val="32"/>
          <w:highlight w:val="none"/>
          <w:lang w:val="en-US" w:eastAsia="zh-CN"/>
        </w:rPr>
        <w:t>0</w:t>
      </w:r>
      <w:r>
        <w:rPr>
          <w:rStyle w:val="86"/>
          <w:rFonts w:hint="eastAsia" w:ascii="宋体" w:hAnsi="宋体" w:eastAsia="宋体" w:cs="宋体"/>
          <w:color w:val="auto"/>
          <w:sz w:val="32"/>
          <w:szCs w:val="32"/>
          <w:highlight w:val="none"/>
        </w:rPr>
        <w:t>-1：材料暂估价表</w:t>
      </w:r>
    </w:p>
    <w:tbl>
      <w:tblPr>
        <w:tblStyle w:val="27"/>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6B35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12" w:space="0"/>
              <w:left w:val="single" w:color="auto" w:sz="12" w:space="0"/>
              <w:bottom w:val="double" w:color="auto" w:sz="2" w:space="0"/>
              <w:right w:val="single" w:color="auto" w:sz="6" w:space="0"/>
            </w:tcBorders>
            <w:noWrap w:val="0"/>
            <w:vAlign w:val="top"/>
          </w:tcPr>
          <w:p w14:paraId="7776854B">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序号</w:t>
            </w:r>
          </w:p>
        </w:tc>
        <w:tc>
          <w:tcPr>
            <w:tcW w:w="1984" w:type="dxa"/>
            <w:tcBorders>
              <w:top w:val="single" w:color="auto" w:sz="12" w:space="0"/>
              <w:left w:val="nil"/>
              <w:bottom w:val="double" w:color="auto" w:sz="2" w:space="0"/>
              <w:right w:val="single" w:color="auto" w:sz="6" w:space="0"/>
            </w:tcBorders>
            <w:noWrap w:val="0"/>
            <w:vAlign w:val="top"/>
          </w:tcPr>
          <w:p w14:paraId="67768FD2">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名称</w:t>
            </w:r>
          </w:p>
        </w:tc>
        <w:tc>
          <w:tcPr>
            <w:tcW w:w="851" w:type="dxa"/>
            <w:tcBorders>
              <w:top w:val="single" w:color="auto" w:sz="12" w:space="0"/>
              <w:left w:val="nil"/>
              <w:bottom w:val="double" w:color="auto" w:sz="2" w:space="0"/>
              <w:right w:val="single" w:color="auto" w:sz="6" w:space="0"/>
            </w:tcBorders>
            <w:noWrap w:val="0"/>
            <w:vAlign w:val="top"/>
          </w:tcPr>
          <w:p w14:paraId="047186A2">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单位</w:t>
            </w:r>
          </w:p>
        </w:tc>
        <w:tc>
          <w:tcPr>
            <w:tcW w:w="774" w:type="dxa"/>
            <w:tcBorders>
              <w:top w:val="single" w:color="auto" w:sz="12" w:space="0"/>
              <w:left w:val="nil"/>
              <w:bottom w:val="double" w:color="auto" w:sz="2" w:space="0"/>
              <w:right w:val="single" w:color="auto" w:sz="6" w:space="0"/>
            </w:tcBorders>
            <w:noWrap w:val="0"/>
            <w:vAlign w:val="top"/>
          </w:tcPr>
          <w:p w14:paraId="79CB5112">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数量</w:t>
            </w:r>
          </w:p>
        </w:tc>
        <w:tc>
          <w:tcPr>
            <w:tcW w:w="1352" w:type="dxa"/>
            <w:tcBorders>
              <w:top w:val="single" w:color="auto" w:sz="12" w:space="0"/>
              <w:left w:val="nil"/>
              <w:bottom w:val="double" w:color="auto" w:sz="2" w:space="0"/>
              <w:right w:val="single" w:color="auto" w:sz="6" w:space="0"/>
            </w:tcBorders>
            <w:noWrap w:val="0"/>
            <w:vAlign w:val="top"/>
          </w:tcPr>
          <w:p w14:paraId="2C31158E">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单价（元）</w:t>
            </w:r>
          </w:p>
        </w:tc>
        <w:tc>
          <w:tcPr>
            <w:tcW w:w="1418" w:type="dxa"/>
            <w:tcBorders>
              <w:top w:val="single" w:color="auto" w:sz="12" w:space="0"/>
              <w:left w:val="nil"/>
              <w:bottom w:val="double" w:color="auto" w:sz="2" w:space="0"/>
              <w:right w:val="single" w:color="auto" w:sz="6" w:space="0"/>
            </w:tcBorders>
            <w:noWrap w:val="0"/>
            <w:vAlign w:val="top"/>
          </w:tcPr>
          <w:p w14:paraId="7BD43A9D">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合价（元）</w:t>
            </w:r>
          </w:p>
        </w:tc>
        <w:tc>
          <w:tcPr>
            <w:tcW w:w="1701" w:type="dxa"/>
            <w:tcBorders>
              <w:top w:val="single" w:color="auto" w:sz="12" w:space="0"/>
              <w:left w:val="nil"/>
              <w:bottom w:val="double" w:color="auto" w:sz="2" w:space="0"/>
              <w:right w:val="single" w:color="auto" w:sz="12" w:space="0"/>
            </w:tcBorders>
            <w:noWrap w:val="0"/>
            <w:vAlign w:val="top"/>
          </w:tcPr>
          <w:p w14:paraId="73588D68">
            <w:pPr>
              <w:pStyle w:val="52"/>
              <w:keepNext/>
              <w:widowControl w:val="0"/>
              <w:spacing w:line="460" w:lineRule="exact"/>
              <w:ind w:left="63" w:right="63" w:firstLine="480"/>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备注</w:t>
            </w:r>
          </w:p>
        </w:tc>
      </w:tr>
      <w:tr w14:paraId="5ACCD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nil"/>
              <w:left w:val="single" w:color="auto" w:sz="12" w:space="0"/>
              <w:bottom w:val="single" w:color="auto" w:sz="6" w:space="0"/>
              <w:right w:val="single" w:color="auto" w:sz="6" w:space="0"/>
            </w:tcBorders>
            <w:noWrap w:val="0"/>
            <w:vAlign w:val="top"/>
          </w:tcPr>
          <w:p w14:paraId="5A221F8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nil"/>
              <w:left w:val="nil"/>
              <w:bottom w:val="single" w:color="auto" w:sz="6" w:space="0"/>
              <w:right w:val="single" w:color="auto" w:sz="6" w:space="0"/>
            </w:tcBorders>
            <w:noWrap w:val="0"/>
            <w:vAlign w:val="top"/>
          </w:tcPr>
          <w:p w14:paraId="26269B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nil"/>
              <w:left w:val="nil"/>
              <w:bottom w:val="single" w:color="auto" w:sz="6" w:space="0"/>
              <w:right w:val="single" w:color="auto" w:sz="6" w:space="0"/>
            </w:tcBorders>
            <w:noWrap w:val="0"/>
            <w:vAlign w:val="top"/>
          </w:tcPr>
          <w:p w14:paraId="42B6279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nil"/>
              <w:left w:val="nil"/>
              <w:bottom w:val="single" w:color="auto" w:sz="6" w:space="0"/>
              <w:right w:val="single" w:color="auto" w:sz="6" w:space="0"/>
            </w:tcBorders>
            <w:noWrap w:val="0"/>
            <w:vAlign w:val="top"/>
          </w:tcPr>
          <w:p w14:paraId="20E22EC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nil"/>
              <w:left w:val="nil"/>
              <w:bottom w:val="single" w:color="auto" w:sz="6" w:space="0"/>
              <w:right w:val="single" w:color="auto" w:sz="6" w:space="0"/>
            </w:tcBorders>
            <w:noWrap w:val="0"/>
            <w:vAlign w:val="top"/>
          </w:tcPr>
          <w:p w14:paraId="61DC456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nil"/>
              <w:left w:val="nil"/>
              <w:bottom w:val="single" w:color="auto" w:sz="6" w:space="0"/>
              <w:right w:val="single" w:color="auto" w:sz="6" w:space="0"/>
            </w:tcBorders>
            <w:noWrap w:val="0"/>
            <w:vAlign w:val="top"/>
          </w:tcPr>
          <w:p w14:paraId="2DF99CE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nil"/>
              <w:left w:val="nil"/>
              <w:bottom w:val="single" w:color="auto" w:sz="6" w:space="0"/>
              <w:right w:val="single" w:color="auto" w:sz="12" w:space="0"/>
            </w:tcBorders>
            <w:noWrap w:val="0"/>
            <w:vAlign w:val="top"/>
          </w:tcPr>
          <w:p w14:paraId="7EE2B4A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FB47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6055149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5CCC04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9E9960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7F255F0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2F5E914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6CE7A19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4EBACC9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D4B8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6129894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22E2DAB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36E3B12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44834FF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E69A1A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9B694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A58D1E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D77D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561C40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5EC7F5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3F8CF1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841A48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5641A1F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DCE24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0F88A59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6C09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79545CC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5FCB7FD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07FBF6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3F4C24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280D09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043B3E6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7D86D5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BEAF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4D67AD4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12E2E2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0ABF76F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64921E9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3B932A7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500E8C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4C38A7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D531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06C0E09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73DC37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38868B7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5D41AA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35EADAD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67FCFD1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723455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0D42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2B2AF31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DAB1BA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2FF9869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94F187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246B0C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7C9A8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83A87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907C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068CACE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CF12EC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6EC2ED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0AF9D20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A67A4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BFAE0C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5E9849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9D3E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1D24AC5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9831FC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3A2C717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42EC503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4EDF22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0075D2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6947CF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F69E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40EA4B3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7C866A4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B67F59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07DCE05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5B3FD1D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3C64D9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98E17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D3C3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5F6B13B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B92EAB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2697372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377BD8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7BE490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568CBF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641178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D8A9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5776B1B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3FB16CB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D79527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86325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92CC10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01AFC80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A41441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84F5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3243C49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7EDB345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935256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46D6AD9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033513B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B14A34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453A5F4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2EE0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35FD49A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16D99F5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6281456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72D39F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6B8A09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0A9274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92AA2C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4832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0D2FCE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3D75E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218172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6AAFC89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44332DC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3AA7F91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91A08F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A936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79BB78A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47C8CD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35641A9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67040B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F240F8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22DD64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5C5A89F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EDE9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6" w:space="0"/>
              <w:right w:val="single" w:color="auto" w:sz="6" w:space="0"/>
            </w:tcBorders>
            <w:noWrap w:val="0"/>
            <w:vAlign w:val="top"/>
          </w:tcPr>
          <w:p w14:paraId="0212DD8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7047D83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FC86B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E94C6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552C3AF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0903C5B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D6D24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D5D4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93" w:type="dxa"/>
            <w:tcBorders>
              <w:top w:val="single" w:color="auto" w:sz="6" w:space="0"/>
              <w:left w:val="single" w:color="auto" w:sz="12" w:space="0"/>
              <w:bottom w:val="single" w:color="auto" w:sz="12" w:space="0"/>
              <w:right w:val="single" w:color="auto" w:sz="6" w:space="0"/>
            </w:tcBorders>
            <w:noWrap w:val="0"/>
            <w:vAlign w:val="top"/>
          </w:tcPr>
          <w:p w14:paraId="39B2358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12" w:space="0"/>
              <w:right w:val="single" w:color="auto" w:sz="6" w:space="0"/>
            </w:tcBorders>
            <w:noWrap w:val="0"/>
            <w:vAlign w:val="top"/>
          </w:tcPr>
          <w:p w14:paraId="70D3194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12" w:space="0"/>
              <w:right w:val="single" w:color="auto" w:sz="6" w:space="0"/>
            </w:tcBorders>
            <w:noWrap w:val="0"/>
            <w:vAlign w:val="top"/>
          </w:tcPr>
          <w:p w14:paraId="75B6DF5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12" w:space="0"/>
              <w:right w:val="single" w:color="auto" w:sz="6" w:space="0"/>
            </w:tcBorders>
            <w:noWrap w:val="0"/>
            <w:vAlign w:val="top"/>
          </w:tcPr>
          <w:p w14:paraId="6650669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12" w:space="0"/>
              <w:right w:val="single" w:color="auto" w:sz="6" w:space="0"/>
            </w:tcBorders>
            <w:noWrap w:val="0"/>
            <w:vAlign w:val="top"/>
          </w:tcPr>
          <w:p w14:paraId="59CF507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12" w:space="0"/>
              <w:right w:val="single" w:color="auto" w:sz="6" w:space="0"/>
            </w:tcBorders>
            <w:noWrap w:val="0"/>
            <w:vAlign w:val="top"/>
          </w:tcPr>
          <w:p w14:paraId="69DD5D4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12" w:space="0"/>
              <w:right w:val="single" w:color="auto" w:sz="12" w:space="0"/>
            </w:tcBorders>
            <w:noWrap w:val="0"/>
            <w:vAlign w:val="top"/>
          </w:tcPr>
          <w:p w14:paraId="4141F93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bl>
    <w:p w14:paraId="5209B584">
      <w:pPr>
        <w:pStyle w:val="45"/>
        <w:spacing w:line="460" w:lineRule="exact"/>
        <w:rPr>
          <w:rStyle w:val="86"/>
          <w:rFonts w:hint="eastAsia" w:ascii="宋体" w:hAnsi="宋体" w:eastAsia="宋体" w:cs="宋体"/>
          <w:color w:val="auto"/>
          <w:highlight w:val="none"/>
        </w:rPr>
      </w:pPr>
      <w:r>
        <w:rPr>
          <w:rStyle w:val="86"/>
          <w:rFonts w:hint="eastAsia" w:ascii="宋体" w:hAnsi="宋体" w:eastAsia="宋体" w:cs="宋体"/>
          <w:color w:val="auto"/>
          <w:sz w:val="24"/>
          <w:szCs w:val="24"/>
          <w:highlight w:val="none"/>
        </w:rPr>
        <w:t xml:space="preserve"> </w:t>
      </w:r>
    </w:p>
    <w:p w14:paraId="249400FA">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br w:type="page"/>
      </w:r>
      <w:r>
        <w:rPr>
          <w:rStyle w:val="86"/>
          <w:rFonts w:hint="eastAsia" w:ascii="宋体" w:hAnsi="宋体" w:eastAsia="宋体" w:cs="宋体"/>
          <w:color w:val="auto"/>
          <w:sz w:val="32"/>
          <w:szCs w:val="32"/>
          <w:highlight w:val="none"/>
        </w:rPr>
        <w:t>1</w:t>
      </w:r>
      <w:r>
        <w:rPr>
          <w:rStyle w:val="86"/>
          <w:rFonts w:hint="eastAsia" w:ascii="宋体" w:hAnsi="宋体" w:eastAsia="宋体" w:cs="宋体"/>
          <w:color w:val="auto"/>
          <w:sz w:val="32"/>
          <w:szCs w:val="32"/>
          <w:highlight w:val="none"/>
          <w:lang w:val="en-US" w:eastAsia="zh-CN"/>
        </w:rPr>
        <w:t>0</w:t>
      </w:r>
      <w:r>
        <w:rPr>
          <w:rStyle w:val="86"/>
          <w:rFonts w:hint="eastAsia" w:ascii="宋体" w:hAnsi="宋体" w:eastAsia="宋体" w:cs="宋体"/>
          <w:color w:val="auto"/>
          <w:sz w:val="32"/>
          <w:szCs w:val="32"/>
          <w:highlight w:val="none"/>
        </w:rPr>
        <w:t>-2：工程设备暂估价表</w:t>
      </w:r>
    </w:p>
    <w:tbl>
      <w:tblPr>
        <w:tblStyle w:val="27"/>
        <w:tblW w:w="9073" w:type="dxa"/>
        <w:tblInd w:w="4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FF36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12" w:space="0"/>
              <w:left w:val="single" w:color="auto" w:sz="12" w:space="0"/>
              <w:bottom w:val="double" w:color="auto" w:sz="2" w:space="0"/>
              <w:right w:val="single" w:color="auto" w:sz="6" w:space="0"/>
            </w:tcBorders>
            <w:noWrap w:val="0"/>
            <w:vAlign w:val="top"/>
          </w:tcPr>
          <w:p w14:paraId="1355BA4C">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序号</w:t>
            </w:r>
          </w:p>
        </w:tc>
        <w:tc>
          <w:tcPr>
            <w:tcW w:w="1984" w:type="dxa"/>
            <w:tcBorders>
              <w:top w:val="single" w:color="auto" w:sz="12" w:space="0"/>
              <w:left w:val="nil"/>
              <w:bottom w:val="double" w:color="auto" w:sz="2" w:space="0"/>
              <w:right w:val="single" w:color="auto" w:sz="6" w:space="0"/>
            </w:tcBorders>
            <w:noWrap w:val="0"/>
            <w:vAlign w:val="top"/>
          </w:tcPr>
          <w:p w14:paraId="25C11C8F">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名称</w:t>
            </w:r>
          </w:p>
        </w:tc>
        <w:tc>
          <w:tcPr>
            <w:tcW w:w="851" w:type="dxa"/>
            <w:tcBorders>
              <w:top w:val="single" w:color="auto" w:sz="12" w:space="0"/>
              <w:left w:val="nil"/>
              <w:bottom w:val="double" w:color="auto" w:sz="2" w:space="0"/>
              <w:right w:val="single" w:color="auto" w:sz="6" w:space="0"/>
            </w:tcBorders>
            <w:noWrap w:val="0"/>
            <w:vAlign w:val="top"/>
          </w:tcPr>
          <w:p w14:paraId="3E013BBC">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单位</w:t>
            </w:r>
          </w:p>
        </w:tc>
        <w:tc>
          <w:tcPr>
            <w:tcW w:w="774" w:type="dxa"/>
            <w:tcBorders>
              <w:top w:val="single" w:color="auto" w:sz="12" w:space="0"/>
              <w:left w:val="nil"/>
              <w:bottom w:val="double" w:color="auto" w:sz="2" w:space="0"/>
              <w:right w:val="single" w:color="auto" w:sz="6" w:space="0"/>
            </w:tcBorders>
            <w:noWrap w:val="0"/>
            <w:vAlign w:val="top"/>
          </w:tcPr>
          <w:p w14:paraId="5037F230">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数量</w:t>
            </w:r>
          </w:p>
        </w:tc>
        <w:tc>
          <w:tcPr>
            <w:tcW w:w="1352" w:type="dxa"/>
            <w:tcBorders>
              <w:top w:val="single" w:color="auto" w:sz="12" w:space="0"/>
              <w:left w:val="nil"/>
              <w:bottom w:val="double" w:color="auto" w:sz="2" w:space="0"/>
              <w:right w:val="single" w:color="auto" w:sz="6" w:space="0"/>
            </w:tcBorders>
            <w:noWrap w:val="0"/>
            <w:vAlign w:val="top"/>
          </w:tcPr>
          <w:p w14:paraId="339C0B96">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单价（元）</w:t>
            </w:r>
          </w:p>
        </w:tc>
        <w:tc>
          <w:tcPr>
            <w:tcW w:w="1418" w:type="dxa"/>
            <w:tcBorders>
              <w:top w:val="single" w:color="auto" w:sz="12" w:space="0"/>
              <w:left w:val="nil"/>
              <w:bottom w:val="double" w:color="auto" w:sz="2" w:space="0"/>
              <w:right w:val="single" w:color="auto" w:sz="6" w:space="0"/>
            </w:tcBorders>
            <w:noWrap w:val="0"/>
            <w:vAlign w:val="top"/>
          </w:tcPr>
          <w:p w14:paraId="21324A78">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合价（元）</w:t>
            </w:r>
          </w:p>
        </w:tc>
        <w:tc>
          <w:tcPr>
            <w:tcW w:w="1701" w:type="dxa"/>
            <w:tcBorders>
              <w:top w:val="single" w:color="auto" w:sz="12" w:space="0"/>
              <w:left w:val="nil"/>
              <w:bottom w:val="double" w:color="auto" w:sz="2" w:space="0"/>
              <w:right w:val="single" w:color="auto" w:sz="12" w:space="0"/>
            </w:tcBorders>
            <w:noWrap w:val="0"/>
            <w:vAlign w:val="top"/>
          </w:tcPr>
          <w:p w14:paraId="05AED16F">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备注</w:t>
            </w:r>
          </w:p>
        </w:tc>
      </w:tr>
      <w:tr w14:paraId="18962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2" w:space="0"/>
              <w:left w:val="single" w:color="auto" w:sz="12" w:space="0"/>
              <w:bottom w:val="single" w:color="auto" w:sz="6" w:space="0"/>
              <w:right w:val="single" w:color="auto" w:sz="6" w:space="0"/>
            </w:tcBorders>
            <w:noWrap w:val="0"/>
            <w:vAlign w:val="top"/>
          </w:tcPr>
          <w:p w14:paraId="5F1AFE9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double" w:color="auto" w:sz="2" w:space="0"/>
              <w:left w:val="nil"/>
              <w:bottom w:val="single" w:color="auto" w:sz="6" w:space="0"/>
              <w:right w:val="single" w:color="auto" w:sz="6" w:space="0"/>
            </w:tcBorders>
            <w:noWrap w:val="0"/>
            <w:vAlign w:val="top"/>
          </w:tcPr>
          <w:p w14:paraId="366A8F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double" w:color="auto" w:sz="2" w:space="0"/>
              <w:left w:val="nil"/>
              <w:bottom w:val="single" w:color="auto" w:sz="6" w:space="0"/>
              <w:right w:val="single" w:color="auto" w:sz="6" w:space="0"/>
            </w:tcBorders>
            <w:noWrap w:val="0"/>
            <w:vAlign w:val="top"/>
          </w:tcPr>
          <w:p w14:paraId="7E7ACDB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double" w:color="auto" w:sz="2" w:space="0"/>
              <w:left w:val="nil"/>
              <w:bottom w:val="single" w:color="auto" w:sz="6" w:space="0"/>
              <w:right w:val="single" w:color="auto" w:sz="6" w:space="0"/>
            </w:tcBorders>
            <w:noWrap w:val="0"/>
            <w:vAlign w:val="top"/>
          </w:tcPr>
          <w:p w14:paraId="1ACD693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double" w:color="auto" w:sz="2" w:space="0"/>
              <w:left w:val="nil"/>
              <w:bottom w:val="single" w:color="auto" w:sz="6" w:space="0"/>
              <w:right w:val="single" w:color="auto" w:sz="6" w:space="0"/>
            </w:tcBorders>
            <w:noWrap w:val="0"/>
            <w:vAlign w:val="top"/>
          </w:tcPr>
          <w:p w14:paraId="45F4D9B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double" w:color="auto" w:sz="2" w:space="0"/>
              <w:left w:val="nil"/>
              <w:bottom w:val="single" w:color="auto" w:sz="6" w:space="0"/>
              <w:right w:val="single" w:color="auto" w:sz="6" w:space="0"/>
            </w:tcBorders>
            <w:noWrap w:val="0"/>
            <w:vAlign w:val="top"/>
          </w:tcPr>
          <w:p w14:paraId="7140F18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double" w:color="auto" w:sz="2" w:space="0"/>
              <w:left w:val="nil"/>
              <w:bottom w:val="single" w:color="auto" w:sz="6" w:space="0"/>
              <w:right w:val="single" w:color="auto" w:sz="12" w:space="0"/>
            </w:tcBorders>
            <w:noWrap w:val="0"/>
            <w:vAlign w:val="top"/>
          </w:tcPr>
          <w:p w14:paraId="1F7BC0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CD76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left w:val="single" w:color="auto" w:sz="12" w:space="0"/>
              <w:bottom w:val="single" w:color="auto" w:sz="6" w:space="0"/>
              <w:right w:val="single" w:color="auto" w:sz="6" w:space="0"/>
            </w:tcBorders>
            <w:noWrap w:val="0"/>
            <w:vAlign w:val="top"/>
          </w:tcPr>
          <w:p w14:paraId="4993E1D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nil"/>
              <w:left w:val="nil"/>
              <w:bottom w:val="single" w:color="auto" w:sz="6" w:space="0"/>
              <w:right w:val="single" w:color="auto" w:sz="6" w:space="0"/>
            </w:tcBorders>
            <w:noWrap w:val="0"/>
            <w:vAlign w:val="top"/>
          </w:tcPr>
          <w:p w14:paraId="0E16105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nil"/>
              <w:left w:val="nil"/>
              <w:bottom w:val="single" w:color="auto" w:sz="6" w:space="0"/>
              <w:right w:val="single" w:color="auto" w:sz="6" w:space="0"/>
            </w:tcBorders>
            <w:noWrap w:val="0"/>
            <w:vAlign w:val="top"/>
          </w:tcPr>
          <w:p w14:paraId="56F5256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nil"/>
              <w:left w:val="nil"/>
              <w:bottom w:val="single" w:color="auto" w:sz="6" w:space="0"/>
              <w:right w:val="single" w:color="auto" w:sz="6" w:space="0"/>
            </w:tcBorders>
            <w:noWrap w:val="0"/>
            <w:vAlign w:val="top"/>
          </w:tcPr>
          <w:p w14:paraId="3B0F9BD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nil"/>
              <w:left w:val="nil"/>
              <w:bottom w:val="single" w:color="auto" w:sz="6" w:space="0"/>
              <w:right w:val="single" w:color="auto" w:sz="6" w:space="0"/>
            </w:tcBorders>
            <w:noWrap w:val="0"/>
            <w:vAlign w:val="top"/>
          </w:tcPr>
          <w:p w14:paraId="4972DF3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nil"/>
              <w:left w:val="nil"/>
              <w:bottom w:val="single" w:color="auto" w:sz="6" w:space="0"/>
              <w:right w:val="single" w:color="auto" w:sz="6" w:space="0"/>
            </w:tcBorders>
            <w:noWrap w:val="0"/>
            <w:vAlign w:val="top"/>
          </w:tcPr>
          <w:p w14:paraId="35BF85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nil"/>
              <w:left w:val="nil"/>
              <w:bottom w:val="single" w:color="auto" w:sz="6" w:space="0"/>
              <w:right w:val="single" w:color="auto" w:sz="12" w:space="0"/>
            </w:tcBorders>
            <w:noWrap w:val="0"/>
            <w:vAlign w:val="top"/>
          </w:tcPr>
          <w:p w14:paraId="4A497D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CC30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1B86448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9C2AFB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6B3C3B8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64BD3B7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0B81BD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37584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55763DF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59C0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244A82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2BF332F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41C66E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77B71C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2DE523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F668F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5348C3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9898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30592D5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9A78BA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FB19E1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7AC955F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7F1368E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557B94F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DDC6A0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9558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0E22BCE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2333E52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42DCFC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114AF5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0C4CF79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45A5A5F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2BBB8FB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9A9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01AB38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517958A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94DA1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40BE53E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237694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42BE38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29D639B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F330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118257E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5FAFD3B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B0D4E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5AE0F5F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283561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6163C9A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298527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CBB4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59526C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1D6662E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8CADA5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41F3F1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7D476BF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62DAB34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6738035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0E24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4FF0B09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5AC0AE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81B55A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34ABF66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3E1F598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36DB9ED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332445C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23B6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567B4FA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43E251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DB2321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04DF06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7FB172A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47684C3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47AD5EA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2905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611C4D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2E0C64D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DC2FE5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A0175E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953020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3EFADDB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591CE6B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5790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25143D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404F65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46899BA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096A9A4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256B2F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07562DB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00F3BC9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0383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6237C56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26557D4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2921076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3C35E5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E2A4F7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326E684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54B0C2E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F5FE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632A1B3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266120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7A3654A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449246E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54FD9A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EA5553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0EA140B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8C0F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51230E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73D2FE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6443CC7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D09FDF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573EDC6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F4230B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7DD4E4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019B9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7DF086C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6D4BD0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12CC134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2DE7F8A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7D17981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7896F19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2A47A5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BBBF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78D74D5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057EA90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5246AEB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3FA4119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6087FB1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12E9AA4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7C27B58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FBC0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6" w:space="0"/>
              <w:right w:val="single" w:color="auto" w:sz="6" w:space="0"/>
            </w:tcBorders>
            <w:noWrap w:val="0"/>
            <w:vAlign w:val="top"/>
          </w:tcPr>
          <w:p w14:paraId="57EF2F5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6" w:space="0"/>
              <w:right w:val="single" w:color="auto" w:sz="6" w:space="0"/>
            </w:tcBorders>
            <w:noWrap w:val="0"/>
            <w:vAlign w:val="top"/>
          </w:tcPr>
          <w:p w14:paraId="403C58A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6" w:space="0"/>
              <w:right w:val="single" w:color="auto" w:sz="6" w:space="0"/>
            </w:tcBorders>
            <w:noWrap w:val="0"/>
            <w:vAlign w:val="top"/>
          </w:tcPr>
          <w:p w14:paraId="214A477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6" w:space="0"/>
              <w:right w:val="single" w:color="auto" w:sz="6" w:space="0"/>
            </w:tcBorders>
            <w:noWrap w:val="0"/>
            <w:vAlign w:val="top"/>
          </w:tcPr>
          <w:p w14:paraId="173CDB8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6" w:space="0"/>
              <w:right w:val="single" w:color="auto" w:sz="6" w:space="0"/>
            </w:tcBorders>
            <w:noWrap w:val="0"/>
            <w:vAlign w:val="top"/>
          </w:tcPr>
          <w:p w14:paraId="17EB26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6" w:space="0"/>
              <w:right w:val="single" w:color="auto" w:sz="6" w:space="0"/>
            </w:tcBorders>
            <w:noWrap w:val="0"/>
            <w:vAlign w:val="top"/>
          </w:tcPr>
          <w:p w14:paraId="5DEF125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6" w:space="0"/>
              <w:right w:val="single" w:color="auto" w:sz="12" w:space="0"/>
            </w:tcBorders>
            <w:noWrap w:val="0"/>
            <w:vAlign w:val="top"/>
          </w:tcPr>
          <w:p w14:paraId="1212DAD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9452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single" w:color="auto" w:sz="6" w:space="0"/>
              <w:left w:val="single" w:color="auto" w:sz="12" w:space="0"/>
              <w:bottom w:val="single" w:color="auto" w:sz="12" w:space="0"/>
              <w:right w:val="single" w:color="auto" w:sz="6" w:space="0"/>
            </w:tcBorders>
            <w:noWrap w:val="0"/>
            <w:vAlign w:val="top"/>
          </w:tcPr>
          <w:p w14:paraId="098A94C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984" w:type="dxa"/>
            <w:tcBorders>
              <w:top w:val="single" w:color="auto" w:sz="6" w:space="0"/>
              <w:left w:val="nil"/>
              <w:bottom w:val="single" w:color="auto" w:sz="12" w:space="0"/>
              <w:right w:val="single" w:color="auto" w:sz="6" w:space="0"/>
            </w:tcBorders>
            <w:noWrap w:val="0"/>
            <w:vAlign w:val="top"/>
          </w:tcPr>
          <w:p w14:paraId="3D2267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51" w:type="dxa"/>
            <w:tcBorders>
              <w:top w:val="single" w:color="auto" w:sz="6" w:space="0"/>
              <w:left w:val="nil"/>
              <w:bottom w:val="single" w:color="auto" w:sz="12" w:space="0"/>
              <w:right w:val="single" w:color="auto" w:sz="6" w:space="0"/>
            </w:tcBorders>
            <w:noWrap w:val="0"/>
            <w:vAlign w:val="top"/>
          </w:tcPr>
          <w:p w14:paraId="675B475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774" w:type="dxa"/>
            <w:tcBorders>
              <w:top w:val="single" w:color="auto" w:sz="6" w:space="0"/>
              <w:left w:val="nil"/>
              <w:bottom w:val="single" w:color="auto" w:sz="12" w:space="0"/>
              <w:right w:val="single" w:color="auto" w:sz="6" w:space="0"/>
            </w:tcBorders>
            <w:noWrap w:val="0"/>
            <w:vAlign w:val="top"/>
          </w:tcPr>
          <w:p w14:paraId="6973BA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352" w:type="dxa"/>
            <w:tcBorders>
              <w:top w:val="single" w:color="auto" w:sz="6" w:space="0"/>
              <w:left w:val="nil"/>
              <w:bottom w:val="single" w:color="auto" w:sz="12" w:space="0"/>
              <w:right w:val="single" w:color="auto" w:sz="6" w:space="0"/>
            </w:tcBorders>
            <w:noWrap w:val="0"/>
            <w:vAlign w:val="top"/>
          </w:tcPr>
          <w:p w14:paraId="1985BA9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18" w:type="dxa"/>
            <w:tcBorders>
              <w:top w:val="single" w:color="auto" w:sz="6" w:space="0"/>
              <w:left w:val="nil"/>
              <w:bottom w:val="single" w:color="auto" w:sz="12" w:space="0"/>
              <w:right w:val="single" w:color="auto" w:sz="6" w:space="0"/>
            </w:tcBorders>
            <w:noWrap w:val="0"/>
            <w:vAlign w:val="top"/>
          </w:tcPr>
          <w:p w14:paraId="0B1D390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701" w:type="dxa"/>
            <w:tcBorders>
              <w:top w:val="single" w:color="auto" w:sz="6" w:space="0"/>
              <w:left w:val="nil"/>
              <w:bottom w:val="single" w:color="auto" w:sz="12" w:space="0"/>
              <w:right w:val="single" w:color="auto" w:sz="12" w:space="0"/>
            </w:tcBorders>
            <w:noWrap w:val="0"/>
            <w:vAlign w:val="top"/>
          </w:tcPr>
          <w:p w14:paraId="605E681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bl>
    <w:p w14:paraId="1E08064E">
      <w:pPr>
        <w:pStyle w:val="45"/>
        <w:spacing w:line="460" w:lineRule="exact"/>
        <w:rPr>
          <w:rStyle w:val="86"/>
          <w:rFonts w:hint="eastAsia" w:ascii="宋体" w:hAnsi="宋体" w:eastAsia="宋体" w:cs="宋体"/>
          <w:color w:val="auto"/>
          <w:highlight w:val="none"/>
        </w:rPr>
      </w:pPr>
      <w:r>
        <w:rPr>
          <w:rStyle w:val="86"/>
          <w:rFonts w:hint="eastAsia" w:ascii="宋体" w:hAnsi="宋体" w:eastAsia="宋体" w:cs="宋体"/>
          <w:color w:val="auto"/>
          <w:sz w:val="24"/>
          <w:szCs w:val="24"/>
          <w:highlight w:val="none"/>
        </w:rPr>
        <w:t xml:space="preserve"> </w:t>
      </w:r>
    </w:p>
    <w:p w14:paraId="6E153715">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 xml:space="preserve"> </w:t>
      </w:r>
    </w:p>
    <w:p w14:paraId="2B28A3BF">
      <w:pPr>
        <w:pStyle w:val="45"/>
        <w:spacing w:line="460" w:lineRule="exact"/>
        <w:jc w:val="center"/>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32"/>
          <w:szCs w:val="32"/>
          <w:highlight w:val="none"/>
        </w:rPr>
        <w:br w:type="page"/>
      </w:r>
      <w:r>
        <w:rPr>
          <w:rStyle w:val="86"/>
          <w:rFonts w:hint="eastAsia" w:ascii="宋体" w:hAnsi="宋体" w:eastAsia="宋体" w:cs="宋体"/>
          <w:color w:val="auto"/>
          <w:sz w:val="32"/>
          <w:szCs w:val="32"/>
          <w:highlight w:val="none"/>
        </w:rPr>
        <w:t>1</w:t>
      </w:r>
      <w:r>
        <w:rPr>
          <w:rStyle w:val="86"/>
          <w:rFonts w:hint="eastAsia" w:ascii="宋体" w:hAnsi="宋体" w:eastAsia="宋体" w:cs="宋体"/>
          <w:color w:val="auto"/>
          <w:sz w:val="32"/>
          <w:szCs w:val="32"/>
          <w:highlight w:val="none"/>
          <w:lang w:val="en-US" w:eastAsia="zh-CN"/>
        </w:rPr>
        <w:t>0</w:t>
      </w:r>
      <w:r>
        <w:rPr>
          <w:rStyle w:val="86"/>
          <w:rFonts w:hint="eastAsia" w:ascii="宋体" w:hAnsi="宋体" w:eastAsia="宋体" w:cs="宋体"/>
          <w:color w:val="auto"/>
          <w:sz w:val="32"/>
          <w:szCs w:val="32"/>
          <w:highlight w:val="none"/>
        </w:rPr>
        <w:t>-3：专业工程暂估价表</w:t>
      </w:r>
    </w:p>
    <w:tbl>
      <w:tblPr>
        <w:tblStyle w:val="27"/>
        <w:tblW w:w="99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5"/>
        <w:gridCol w:w="2169"/>
        <w:gridCol w:w="930"/>
        <w:gridCol w:w="846"/>
        <w:gridCol w:w="1478"/>
        <w:gridCol w:w="1550"/>
        <w:gridCol w:w="1859"/>
      </w:tblGrid>
      <w:tr w14:paraId="1FDE5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12" w:space="0"/>
              <w:left w:val="single" w:color="auto" w:sz="12" w:space="0"/>
              <w:bottom w:val="double" w:color="auto" w:sz="2" w:space="0"/>
              <w:right w:val="single" w:color="auto" w:sz="6" w:space="0"/>
            </w:tcBorders>
            <w:noWrap w:val="0"/>
            <w:vAlign w:val="top"/>
          </w:tcPr>
          <w:p w14:paraId="7F221ED9">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序号</w:t>
            </w:r>
          </w:p>
        </w:tc>
        <w:tc>
          <w:tcPr>
            <w:tcW w:w="2169" w:type="dxa"/>
            <w:tcBorders>
              <w:top w:val="single" w:color="auto" w:sz="12" w:space="0"/>
              <w:left w:val="nil"/>
              <w:bottom w:val="double" w:color="auto" w:sz="2" w:space="0"/>
              <w:right w:val="single" w:color="auto" w:sz="6" w:space="0"/>
            </w:tcBorders>
            <w:noWrap w:val="0"/>
            <w:vAlign w:val="top"/>
          </w:tcPr>
          <w:p w14:paraId="74CCD981">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名称</w:t>
            </w:r>
          </w:p>
        </w:tc>
        <w:tc>
          <w:tcPr>
            <w:tcW w:w="930" w:type="dxa"/>
            <w:tcBorders>
              <w:top w:val="single" w:color="auto" w:sz="12" w:space="0"/>
              <w:left w:val="nil"/>
              <w:bottom w:val="double" w:color="auto" w:sz="2" w:space="0"/>
              <w:right w:val="single" w:color="auto" w:sz="6" w:space="0"/>
            </w:tcBorders>
            <w:noWrap w:val="0"/>
            <w:vAlign w:val="top"/>
          </w:tcPr>
          <w:p w14:paraId="5B27A3DC">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单位</w:t>
            </w:r>
          </w:p>
        </w:tc>
        <w:tc>
          <w:tcPr>
            <w:tcW w:w="846" w:type="dxa"/>
            <w:tcBorders>
              <w:top w:val="single" w:color="auto" w:sz="12" w:space="0"/>
              <w:left w:val="nil"/>
              <w:bottom w:val="double" w:color="auto" w:sz="2" w:space="0"/>
              <w:right w:val="single" w:color="auto" w:sz="6" w:space="0"/>
            </w:tcBorders>
            <w:noWrap w:val="0"/>
            <w:vAlign w:val="top"/>
          </w:tcPr>
          <w:p w14:paraId="6C5F16C5">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数量</w:t>
            </w:r>
          </w:p>
        </w:tc>
        <w:tc>
          <w:tcPr>
            <w:tcW w:w="1478" w:type="dxa"/>
            <w:tcBorders>
              <w:top w:val="single" w:color="auto" w:sz="12" w:space="0"/>
              <w:left w:val="nil"/>
              <w:bottom w:val="double" w:color="auto" w:sz="2" w:space="0"/>
              <w:right w:val="single" w:color="auto" w:sz="6" w:space="0"/>
            </w:tcBorders>
            <w:noWrap w:val="0"/>
            <w:vAlign w:val="top"/>
          </w:tcPr>
          <w:p w14:paraId="57D966D0">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单价（元）</w:t>
            </w:r>
          </w:p>
        </w:tc>
        <w:tc>
          <w:tcPr>
            <w:tcW w:w="1550" w:type="dxa"/>
            <w:tcBorders>
              <w:top w:val="single" w:color="auto" w:sz="12" w:space="0"/>
              <w:left w:val="nil"/>
              <w:bottom w:val="double" w:color="auto" w:sz="2" w:space="0"/>
              <w:right w:val="single" w:color="auto" w:sz="6" w:space="0"/>
            </w:tcBorders>
            <w:noWrap w:val="0"/>
            <w:vAlign w:val="top"/>
          </w:tcPr>
          <w:p w14:paraId="14FA0FDC">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合价（元）</w:t>
            </w:r>
          </w:p>
        </w:tc>
        <w:tc>
          <w:tcPr>
            <w:tcW w:w="1859" w:type="dxa"/>
            <w:tcBorders>
              <w:top w:val="single" w:color="auto" w:sz="12" w:space="0"/>
              <w:left w:val="nil"/>
              <w:bottom w:val="double" w:color="auto" w:sz="2" w:space="0"/>
              <w:right w:val="single" w:color="auto" w:sz="12" w:space="0"/>
            </w:tcBorders>
            <w:noWrap w:val="0"/>
            <w:vAlign w:val="top"/>
          </w:tcPr>
          <w:p w14:paraId="31CEB352">
            <w:pPr>
              <w:pStyle w:val="52"/>
              <w:keepNext/>
              <w:widowControl w:val="0"/>
              <w:spacing w:line="460" w:lineRule="exact"/>
              <w:ind w:right="63"/>
              <w:jc w:val="center"/>
              <w:rPr>
                <w:rStyle w:val="86"/>
                <w:rFonts w:hint="eastAsia" w:ascii="宋体" w:hAnsi="宋体" w:eastAsia="宋体" w:cs="宋体"/>
                <w:color w:val="auto"/>
                <w:kern w:val="0"/>
                <w:sz w:val="24"/>
                <w:szCs w:val="24"/>
                <w:highlight w:val="none"/>
                <w:lang w:val="en-US" w:eastAsia="zh-CN" w:bidi="ar-SA"/>
              </w:rPr>
            </w:pPr>
            <w:r>
              <w:rPr>
                <w:rStyle w:val="86"/>
                <w:rFonts w:hint="eastAsia" w:ascii="宋体" w:hAnsi="宋体" w:eastAsia="宋体" w:cs="宋体"/>
                <w:color w:val="auto"/>
                <w:kern w:val="0"/>
                <w:sz w:val="24"/>
                <w:szCs w:val="24"/>
                <w:highlight w:val="none"/>
                <w:lang w:val="en-US" w:eastAsia="zh-CN" w:bidi="ar-SA"/>
              </w:rPr>
              <w:t>备注</w:t>
            </w:r>
          </w:p>
        </w:tc>
      </w:tr>
      <w:tr w14:paraId="2C951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double" w:color="auto" w:sz="2" w:space="0"/>
              <w:left w:val="single" w:color="auto" w:sz="12" w:space="0"/>
              <w:bottom w:val="single" w:color="auto" w:sz="6" w:space="0"/>
              <w:right w:val="single" w:color="auto" w:sz="6" w:space="0"/>
            </w:tcBorders>
            <w:noWrap w:val="0"/>
            <w:vAlign w:val="top"/>
          </w:tcPr>
          <w:p w14:paraId="6D73FA3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double" w:color="auto" w:sz="2" w:space="0"/>
              <w:left w:val="nil"/>
              <w:bottom w:val="single" w:color="auto" w:sz="6" w:space="0"/>
              <w:right w:val="single" w:color="auto" w:sz="6" w:space="0"/>
            </w:tcBorders>
            <w:noWrap w:val="0"/>
            <w:vAlign w:val="top"/>
          </w:tcPr>
          <w:p w14:paraId="2D7C23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double" w:color="auto" w:sz="2" w:space="0"/>
              <w:left w:val="nil"/>
              <w:bottom w:val="single" w:color="auto" w:sz="6" w:space="0"/>
              <w:right w:val="single" w:color="auto" w:sz="6" w:space="0"/>
            </w:tcBorders>
            <w:noWrap w:val="0"/>
            <w:vAlign w:val="top"/>
          </w:tcPr>
          <w:p w14:paraId="31263E2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double" w:color="auto" w:sz="2" w:space="0"/>
              <w:left w:val="nil"/>
              <w:bottom w:val="single" w:color="auto" w:sz="6" w:space="0"/>
              <w:right w:val="single" w:color="auto" w:sz="6" w:space="0"/>
            </w:tcBorders>
            <w:noWrap w:val="0"/>
            <w:vAlign w:val="top"/>
          </w:tcPr>
          <w:p w14:paraId="2B9D1FB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double" w:color="auto" w:sz="2" w:space="0"/>
              <w:left w:val="nil"/>
              <w:bottom w:val="single" w:color="auto" w:sz="6" w:space="0"/>
              <w:right w:val="single" w:color="auto" w:sz="6" w:space="0"/>
            </w:tcBorders>
            <w:noWrap w:val="0"/>
            <w:vAlign w:val="top"/>
          </w:tcPr>
          <w:p w14:paraId="57FAB83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double" w:color="auto" w:sz="2" w:space="0"/>
              <w:left w:val="nil"/>
              <w:bottom w:val="single" w:color="auto" w:sz="6" w:space="0"/>
              <w:right w:val="single" w:color="auto" w:sz="6" w:space="0"/>
            </w:tcBorders>
            <w:noWrap w:val="0"/>
            <w:vAlign w:val="top"/>
          </w:tcPr>
          <w:p w14:paraId="26EF57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double" w:color="auto" w:sz="2" w:space="0"/>
              <w:left w:val="nil"/>
              <w:bottom w:val="single" w:color="auto" w:sz="6" w:space="0"/>
              <w:right w:val="single" w:color="auto" w:sz="12" w:space="0"/>
            </w:tcBorders>
            <w:noWrap w:val="0"/>
            <w:vAlign w:val="top"/>
          </w:tcPr>
          <w:p w14:paraId="74CADB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34FF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nil"/>
              <w:left w:val="single" w:color="auto" w:sz="12" w:space="0"/>
              <w:bottom w:val="single" w:color="auto" w:sz="6" w:space="0"/>
              <w:right w:val="single" w:color="auto" w:sz="6" w:space="0"/>
            </w:tcBorders>
            <w:noWrap w:val="0"/>
            <w:vAlign w:val="top"/>
          </w:tcPr>
          <w:p w14:paraId="7F3580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nil"/>
              <w:left w:val="nil"/>
              <w:bottom w:val="single" w:color="auto" w:sz="6" w:space="0"/>
              <w:right w:val="single" w:color="auto" w:sz="6" w:space="0"/>
            </w:tcBorders>
            <w:noWrap w:val="0"/>
            <w:vAlign w:val="top"/>
          </w:tcPr>
          <w:p w14:paraId="6F178E9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nil"/>
              <w:left w:val="nil"/>
              <w:bottom w:val="single" w:color="auto" w:sz="6" w:space="0"/>
              <w:right w:val="single" w:color="auto" w:sz="6" w:space="0"/>
            </w:tcBorders>
            <w:noWrap w:val="0"/>
            <w:vAlign w:val="top"/>
          </w:tcPr>
          <w:p w14:paraId="4136AD5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nil"/>
              <w:left w:val="nil"/>
              <w:bottom w:val="single" w:color="auto" w:sz="6" w:space="0"/>
              <w:right w:val="single" w:color="auto" w:sz="6" w:space="0"/>
            </w:tcBorders>
            <w:noWrap w:val="0"/>
            <w:vAlign w:val="top"/>
          </w:tcPr>
          <w:p w14:paraId="1D6FC88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nil"/>
              <w:left w:val="nil"/>
              <w:bottom w:val="single" w:color="auto" w:sz="6" w:space="0"/>
              <w:right w:val="single" w:color="auto" w:sz="6" w:space="0"/>
            </w:tcBorders>
            <w:noWrap w:val="0"/>
            <w:vAlign w:val="top"/>
          </w:tcPr>
          <w:p w14:paraId="1FD3C3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nil"/>
              <w:left w:val="nil"/>
              <w:bottom w:val="single" w:color="auto" w:sz="6" w:space="0"/>
              <w:right w:val="single" w:color="auto" w:sz="6" w:space="0"/>
            </w:tcBorders>
            <w:noWrap w:val="0"/>
            <w:vAlign w:val="top"/>
          </w:tcPr>
          <w:p w14:paraId="53DB6E7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nil"/>
              <w:left w:val="nil"/>
              <w:bottom w:val="single" w:color="auto" w:sz="6" w:space="0"/>
              <w:right w:val="single" w:color="auto" w:sz="12" w:space="0"/>
            </w:tcBorders>
            <w:noWrap w:val="0"/>
            <w:vAlign w:val="top"/>
          </w:tcPr>
          <w:p w14:paraId="362BC30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14B2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36E5FD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1098556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53EF44A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0CA438C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491525B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6E35D5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7F9EC6D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31CE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38EE2A0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18CF12D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1868E87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5FF8FC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101F567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31B12FC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1C5E370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806B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28F8C07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13F02BC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7035708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9BE38F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4E40564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7B9D833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08FEB4D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0542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431B5FA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2634AD5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2603005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547EAC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609944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556F168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648F49B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0DB2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4B48641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50F720C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79F7A6C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15A49AD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4D1845F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0B278C0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0637219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F442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6C01C26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639CF09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5AFD620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36E2254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57D3BF4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3D507CC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7EF0749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46992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773C9B2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628339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3774668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14F7BCE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495DE71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49606B4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61497E5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A484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5523BDA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7A125D9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2B6C3A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51D9654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76C326E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5D5B952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7CE77F6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668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5932D21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50FF4C3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75F0790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A854B7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7238CF5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3D043B8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6D60EF7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2F8DB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3172610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24C394E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796B668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504437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2537F6E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0299CAE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2F91E711">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6E4F2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246A62B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5668FF8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02E69FB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76881CC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3D16DB2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2F27D7A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5E9B879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0C67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2D1EF4B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1109852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3303B26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673E770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42EE38F8">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2A22101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739ABFC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4EBD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5B90BD2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36FF5CF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75C57EF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4EC1511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099EED4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69BB31D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5BD1F32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16E44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31C0B340">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4446FD7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614A9A73">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2E155BA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7A0992DD">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084C636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63FAD72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31F3B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65FA8E5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5BFFFF8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3ACE5EF5">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0DDF86E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6839E99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6821699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4C18A5A7">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7F83F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6" w:space="0"/>
              <w:right w:val="single" w:color="auto" w:sz="6" w:space="0"/>
            </w:tcBorders>
            <w:noWrap w:val="0"/>
            <w:vAlign w:val="top"/>
          </w:tcPr>
          <w:p w14:paraId="1F389B9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6" w:space="0"/>
              <w:right w:val="single" w:color="auto" w:sz="6" w:space="0"/>
            </w:tcBorders>
            <w:noWrap w:val="0"/>
            <w:vAlign w:val="top"/>
          </w:tcPr>
          <w:p w14:paraId="608136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6" w:space="0"/>
              <w:right w:val="single" w:color="auto" w:sz="6" w:space="0"/>
            </w:tcBorders>
            <w:noWrap w:val="0"/>
            <w:vAlign w:val="top"/>
          </w:tcPr>
          <w:p w14:paraId="15127B84">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6" w:space="0"/>
              <w:right w:val="single" w:color="auto" w:sz="6" w:space="0"/>
            </w:tcBorders>
            <w:noWrap w:val="0"/>
            <w:vAlign w:val="top"/>
          </w:tcPr>
          <w:p w14:paraId="3EDFBD8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6" w:space="0"/>
              <w:right w:val="single" w:color="auto" w:sz="6" w:space="0"/>
            </w:tcBorders>
            <w:noWrap w:val="0"/>
            <w:vAlign w:val="top"/>
          </w:tcPr>
          <w:p w14:paraId="7B57EC9E">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6" w:space="0"/>
              <w:right w:val="single" w:color="auto" w:sz="6" w:space="0"/>
            </w:tcBorders>
            <w:noWrap w:val="0"/>
            <w:vAlign w:val="top"/>
          </w:tcPr>
          <w:p w14:paraId="4615C66A">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6" w:space="0"/>
              <w:right w:val="single" w:color="auto" w:sz="12" w:space="0"/>
            </w:tcBorders>
            <w:noWrap w:val="0"/>
            <w:vAlign w:val="top"/>
          </w:tcPr>
          <w:p w14:paraId="4EDFD0A9">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r w14:paraId="55914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5" w:type="dxa"/>
            <w:tcBorders>
              <w:top w:val="single" w:color="auto" w:sz="6" w:space="0"/>
              <w:left w:val="single" w:color="auto" w:sz="12" w:space="0"/>
              <w:bottom w:val="single" w:color="auto" w:sz="12" w:space="0"/>
              <w:right w:val="single" w:color="auto" w:sz="6" w:space="0"/>
            </w:tcBorders>
            <w:noWrap w:val="0"/>
            <w:vAlign w:val="top"/>
          </w:tcPr>
          <w:p w14:paraId="686D661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2169" w:type="dxa"/>
            <w:tcBorders>
              <w:top w:val="single" w:color="auto" w:sz="6" w:space="0"/>
              <w:left w:val="nil"/>
              <w:bottom w:val="single" w:color="auto" w:sz="12" w:space="0"/>
              <w:right w:val="single" w:color="auto" w:sz="6" w:space="0"/>
            </w:tcBorders>
            <w:noWrap w:val="0"/>
            <w:vAlign w:val="top"/>
          </w:tcPr>
          <w:p w14:paraId="4B4C9D3C">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930" w:type="dxa"/>
            <w:tcBorders>
              <w:top w:val="single" w:color="auto" w:sz="6" w:space="0"/>
              <w:left w:val="nil"/>
              <w:bottom w:val="single" w:color="auto" w:sz="12" w:space="0"/>
              <w:right w:val="single" w:color="auto" w:sz="6" w:space="0"/>
            </w:tcBorders>
            <w:noWrap w:val="0"/>
            <w:vAlign w:val="top"/>
          </w:tcPr>
          <w:p w14:paraId="6BBBD8AF">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846" w:type="dxa"/>
            <w:tcBorders>
              <w:top w:val="single" w:color="auto" w:sz="6" w:space="0"/>
              <w:left w:val="nil"/>
              <w:bottom w:val="single" w:color="auto" w:sz="12" w:space="0"/>
              <w:right w:val="single" w:color="auto" w:sz="6" w:space="0"/>
            </w:tcBorders>
            <w:noWrap w:val="0"/>
            <w:vAlign w:val="top"/>
          </w:tcPr>
          <w:p w14:paraId="3DBAA126">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478" w:type="dxa"/>
            <w:tcBorders>
              <w:top w:val="single" w:color="auto" w:sz="6" w:space="0"/>
              <w:left w:val="nil"/>
              <w:bottom w:val="single" w:color="auto" w:sz="12" w:space="0"/>
              <w:right w:val="single" w:color="auto" w:sz="6" w:space="0"/>
            </w:tcBorders>
            <w:noWrap w:val="0"/>
            <w:vAlign w:val="top"/>
          </w:tcPr>
          <w:p w14:paraId="11A6CAA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550" w:type="dxa"/>
            <w:tcBorders>
              <w:top w:val="single" w:color="auto" w:sz="6" w:space="0"/>
              <w:left w:val="nil"/>
              <w:bottom w:val="single" w:color="auto" w:sz="12" w:space="0"/>
              <w:right w:val="single" w:color="auto" w:sz="6" w:space="0"/>
            </w:tcBorders>
            <w:noWrap w:val="0"/>
            <w:vAlign w:val="top"/>
          </w:tcPr>
          <w:p w14:paraId="723D443B">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c>
          <w:tcPr>
            <w:tcW w:w="1859" w:type="dxa"/>
            <w:tcBorders>
              <w:top w:val="single" w:color="auto" w:sz="6" w:space="0"/>
              <w:left w:val="nil"/>
              <w:bottom w:val="single" w:color="auto" w:sz="12" w:space="0"/>
              <w:right w:val="single" w:color="auto" w:sz="12" w:space="0"/>
            </w:tcBorders>
            <w:noWrap w:val="0"/>
            <w:vAlign w:val="top"/>
          </w:tcPr>
          <w:p w14:paraId="19D7F822">
            <w:pPr>
              <w:pStyle w:val="52"/>
              <w:keepNext/>
              <w:widowControl w:val="0"/>
              <w:spacing w:line="460" w:lineRule="exact"/>
              <w:ind w:left="63" w:right="63" w:firstLine="480"/>
              <w:jc w:val="both"/>
              <w:rPr>
                <w:rStyle w:val="86"/>
                <w:rFonts w:hint="eastAsia" w:ascii="宋体" w:hAnsi="宋体" w:eastAsia="宋体" w:cs="宋体"/>
                <w:color w:val="auto"/>
                <w:kern w:val="0"/>
                <w:sz w:val="24"/>
                <w:szCs w:val="24"/>
                <w:highlight w:val="none"/>
                <w:lang w:val="en-US" w:eastAsia="zh-CN" w:bidi="ar-SA"/>
              </w:rPr>
            </w:pPr>
          </w:p>
        </w:tc>
      </w:tr>
    </w:tbl>
    <w:p w14:paraId="1332A99C">
      <w:pPr>
        <w:pStyle w:val="45"/>
        <w:spacing w:line="460" w:lineRule="exact"/>
        <w:jc w:val="center"/>
        <w:rPr>
          <w:rStyle w:val="86"/>
          <w:rFonts w:hint="eastAsia" w:ascii="宋体" w:hAnsi="宋体" w:eastAsia="宋体" w:cs="宋体"/>
          <w:color w:val="auto"/>
          <w:sz w:val="32"/>
          <w:szCs w:val="32"/>
          <w:highlight w:val="none"/>
        </w:rPr>
      </w:pPr>
      <w:r>
        <w:rPr>
          <w:rStyle w:val="86"/>
          <w:rFonts w:hint="eastAsia" w:ascii="宋体" w:hAnsi="宋体" w:eastAsia="宋体" w:cs="宋体"/>
          <w:color w:val="auto"/>
          <w:sz w:val="32"/>
          <w:szCs w:val="32"/>
          <w:highlight w:val="none"/>
        </w:rPr>
        <w:t xml:space="preserve"> </w:t>
      </w:r>
    </w:p>
    <w:p w14:paraId="50AB6EC5">
      <w:pPr>
        <w:pStyle w:val="45"/>
        <w:spacing w:line="320" w:lineRule="exact"/>
        <w:rPr>
          <w:rStyle w:val="86"/>
          <w:rFonts w:hint="eastAsia" w:ascii="宋体" w:hAnsi="宋体" w:eastAsia="宋体" w:cs="宋体"/>
          <w:color w:val="auto"/>
          <w:sz w:val="24"/>
          <w:szCs w:val="24"/>
          <w:highlight w:val="none"/>
        </w:rPr>
      </w:pPr>
    </w:p>
    <w:p w14:paraId="617765D0">
      <w:pPr>
        <w:pStyle w:val="45"/>
        <w:spacing w:line="32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br w:type="page"/>
      </w:r>
      <w:r>
        <w:rPr>
          <w:rStyle w:val="86"/>
          <w:rFonts w:hint="eastAsia" w:ascii="宋体" w:hAnsi="宋体" w:eastAsia="宋体" w:cs="宋体"/>
          <w:color w:val="auto"/>
          <w:sz w:val="24"/>
          <w:szCs w:val="24"/>
          <w:highlight w:val="none"/>
        </w:rPr>
        <w:t>附件1</w:t>
      </w:r>
      <w:r>
        <w:rPr>
          <w:rStyle w:val="86"/>
          <w:rFonts w:hint="eastAsia" w:ascii="宋体" w:hAnsi="宋体" w:eastAsia="宋体" w:cs="宋体"/>
          <w:color w:val="auto"/>
          <w:sz w:val="24"/>
          <w:szCs w:val="24"/>
          <w:highlight w:val="none"/>
          <w:lang w:val="en-US" w:eastAsia="zh-CN"/>
        </w:rPr>
        <w:t>1</w:t>
      </w:r>
      <w:r>
        <w:rPr>
          <w:rStyle w:val="86"/>
          <w:rFonts w:hint="eastAsia" w:ascii="宋体" w:hAnsi="宋体" w:eastAsia="宋体" w:cs="宋体"/>
          <w:color w:val="auto"/>
          <w:sz w:val="24"/>
          <w:szCs w:val="24"/>
          <w:highlight w:val="none"/>
        </w:rPr>
        <w:t>：</w:t>
      </w:r>
    </w:p>
    <w:p w14:paraId="06319D30">
      <w:pPr>
        <w:pStyle w:val="45"/>
        <w:spacing w:line="320" w:lineRule="exact"/>
        <w:ind w:firstLine="640" w:firstLineChars="200"/>
        <w:jc w:val="center"/>
        <w:rPr>
          <w:rStyle w:val="86"/>
          <w:rFonts w:hint="eastAsia" w:ascii="宋体" w:hAnsi="宋体" w:eastAsia="宋体" w:cs="宋体"/>
          <w:b/>
          <w:color w:val="auto"/>
          <w:sz w:val="32"/>
          <w:szCs w:val="32"/>
          <w:highlight w:val="none"/>
        </w:rPr>
      </w:pPr>
      <w:r>
        <w:rPr>
          <w:rStyle w:val="86"/>
          <w:rFonts w:hint="eastAsia" w:ascii="宋体" w:hAnsi="宋体" w:eastAsia="宋体" w:cs="宋体"/>
          <w:bCs/>
          <w:color w:val="auto"/>
          <w:sz w:val="32"/>
          <w:szCs w:val="32"/>
          <w:highlight w:val="none"/>
        </w:rPr>
        <w:t>建设工程廉政责任书</w:t>
      </w:r>
    </w:p>
    <w:p w14:paraId="6B5830EF">
      <w:pPr>
        <w:pStyle w:val="45"/>
        <w:spacing w:line="300" w:lineRule="exact"/>
        <w:rPr>
          <w:rStyle w:val="86"/>
          <w:rFonts w:hint="eastAsia" w:ascii="宋体" w:hAnsi="宋体" w:eastAsia="宋体" w:cs="宋体"/>
          <w:color w:val="auto"/>
          <w:highlight w:val="none"/>
        </w:rPr>
      </w:pPr>
      <w:r>
        <w:rPr>
          <w:rStyle w:val="86"/>
          <w:rFonts w:hint="eastAsia" w:ascii="宋体" w:hAnsi="宋体" w:eastAsia="宋体" w:cs="宋体"/>
          <w:color w:val="auto"/>
          <w:highlight w:val="none"/>
        </w:rPr>
        <w:t xml:space="preserve"> </w:t>
      </w:r>
    </w:p>
    <w:p w14:paraId="6F36FA14">
      <w:pPr>
        <w:pStyle w:val="45"/>
        <w:spacing w:line="54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发包人：</w:t>
      </w:r>
    </w:p>
    <w:p w14:paraId="53464A3A">
      <w:pPr>
        <w:pStyle w:val="45"/>
        <w:spacing w:line="540" w:lineRule="exact"/>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承包人：</w:t>
      </w:r>
      <w:r>
        <w:rPr>
          <w:rStyle w:val="86"/>
          <w:rFonts w:hint="eastAsia" w:ascii="宋体" w:hAnsi="宋体" w:eastAsia="宋体" w:cs="宋体"/>
          <w:color w:val="auto"/>
          <w:sz w:val="24"/>
          <w:szCs w:val="24"/>
          <w:highlight w:val="none"/>
          <w:u w:val="single"/>
        </w:rPr>
        <w:t xml:space="preserve">                                    </w:t>
      </w:r>
    </w:p>
    <w:p w14:paraId="4631F049">
      <w:pPr>
        <w:pStyle w:val="45"/>
        <w:spacing w:line="32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 xml:space="preserve"> </w:t>
      </w:r>
    </w:p>
    <w:p w14:paraId="521C3AD3">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BBE02AC">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一、双方的责任</w:t>
      </w:r>
    </w:p>
    <w:p w14:paraId="7EBBA40A">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1.1应严格遵守国家关于建设工程的有关法律、法规，相关政策，以及廉政建设的各项规定。</w:t>
      </w:r>
    </w:p>
    <w:p w14:paraId="0815C47F">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1.2严格执行建设工程合同文件，自觉按合同办事。</w:t>
      </w:r>
    </w:p>
    <w:p w14:paraId="4C7B0391">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013D1C9A">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1.4发现对方在业务活动中有违规、违纪、违法行为的，应及时提醒对方，情节严重的，应向其上级主管部门或纪检监察、司法等有关机关举报。</w:t>
      </w:r>
    </w:p>
    <w:p w14:paraId="4495690C">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二、发包人责任</w:t>
      </w:r>
    </w:p>
    <w:p w14:paraId="47D1FE22">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发包人的领导和从事该建设工程项目的工作人员，在工程建设的事前、事中、事后应遵守以下规定：</w:t>
      </w:r>
    </w:p>
    <w:p w14:paraId="3B465CC5">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2.1不得向承包人和相关单位索要或接受回扣、礼金、有价证券、贵重物品和好处费、感谢费等。</w:t>
      </w:r>
    </w:p>
    <w:p w14:paraId="69DFB2DF">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2.2不得在承包人和相关单位报销任何应由发包人或个人支付的费用。</w:t>
      </w:r>
    </w:p>
    <w:p w14:paraId="16E86249">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2.3不得要求、暗示或接受承包人和相关单位为个人装修住房、婚丧嫁娶、配偶子女的工作安排以及出国(境)、旅游等提供方便。</w:t>
      </w:r>
    </w:p>
    <w:p w14:paraId="64C5AE52">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2.4不得参加有可能影响公正执行公务的承包人和相关单位的宴请、健身、娱乐等活动。</w:t>
      </w:r>
    </w:p>
    <w:p w14:paraId="4806108C">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14:paraId="059801DA">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三、承包人责任</w:t>
      </w:r>
    </w:p>
    <w:p w14:paraId="3CD3FE72">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应与发包人保持正常的业务交往，按照有关法律法规和程序开展业务工作，严格执行工程建设的有关方针、政策，执行工程建设强制性标准，并遵守以下规定：</w:t>
      </w:r>
    </w:p>
    <w:p w14:paraId="56D42E0A">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3.1不得以任何理由向发包人及其工作人员索要、接受或赠送礼金、有价证券、贵重物品及回扣、好处费、感谢费等。</w:t>
      </w:r>
    </w:p>
    <w:p w14:paraId="1D63EFA9">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3.2不得以任何理由为发包人和相关单位报销应由对方或个人支付的费用。</w:t>
      </w:r>
    </w:p>
    <w:p w14:paraId="1982A2B0">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3.3不得接受或暗示为发包人、相关单位或个人装修住房、婚丧嫁娶、配偶子女的工作安排以及出国(境)、旅游等提供方便。</w:t>
      </w:r>
    </w:p>
    <w:p w14:paraId="04E1F862">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3.4不得以任何理由为发包人、相关单位或个人组织有可能影响公正执行公务的宴请、健身、娱乐等活动。</w:t>
      </w:r>
    </w:p>
    <w:p w14:paraId="1B41F2AF">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四、违约责任</w:t>
      </w:r>
    </w:p>
    <w:p w14:paraId="570A2AF0">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14:paraId="5156DEF8">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14:paraId="7BCC3DA0">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4.3本责任书作为建设工程合同的组成部分，与建设工程合同具有同等法律效力。经双方签署后立即生效。</w:t>
      </w:r>
    </w:p>
    <w:p w14:paraId="74CE136D">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五、责任书有效期</w:t>
      </w:r>
    </w:p>
    <w:p w14:paraId="367C3FA4">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本责任书的有效期为双方签署之日起至该工程项目竣工验收合格时止。</w:t>
      </w:r>
    </w:p>
    <w:p w14:paraId="17816D5A">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六、责任书份数</w:t>
      </w:r>
    </w:p>
    <w:p w14:paraId="1992F795">
      <w:pPr>
        <w:pStyle w:val="45"/>
        <w:spacing w:line="540" w:lineRule="exact"/>
        <w:ind w:firstLine="480" w:firstLineChars="200"/>
        <w:rPr>
          <w:rStyle w:val="86"/>
          <w:rFonts w:hint="eastAsia" w:ascii="宋体" w:hAnsi="宋体" w:eastAsia="宋体" w:cs="宋体"/>
          <w:color w:val="auto"/>
          <w:sz w:val="24"/>
          <w:szCs w:val="24"/>
          <w:highlight w:val="none"/>
        </w:rPr>
      </w:pPr>
      <w:r>
        <w:rPr>
          <w:rStyle w:val="86"/>
          <w:rFonts w:hint="eastAsia" w:ascii="宋体" w:hAnsi="宋体" w:eastAsia="宋体" w:cs="宋体"/>
          <w:color w:val="auto"/>
          <w:sz w:val="24"/>
          <w:szCs w:val="24"/>
          <w:highlight w:val="none"/>
        </w:rPr>
        <w:t>本责任书一式二份，发包人承包人各执一份，具有同等效力。</w:t>
      </w:r>
    </w:p>
    <w:tbl>
      <w:tblPr>
        <w:tblStyle w:val="27"/>
        <w:tblW w:w="9826" w:type="dxa"/>
        <w:tblInd w:w="0" w:type="dxa"/>
        <w:tblLayout w:type="fixed"/>
        <w:tblCellMar>
          <w:top w:w="0" w:type="dxa"/>
          <w:left w:w="108" w:type="dxa"/>
          <w:bottom w:w="0" w:type="dxa"/>
          <w:right w:w="108" w:type="dxa"/>
        </w:tblCellMar>
      </w:tblPr>
      <w:tblGrid>
        <w:gridCol w:w="2581"/>
        <w:gridCol w:w="2565"/>
        <w:gridCol w:w="2280"/>
        <w:gridCol w:w="2400"/>
      </w:tblGrid>
      <w:tr w14:paraId="6365BECC">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70B491E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发包人：</w:t>
            </w:r>
          </w:p>
        </w:tc>
        <w:tc>
          <w:tcPr>
            <w:tcW w:w="2565" w:type="dxa"/>
            <w:tcBorders>
              <w:top w:val="nil"/>
              <w:left w:val="nil"/>
              <w:bottom w:val="nil"/>
              <w:right w:val="nil"/>
            </w:tcBorders>
            <w:noWrap w:val="0"/>
            <w:vAlign w:val="center"/>
          </w:tcPr>
          <w:p w14:paraId="0EAABC13">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(公章)</w:t>
            </w:r>
          </w:p>
        </w:tc>
        <w:tc>
          <w:tcPr>
            <w:tcW w:w="2280" w:type="dxa"/>
            <w:tcBorders>
              <w:top w:val="nil"/>
              <w:left w:val="nil"/>
              <w:bottom w:val="nil"/>
              <w:right w:val="nil"/>
            </w:tcBorders>
            <w:noWrap w:val="0"/>
            <w:vAlign w:val="center"/>
          </w:tcPr>
          <w:p w14:paraId="54E7848F">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承包人：</w:t>
            </w:r>
          </w:p>
        </w:tc>
        <w:tc>
          <w:tcPr>
            <w:tcW w:w="2400" w:type="dxa"/>
            <w:tcBorders>
              <w:top w:val="nil"/>
              <w:left w:val="nil"/>
              <w:bottom w:val="nil"/>
              <w:right w:val="nil"/>
            </w:tcBorders>
            <w:noWrap w:val="0"/>
            <w:vAlign w:val="center"/>
          </w:tcPr>
          <w:p w14:paraId="51B418A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(公章)</w:t>
            </w:r>
          </w:p>
        </w:tc>
      </w:tr>
      <w:tr w14:paraId="04949326">
        <w:tblPrEx>
          <w:tblCellMar>
            <w:top w:w="0" w:type="dxa"/>
            <w:left w:w="108" w:type="dxa"/>
            <w:bottom w:w="0" w:type="dxa"/>
            <w:right w:w="108" w:type="dxa"/>
          </w:tblCellMar>
        </w:tblPrEx>
        <w:trPr>
          <w:trHeight w:val="683" w:hRule="atLeast"/>
        </w:trPr>
        <w:tc>
          <w:tcPr>
            <w:tcW w:w="5146" w:type="dxa"/>
            <w:gridSpan w:val="2"/>
            <w:tcBorders>
              <w:top w:val="nil"/>
              <w:left w:val="nil"/>
              <w:bottom w:val="nil"/>
              <w:right w:val="nil"/>
            </w:tcBorders>
            <w:noWrap w:val="0"/>
            <w:vAlign w:val="center"/>
          </w:tcPr>
          <w:p w14:paraId="629970A6">
            <w:pPr>
              <w:pStyle w:val="45"/>
              <w:widowControl w:val="0"/>
              <w:spacing w:line="300" w:lineRule="exact"/>
              <w:ind w:firstLine="120" w:firstLineChars="50"/>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法定代表人或其委托代理人：</w:t>
            </w:r>
          </w:p>
          <w:p w14:paraId="1F099A47">
            <w:pPr>
              <w:pStyle w:val="19"/>
              <w:widowControl w:val="0"/>
              <w:adjustRightInd w:val="0"/>
              <w:snapToGrid w:val="0"/>
              <w:spacing w:line="360" w:lineRule="auto"/>
              <w:ind w:firstLine="720" w:firstLineChars="300"/>
              <w:jc w:val="both"/>
              <w:rPr>
                <w:rStyle w:val="86"/>
                <w:rFonts w:hint="eastAsia" w:ascii="宋体" w:hAnsi="宋体" w:eastAsia="宋体" w:cs="宋体"/>
                <w:color w:val="auto"/>
                <w:kern w:val="0"/>
                <w:sz w:val="18"/>
                <w:szCs w:val="18"/>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（签字）</w:t>
            </w:r>
          </w:p>
        </w:tc>
        <w:tc>
          <w:tcPr>
            <w:tcW w:w="4680" w:type="dxa"/>
            <w:gridSpan w:val="2"/>
            <w:tcBorders>
              <w:top w:val="nil"/>
              <w:left w:val="nil"/>
              <w:bottom w:val="nil"/>
              <w:right w:val="nil"/>
            </w:tcBorders>
            <w:noWrap w:val="0"/>
            <w:vAlign w:val="top"/>
          </w:tcPr>
          <w:p w14:paraId="79A596C7">
            <w:pPr>
              <w:pStyle w:val="45"/>
              <w:widowControl w:val="0"/>
              <w:spacing w:line="300" w:lineRule="exact"/>
              <w:ind w:firstLine="120" w:firstLineChars="50"/>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法定代表人或其委托代理人：</w:t>
            </w:r>
          </w:p>
          <w:p w14:paraId="766AAD6C">
            <w:pPr>
              <w:pStyle w:val="19"/>
              <w:widowControl w:val="0"/>
              <w:adjustRightInd w:val="0"/>
              <w:snapToGrid w:val="0"/>
              <w:spacing w:line="360" w:lineRule="auto"/>
              <w:ind w:firstLine="720" w:firstLineChars="300"/>
              <w:jc w:val="both"/>
              <w:rPr>
                <w:rStyle w:val="86"/>
                <w:rFonts w:hint="eastAsia" w:ascii="宋体" w:hAnsi="宋体" w:eastAsia="宋体" w:cs="宋体"/>
                <w:color w:val="auto"/>
                <w:kern w:val="0"/>
                <w:sz w:val="18"/>
                <w:szCs w:val="18"/>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（签字）</w:t>
            </w:r>
          </w:p>
        </w:tc>
      </w:tr>
      <w:tr w14:paraId="491ABB21">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25D856E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组织机构代码：</w:t>
            </w:r>
          </w:p>
        </w:tc>
        <w:tc>
          <w:tcPr>
            <w:tcW w:w="2565" w:type="dxa"/>
            <w:tcBorders>
              <w:top w:val="nil"/>
              <w:left w:val="nil"/>
              <w:bottom w:val="nil"/>
              <w:right w:val="nil"/>
            </w:tcBorders>
            <w:noWrap w:val="0"/>
            <w:vAlign w:val="center"/>
          </w:tcPr>
          <w:p w14:paraId="0C7A68D9">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741A4A4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组织机构代码：</w:t>
            </w:r>
          </w:p>
        </w:tc>
        <w:tc>
          <w:tcPr>
            <w:tcW w:w="2400" w:type="dxa"/>
            <w:tcBorders>
              <w:top w:val="nil"/>
              <w:left w:val="nil"/>
              <w:bottom w:val="nil"/>
              <w:right w:val="nil"/>
            </w:tcBorders>
            <w:noWrap w:val="0"/>
            <w:vAlign w:val="center"/>
          </w:tcPr>
          <w:p w14:paraId="6D0A6A42">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5864862C">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2678B4A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地  址：</w:t>
            </w:r>
          </w:p>
        </w:tc>
        <w:tc>
          <w:tcPr>
            <w:tcW w:w="2565" w:type="dxa"/>
            <w:tcBorders>
              <w:top w:val="nil"/>
              <w:left w:val="nil"/>
              <w:bottom w:val="nil"/>
              <w:right w:val="nil"/>
            </w:tcBorders>
            <w:noWrap w:val="0"/>
            <w:vAlign w:val="center"/>
          </w:tcPr>
          <w:p w14:paraId="23C26AC1">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39E84EC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地  址：</w:t>
            </w:r>
          </w:p>
        </w:tc>
        <w:tc>
          <w:tcPr>
            <w:tcW w:w="2400" w:type="dxa"/>
            <w:tcBorders>
              <w:top w:val="nil"/>
              <w:left w:val="nil"/>
              <w:bottom w:val="nil"/>
              <w:right w:val="nil"/>
            </w:tcBorders>
            <w:noWrap w:val="0"/>
            <w:vAlign w:val="center"/>
          </w:tcPr>
          <w:p w14:paraId="2750EE58">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4024F01F">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3F74E411">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邮政编码：</w:t>
            </w:r>
          </w:p>
        </w:tc>
        <w:tc>
          <w:tcPr>
            <w:tcW w:w="2565" w:type="dxa"/>
            <w:tcBorders>
              <w:top w:val="nil"/>
              <w:left w:val="nil"/>
              <w:bottom w:val="nil"/>
              <w:right w:val="nil"/>
            </w:tcBorders>
            <w:noWrap w:val="0"/>
            <w:vAlign w:val="center"/>
          </w:tcPr>
          <w:p w14:paraId="7618FCE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4BCF832D">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邮政编码：</w:t>
            </w:r>
          </w:p>
        </w:tc>
        <w:tc>
          <w:tcPr>
            <w:tcW w:w="2400" w:type="dxa"/>
            <w:tcBorders>
              <w:top w:val="nil"/>
              <w:left w:val="nil"/>
              <w:bottom w:val="nil"/>
              <w:right w:val="nil"/>
            </w:tcBorders>
            <w:noWrap w:val="0"/>
            <w:vAlign w:val="center"/>
          </w:tcPr>
          <w:p w14:paraId="4C99BA39">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0DC8583E">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56404E0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w:t>
            </w:r>
          </w:p>
        </w:tc>
        <w:tc>
          <w:tcPr>
            <w:tcW w:w="2565" w:type="dxa"/>
            <w:tcBorders>
              <w:top w:val="nil"/>
              <w:left w:val="nil"/>
              <w:bottom w:val="nil"/>
              <w:right w:val="nil"/>
            </w:tcBorders>
            <w:noWrap w:val="0"/>
            <w:vAlign w:val="center"/>
          </w:tcPr>
          <w:p w14:paraId="2CBB9F2A">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0EC98D0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法定代表人：</w:t>
            </w:r>
          </w:p>
        </w:tc>
        <w:tc>
          <w:tcPr>
            <w:tcW w:w="2400" w:type="dxa"/>
            <w:tcBorders>
              <w:top w:val="nil"/>
              <w:left w:val="nil"/>
              <w:bottom w:val="nil"/>
              <w:right w:val="nil"/>
            </w:tcBorders>
            <w:noWrap w:val="0"/>
            <w:vAlign w:val="center"/>
          </w:tcPr>
          <w:p w14:paraId="1E8D7727">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323FE1F6">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34208C9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委托代理人：</w:t>
            </w:r>
          </w:p>
        </w:tc>
        <w:tc>
          <w:tcPr>
            <w:tcW w:w="2565" w:type="dxa"/>
            <w:tcBorders>
              <w:top w:val="nil"/>
              <w:left w:val="nil"/>
              <w:bottom w:val="nil"/>
              <w:right w:val="nil"/>
            </w:tcBorders>
            <w:noWrap w:val="0"/>
            <w:vAlign w:val="center"/>
          </w:tcPr>
          <w:p w14:paraId="29A5E07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631502DF">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委托代理人：</w:t>
            </w:r>
          </w:p>
        </w:tc>
        <w:tc>
          <w:tcPr>
            <w:tcW w:w="2400" w:type="dxa"/>
            <w:tcBorders>
              <w:top w:val="nil"/>
              <w:left w:val="nil"/>
              <w:bottom w:val="nil"/>
              <w:right w:val="nil"/>
            </w:tcBorders>
            <w:noWrap w:val="0"/>
            <w:vAlign w:val="center"/>
          </w:tcPr>
          <w:p w14:paraId="79FFF48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70542532">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3490BF1F">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  话：</w:t>
            </w:r>
          </w:p>
        </w:tc>
        <w:tc>
          <w:tcPr>
            <w:tcW w:w="2565" w:type="dxa"/>
            <w:tcBorders>
              <w:top w:val="nil"/>
              <w:left w:val="nil"/>
              <w:bottom w:val="nil"/>
              <w:right w:val="nil"/>
            </w:tcBorders>
            <w:noWrap w:val="0"/>
            <w:vAlign w:val="center"/>
          </w:tcPr>
          <w:p w14:paraId="77262AAC">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59F884F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  话：</w:t>
            </w:r>
          </w:p>
        </w:tc>
        <w:tc>
          <w:tcPr>
            <w:tcW w:w="2400" w:type="dxa"/>
            <w:tcBorders>
              <w:top w:val="nil"/>
              <w:left w:val="nil"/>
              <w:bottom w:val="nil"/>
              <w:right w:val="nil"/>
            </w:tcBorders>
            <w:noWrap w:val="0"/>
            <w:vAlign w:val="center"/>
          </w:tcPr>
          <w:p w14:paraId="2DCF495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7C48EB2C">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783D73E3">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传  真：</w:t>
            </w:r>
          </w:p>
        </w:tc>
        <w:tc>
          <w:tcPr>
            <w:tcW w:w="2565" w:type="dxa"/>
            <w:tcBorders>
              <w:top w:val="nil"/>
              <w:left w:val="nil"/>
              <w:bottom w:val="nil"/>
              <w:right w:val="nil"/>
            </w:tcBorders>
            <w:noWrap w:val="0"/>
            <w:vAlign w:val="center"/>
          </w:tcPr>
          <w:p w14:paraId="423B2F8E">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40AF6CE8">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传  真：</w:t>
            </w:r>
          </w:p>
        </w:tc>
        <w:tc>
          <w:tcPr>
            <w:tcW w:w="2400" w:type="dxa"/>
            <w:tcBorders>
              <w:top w:val="nil"/>
              <w:left w:val="nil"/>
              <w:bottom w:val="nil"/>
              <w:right w:val="nil"/>
            </w:tcBorders>
            <w:noWrap w:val="0"/>
            <w:vAlign w:val="center"/>
          </w:tcPr>
          <w:p w14:paraId="49C42EC8">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4004C1FB">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4D493B1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电子信箱：</w:t>
            </w:r>
          </w:p>
        </w:tc>
        <w:tc>
          <w:tcPr>
            <w:tcW w:w="2565" w:type="dxa"/>
            <w:tcBorders>
              <w:top w:val="nil"/>
              <w:left w:val="nil"/>
              <w:bottom w:val="nil"/>
              <w:right w:val="nil"/>
            </w:tcBorders>
            <w:noWrap w:val="0"/>
            <w:vAlign w:val="center"/>
          </w:tcPr>
          <w:p w14:paraId="43E7F23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042F433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电子信箱：</w:t>
            </w:r>
          </w:p>
        </w:tc>
        <w:tc>
          <w:tcPr>
            <w:tcW w:w="2400" w:type="dxa"/>
            <w:tcBorders>
              <w:top w:val="nil"/>
              <w:left w:val="nil"/>
              <w:bottom w:val="nil"/>
              <w:right w:val="nil"/>
            </w:tcBorders>
            <w:noWrap w:val="0"/>
            <w:vAlign w:val="center"/>
          </w:tcPr>
          <w:p w14:paraId="11926AB9">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6C8E4DDB">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7EF7775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开户银行：</w:t>
            </w:r>
          </w:p>
        </w:tc>
        <w:tc>
          <w:tcPr>
            <w:tcW w:w="2565" w:type="dxa"/>
            <w:tcBorders>
              <w:top w:val="nil"/>
              <w:left w:val="nil"/>
              <w:bottom w:val="nil"/>
              <w:right w:val="nil"/>
            </w:tcBorders>
            <w:noWrap w:val="0"/>
            <w:vAlign w:val="center"/>
          </w:tcPr>
          <w:p w14:paraId="1A1A00C3">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0C758085">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开户银行：</w:t>
            </w:r>
          </w:p>
        </w:tc>
        <w:tc>
          <w:tcPr>
            <w:tcW w:w="2400" w:type="dxa"/>
            <w:tcBorders>
              <w:top w:val="nil"/>
              <w:left w:val="nil"/>
              <w:bottom w:val="nil"/>
              <w:right w:val="nil"/>
            </w:tcBorders>
            <w:noWrap w:val="0"/>
            <w:vAlign w:val="center"/>
          </w:tcPr>
          <w:p w14:paraId="558AD04A">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r w14:paraId="266C1747">
        <w:tblPrEx>
          <w:tblCellMar>
            <w:top w:w="0" w:type="dxa"/>
            <w:left w:w="108" w:type="dxa"/>
            <w:bottom w:w="0" w:type="dxa"/>
            <w:right w:w="108" w:type="dxa"/>
          </w:tblCellMar>
        </w:tblPrEx>
        <w:trPr>
          <w:trHeight w:val="683" w:hRule="atLeast"/>
        </w:trPr>
        <w:tc>
          <w:tcPr>
            <w:tcW w:w="2581" w:type="dxa"/>
            <w:tcBorders>
              <w:top w:val="nil"/>
              <w:left w:val="nil"/>
              <w:bottom w:val="nil"/>
              <w:right w:val="nil"/>
            </w:tcBorders>
            <w:noWrap w:val="0"/>
            <w:vAlign w:val="center"/>
          </w:tcPr>
          <w:p w14:paraId="29AC8F76">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账  号：</w:t>
            </w:r>
          </w:p>
        </w:tc>
        <w:tc>
          <w:tcPr>
            <w:tcW w:w="2565" w:type="dxa"/>
            <w:tcBorders>
              <w:top w:val="nil"/>
              <w:left w:val="nil"/>
              <w:bottom w:val="nil"/>
              <w:right w:val="nil"/>
            </w:tcBorders>
            <w:noWrap w:val="0"/>
            <w:vAlign w:val="center"/>
          </w:tcPr>
          <w:p w14:paraId="15520FB8">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c>
          <w:tcPr>
            <w:tcW w:w="2280" w:type="dxa"/>
            <w:tcBorders>
              <w:top w:val="nil"/>
              <w:left w:val="nil"/>
              <w:bottom w:val="nil"/>
              <w:right w:val="nil"/>
            </w:tcBorders>
            <w:noWrap w:val="0"/>
            <w:vAlign w:val="center"/>
          </w:tcPr>
          <w:p w14:paraId="7DA2B3F0">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r>
              <w:rPr>
                <w:rStyle w:val="86"/>
                <w:rFonts w:hint="eastAsia" w:ascii="宋体" w:hAnsi="宋体" w:eastAsia="宋体" w:cs="宋体"/>
                <w:color w:val="auto"/>
                <w:kern w:val="2"/>
                <w:sz w:val="24"/>
                <w:szCs w:val="24"/>
                <w:highlight w:val="none"/>
                <w:lang w:val="en-US" w:eastAsia="zh-CN" w:bidi="ar-SA"/>
              </w:rPr>
              <w:t>账  号：</w:t>
            </w:r>
          </w:p>
        </w:tc>
        <w:tc>
          <w:tcPr>
            <w:tcW w:w="2400" w:type="dxa"/>
            <w:tcBorders>
              <w:top w:val="nil"/>
              <w:left w:val="nil"/>
              <w:bottom w:val="nil"/>
              <w:right w:val="nil"/>
            </w:tcBorders>
            <w:noWrap w:val="0"/>
            <w:vAlign w:val="center"/>
          </w:tcPr>
          <w:p w14:paraId="60C7AC74">
            <w:pPr>
              <w:pStyle w:val="45"/>
              <w:widowControl w:val="0"/>
              <w:spacing w:line="300" w:lineRule="exact"/>
              <w:jc w:val="both"/>
              <w:rPr>
                <w:rStyle w:val="86"/>
                <w:rFonts w:hint="eastAsia" w:ascii="宋体" w:hAnsi="宋体" w:eastAsia="宋体" w:cs="宋体"/>
                <w:color w:val="auto"/>
                <w:kern w:val="2"/>
                <w:sz w:val="24"/>
                <w:szCs w:val="24"/>
                <w:highlight w:val="none"/>
                <w:lang w:val="en-US" w:eastAsia="zh-CN" w:bidi="ar-SA"/>
              </w:rPr>
            </w:pPr>
          </w:p>
        </w:tc>
      </w:tr>
    </w:tbl>
    <w:p w14:paraId="092B0534">
      <w:pPr>
        <w:pStyle w:val="19"/>
        <w:numPr>
          <w:ilvl w:val="0"/>
          <w:numId w:val="0"/>
        </w:numPr>
        <w:wordWrap/>
        <w:jc w:val="both"/>
        <w:rPr>
          <w:rFonts w:hint="eastAsia" w:ascii="宋体" w:hAnsi="宋体" w:eastAsia="宋体" w:cs="宋体"/>
          <w:b/>
          <w:bCs/>
          <w:color w:val="auto"/>
          <w:sz w:val="24"/>
          <w:szCs w:val="24"/>
          <w:highlight w:val="none"/>
        </w:rPr>
      </w:pPr>
    </w:p>
    <w:p w14:paraId="5E5E7A53">
      <w:pPr>
        <w:jc w:val="right"/>
        <w:rPr>
          <w:rFonts w:hint="eastAsia" w:ascii="宋体" w:hAnsi="宋体" w:eastAsia="宋体" w:cs="宋体"/>
          <w:color w:val="auto"/>
          <w:sz w:val="32"/>
          <w:szCs w:val="24"/>
          <w:highlight w:val="none"/>
        </w:rPr>
      </w:pPr>
      <w:r>
        <w:rPr>
          <w:rFonts w:hint="eastAsia" w:ascii="宋体" w:hAnsi="宋体" w:eastAsia="宋体" w:cs="宋体"/>
          <w:color w:val="auto"/>
          <w:szCs w:val="24"/>
          <w:highlight w:val="none"/>
          <w:u w:val="single"/>
        </w:rPr>
        <w:t xml:space="preserve">  </w:t>
      </w:r>
    </w:p>
    <w:p w14:paraId="5BEB0983">
      <w:pPr>
        <w:rPr>
          <w:rFonts w:hint="eastAsia"/>
        </w:rPr>
      </w:pPr>
    </w:p>
    <w:p w14:paraId="5449CD6D">
      <w:pPr>
        <w:pStyle w:val="45"/>
        <w:spacing w:line="460" w:lineRule="exact"/>
        <w:rPr>
          <w:rStyle w:val="86"/>
          <w:rFonts w:hint="eastAsia" w:ascii="宋体" w:hAnsi="宋体" w:eastAsia="宋体" w:cs="宋体"/>
          <w:color w:val="auto"/>
          <w:highlight w:val="none"/>
        </w:rPr>
      </w:pPr>
    </w:p>
    <w:p w14:paraId="2CEFD1A3">
      <w:pPr>
        <w:pStyle w:val="45"/>
        <w:spacing w:line="460" w:lineRule="exact"/>
        <w:rPr>
          <w:rStyle w:val="86"/>
          <w:rFonts w:hint="eastAsia" w:ascii="宋体" w:hAnsi="宋体" w:eastAsia="宋体" w:cs="宋体"/>
          <w:color w:val="auto"/>
          <w:highlight w:val="none"/>
        </w:rPr>
      </w:pPr>
    </w:p>
    <w:p w14:paraId="1FADA990">
      <w:pPr>
        <w:pStyle w:val="45"/>
        <w:spacing w:line="460" w:lineRule="exact"/>
        <w:rPr>
          <w:rStyle w:val="86"/>
          <w:rFonts w:hint="eastAsia" w:ascii="宋体" w:hAnsi="宋体" w:eastAsia="宋体" w:cs="宋体"/>
          <w:color w:val="auto"/>
          <w:highlight w:val="none"/>
        </w:rPr>
      </w:pPr>
    </w:p>
    <w:p w14:paraId="24287259">
      <w:pPr>
        <w:pStyle w:val="45"/>
        <w:spacing w:line="460" w:lineRule="exact"/>
        <w:rPr>
          <w:rStyle w:val="86"/>
          <w:rFonts w:hint="eastAsia" w:ascii="宋体" w:hAnsi="宋体" w:eastAsia="宋体" w:cs="宋体"/>
          <w:color w:val="auto"/>
          <w:highlight w:val="none"/>
        </w:rPr>
      </w:pPr>
    </w:p>
    <w:p w14:paraId="763E4F79">
      <w:pPr>
        <w:pStyle w:val="45"/>
        <w:spacing w:line="460" w:lineRule="exact"/>
        <w:rPr>
          <w:rStyle w:val="86"/>
          <w:rFonts w:hint="eastAsia" w:ascii="宋体" w:hAnsi="宋体" w:eastAsia="宋体" w:cs="宋体"/>
          <w:color w:val="auto"/>
          <w:highlight w:val="none"/>
        </w:rPr>
      </w:pPr>
    </w:p>
    <w:p w14:paraId="1AD9BA5C">
      <w:pPr>
        <w:rPr>
          <w:rFonts w:hint="eastAsia"/>
        </w:rPr>
      </w:pPr>
    </w:p>
    <w:p w14:paraId="43FBF560">
      <w:pPr>
        <w:outlineLvl w:val="0"/>
        <w:rPr>
          <w:rFonts w:hint="eastAsia" w:ascii="宋体" w:hAnsi="宋体" w:eastAsia="宋体" w:cs="宋体"/>
          <w:b/>
          <w:bCs/>
          <w:sz w:val="44"/>
          <w:szCs w:val="44"/>
        </w:rPr>
      </w:pPr>
    </w:p>
    <w:p w14:paraId="3AF026A1">
      <w:pPr>
        <w:pStyle w:val="7"/>
        <w:jc w:val="center"/>
        <w:outlineLvl w:val="0"/>
        <w:rPr>
          <w:rFonts w:hint="eastAsia" w:ascii="宋体" w:hAnsi="宋体" w:eastAsia="宋体" w:cs="宋体"/>
          <w:b/>
          <w:bCs/>
          <w:sz w:val="44"/>
          <w:szCs w:val="44"/>
        </w:rPr>
      </w:pPr>
      <w:bookmarkStart w:id="449" w:name="_Toc8828"/>
      <w:r>
        <w:rPr>
          <w:rFonts w:hint="eastAsia" w:ascii="宋体" w:hAnsi="宋体" w:eastAsia="宋体" w:cs="宋体"/>
          <w:b/>
          <w:bCs/>
          <w:sz w:val="44"/>
          <w:szCs w:val="44"/>
        </w:rPr>
        <w:t>第五部分 响应文件格式</w:t>
      </w:r>
      <w:bookmarkEnd w:id="391"/>
      <w:bookmarkEnd w:id="392"/>
      <w:bookmarkEnd w:id="393"/>
      <w:bookmarkEnd w:id="394"/>
      <w:bookmarkEnd w:id="449"/>
    </w:p>
    <w:p w14:paraId="75D3A3C1">
      <w:pPr>
        <w:spacing w:line="360" w:lineRule="auto"/>
        <w:jc w:val="center"/>
        <w:rPr>
          <w:rFonts w:hint="eastAsia" w:ascii="宋体" w:hAnsi="宋体" w:eastAsia="宋体" w:cs="宋体"/>
          <w:b/>
          <w:bCs/>
          <w:sz w:val="36"/>
          <w:szCs w:val="36"/>
        </w:rPr>
      </w:pPr>
    </w:p>
    <w:p w14:paraId="375CC38B">
      <w:pPr>
        <w:pStyle w:val="35"/>
        <w:pageBreakBefore w:val="0"/>
        <w:kinsoku/>
        <w:wordWrap/>
        <w:overflowPunct/>
        <w:topLinePunct w:val="0"/>
        <w:autoSpaceDE/>
        <w:autoSpaceDN/>
        <w:bidi w:val="0"/>
        <w:adjustRightInd/>
        <w:snapToGrid/>
        <w:spacing w:beforeAutospacing="0" w:afterAutospacing="0"/>
        <w:ind w:left="0" w:leftChars="0" w:right="0" w:firstLine="400" w:firstLineChars="200"/>
        <w:textAlignment w:val="auto"/>
        <w:outlineLvl w:val="2"/>
        <w:rPr>
          <w:color w:val="auto"/>
        </w:rPr>
      </w:pPr>
    </w:p>
    <w:p w14:paraId="428F0645">
      <w:pPr>
        <w:spacing w:before="101" w:line="224" w:lineRule="auto"/>
        <w:ind w:left="29"/>
        <w:outlineLvl w:val="6"/>
        <w:rPr>
          <w:rFonts w:hint="eastAsia" w:ascii="Calibri" w:hAnsi="Calibri" w:eastAsia="宋体" w:cs="Calibri"/>
          <w:b/>
          <w:color w:val="000000"/>
          <w:kern w:val="0"/>
          <w:sz w:val="44"/>
          <w:szCs w:val="44"/>
          <w:lang w:val="en-US" w:eastAsia="zh-CN" w:bidi="ar-SA"/>
        </w:rPr>
      </w:pPr>
      <w:r>
        <w:rPr>
          <w:rFonts w:hint="eastAsia" w:ascii="Calibri" w:hAnsi="Calibri" w:eastAsia="宋体" w:cs="Calibri"/>
          <w:b/>
          <w:color w:val="000000"/>
          <w:kern w:val="0"/>
          <w:sz w:val="44"/>
          <w:szCs w:val="44"/>
          <w:lang w:val="en-US" w:eastAsia="zh-CN" w:bidi="ar-SA"/>
        </w:rPr>
        <w:t>一、响应文件封面</w:t>
      </w:r>
    </w:p>
    <w:p w14:paraId="3BEAC7D6">
      <w:pPr>
        <w:spacing w:line="276" w:lineRule="auto"/>
        <w:rPr>
          <w:rFonts w:ascii="Arial"/>
          <w:sz w:val="21"/>
        </w:rPr>
      </w:pPr>
    </w:p>
    <w:p w14:paraId="28F1D09D">
      <w:pPr>
        <w:spacing w:line="276" w:lineRule="auto"/>
        <w:rPr>
          <w:rFonts w:ascii="Arial"/>
          <w:sz w:val="21"/>
        </w:rPr>
      </w:pPr>
    </w:p>
    <w:p w14:paraId="40D06A85">
      <w:pPr>
        <w:spacing w:line="277" w:lineRule="auto"/>
        <w:rPr>
          <w:rFonts w:ascii="Arial"/>
          <w:sz w:val="21"/>
        </w:rPr>
      </w:pPr>
    </w:p>
    <w:p w14:paraId="36BE768A">
      <w:pPr>
        <w:spacing w:line="277" w:lineRule="auto"/>
        <w:rPr>
          <w:rFonts w:ascii="Arial"/>
          <w:sz w:val="21"/>
        </w:rPr>
      </w:pPr>
    </w:p>
    <w:p w14:paraId="790C75AF">
      <w:pPr>
        <w:pStyle w:val="9"/>
        <w:tabs>
          <w:tab w:val="left" w:pos="5617"/>
        </w:tabs>
        <w:spacing w:before="91" w:line="221" w:lineRule="auto"/>
        <w:ind w:left="2254"/>
        <w:rPr>
          <w:sz w:val="28"/>
          <w:szCs w:val="28"/>
        </w:rPr>
      </w:pPr>
      <w:r>
        <w:rPr>
          <w:sz w:val="28"/>
          <w:szCs w:val="28"/>
          <w:u w:val="single" w:color="auto"/>
        </w:rPr>
        <w:tab/>
      </w:r>
      <w:r>
        <w:rPr>
          <w:spacing w:val="-1"/>
          <w:sz w:val="28"/>
          <w:szCs w:val="28"/>
        </w:rPr>
        <w:t>（项目名称）</w:t>
      </w:r>
    </w:p>
    <w:p w14:paraId="4AF6EDC8">
      <w:pPr>
        <w:spacing w:line="272" w:lineRule="auto"/>
        <w:rPr>
          <w:rFonts w:ascii="Arial"/>
          <w:sz w:val="21"/>
        </w:rPr>
      </w:pPr>
    </w:p>
    <w:p w14:paraId="2F00E3B0">
      <w:pPr>
        <w:spacing w:line="272" w:lineRule="auto"/>
        <w:rPr>
          <w:rFonts w:ascii="Arial"/>
          <w:sz w:val="21"/>
        </w:rPr>
      </w:pPr>
    </w:p>
    <w:p w14:paraId="38F095C6">
      <w:pPr>
        <w:spacing w:line="273" w:lineRule="auto"/>
        <w:rPr>
          <w:rFonts w:ascii="Arial"/>
          <w:sz w:val="21"/>
        </w:rPr>
      </w:pPr>
    </w:p>
    <w:p w14:paraId="5A1D4C3D">
      <w:pPr>
        <w:pStyle w:val="9"/>
        <w:tabs>
          <w:tab w:val="left" w:pos="5194"/>
        </w:tabs>
        <w:spacing w:before="91" w:line="221" w:lineRule="auto"/>
        <w:ind w:left="2393"/>
        <w:rPr>
          <w:sz w:val="28"/>
          <w:szCs w:val="28"/>
        </w:rPr>
      </w:pPr>
      <w:r>
        <w:rPr>
          <w:sz w:val="28"/>
          <w:szCs w:val="28"/>
          <w:u w:val="single" w:color="auto"/>
        </w:rPr>
        <w:tab/>
      </w:r>
      <w:r>
        <w:rPr>
          <w:spacing w:val="-29"/>
          <w:sz w:val="28"/>
          <w:szCs w:val="28"/>
        </w:rPr>
        <w:t>（</w:t>
      </w:r>
      <w:r>
        <w:rPr>
          <w:rFonts w:hint="eastAsia"/>
          <w:spacing w:val="-29"/>
          <w:sz w:val="28"/>
          <w:szCs w:val="28"/>
          <w:lang w:val="en-US" w:eastAsia="zh-CN"/>
        </w:rPr>
        <w:t>编</w:t>
      </w:r>
      <w:r>
        <w:rPr>
          <w:spacing w:val="-29"/>
          <w:sz w:val="28"/>
          <w:szCs w:val="28"/>
        </w:rPr>
        <w:t>号）</w:t>
      </w:r>
    </w:p>
    <w:p w14:paraId="1661F6F3">
      <w:pPr>
        <w:spacing w:line="270" w:lineRule="auto"/>
        <w:rPr>
          <w:rFonts w:ascii="Arial"/>
          <w:sz w:val="21"/>
        </w:rPr>
      </w:pPr>
    </w:p>
    <w:p w14:paraId="3B9843EB">
      <w:pPr>
        <w:spacing w:line="270" w:lineRule="auto"/>
        <w:rPr>
          <w:rFonts w:ascii="Arial"/>
          <w:sz w:val="21"/>
        </w:rPr>
      </w:pPr>
    </w:p>
    <w:p w14:paraId="591A1CA2">
      <w:pPr>
        <w:spacing w:line="271" w:lineRule="auto"/>
        <w:rPr>
          <w:rFonts w:ascii="Arial"/>
          <w:sz w:val="21"/>
        </w:rPr>
      </w:pPr>
    </w:p>
    <w:p w14:paraId="4296211A">
      <w:pPr>
        <w:spacing w:line="271" w:lineRule="auto"/>
        <w:rPr>
          <w:rFonts w:ascii="Arial"/>
          <w:sz w:val="21"/>
        </w:rPr>
      </w:pPr>
    </w:p>
    <w:p w14:paraId="69797D0E">
      <w:pPr>
        <w:pStyle w:val="9"/>
        <w:spacing w:before="169" w:line="220" w:lineRule="auto"/>
        <w:ind w:left="3149"/>
        <w:rPr>
          <w:rFonts w:hint="eastAsia" w:ascii="Calibri" w:hAnsi="Calibri" w:eastAsia="宋体" w:cs="Calibri"/>
          <w:b/>
          <w:color w:val="000000"/>
          <w:kern w:val="0"/>
          <w:sz w:val="44"/>
          <w:szCs w:val="44"/>
          <w:lang w:val="en-US" w:eastAsia="zh-CN" w:bidi="ar-SA"/>
        </w:rPr>
      </w:pPr>
      <w:bookmarkStart w:id="450" w:name="bookmark23"/>
      <w:bookmarkEnd w:id="450"/>
      <w:r>
        <w:rPr>
          <w:rFonts w:hint="eastAsia" w:ascii="Calibri" w:hAnsi="Calibri" w:eastAsia="宋体" w:cs="Calibri"/>
          <w:b/>
          <w:color w:val="000000"/>
          <w:kern w:val="0"/>
          <w:sz w:val="44"/>
          <w:szCs w:val="44"/>
          <w:lang w:val="en-US" w:eastAsia="zh-CN" w:bidi="ar-SA"/>
        </w:rPr>
        <w:t>投标文件</w:t>
      </w:r>
    </w:p>
    <w:p w14:paraId="1489C315">
      <w:pPr>
        <w:spacing w:line="244" w:lineRule="auto"/>
        <w:rPr>
          <w:rFonts w:ascii="Arial"/>
          <w:sz w:val="21"/>
        </w:rPr>
      </w:pPr>
    </w:p>
    <w:p w14:paraId="5307CF04">
      <w:pPr>
        <w:spacing w:line="244" w:lineRule="auto"/>
        <w:rPr>
          <w:rFonts w:ascii="Arial"/>
          <w:sz w:val="21"/>
        </w:rPr>
      </w:pPr>
    </w:p>
    <w:p w14:paraId="376B8B0C">
      <w:pPr>
        <w:spacing w:line="244" w:lineRule="auto"/>
        <w:rPr>
          <w:rFonts w:ascii="Arial"/>
          <w:sz w:val="21"/>
        </w:rPr>
      </w:pPr>
    </w:p>
    <w:p w14:paraId="76527019">
      <w:pPr>
        <w:spacing w:line="244" w:lineRule="auto"/>
        <w:rPr>
          <w:rFonts w:ascii="Arial"/>
          <w:sz w:val="21"/>
        </w:rPr>
      </w:pPr>
    </w:p>
    <w:p w14:paraId="4DE021A3">
      <w:pPr>
        <w:spacing w:line="244" w:lineRule="auto"/>
        <w:rPr>
          <w:rFonts w:ascii="Arial"/>
          <w:sz w:val="21"/>
        </w:rPr>
      </w:pPr>
    </w:p>
    <w:p w14:paraId="468D37BC">
      <w:pPr>
        <w:spacing w:line="244" w:lineRule="auto"/>
        <w:rPr>
          <w:rFonts w:ascii="Arial"/>
          <w:sz w:val="21"/>
        </w:rPr>
      </w:pPr>
    </w:p>
    <w:p w14:paraId="446AC13A">
      <w:pPr>
        <w:spacing w:line="244" w:lineRule="auto"/>
        <w:rPr>
          <w:rFonts w:ascii="Arial"/>
          <w:sz w:val="21"/>
        </w:rPr>
      </w:pPr>
    </w:p>
    <w:p w14:paraId="28ADA997">
      <w:pPr>
        <w:spacing w:line="244" w:lineRule="auto"/>
        <w:rPr>
          <w:rFonts w:ascii="Arial"/>
          <w:sz w:val="21"/>
        </w:rPr>
      </w:pPr>
    </w:p>
    <w:p w14:paraId="3A386D45">
      <w:pPr>
        <w:spacing w:line="245" w:lineRule="auto"/>
        <w:rPr>
          <w:rFonts w:ascii="Arial"/>
          <w:sz w:val="21"/>
        </w:rPr>
      </w:pPr>
    </w:p>
    <w:p w14:paraId="6D6165E7">
      <w:pPr>
        <w:spacing w:line="245" w:lineRule="auto"/>
        <w:rPr>
          <w:rFonts w:ascii="Arial"/>
          <w:sz w:val="21"/>
        </w:rPr>
      </w:pPr>
    </w:p>
    <w:p w14:paraId="55D0C930">
      <w:pPr>
        <w:spacing w:line="245" w:lineRule="auto"/>
        <w:rPr>
          <w:rFonts w:ascii="Arial"/>
          <w:sz w:val="21"/>
        </w:rPr>
      </w:pPr>
    </w:p>
    <w:p w14:paraId="73AC1204">
      <w:pPr>
        <w:spacing w:line="245" w:lineRule="auto"/>
        <w:rPr>
          <w:rFonts w:ascii="Arial"/>
          <w:sz w:val="21"/>
        </w:rPr>
      </w:pPr>
    </w:p>
    <w:p w14:paraId="1ABCF433">
      <w:pPr>
        <w:spacing w:line="245" w:lineRule="auto"/>
        <w:rPr>
          <w:rFonts w:ascii="Arial"/>
          <w:sz w:val="21"/>
        </w:rPr>
      </w:pPr>
    </w:p>
    <w:p w14:paraId="4E55CF7A">
      <w:pPr>
        <w:spacing w:line="245" w:lineRule="auto"/>
        <w:rPr>
          <w:rFonts w:ascii="Arial"/>
          <w:sz w:val="21"/>
        </w:rPr>
      </w:pPr>
    </w:p>
    <w:p w14:paraId="19E61EF2">
      <w:pPr>
        <w:spacing w:line="245" w:lineRule="auto"/>
        <w:rPr>
          <w:rFonts w:ascii="Arial"/>
          <w:sz w:val="21"/>
        </w:rPr>
      </w:pPr>
    </w:p>
    <w:p w14:paraId="27850954">
      <w:pPr>
        <w:spacing w:line="245" w:lineRule="auto"/>
        <w:rPr>
          <w:rFonts w:ascii="Arial"/>
          <w:sz w:val="21"/>
        </w:rPr>
      </w:pPr>
    </w:p>
    <w:p w14:paraId="7103B3A8">
      <w:pPr>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（电子</w:t>
      </w:r>
      <w:r>
        <w:rPr>
          <w:rFonts w:hint="eastAsia" w:ascii="宋体" w:hAnsi="宋体" w:cs="宋体"/>
          <w:sz w:val="28"/>
          <w:szCs w:val="28"/>
          <w:lang w:val="en-US" w:eastAsia="zh-CN"/>
        </w:rPr>
        <w:t>公</w:t>
      </w:r>
      <w:r>
        <w:rPr>
          <w:rFonts w:hint="eastAsia" w:ascii="宋体" w:hAnsi="宋体" w:eastAsia="宋体" w:cs="宋体"/>
          <w:sz w:val="28"/>
          <w:szCs w:val="28"/>
        </w:rPr>
        <w:t>章）</w:t>
      </w:r>
    </w:p>
    <w:p w14:paraId="0B5A8D2B">
      <w:pPr>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（电子签名</w:t>
      </w:r>
      <w:r>
        <w:rPr>
          <w:rFonts w:hint="eastAsia" w:ascii="宋体" w:hAnsi="宋体" w:cs="宋体"/>
          <w:sz w:val="28"/>
          <w:szCs w:val="28"/>
          <w:lang w:val="en-US" w:eastAsia="zh-CN"/>
        </w:rPr>
        <w:t>或盖章</w:t>
      </w:r>
      <w:r>
        <w:rPr>
          <w:rFonts w:hint="eastAsia" w:ascii="宋体" w:hAnsi="宋体" w:eastAsia="宋体" w:cs="宋体"/>
          <w:sz w:val="28"/>
          <w:szCs w:val="28"/>
        </w:rPr>
        <w:t>）</w:t>
      </w:r>
    </w:p>
    <w:p w14:paraId="02E30FB6">
      <w:pPr>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（年/月/日）</w:t>
      </w:r>
    </w:p>
    <w:p w14:paraId="6B81AB80">
      <w:pPr>
        <w:spacing w:line="360" w:lineRule="auto"/>
        <w:ind w:firstLine="482" w:firstLineChars="200"/>
        <w:rPr>
          <w:rFonts w:hint="eastAsia" w:ascii="宋体" w:hAnsi="宋体" w:eastAsia="宋体" w:cs="宋体"/>
          <w:b/>
          <w:sz w:val="24"/>
        </w:rPr>
      </w:pPr>
    </w:p>
    <w:p w14:paraId="0D22DFFA">
      <w:pPr>
        <w:spacing w:line="360" w:lineRule="auto"/>
        <w:ind w:firstLine="643" w:firstLineChars="200"/>
        <w:jc w:val="center"/>
        <w:rPr>
          <w:rFonts w:hint="eastAsia" w:ascii="宋体" w:hAnsi="宋体" w:eastAsia="宋体" w:cs="宋体"/>
          <w:b/>
          <w:sz w:val="32"/>
          <w:szCs w:val="32"/>
        </w:rPr>
      </w:pPr>
    </w:p>
    <w:p w14:paraId="161B4A4B">
      <w:pPr>
        <w:spacing w:line="360" w:lineRule="auto"/>
        <w:ind w:firstLine="643" w:firstLineChars="200"/>
        <w:jc w:val="center"/>
        <w:rPr>
          <w:rFonts w:hint="eastAsia" w:ascii="宋体" w:hAnsi="宋体" w:eastAsia="宋体" w:cs="宋体"/>
          <w:b/>
          <w:sz w:val="32"/>
          <w:szCs w:val="32"/>
        </w:rPr>
      </w:pPr>
    </w:p>
    <w:p w14:paraId="206A4E5D">
      <w:pPr>
        <w:spacing w:line="248" w:lineRule="auto"/>
        <w:rPr>
          <w:rFonts w:ascii="Arial"/>
          <w:sz w:val="21"/>
        </w:rPr>
      </w:pPr>
    </w:p>
    <w:p w14:paraId="0D8DEE49">
      <w:pPr>
        <w:spacing w:before="91" w:line="219" w:lineRule="auto"/>
        <w:ind w:left="3653"/>
        <w:rPr>
          <w:rFonts w:hint="eastAsia" w:ascii="宋体" w:hAnsi="宋体" w:eastAsia="宋体" w:cs="宋体"/>
          <w:b/>
          <w:bCs/>
          <w:sz w:val="32"/>
          <w:szCs w:val="32"/>
        </w:rPr>
      </w:pPr>
      <w:r>
        <w:rPr>
          <w:rFonts w:hint="eastAsia" w:ascii="宋体" w:hAnsi="宋体" w:eastAsia="宋体" w:cs="宋体"/>
          <w:b/>
          <w:bCs/>
          <w:spacing w:val="-23"/>
          <w:sz w:val="32"/>
          <w:szCs w:val="32"/>
        </w:rPr>
        <w:t>目录</w:t>
      </w:r>
    </w:p>
    <w:p w14:paraId="7305484F">
      <w:pPr>
        <w:spacing w:line="351" w:lineRule="auto"/>
        <w:rPr>
          <w:rFonts w:ascii="Arial"/>
          <w:sz w:val="21"/>
        </w:rPr>
      </w:pPr>
    </w:p>
    <w:p w14:paraId="125BC31C">
      <w:pPr>
        <w:spacing w:line="480" w:lineRule="auto"/>
        <w:rPr>
          <w:sz w:val="24"/>
          <w:szCs w:val="28"/>
        </w:rPr>
      </w:pPr>
      <w:r>
        <w:rPr>
          <w:sz w:val="24"/>
          <w:szCs w:val="28"/>
        </w:rPr>
        <w:t>一、投标文件封面</w:t>
      </w:r>
    </w:p>
    <w:p w14:paraId="557BA032">
      <w:pPr>
        <w:spacing w:line="480" w:lineRule="auto"/>
        <w:rPr>
          <w:sz w:val="24"/>
          <w:szCs w:val="28"/>
        </w:rPr>
      </w:pPr>
      <w:r>
        <w:rPr>
          <w:sz w:val="24"/>
          <w:szCs w:val="28"/>
        </w:rPr>
        <w:t>二、供应商基本情况</w:t>
      </w:r>
    </w:p>
    <w:p w14:paraId="5CC35005">
      <w:pPr>
        <w:spacing w:line="480" w:lineRule="auto"/>
        <w:rPr>
          <w:sz w:val="24"/>
          <w:szCs w:val="28"/>
        </w:rPr>
      </w:pPr>
      <w:r>
        <w:rPr>
          <w:sz w:val="24"/>
          <w:szCs w:val="28"/>
        </w:rPr>
        <w:t>三、法定代表人身份证明或附有法定代表人身份证明的授权书</w:t>
      </w:r>
    </w:p>
    <w:p w14:paraId="386726D3">
      <w:pPr>
        <w:spacing w:line="480" w:lineRule="auto"/>
        <w:rPr>
          <w:sz w:val="24"/>
          <w:szCs w:val="28"/>
        </w:rPr>
      </w:pPr>
      <w:r>
        <w:rPr>
          <w:sz w:val="24"/>
          <w:szCs w:val="28"/>
        </w:rPr>
        <w:t>四、</w:t>
      </w:r>
      <w:r>
        <w:rPr>
          <w:rFonts w:hint="eastAsia"/>
          <w:sz w:val="24"/>
          <w:szCs w:val="28"/>
        </w:rPr>
        <w:t>供应商资格条件证明材料</w:t>
      </w:r>
    </w:p>
    <w:p w14:paraId="3EC1064F">
      <w:pPr>
        <w:spacing w:line="480" w:lineRule="auto"/>
        <w:rPr>
          <w:sz w:val="24"/>
          <w:szCs w:val="28"/>
        </w:rPr>
      </w:pPr>
      <w:r>
        <w:rPr>
          <w:sz w:val="24"/>
          <w:szCs w:val="28"/>
        </w:rPr>
        <w:t>五、不参与围标串标承诺书</w:t>
      </w:r>
    </w:p>
    <w:p w14:paraId="1178FE3F">
      <w:pPr>
        <w:spacing w:line="480" w:lineRule="auto"/>
        <w:rPr>
          <w:sz w:val="24"/>
          <w:szCs w:val="28"/>
        </w:rPr>
      </w:pPr>
      <w:r>
        <w:rPr>
          <w:sz w:val="24"/>
          <w:szCs w:val="28"/>
        </w:rPr>
        <w:t>六、中、小企业声明函</w:t>
      </w:r>
    </w:p>
    <w:p w14:paraId="2FAEBDD6">
      <w:pPr>
        <w:spacing w:line="480" w:lineRule="auto"/>
        <w:rPr>
          <w:sz w:val="24"/>
          <w:szCs w:val="28"/>
        </w:rPr>
      </w:pPr>
      <w:r>
        <w:rPr>
          <w:sz w:val="24"/>
          <w:szCs w:val="28"/>
        </w:rPr>
        <w:t>七、项目管理机构组成表</w:t>
      </w:r>
    </w:p>
    <w:p w14:paraId="53853BEF">
      <w:pPr>
        <w:spacing w:line="480" w:lineRule="auto"/>
        <w:rPr>
          <w:sz w:val="24"/>
          <w:szCs w:val="28"/>
        </w:rPr>
      </w:pPr>
      <w:r>
        <w:rPr>
          <w:sz w:val="24"/>
          <w:szCs w:val="28"/>
        </w:rPr>
        <w:t>八、项目经理简历表</w:t>
      </w:r>
    </w:p>
    <w:p w14:paraId="2A92330C">
      <w:pPr>
        <w:spacing w:line="480" w:lineRule="auto"/>
        <w:rPr>
          <w:sz w:val="24"/>
          <w:szCs w:val="28"/>
        </w:rPr>
      </w:pPr>
      <w:r>
        <w:rPr>
          <w:sz w:val="24"/>
          <w:szCs w:val="28"/>
        </w:rPr>
        <w:t>九、</w:t>
      </w:r>
      <w:r>
        <w:rPr>
          <w:rFonts w:hint="eastAsia"/>
          <w:sz w:val="24"/>
          <w:szCs w:val="28"/>
          <w:lang w:eastAsia="zh-CN"/>
        </w:rPr>
        <w:t>谈判</w:t>
      </w:r>
      <w:r>
        <w:rPr>
          <w:sz w:val="24"/>
          <w:szCs w:val="28"/>
        </w:rPr>
        <w:t>申请</w:t>
      </w:r>
    </w:p>
    <w:p w14:paraId="09A2A3F2">
      <w:pPr>
        <w:spacing w:line="480" w:lineRule="auto"/>
        <w:rPr>
          <w:sz w:val="24"/>
          <w:szCs w:val="28"/>
        </w:rPr>
      </w:pPr>
      <w:r>
        <w:rPr>
          <w:sz w:val="24"/>
          <w:szCs w:val="28"/>
        </w:rPr>
        <w:t>十、</w:t>
      </w:r>
      <w:r>
        <w:rPr>
          <w:rFonts w:hint="eastAsia"/>
          <w:sz w:val="24"/>
          <w:szCs w:val="28"/>
          <w:lang w:eastAsia="zh-CN"/>
        </w:rPr>
        <w:t>谈判</w:t>
      </w:r>
      <w:r>
        <w:rPr>
          <w:sz w:val="24"/>
          <w:szCs w:val="28"/>
        </w:rPr>
        <w:t>报价文件组成</w:t>
      </w:r>
    </w:p>
    <w:p w14:paraId="49BDF62E">
      <w:pPr>
        <w:spacing w:line="480" w:lineRule="auto"/>
        <w:rPr>
          <w:rFonts w:hint="eastAsia" w:eastAsia="宋体"/>
          <w:sz w:val="24"/>
          <w:szCs w:val="28"/>
          <w:lang w:eastAsia="zh-CN"/>
        </w:rPr>
      </w:pPr>
      <w:r>
        <w:rPr>
          <w:sz w:val="24"/>
          <w:szCs w:val="28"/>
        </w:rPr>
        <w:t>十一类似项目业绩</w:t>
      </w:r>
      <w:r>
        <w:rPr>
          <w:rFonts w:hint="eastAsia"/>
          <w:sz w:val="24"/>
          <w:szCs w:val="28"/>
          <w:lang w:eastAsia="zh-CN"/>
        </w:rPr>
        <w:t>（</w:t>
      </w:r>
      <w:r>
        <w:rPr>
          <w:rFonts w:hint="eastAsia"/>
          <w:sz w:val="24"/>
          <w:szCs w:val="28"/>
          <w:lang w:val="en-US" w:eastAsia="zh-CN"/>
        </w:rPr>
        <w:t>如有</w:t>
      </w:r>
      <w:r>
        <w:rPr>
          <w:rFonts w:hint="eastAsia"/>
          <w:sz w:val="24"/>
          <w:szCs w:val="28"/>
          <w:lang w:eastAsia="zh-CN"/>
        </w:rPr>
        <w:t>）</w:t>
      </w:r>
    </w:p>
    <w:p w14:paraId="0BE4A961">
      <w:pPr>
        <w:spacing w:line="480" w:lineRule="auto"/>
        <w:rPr>
          <w:sz w:val="24"/>
          <w:szCs w:val="28"/>
        </w:rPr>
      </w:pPr>
      <w:r>
        <w:rPr>
          <w:sz w:val="24"/>
          <w:szCs w:val="28"/>
        </w:rPr>
        <w:t>十二、技术文件</w:t>
      </w:r>
    </w:p>
    <w:p w14:paraId="10F90CF4">
      <w:pPr>
        <w:spacing w:line="480" w:lineRule="auto"/>
        <w:rPr>
          <w:sz w:val="24"/>
          <w:szCs w:val="28"/>
        </w:rPr>
      </w:pPr>
      <w:r>
        <w:rPr>
          <w:sz w:val="24"/>
          <w:szCs w:val="28"/>
        </w:rPr>
        <w:t>十三、其他材料</w:t>
      </w:r>
    </w:p>
    <w:p w14:paraId="25FBF9C9">
      <w:pPr>
        <w:keepNext w:val="0"/>
        <w:keepLines w:val="0"/>
        <w:pageBreakBefore w:val="0"/>
        <w:widowControl w:val="0"/>
        <w:kinsoku/>
        <w:wordWrap/>
        <w:overflowPunct/>
        <w:topLinePunct w:val="0"/>
        <w:autoSpaceDE/>
        <w:autoSpaceDN/>
        <w:bidi w:val="0"/>
        <w:adjustRightInd/>
        <w:snapToGrid/>
        <w:spacing w:line="360" w:lineRule="auto"/>
        <w:ind w:left="0"/>
        <w:textAlignment w:val="auto"/>
        <w:rPr>
          <w:sz w:val="24"/>
          <w:szCs w:val="24"/>
        </w:rPr>
      </w:pPr>
    </w:p>
    <w:p w14:paraId="2EF15F51">
      <w:pPr>
        <w:pStyle w:val="9"/>
      </w:pPr>
    </w:p>
    <w:p w14:paraId="084426A7"/>
    <w:p w14:paraId="108C7993">
      <w:pPr>
        <w:pStyle w:val="9"/>
      </w:pPr>
    </w:p>
    <w:p w14:paraId="5FA29AC5">
      <w:pPr>
        <w:sectPr>
          <w:headerReference r:id="rId6" w:type="default"/>
          <w:footerReference r:id="rId7" w:type="default"/>
          <w:pgSz w:w="11907" w:h="16839"/>
          <w:pgMar w:top="1440" w:right="1800" w:bottom="1440" w:left="1800" w:header="0" w:footer="996" w:gutter="0"/>
          <w:pgNumType w:fmt="decimal"/>
          <w:cols w:space="720" w:num="1"/>
        </w:sectPr>
      </w:pPr>
      <w:r>
        <w:rPr>
          <w:rFonts w:hint="eastAsia" w:ascii="宋体" w:hAnsi="宋体" w:eastAsia="宋体" w:cs="宋体"/>
          <w:b/>
          <w:bCs/>
          <w:color w:val="auto"/>
          <w:sz w:val="28"/>
          <w:szCs w:val="28"/>
          <w:highlight w:val="none"/>
        </w:rPr>
        <w:t>☆资格审查材料、</w:t>
      </w:r>
      <w:r>
        <w:rPr>
          <w:rFonts w:hint="eastAsia" w:ascii="宋体" w:hAnsi="宋体" w:cs="宋体"/>
          <w:b/>
          <w:bCs/>
          <w:color w:val="auto"/>
          <w:sz w:val="28"/>
          <w:szCs w:val="28"/>
          <w:highlight w:val="none"/>
          <w:lang w:val="en-US" w:eastAsia="zh-CN"/>
        </w:rPr>
        <w:t>报价</w:t>
      </w:r>
      <w:r>
        <w:rPr>
          <w:rFonts w:hint="eastAsia" w:ascii="宋体" w:hAnsi="宋体" w:eastAsia="宋体" w:cs="宋体"/>
          <w:b/>
          <w:bCs/>
          <w:color w:val="auto"/>
          <w:sz w:val="28"/>
          <w:szCs w:val="28"/>
          <w:highlight w:val="none"/>
        </w:rPr>
        <w:t>文件、商务技术文件对应上传至政采云指定</w:t>
      </w:r>
      <w:r>
        <w:rPr>
          <w:rFonts w:hint="eastAsia" w:ascii="宋体" w:hAnsi="宋体" w:eastAsia="宋体" w:cs="宋体"/>
          <w:b/>
          <w:bCs/>
          <w:color w:val="auto"/>
          <w:spacing w:val="18"/>
          <w:sz w:val="28"/>
          <w:szCs w:val="28"/>
          <w:highlight w:val="none"/>
        </w:rPr>
        <w:t xml:space="preserve"> </w:t>
      </w:r>
      <w:r>
        <w:rPr>
          <w:rFonts w:hint="eastAsia" w:ascii="宋体" w:hAnsi="宋体" w:eastAsia="宋体" w:cs="宋体"/>
          <w:b/>
          <w:bCs/>
          <w:color w:val="auto"/>
          <w:spacing w:val="-1"/>
          <w:sz w:val="28"/>
          <w:szCs w:val="28"/>
          <w:highlight w:val="none"/>
        </w:rPr>
        <w:t>位置，如传错位置或其他部分出现报价，投标无效。</w:t>
      </w:r>
    </w:p>
    <w:p w14:paraId="6CF5339E">
      <w:pPr>
        <w:spacing w:before="101" w:line="224" w:lineRule="auto"/>
        <w:ind w:left="283"/>
        <w:outlineLvl w:val="6"/>
        <w:rPr>
          <w:spacing w:val="-16"/>
          <w:sz w:val="28"/>
          <w:szCs w:val="28"/>
        </w:rPr>
      </w:pPr>
    </w:p>
    <w:p w14:paraId="2D0C5A8B">
      <w:pPr>
        <w:pStyle w:val="4"/>
        <w:bidi w:val="0"/>
        <w:jc w:val="left"/>
      </w:pPr>
      <w:bookmarkStart w:id="451" w:name="_Toc21866"/>
      <w:r>
        <w:rPr>
          <w:rFonts w:hint="eastAsia"/>
        </w:rPr>
        <w:t>二、供应商基本情况</w:t>
      </w:r>
      <w:bookmarkEnd w:id="451"/>
    </w:p>
    <w:p w14:paraId="6F70DD29">
      <w:pPr>
        <w:pStyle w:val="9"/>
        <w:spacing w:before="78" w:line="219" w:lineRule="auto"/>
        <w:ind w:left="3470"/>
        <w:rPr>
          <w:sz w:val="28"/>
          <w:szCs w:val="28"/>
        </w:rPr>
      </w:pPr>
      <w:r>
        <w:rPr>
          <w:spacing w:val="-2"/>
          <w:sz w:val="28"/>
          <w:szCs w:val="28"/>
        </w:rPr>
        <w:t>供应商基本情况表</w:t>
      </w:r>
    </w:p>
    <w:p w14:paraId="6C4E13AA">
      <w:pPr>
        <w:spacing w:line="70" w:lineRule="exact"/>
      </w:pPr>
    </w:p>
    <w:tbl>
      <w:tblPr>
        <w:tblStyle w:val="82"/>
        <w:tblW w:w="88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4"/>
        <w:gridCol w:w="775"/>
        <w:gridCol w:w="254"/>
        <w:gridCol w:w="986"/>
        <w:gridCol w:w="911"/>
        <w:gridCol w:w="490"/>
        <w:gridCol w:w="1286"/>
        <w:gridCol w:w="259"/>
        <w:gridCol w:w="730"/>
        <w:gridCol w:w="1465"/>
      </w:tblGrid>
      <w:tr w14:paraId="0D1AF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684" w:type="dxa"/>
            <w:noWrap w:val="0"/>
            <w:vAlign w:val="top"/>
          </w:tcPr>
          <w:p w14:paraId="372CF163">
            <w:pPr>
              <w:pStyle w:val="85"/>
              <w:spacing w:before="37" w:line="210" w:lineRule="auto"/>
              <w:ind w:left="249"/>
              <w:rPr>
                <w:rFonts w:hint="eastAsia" w:ascii="宋体" w:hAnsi="宋体" w:eastAsia="宋体" w:cs="宋体"/>
                <w:sz w:val="22"/>
                <w:szCs w:val="22"/>
              </w:rPr>
            </w:pPr>
            <w:r>
              <w:rPr>
                <w:rFonts w:hint="eastAsia" w:ascii="宋体" w:hAnsi="宋体" w:eastAsia="宋体" w:cs="宋体"/>
                <w:spacing w:val="-2"/>
                <w:sz w:val="22"/>
                <w:szCs w:val="22"/>
              </w:rPr>
              <w:t>供应商名称</w:t>
            </w:r>
          </w:p>
        </w:tc>
        <w:tc>
          <w:tcPr>
            <w:tcW w:w="7156" w:type="dxa"/>
            <w:gridSpan w:val="9"/>
            <w:noWrap w:val="0"/>
            <w:vAlign w:val="top"/>
          </w:tcPr>
          <w:p w14:paraId="19C53DD7">
            <w:pPr>
              <w:rPr>
                <w:rFonts w:hint="eastAsia" w:ascii="宋体" w:hAnsi="宋体" w:eastAsia="宋体" w:cs="宋体"/>
                <w:sz w:val="22"/>
                <w:szCs w:val="22"/>
              </w:rPr>
            </w:pPr>
          </w:p>
        </w:tc>
      </w:tr>
      <w:tr w14:paraId="0D105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84" w:type="dxa"/>
            <w:noWrap w:val="0"/>
            <w:vAlign w:val="top"/>
          </w:tcPr>
          <w:p w14:paraId="33BAD543">
            <w:pPr>
              <w:pStyle w:val="85"/>
              <w:spacing w:before="34" w:line="209" w:lineRule="auto"/>
              <w:ind w:left="369"/>
              <w:rPr>
                <w:rFonts w:hint="eastAsia" w:ascii="宋体" w:hAnsi="宋体" w:eastAsia="宋体" w:cs="宋体"/>
                <w:sz w:val="22"/>
                <w:szCs w:val="22"/>
              </w:rPr>
            </w:pPr>
            <w:r>
              <w:rPr>
                <w:rFonts w:hint="eastAsia" w:ascii="宋体" w:hAnsi="宋体" w:eastAsia="宋体" w:cs="宋体"/>
                <w:spacing w:val="-2"/>
                <w:sz w:val="22"/>
                <w:szCs w:val="22"/>
              </w:rPr>
              <w:t>注册地址</w:t>
            </w:r>
          </w:p>
        </w:tc>
        <w:tc>
          <w:tcPr>
            <w:tcW w:w="3416" w:type="dxa"/>
            <w:gridSpan w:val="5"/>
            <w:noWrap w:val="0"/>
            <w:vAlign w:val="top"/>
          </w:tcPr>
          <w:p w14:paraId="10F9E09F">
            <w:pPr>
              <w:rPr>
                <w:rFonts w:hint="eastAsia" w:ascii="宋体" w:hAnsi="宋体" w:eastAsia="宋体" w:cs="宋体"/>
                <w:sz w:val="22"/>
                <w:szCs w:val="22"/>
              </w:rPr>
            </w:pPr>
          </w:p>
        </w:tc>
        <w:tc>
          <w:tcPr>
            <w:tcW w:w="1286" w:type="dxa"/>
            <w:noWrap w:val="0"/>
            <w:vAlign w:val="top"/>
          </w:tcPr>
          <w:p w14:paraId="4C76BFF4">
            <w:pPr>
              <w:pStyle w:val="85"/>
              <w:spacing w:before="34" w:line="209" w:lineRule="auto"/>
              <w:ind w:left="188"/>
              <w:rPr>
                <w:rFonts w:hint="eastAsia" w:ascii="宋体" w:hAnsi="宋体" w:eastAsia="宋体" w:cs="宋体"/>
                <w:sz w:val="22"/>
                <w:szCs w:val="22"/>
              </w:rPr>
            </w:pPr>
            <w:r>
              <w:rPr>
                <w:rFonts w:hint="eastAsia" w:ascii="宋体" w:hAnsi="宋体" w:eastAsia="宋体" w:cs="宋体"/>
                <w:spacing w:val="-6"/>
                <w:sz w:val="22"/>
                <w:szCs w:val="22"/>
              </w:rPr>
              <w:t>邮政编码</w:t>
            </w:r>
          </w:p>
        </w:tc>
        <w:tc>
          <w:tcPr>
            <w:tcW w:w="2454" w:type="dxa"/>
            <w:gridSpan w:val="3"/>
            <w:noWrap w:val="0"/>
            <w:vAlign w:val="top"/>
          </w:tcPr>
          <w:p w14:paraId="4BE83505">
            <w:pPr>
              <w:rPr>
                <w:rFonts w:hint="eastAsia" w:ascii="宋体" w:hAnsi="宋体" w:eastAsia="宋体" w:cs="宋体"/>
                <w:sz w:val="22"/>
                <w:szCs w:val="22"/>
              </w:rPr>
            </w:pPr>
          </w:p>
        </w:tc>
      </w:tr>
      <w:tr w14:paraId="313AF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684" w:type="dxa"/>
            <w:vMerge w:val="restart"/>
            <w:tcBorders>
              <w:bottom w:val="nil"/>
            </w:tcBorders>
            <w:noWrap w:val="0"/>
            <w:vAlign w:val="top"/>
          </w:tcPr>
          <w:p w14:paraId="450B9D58">
            <w:pPr>
              <w:pStyle w:val="85"/>
              <w:spacing w:before="226" w:line="221" w:lineRule="auto"/>
              <w:ind w:left="370"/>
              <w:rPr>
                <w:rFonts w:hint="eastAsia" w:ascii="宋体" w:hAnsi="宋体" w:eastAsia="宋体" w:cs="宋体"/>
                <w:sz w:val="22"/>
                <w:szCs w:val="22"/>
              </w:rPr>
            </w:pPr>
            <w:r>
              <w:rPr>
                <w:rFonts w:hint="eastAsia" w:ascii="宋体" w:hAnsi="宋体" w:eastAsia="宋体" w:cs="宋体"/>
                <w:spacing w:val="-2"/>
                <w:sz w:val="22"/>
                <w:szCs w:val="22"/>
              </w:rPr>
              <w:t>联系方式</w:t>
            </w:r>
          </w:p>
        </w:tc>
        <w:tc>
          <w:tcPr>
            <w:tcW w:w="1029" w:type="dxa"/>
            <w:gridSpan w:val="2"/>
            <w:noWrap w:val="0"/>
            <w:vAlign w:val="top"/>
          </w:tcPr>
          <w:p w14:paraId="5110A0B0">
            <w:pPr>
              <w:pStyle w:val="85"/>
              <w:spacing w:before="65" w:line="222" w:lineRule="auto"/>
              <w:ind w:left="159"/>
              <w:rPr>
                <w:rFonts w:hint="eastAsia" w:ascii="宋体" w:hAnsi="宋体" w:eastAsia="宋体" w:cs="宋体"/>
                <w:sz w:val="22"/>
                <w:szCs w:val="22"/>
              </w:rPr>
            </w:pPr>
            <w:r>
              <w:rPr>
                <w:rFonts w:hint="eastAsia" w:ascii="宋体" w:hAnsi="宋体" w:eastAsia="宋体" w:cs="宋体"/>
                <w:spacing w:val="-3"/>
                <w:sz w:val="22"/>
                <w:szCs w:val="22"/>
              </w:rPr>
              <w:t>联系人</w:t>
            </w:r>
          </w:p>
        </w:tc>
        <w:tc>
          <w:tcPr>
            <w:tcW w:w="2387" w:type="dxa"/>
            <w:gridSpan w:val="3"/>
            <w:noWrap w:val="0"/>
            <w:vAlign w:val="top"/>
          </w:tcPr>
          <w:p w14:paraId="14AC7486">
            <w:pPr>
              <w:rPr>
                <w:rFonts w:hint="eastAsia" w:ascii="宋体" w:hAnsi="宋体" w:eastAsia="宋体" w:cs="宋体"/>
                <w:sz w:val="22"/>
                <w:szCs w:val="22"/>
              </w:rPr>
            </w:pPr>
          </w:p>
        </w:tc>
        <w:tc>
          <w:tcPr>
            <w:tcW w:w="1286" w:type="dxa"/>
            <w:noWrap w:val="0"/>
            <w:vAlign w:val="top"/>
          </w:tcPr>
          <w:p w14:paraId="7C82E106">
            <w:pPr>
              <w:pStyle w:val="85"/>
              <w:spacing w:before="65" w:line="222" w:lineRule="auto"/>
              <w:ind w:left="318"/>
              <w:rPr>
                <w:rFonts w:hint="eastAsia" w:ascii="宋体" w:hAnsi="宋体" w:eastAsia="宋体" w:cs="宋体"/>
                <w:sz w:val="22"/>
                <w:szCs w:val="22"/>
              </w:rPr>
            </w:pPr>
            <w:r>
              <w:rPr>
                <w:rFonts w:hint="eastAsia" w:ascii="宋体" w:hAnsi="宋体" w:eastAsia="宋体" w:cs="宋体"/>
                <w:spacing w:val="-19"/>
                <w:sz w:val="22"/>
                <w:szCs w:val="22"/>
              </w:rPr>
              <w:t>电话</w:t>
            </w:r>
          </w:p>
        </w:tc>
        <w:tc>
          <w:tcPr>
            <w:tcW w:w="2454" w:type="dxa"/>
            <w:gridSpan w:val="3"/>
            <w:noWrap w:val="0"/>
            <w:vAlign w:val="top"/>
          </w:tcPr>
          <w:p w14:paraId="49EE5CCD">
            <w:pPr>
              <w:rPr>
                <w:rFonts w:hint="eastAsia" w:ascii="宋体" w:hAnsi="宋体" w:eastAsia="宋体" w:cs="宋体"/>
                <w:sz w:val="22"/>
                <w:szCs w:val="22"/>
              </w:rPr>
            </w:pPr>
          </w:p>
        </w:tc>
      </w:tr>
      <w:tr w14:paraId="31A7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84" w:type="dxa"/>
            <w:vMerge w:val="continue"/>
            <w:tcBorders>
              <w:top w:val="nil"/>
            </w:tcBorders>
            <w:noWrap w:val="0"/>
            <w:vAlign w:val="top"/>
          </w:tcPr>
          <w:p w14:paraId="23E202BB">
            <w:pPr>
              <w:rPr>
                <w:rFonts w:hint="eastAsia" w:ascii="宋体" w:hAnsi="宋体" w:eastAsia="宋体" w:cs="宋体"/>
                <w:sz w:val="22"/>
                <w:szCs w:val="22"/>
              </w:rPr>
            </w:pPr>
          </w:p>
        </w:tc>
        <w:tc>
          <w:tcPr>
            <w:tcW w:w="1029" w:type="dxa"/>
            <w:gridSpan w:val="2"/>
            <w:noWrap w:val="0"/>
            <w:vAlign w:val="top"/>
          </w:tcPr>
          <w:p w14:paraId="6B8667DC">
            <w:pPr>
              <w:pStyle w:val="85"/>
              <w:spacing w:before="35" w:line="208" w:lineRule="auto"/>
              <w:ind w:left="156"/>
              <w:rPr>
                <w:rFonts w:hint="eastAsia" w:ascii="宋体" w:hAnsi="宋体" w:eastAsia="宋体" w:cs="宋体"/>
                <w:sz w:val="22"/>
                <w:szCs w:val="22"/>
              </w:rPr>
            </w:pPr>
            <w:r>
              <w:rPr>
                <w:rFonts w:hint="eastAsia" w:ascii="宋体" w:hAnsi="宋体" w:eastAsia="宋体" w:cs="宋体"/>
                <w:spacing w:val="-4"/>
                <w:sz w:val="22"/>
                <w:szCs w:val="22"/>
              </w:rPr>
              <w:t>传真</w:t>
            </w:r>
          </w:p>
        </w:tc>
        <w:tc>
          <w:tcPr>
            <w:tcW w:w="2387" w:type="dxa"/>
            <w:gridSpan w:val="3"/>
            <w:noWrap w:val="0"/>
            <w:vAlign w:val="top"/>
          </w:tcPr>
          <w:p w14:paraId="3F95307E">
            <w:pPr>
              <w:rPr>
                <w:rFonts w:hint="eastAsia" w:ascii="宋体" w:hAnsi="宋体" w:eastAsia="宋体" w:cs="宋体"/>
                <w:sz w:val="22"/>
                <w:szCs w:val="22"/>
              </w:rPr>
            </w:pPr>
          </w:p>
        </w:tc>
        <w:tc>
          <w:tcPr>
            <w:tcW w:w="1286" w:type="dxa"/>
            <w:noWrap w:val="0"/>
            <w:vAlign w:val="top"/>
          </w:tcPr>
          <w:p w14:paraId="64A1787E">
            <w:pPr>
              <w:pStyle w:val="85"/>
              <w:spacing w:before="35" w:line="208" w:lineRule="auto"/>
              <w:ind w:left="309"/>
              <w:rPr>
                <w:rFonts w:hint="eastAsia" w:ascii="宋体" w:hAnsi="宋体" w:eastAsia="宋体" w:cs="宋体"/>
                <w:sz w:val="22"/>
                <w:szCs w:val="22"/>
              </w:rPr>
            </w:pPr>
            <w:r>
              <w:rPr>
                <w:rFonts w:hint="eastAsia" w:ascii="宋体" w:hAnsi="宋体" w:eastAsia="宋体" w:cs="宋体"/>
                <w:spacing w:val="-15"/>
                <w:sz w:val="22"/>
                <w:szCs w:val="22"/>
              </w:rPr>
              <w:t>网址</w:t>
            </w:r>
          </w:p>
        </w:tc>
        <w:tc>
          <w:tcPr>
            <w:tcW w:w="2454" w:type="dxa"/>
            <w:gridSpan w:val="3"/>
            <w:noWrap w:val="0"/>
            <w:vAlign w:val="top"/>
          </w:tcPr>
          <w:p w14:paraId="6DC1CA9C">
            <w:pPr>
              <w:rPr>
                <w:rFonts w:hint="eastAsia" w:ascii="宋体" w:hAnsi="宋体" w:eastAsia="宋体" w:cs="宋体"/>
                <w:sz w:val="22"/>
                <w:szCs w:val="22"/>
              </w:rPr>
            </w:pPr>
          </w:p>
        </w:tc>
      </w:tr>
      <w:tr w14:paraId="3834B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684" w:type="dxa"/>
            <w:noWrap w:val="0"/>
            <w:vAlign w:val="top"/>
          </w:tcPr>
          <w:p w14:paraId="5BFA43D5">
            <w:pPr>
              <w:pStyle w:val="85"/>
              <w:spacing w:before="64" w:line="220" w:lineRule="auto"/>
              <w:ind w:left="372"/>
              <w:rPr>
                <w:rFonts w:hint="eastAsia" w:ascii="宋体" w:hAnsi="宋体" w:eastAsia="宋体" w:cs="宋体"/>
                <w:sz w:val="22"/>
                <w:szCs w:val="22"/>
              </w:rPr>
            </w:pPr>
            <w:r>
              <w:rPr>
                <w:rFonts w:hint="eastAsia" w:ascii="宋体" w:hAnsi="宋体" w:eastAsia="宋体" w:cs="宋体"/>
                <w:spacing w:val="-3"/>
                <w:sz w:val="22"/>
                <w:szCs w:val="22"/>
              </w:rPr>
              <w:t>组织结构</w:t>
            </w:r>
          </w:p>
        </w:tc>
        <w:tc>
          <w:tcPr>
            <w:tcW w:w="7156" w:type="dxa"/>
            <w:gridSpan w:val="9"/>
            <w:noWrap w:val="0"/>
            <w:vAlign w:val="top"/>
          </w:tcPr>
          <w:p w14:paraId="26A6A9DE">
            <w:pPr>
              <w:rPr>
                <w:rFonts w:hint="eastAsia" w:ascii="宋体" w:hAnsi="宋体" w:eastAsia="宋体" w:cs="宋体"/>
                <w:sz w:val="22"/>
                <w:szCs w:val="22"/>
              </w:rPr>
            </w:pPr>
          </w:p>
        </w:tc>
      </w:tr>
      <w:tr w14:paraId="6EDD6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684" w:type="dxa"/>
            <w:noWrap w:val="0"/>
            <w:vAlign w:val="top"/>
          </w:tcPr>
          <w:p w14:paraId="59C73F3A">
            <w:pPr>
              <w:pStyle w:val="85"/>
              <w:spacing w:before="35" w:line="208" w:lineRule="auto"/>
              <w:ind w:left="250"/>
              <w:rPr>
                <w:rFonts w:hint="eastAsia" w:ascii="宋体" w:hAnsi="宋体" w:eastAsia="宋体" w:cs="宋体"/>
                <w:sz w:val="22"/>
                <w:szCs w:val="22"/>
              </w:rPr>
            </w:pPr>
            <w:r>
              <w:rPr>
                <w:rFonts w:hint="eastAsia" w:ascii="宋体" w:hAnsi="宋体" w:eastAsia="宋体" w:cs="宋体"/>
                <w:spacing w:val="-2"/>
                <w:sz w:val="22"/>
                <w:szCs w:val="22"/>
              </w:rPr>
              <w:t>法定代表人</w:t>
            </w:r>
          </w:p>
        </w:tc>
        <w:tc>
          <w:tcPr>
            <w:tcW w:w="775" w:type="dxa"/>
            <w:noWrap w:val="0"/>
            <w:vAlign w:val="top"/>
          </w:tcPr>
          <w:p w14:paraId="0166DE5D">
            <w:pPr>
              <w:pStyle w:val="85"/>
              <w:spacing w:before="35" w:line="208" w:lineRule="auto"/>
              <w:ind w:left="151"/>
              <w:rPr>
                <w:rFonts w:hint="eastAsia" w:ascii="宋体" w:hAnsi="宋体" w:eastAsia="宋体" w:cs="宋体"/>
                <w:sz w:val="22"/>
                <w:szCs w:val="22"/>
              </w:rPr>
            </w:pPr>
            <w:r>
              <w:rPr>
                <w:rFonts w:hint="eastAsia" w:ascii="宋体" w:hAnsi="宋体" w:eastAsia="宋体" w:cs="宋体"/>
                <w:spacing w:val="-3"/>
                <w:sz w:val="22"/>
                <w:szCs w:val="22"/>
              </w:rPr>
              <w:t>姓名</w:t>
            </w:r>
          </w:p>
        </w:tc>
        <w:tc>
          <w:tcPr>
            <w:tcW w:w="1240" w:type="dxa"/>
            <w:gridSpan w:val="2"/>
            <w:noWrap w:val="0"/>
            <w:vAlign w:val="top"/>
          </w:tcPr>
          <w:p w14:paraId="62C39695">
            <w:pPr>
              <w:rPr>
                <w:rFonts w:hint="eastAsia" w:ascii="宋体" w:hAnsi="宋体" w:eastAsia="宋体" w:cs="宋体"/>
                <w:sz w:val="22"/>
                <w:szCs w:val="22"/>
              </w:rPr>
            </w:pPr>
          </w:p>
        </w:tc>
        <w:tc>
          <w:tcPr>
            <w:tcW w:w="1401" w:type="dxa"/>
            <w:gridSpan w:val="2"/>
            <w:noWrap w:val="0"/>
            <w:vAlign w:val="top"/>
          </w:tcPr>
          <w:p w14:paraId="6663F9C7">
            <w:pPr>
              <w:pStyle w:val="85"/>
              <w:spacing w:before="35" w:line="208" w:lineRule="auto"/>
              <w:ind w:left="228"/>
              <w:rPr>
                <w:rFonts w:hint="eastAsia" w:ascii="宋体" w:hAnsi="宋体" w:eastAsia="宋体" w:cs="宋体"/>
                <w:sz w:val="22"/>
                <w:szCs w:val="22"/>
              </w:rPr>
            </w:pPr>
            <w:r>
              <w:rPr>
                <w:rFonts w:hint="eastAsia" w:ascii="宋体" w:hAnsi="宋体" w:eastAsia="宋体" w:cs="宋体"/>
                <w:spacing w:val="-2"/>
                <w:sz w:val="22"/>
                <w:szCs w:val="22"/>
              </w:rPr>
              <w:t>技术职称</w:t>
            </w:r>
          </w:p>
        </w:tc>
        <w:tc>
          <w:tcPr>
            <w:tcW w:w="1545" w:type="dxa"/>
            <w:gridSpan w:val="2"/>
            <w:noWrap w:val="0"/>
            <w:vAlign w:val="top"/>
          </w:tcPr>
          <w:p w14:paraId="31A8FAE9">
            <w:pPr>
              <w:rPr>
                <w:rFonts w:hint="eastAsia" w:ascii="宋体" w:hAnsi="宋体" w:eastAsia="宋体" w:cs="宋体"/>
                <w:sz w:val="22"/>
                <w:szCs w:val="22"/>
              </w:rPr>
            </w:pPr>
          </w:p>
        </w:tc>
        <w:tc>
          <w:tcPr>
            <w:tcW w:w="730" w:type="dxa"/>
            <w:noWrap w:val="0"/>
            <w:vAlign w:val="top"/>
          </w:tcPr>
          <w:p w14:paraId="58518E58">
            <w:pPr>
              <w:pStyle w:val="85"/>
              <w:spacing w:before="35" w:line="208" w:lineRule="auto"/>
              <w:ind w:left="144"/>
              <w:rPr>
                <w:rFonts w:hint="eastAsia" w:ascii="宋体" w:hAnsi="宋体" w:eastAsia="宋体" w:cs="宋体"/>
                <w:sz w:val="22"/>
                <w:szCs w:val="22"/>
              </w:rPr>
            </w:pPr>
            <w:r>
              <w:rPr>
                <w:rFonts w:hint="eastAsia" w:ascii="宋体" w:hAnsi="宋体" w:eastAsia="宋体" w:cs="宋体"/>
                <w:spacing w:val="-10"/>
                <w:sz w:val="22"/>
                <w:szCs w:val="22"/>
              </w:rPr>
              <w:t>电话</w:t>
            </w:r>
          </w:p>
        </w:tc>
        <w:tc>
          <w:tcPr>
            <w:tcW w:w="1465" w:type="dxa"/>
            <w:noWrap w:val="0"/>
            <w:vAlign w:val="top"/>
          </w:tcPr>
          <w:p w14:paraId="363E1CF8">
            <w:pPr>
              <w:rPr>
                <w:rFonts w:hint="eastAsia" w:ascii="宋体" w:hAnsi="宋体" w:eastAsia="宋体" w:cs="宋体"/>
                <w:sz w:val="22"/>
                <w:szCs w:val="22"/>
              </w:rPr>
            </w:pPr>
          </w:p>
        </w:tc>
      </w:tr>
      <w:tr w14:paraId="329F1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684" w:type="dxa"/>
            <w:noWrap w:val="0"/>
            <w:vAlign w:val="top"/>
          </w:tcPr>
          <w:p w14:paraId="30BDA242">
            <w:pPr>
              <w:pStyle w:val="85"/>
              <w:spacing w:before="38" w:line="208" w:lineRule="auto"/>
              <w:ind w:left="250"/>
              <w:rPr>
                <w:rFonts w:hint="eastAsia" w:ascii="宋体" w:hAnsi="宋体" w:eastAsia="宋体" w:cs="宋体"/>
                <w:sz w:val="22"/>
                <w:szCs w:val="22"/>
              </w:rPr>
            </w:pPr>
            <w:r>
              <w:rPr>
                <w:rFonts w:hint="eastAsia" w:ascii="宋体" w:hAnsi="宋体" w:eastAsia="宋体" w:cs="宋体"/>
                <w:spacing w:val="-2"/>
                <w:sz w:val="22"/>
                <w:szCs w:val="22"/>
              </w:rPr>
              <w:t>技术负责人</w:t>
            </w:r>
          </w:p>
        </w:tc>
        <w:tc>
          <w:tcPr>
            <w:tcW w:w="775" w:type="dxa"/>
            <w:noWrap w:val="0"/>
            <w:vAlign w:val="top"/>
          </w:tcPr>
          <w:p w14:paraId="294C27BD">
            <w:pPr>
              <w:pStyle w:val="85"/>
              <w:spacing w:before="38" w:line="208" w:lineRule="auto"/>
              <w:ind w:left="151"/>
              <w:rPr>
                <w:rFonts w:hint="eastAsia" w:ascii="宋体" w:hAnsi="宋体" w:eastAsia="宋体" w:cs="宋体"/>
                <w:sz w:val="22"/>
                <w:szCs w:val="22"/>
              </w:rPr>
            </w:pPr>
            <w:r>
              <w:rPr>
                <w:rFonts w:hint="eastAsia" w:ascii="宋体" w:hAnsi="宋体" w:eastAsia="宋体" w:cs="宋体"/>
                <w:spacing w:val="-3"/>
                <w:sz w:val="22"/>
                <w:szCs w:val="22"/>
              </w:rPr>
              <w:t>姓名</w:t>
            </w:r>
          </w:p>
        </w:tc>
        <w:tc>
          <w:tcPr>
            <w:tcW w:w="1240" w:type="dxa"/>
            <w:gridSpan w:val="2"/>
            <w:noWrap w:val="0"/>
            <w:vAlign w:val="top"/>
          </w:tcPr>
          <w:p w14:paraId="256F0912">
            <w:pPr>
              <w:rPr>
                <w:rFonts w:hint="eastAsia" w:ascii="宋体" w:hAnsi="宋体" w:eastAsia="宋体" w:cs="宋体"/>
                <w:sz w:val="22"/>
                <w:szCs w:val="22"/>
              </w:rPr>
            </w:pPr>
          </w:p>
        </w:tc>
        <w:tc>
          <w:tcPr>
            <w:tcW w:w="1401" w:type="dxa"/>
            <w:gridSpan w:val="2"/>
            <w:noWrap w:val="0"/>
            <w:vAlign w:val="top"/>
          </w:tcPr>
          <w:p w14:paraId="0F1C9D3C">
            <w:pPr>
              <w:pStyle w:val="85"/>
              <w:spacing w:before="38" w:line="208" w:lineRule="auto"/>
              <w:ind w:left="228"/>
              <w:rPr>
                <w:rFonts w:hint="eastAsia" w:ascii="宋体" w:hAnsi="宋体" w:eastAsia="宋体" w:cs="宋体"/>
                <w:sz w:val="22"/>
                <w:szCs w:val="22"/>
              </w:rPr>
            </w:pPr>
            <w:r>
              <w:rPr>
                <w:rFonts w:hint="eastAsia" w:ascii="宋体" w:hAnsi="宋体" w:eastAsia="宋体" w:cs="宋体"/>
                <w:spacing w:val="-2"/>
                <w:sz w:val="22"/>
                <w:szCs w:val="22"/>
              </w:rPr>
              <w:t>技术职称</w:t>
            </w:r>
          </w:p>
        </w:tc>
        <w:tc>
          <w:tcPr>
            <w:tcW w:w="1545" w:type="dxa"/>
            <w:gridSpan w:val="2"/>
            <w:noWrap w:val="0"/>
            <w:vAlign w:val="top"/>
          </w:tcPr>
          <w:p w14:paraId="509D35A7">
            <w:pPr>
              <w:rPr>
                <w:rFonts w:hint="eastAsia" w:ascii="宋体" w:hAnsi="宋体" w:eastAsia="宋体" w:cs="宋体"/>
                <w:sz w:val="22"/>
                <w:szCs w:val="22"/>
              </w:rPr>
            </w:pPr>
          </w:p>
        </w:tc>
        <w:tc>
          <w:tcPr>
            <w:tcW w:w="730" w:type="dxa"/>
            <w:noWrap w:val="0"/>
            <w:vAlign w:val="top"/>
          </w:tcPr>
          <w:p w14:paraId="3F8B3C66">
            <w:pPr>
              <w:pStyle w:val="85"/>
              <w:spacing w:before="38" w:line="208" w:lineRule="auto"/>
              <w:ind w:left="144"/>
              <w:rPr>
                <w:rFonts w:hint="eastAsia" w:ascii="宋体" w:hAnsi="宋体" w:eastAsia="宋体" w:cs="宋体"/>
                <w:sz w:val="22"/>
                <w:szCs w:val="22"/>
              </w:rPr>
            </w:pPr>
            <w:r>
              <w:rPr>
                <w:rFonts w:hint="eastAsia" w:ascii="宋体" w:hAnsi="宋体" w:eastAsia="宋体" w:cs="宋体"/>
                <w:spacing w:val="-10"/>
                <w:sz w:val="22"/>
                <w:szCs w:val="22"/>
              </w:rPr>
              <w:t>电话</w:t>
            </w:r>
          </w:p>
        </w:tc>
        <w:tc>
          <w:tcPr>
            <w:tcW w:w="1465" w:type="dxa"/>
            <w:noWrap w:val="0"/>
            <w:vAlign w:val="top"/>
          </w:tcPr>
          <w:p w14:paraId="7EFAB9AA">
            <w:pPr>
              <w:rPr>
                <w:rFonts w:hint="eastAsia" w:ascii="宋体" w:hAnsi="宋体" w:eastAsia="宋体" w:cs="宋体"/>
                <w:sz w:val="22"/>
                <w:szCs w:val="22"/>
              </w:rPr>
            </w:pPr>
          </w:p>
        </w:tc>
      </w:tr>
      <w:tr w14:paraId="01E60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684" w:type="dxa"/>
            <w:noWrap w:val="0"/>
            <w:vAlign w:val="top"/>
          </w:tcPr>
          <w:p w14:paraId="302BAB77">
            <w:pPr>
              <w:pStyle w:val="85"/>
              <w:spacing w:before="48" w:line="219" w:lineRule="auto"/>
              <w:ind w:left="371"/>
              <w:rPr>
                <w:rFonts w:hint="eastAsia" w:ascii="宋体" w:hAnsi="宋体" w:eastAsia="宋体" w:cs="宋体"/>
                <w:sz w:val="22"/>
                <w:szCs w:val="22"/>
              </w:rPr>
            </w:pPr>
            <w:r>
              <w:rPr>
                <w:rFonts w:hint="eastAsia" w:ascii="宋体" w:hAnsi="宋体" w:eastAsia="宋体" w:cs="宋体"/>
                <w:spacing w:val="-3"/>
                <w:sz w:val="22"/>
                <w:szCs w:val="22"/>
              </w:rPr>
              <w:t>成立时间</w:t>
            </w:r>
          </w:p>
        </w:tc>
        <w:tc>
          <w:tcPr>
            <w:tcW w:w="2015" w:type="dxa"/>
            <w:gridSpan w:val="3"/>
            <w:noWrap w:val="0"/>
            <w:vAlign w:val="top"/>
          </w:tcPr>
          <w:p w14:paraId="354BAB8B">
            <w:pPr>
              <w:rPr>
                <w:rFonts w:hint="eastAsia" w:ascii="宋体" w:hAnsi="宋体" w:eastAsia="宋体" w:cs="宋体"/>
                <w:sz w:val="22"/>
                <w:szCs w:val="22"/>
              </w:rPr>
            </w:pPr>
          </w:p>
        </w:tc>
        <w:tc>
          <w:tcPr>
            <w:tcW w:w="5141" w:type="dxa"/>
            <w:gridSpan w:val="6"/>
            <w:noWrap w:val="0"/>
            <w:vAlign w:val="top"/>
          </w:tcPr>
          <w:p w14:paraId="1BC9059F">
            <w:pPr>
              <w:pStyle w:val="85"/>
              <w:spacing w:before="48" w:line="219" w:lineRule="auto"/>
              <w:ind w:left="1864"/>
              <w:rPr>
                <w:rFonts w:hint="eastAsia" w:ascii="宋体" w:hAnsi="宋体" w:eastAsia="宋体" w:cs="宋体"/>
                <w:sz w:val="22"/>
                <w:szCs w:val="22"/>
              </w:rPr>
            </w:pPr>
            <w:r>
              <w:rPr>
                <w:rFonts w:hint="eastAsia" w:ascii="宋体" w:hAnsi="宋体" w:eastAsia="宋体" w:cs="宋体"/>
                <w:spacing w:val="-11"/>
                <w:sz w:val="22"/>
                <w:szCs w:val="22"/>
              </w:rPr>
              <w:t>员工总人数：</w:t>
            </w:r>
          </w:p>
        </w:tc>
      </w:tr>
      <w:tr w14:paraId="0B06E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84" w:type="dxa"/>
            <w:noWrap w:val="0"/>
            <w:vAlign w:val="top"/>
          </w:tcPr>
          <w:p w14:paraId="497DAAD6">
            <w:pPr>
              <w:pStyle w:val="85"/>
              <w:spacing w:before="192" w:line="220" w:lineRule="auto"/>
              <w:ind w:left="133"/>
              <w:rPr>
                <w:rFonts w:hint="eastAsia" w:ascii="宋体" w:hAnsi="宋体" w:eastAsia="宋体" w:cs="宋体"/>
                <w:sz w:val="22"/>
                <w:szCs w:val="22"/>
              </w:rPr>
            </w:pPr>
            <w:r>
              <w:rPr>
                <w:rFonts w:hint="eastAsia" w:ascii="宋体" w:hAnsi="宋体" w:eastAsia="宋体" w:cs="宋体"/>
                <w:spacing w:val="-2"/>
                <w:sz w:val="22"/>
                <w:szCs w:val="22"/>
              </w:rPr>
              <w:t>企业资质等级</w:t>
            </w:r>
          </w:p>
        </w:tc>
        <w:tc>
          <w:tcPr>
            <w:tcW w:w="2015" w:type="dxa"/>
            <w:gridSpan w:val="3"/>
            <w:noWrap w:val="0"/>
            <w:vAlign w:val="top"/>
          </w:tcPr>
          <w:p w14:paraId="6280209D">
            <w:pPr>
              <w:rPr>
                <w:rFonts w:hint="eastAsia" w:ascii="宋体" w:hAnsi="宋体" w:eastAsia="宋体" w:cs="宋体"/>
                <w:sz w:val="22"/>
                <w:szCs w:val="22"/>
              </w:rPr>
            </w:pPr>
          </w:p>
        </w:tc>
        <w:tc>
          <w:tcPr>
            <w:tcW w:w="911" w:type="dxa"/>
            <w:vMerge w:val="restart"/>
            <w:tcBorders>
              <w:bottom w:val="nil"/>
            </w:tcBorders>
            <w:noWrap w:val="0"/>
            <w:vAlign w:val="top"/>
          </w:tcPr>
          <w:p w14:paraId="6F603C23">
            <w:pPr>
              <w:spacing w:line="273" w:lineRule="auto"/>
              <w:rPr>
                <w:rFonts w:hint="eastAsia" w:ascii="宋体" w:hAnsi="宋体" w:eastAsia="宋体" w:cs="宋体"/>
                <w:sz w:val="22"/>
                <w:szCs w:val="22"/>
              </w:rPr>
            </w:pPr>
          </w:p>
          <w:p w14:paraId="1E051D0D">
            <w:pPr>
              <w:spacing w:line="273" w:lineRule="auto"/>
              <w:rPr>
                <w:rFonts w:hint="eastAsia" w:ascii="宋体" w:hAnsi="宋体" w:eastAsia="宋体" w:cs="宋体"/>
                <w:sz w:val="22"/>
                <w:szCs w:val="22"/>
              </w:rPr>
            </w:pPr>
          </w:p>
          <w:p w14:paraId="699ECE38">
            <w:pPr>
              <w:spacing w:line="273" w:lineRule="auto"/>
              <w:rPr>
                <w:rFonts w:hint="eastAsia" w:ascii="宋体" w:hAnsi="宋体" w:eastAsia="宋体" w:cs="宋体"/>
                <w:sz w:val="22"/>
                <w:szCs w:val="22"/>
              </w:rPr>
            </w:pPr>
          </w:p>
          <w:p w14:paraId="24453D47">
            <w:pPr>
              <w:spacing w:line="273" w:lineRule="auto"/>
              <w:rPr>
                <w:rFonts w:hint="eastAsia" w:ascii="宋体" w:hAnsi="宋体" w:eastAsia="宋体" w:cs="宋体"/>
                <w:sz w:val="22"/>
                <w:szCs w:val="22"/>
              </w:rPr>
            </w:pPr>
          </w:p>
          <w:p w14:paraId="21CB7817">
            <w:pPr>
              <w:pStyle w:val="85"/>
              <w:spacing w:before="78" w:line="220" w:lineRule="auto"/>
              <w:ind w:left="223"/>
              <w:rPr>
                <w:rFonts w:hint="eastAsia" w:ascii="宋体" w:hAnsi="宋体" w:eastAsia="宋体" w:cs="宋体"/>
                <w:sz w:val="22"/>
                <w:szCs w:val="22"/>
              </w:rPr>
            </w:pPr>
            <w:r>
              <w:rPr>
                <w:rFonts w:hint="eastAsia" w:ascii="宋体" w:hAnsi="宋体" w:eastAsia="宋体" w:cs="宋体"/>
                <w:spacing w:val="-3"/>
                <w:sz w:val="22"/>
                <w:szCs w:val="22"/>
              </w:rPr>
              <w:t>其中</w:t>
            </w:r>
          </w:p>
        </w:tc>
        <w:tc>
          <w:tcPr>
            <w:tcW w:w="2035" w:type="dxa"/>
            <w:gridSpan w:val="3"/>
            <w:noWrap w:val="0"/>
            <w:vAlign w:val="top"/>
          </w:tcPr>
          <w:p w14:paraId="740F016C">
            <w:pPr>
              <w:pStyle w:val="85"/>
              <w:spacing w:before="36" w:line="224" w:lineRule="auto"/>
              <w:ind w:left="789" w:right="113" w:hanging="670"/>
              <w:rPr>
                <w:rFonts w:hint="eastAsia" w:ascii="宋体" w:hAnsi="宋体" w:eastAsia="宋体" w:cs="宋体"/>
                <w:sz w:val="22"/>
                <w:szCs w:val="22"/>
              </w:rPr>
            </w:pPr>
            <w:r>
              <w:rPr>
                <w:rFonts w:hint="eastAsia" w:ascii="宋体" w:hAnsi="宋体" w:eastAsia="宋体" w:cs="宋体"/>
                <w:spacing w:val="-16"/>
                <w:sz w:val="22"/>
                <w:szCs w:val="22"/>
              </w:rPr>
              <w:t>项目负责人（建造</w:t>
            </w:r>
            <w:r>
              <w:rPr>
                <w:rFonts w:hint="eastAsia" w:ascii="宋体" w:hAnsi="宋体" w:eastAsia="宋体" w:cs="宋体"/>
                <w:spacing w:val="-8"/>
                <w:sz w:val="22"/>
                <w:szCs w:val="22"/>
              </w:rPr>
              <w:t>师）</w:t>
            </w:r>
          </w:p>
        </w:tc>
        <w:tc>
          <w:tcPr>
            <w:tcW w:w="2195" w:type="dxa"/>
            <w:gridSpan w:val="2"/>
            <w:noWrap w:val="0"/>
            <w:vAlign w:val="top"/>
          </w:tcPr>
          <w:p w14:paraId="04C8CD00">
            <w:pPr>
              <w:rPr>
                <w:rFonts w:hint="eastAsia" w:ascii="宋体" w:hAnsi="宋体" w:eastAsia="宋体" w:cs="宋体"/>
                <w:sz w:val="22"/>
                <w:szCs w:val="22"/>
              </w:rPr>
            </w:pPr>
          </w:p>
        </w:tc>
      </w:tr>
      <w:tr w14:paraId="35C21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84" w:type="dxa"/>
            <w:noWrap w:val="0"/>
            <w:vAlign w:val="top"/>
          </w:tcPr>
          <w:p w14:paraId="47636544">
            <w:pPr>
              <w:pStyle w:val="85"/>
              <w:spacing w:before="122" w:line="220" w:lineRule="auto"/>
              <w:ind w:left="256"/>
              <w:rPr>
                <w:rFonts w:hint="eastAsia" w:ascii="宋体" w:hAnsi="宋体" w:eastAsia="宋体" w:cs="宋体"/>
                <w:sz w:val="22"/>
                <w:szCs w:val="22"/>
              </w:rPr>
            </w:pPr>
            <w:r>
              <w:rPr>
                <w:rFonts w:hint="eastAsia" w:ascii="宋体" w:hAnsi="宋体" w:eastAsia="宋体" w:cs="宋体"/>
                <w:spacing w:val="-3"/>
                <w:sz w:val="22"/>
                <w:szCs w:val="22"/>
              </w:rPr>
              <w:t>营业执照号</w:t>
            </w:r>
          </w:p>
        </w:tc>
        <w:tc>
          <w:tcPr>
            <w:tcW w:w="2015" w:type="dxa"/>
            <w:gridSpan w:val="3"/>
            <w:noWrap w:val="0"/>
            <w:vAlign w:val="top"/>
          </w:tcPr>
          <w:p w14:paraId="2485053E">
            <w:pPr>
              <w:rPr>
                <w:rFonts w:hint="eastAsia" w:ascii="宋体" w:hAnsi="宋体" w:eastAsia="宋体" w:cs="宋体"/>
                <w:sz w:val="22"/>
                <w:szCs w:val="22"/>
              </w:rPr>
            </w:pPr>
          </w:p>
        </w:tc>
        <w:tc>
          <w:tcPr>
            <w:tcW w:w="911" w:type="dxa"/>
            <w:vMerge w:val="continue"/>
            <w:tcBorders>
              <w:top w:val="nil"/>
              <w:bottom w:val="nil"/>
            </w:tcBorders>
            <w:noWrap w:val="0"/>
            <w:vAlign w:val="top"/>
          </w:tcPr>
          <w:p w14:paraId="1242DF59">
            <w:pPr>
              <w:rPr>
                <w:rFonts w:hint="eastAsia" w:ascii="宋体" w:hAnsi="宋体" w:eastAsia="宋体" w:cs="宋体"/>
                <w:sz w:val="22"/>
                <w:szCs w:val="22"/>
              </w:rPr>
            </w:pPr>
          </w:p>
        </w:tc>
        <w:tc>
          <w:tcPr>
            <w:tcW w:w="2035" w:type="dxa"/>
            <w:gridSpan w:val="3"/>
            <w:noWrap w:val="0"/>
            <w:vAlign w:val="top"/>
          </w:tcPr>
          <w:p w14:paraId="76AC68B2">
            <w:pPr>
              <w:pStyle w:val="85"/>
              <w:spacing w:before="122" w:line="220" w:lineRule="auto"/>
              <w:ind w:left="312"/>
              <w:rPr>
                <w:rFonts w:hint="eastAsia" w:ascii="宋体" w:hAnsi="宋体" w:eastAsia="宋体" w:cs="宋体"/>
                <w:sz w:val="22"/>
                <w:szCs w:val="22"/>
              </w:rPr>
            </w:pPr>
            <w:r>
              <w:rPr>
                <w:rFonts w:hint="eastAsia" w:ascii="宋体" w:hAnsi="宋体" w:eastAsia="宋体" w:cs="宋体"/>
                <w:spacing w:val="-3"/>
                <w:sz w:val="22"/>
                <w:szCs w:val="22"/>
              </w:rPr>
              <w:t>高级职称人员</w:t>
            </w:r>
          </w:p>
        </w:tc>
        <w:tc>
          <w:tcPr>
            <w:tcW w:w="2195" w:type="dxa"/>
            <w:gridSpan w:val="2"/>
            <w:noWrap w:val="0"/>
            <w:vAlign w:val="top"/>
          </w:tcPr>
          <w:p w14:paraId="2659E4D4">
            <w:pPr>
              <w:rPr>
                <w:rFonts w:hint="eastAsia" w:ascii="宋体" w:hAnsi="宋体" w:eastAsia="宋体" w:cs="宋体"/>
                <w:sz w:val="22"/>
                <w:szCs w:val="22"/>
              </w:rPr>
            </w:pPr>
          </w:p>
        </w:tc>
      </w:tr>
      <w:tr w14:paraId="78663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84" w:type="dxa"/>
            <w:noWrap w:val="0"/>
            <w:vAlign w:val="top"/>
          </w:tcPr>
          <w:p w14:paraId="1E6F8512">
            <w:pPr>
              <w:pStyle w:val="85"/>
              <w:spacing w:before="122" w:line="221" w:lineRule="auto"/>
              <w:ind w:left="369"/>
              <w:rPr>
                <w:rFonts w:hint="eastAsia" w:ascii="宋体" w:hAnsi="宋体" w:eastAsia="宋体" w:cs="宋体"/>
                <w:sz w:val="22"/>
                <w:szCs w:val="22"/>
              </w:rPr>
            </w:pPr>
            <w:r>
              <w:rPr>
                <w:rFonts w:hint="eastAsia" w:ascii="宋体" w:hAnsi="宋体" w:eastAsia="宋体" w:cs="宋体"/>
                <w:spacing w:val="-2"/>
                <w:sz w:val="22"/>
                <w:szCs w:val="22"/>
              </w:rPr>
              <w:t>注册资金</w:t>
            </w:r>
          </w:p>
        </w:tc>
        <w:tc>
          <w:tcPr>
            <w:tcW w:w="2015" w:type="dxa"/>
            <w:gridSpan w:val="3"/>
            <w:noWrap w:val="0"/>
            <w:vAlign w:val="top"/>
          </w:tcPr>
          <w:p w14:paraId="4500535A">
            <w:pPr>
              <w:rPr>
                <w:rFonts w:hint="eastAsia" w:ascii="宋体" w:hAnsi="宋体" w:eastAsia="宋体" w:cs="宋体"/>
                <w:sz w:val="22"/>
                <w:szCs w:val="22"/>
              </w:rPr>
            </w:pPr>
          </w:p>
        </w:tc>
        <w:tc>
          <w:tcPr>
            <w:tcW w:w="911" w:type="dxa"/>
            <w:vMerge w:val="continue"/>
            <w:tcBorders>
              <w:top w:val="nil"/>
              <w:bottom w:val="nil"/>
            </w:tcBorders>
            <w:noWrap w:val="0"/>
            <w:vAlign w:val="top"/>
          </w:tcPr>
          <w:p w14:paraId="5C965F5D">
            <w:pPr>
              <w:rPr>
                <w:rFonts w:hint="eastAsia" w:ascii="宋体" w:hAnsi="宋体" w:eastAsia="宋体" w:cs="宋体"/>
                <w:sz w:val="22"/>
                <w:szCs w:val="22"/>
              </w:rPr>
            </w:pPr>
          </w:p>
        </w:tc>
        <w:tc>
          <w:tcPr>
            <w:tcW w:w="2035" w:type="dxa"/>
            <w:gridSpan w:val="3"/>
            <w:noWrap w:val="0"/>
            <w:vAlign w:val="top"/>
          </w:tcPr>
          <w:p w14:paraId="32E8C1DE">
            <w:pPr>
              <w:pStyle w:val="85"/>
              <w:spacing w:before="123" w:line="220" w:lineRule="auto"/>
              <w:ind w:left="328"/>
              <w:rPr>
                <w:rFonts w:hint="eastAsia" w:ascii="宋体" w:hAnsi="宋体" w:eastAsia="宋体" w:cs="宋体"/>
                <w:sz w:val="22"/>
                <w:szCs w:val="22"/>
              </w:rPr>
            </w:pPr>
            <w:r>
              <w:rPr>
                <w:rFonts w:hint="eastAsia" w:ascii="宋体" w:hAnsi="宋体" w:eastAsia="宋体" w:cs="宋体"/>
                <w:spacing w:val="-5"/>
                <w:sz w:val="22"/>
                <w:szCs w:val="22"/>
              </w:rPr>
              <w:t>中级职称人员</w:t>
            </w:r>
          </w:p>
        </w:tc>
        <w:tc>
          <w:tcPr>
            <w:tcW w:w="2195" w:type="dxa"/>
            <w:gridSpan w:val="2"/>
            <w:noWrap w:val="0"/>
            <w:vAlign w:val="top"/>
          </w:tcPr>
          <w:p w14:paraId="58534085">
            <w:pPr>
              <w:rPr>
                <w:rFonts w:hint="eastAsia" w:ascii="宋体" w:hAnsi="宋体" w:eastAsia="宋体" w:cs="宋体"/>
                <w:sz w:val="22"/>
                <w:szCs w:val="22"/>
              </w:rPr>
            </w:pPr>
          </w:p>
        </w:tc>
      </w:tr>
      <w:tr w14:paraId="6164D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84" w:type="dxa"/>
            <w:noWrap w:val="0"/>
            <w:vAlign w:val="top"/>
          </w:tcPr>
          <w:p w14:paraId="325181AF">
            <w:pPr>
              <w:pStyle w:val="85"/>
              <w:spacing w:before="123" w:line="220" w:lineRule="auto"/>
              <w:ind w:left="370"/>
              <w:rPr>
                <w:rFonts w:hint="eastAsia" w:ascii="宋体" w:hAnsi="宋体" w:eastAsia="宋体" w:cs="宋体"/>
                <w:sz w:val="22"/>
                <w:szCs w:val="22"/>
              </w:rPr>
            </w:pPr>
            <w:r>
              <w:rPr>
                <w:rFonts w:hint="eastAsia" w:ascii="宋体" w:hAnsi="宋体" w:eastAsia="宋体" w:cs="宋体"/>
                <w:spacing w:val="-2"/>
                <w:sz w:val="22"/>
                <w:szCs w:val="22"/>
              </w:rPr>
              <w:t>开户银行</w:t>
            </w:r>
          </w:p>
        </w:tc>
        <w:tc>
          <w:tcPr>
            <w:tcW w:w="2015" w:type="dxa"/>
            <w:gridSpan w:val="3"/>
            <w:noWrap w:val="0"/>
            <w:vAlign w:val="top"/>
          </w:tcPr>
          <w:p w14:paraId="64B6663D">
            <w:pPr>
              <w:rPr>
                <w:rFonts w:hint="eastAsia" w:ascii="宋体" w:hAnsi="宋体" w:eastAsia="宋体" w:cs="宋体"/>
                <w:sz w:val="22"/>
                <w:szCs w:val="22"/>
              </w:rPr>
            </w:pPr>
          </w:p>
        </w:tc>
        <w:tc>
          <w:tcPr>
            <w:tcW w:w="911" w:type="dxa"/>
            <w:vMerge w:val="continue"/>
            <w:tcBorders>
              <w:top w:val="nil"/>
              <w:bottom w:val="nil"/>
            </w:tcBorders>
            <w:noWrap w:val="0"/>
            <w:vAlign w:val="top"/>
          </w:tcPr>
          <w:p w14:paraId="21E5BF14">
            <w:pPr>
              <w:rPr>
                <w:rFonts w:hint="eastAsia" w:ascii="宋体" w:hAnsi="宋体" w:eastAsia="宋体" w:cs="宋体"/>
                <w:sz w:val="22"/>
                <w:szCs w:val="22"/>
              </w:rPr>
            </w:pPr>
          </w:p>
        </w:tc>
        <w:tc>
          <w:tcPr>
            <w:tcW w:w="2035" w:type="dxa"/>
            <w:gridSpan w:val="3"/>
            <w:noWrap w:val="0"/>
            <w:vAlign w:val="top"/>
          </w:tcPr>
          <w:p w14:paraId="7C714825">
            <w:pPr>
              <w:pStyle w:val="85"/>
              <w:spacing w:before="122" w:line="221" w:lineRule="auto"/>
              <w:ind w:left="304"/>
              <w:rPr>
                <w:rFonts w:hint="eastAsia" w:ascii="宋体" w:hAnsi="宋体" w:eastAsia="宋体" w:cs="宋体"/>
                <w:sz w:val="22"/>
                <w:szCs w:val="22"/>
              </w:rPr>
            </w:pPr>
            <w:r>
              <w:rPr>
                <w:rFonts w:hint="eastAsia" w:ascii="宋体" w:hAnsi="宋体" w:eastAsia="宋体" w:cs="宋体"/>
                <w:spacing w:val="-2"/>
                <w:sz w:val="22"/>
                <w:szCs w:val="22"/>
              </w:rPr>
              <w:t>初级职称人员</w:t>
            </w:r>
          </w:p>
        </w:tc>
        <w:tc>
          <w:tcPr>
            <w:tcW w:w="2195" w:type="dxa"/>
            <w:gridSpan w:val="2"/>
            <w:noWrap w:val="0"/>
            <w:vAlign w:val="top"/>
          </w:tcPr>
          <w:p w14:paraId="2F233662">
            <w:pPr>
              <w:rPr>
                <w:rFonts w:hint="eastAsia" w:ascii="宋体" w:hAnsi="宋体" w:eastAsia="宋体" w:cs="宋体"/>
                <w:sz w:val="22"/>
                <w:szCs w:val="22"/>
              </w:rPr>
            </w:pPr>
          </w:p>
        </w:tc>
      </w:tr>
      <w:tr w14:paraId="302CA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684" w:type="dxa"/>
            <w:noWrap w:val="0"/>
            <w:vAlign w:val="top"/>
          </w:tcPr>
          <w:p w14:paraId="53CAD2A5">
            <w:pPr>
              <w:pStyle w:val="85"/>
              <w:spacing w:before="122" w:line="221" w:lineRule="auto"/>
              <w:ind w:left="612"/>
              <w:rPr>
                <w:rFonts w:hint="eastAsia" w:ascii="宋体" w:hAnsi="宋体" w:eastAsia="宋体" w:cs="宋体"/>
                <w:sz w:val="22"/>
                <w:szCs w:val="22"/>
              </w:rPr>
            </w:pPr>
            <w:r>
              <w:rPr>
                <w:rFonts w:hint="eastAsia" w:ascii="宋体" w:hAnsi="宋体" w:eastAsia="宋体" w:cs="宋体"/>
                <w:spacing w:val="-4"/>
                <w:sz w:val="22"/>
                <w:szCs w:val="22"/>
              </w:rPr>
              <w:t>账号</w:t>
            </w:r>
          </w:p>
        </w:tc>
        <w:tc>
          <w:tcPr>
            <w:tcW w:w="2015" w:type="dxa"/>
            <w:gridSpan w:val="3"/>
            <w:noWrap w:val="0"/>
            <w:vAlign w:val="top"/>
          </w:tcPr>
          <w:p w14:paraId="5A3BD2C6">
            <w:pPr>
              <w:rPr>
                <w:rFonts w:hint="eastAsia" w:ascii="宋体" w:hAnsi="宋体" w:eastAsia="宋体" w:cs="宋体"/>
                <w:sz w:val="22"/>
                <w:szCs w:val="22"/>
              </w:rPr>
            </w:pPr>
          </w:p>
        </w:tc>
        <w:tc>
          <w:tcPr>
            <w:tcW w:w="911" w:type="dxa"/>
            <w:vMerge w:val="continue"/>
            <w:tcBorders>
              <w:top w:val="nil"/>
            </w:tcBorders>
            <w:noWrap w:val="0"/>
            <w:vAlign w:val="top"/>
          </w:tcPr>
          <w:p w14:paraId="34BA7502">
            <w:pPr>
              <w:rPr>
                <w:rFonts w:hint="eastAsia" w:ascii="宋体" w:hAnsi="宋体" w:eastAsia="宋体" w:cs="宋体"/>
                <w:sz w:val="22"/>
                <w:szCs w:val="22"/>
              </w:rPr>
            </w:pPr>
          </w:p>
        </w:tc>
        <w:tc>
          <w:tcPr>
            <w:tcW w:w="2035" w:type="dxa"/>
            <w:gridSpan w:val="3"/>
            <w:noWrap w:val="0"/>
            <w:vAlign w:val="top"/>
          </w:tcPr>
          <w:p w14:paraId="7192DBA0">
            <w:pPr>
              <w:pStyle w:val="85"/>
              <w:spacing w:before="122" w:line="221" w:lineRule="auto"/>
              <w:ind w:left="666"/>
              <w:rPr>
                <w:rFonts w:hint="eastAsia" w:ascii="宋体" w:hAnsi="宋体" w:eastAsia="宋体" w:cs="宋体"/>
                <w:sz w:val="22"/>
                <w:szCs w:val="22"/>
              </w:rPr>
            </w:pPr>
            <w:r>
              <w:rPr>
                <w:rFonts w:hint="eastAsia" w:ascii="宋体" w:hAnsi="宋体" w:eastAsia="宋体" w:cs="宋体"/>
                <w:spacing w:val="-6"/>
                <w:sz w:val="22"/>
                <w:szCs w:val="22"/>
              </w:rPr>
              <w:t>技工</w:t>
            </w:r>
          </w:p>
        </w:tc>
        <w:tc>
          <w:tcPr>
            <w:tcW w:w="2195" w:type="dxa"/>
            <w:gridSpan w:val="2"/>
            <w:noWrap w:val="0"/>
            <w:vAlign w:val="top"/>
          </w:tcPr>
          <w:p w14:paraId="47DD49E0">
            <w:pPr>
              <w:rPr>
                <w:rFonts w:hint="eastAsia" w:ascii="宋体" w:hAnsi="宋体" w:eastAsia="宋体" w:cs="宋体"/>
                <w:sz w:val="22"/>
                <w:szCs w:val="22"/>
              </w:rPr>
            </w:pPr>
          </w:p>
        </w:tc>
      </w:tr>
      <w:tr w14:paraId="7D741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684" w:type="dxa"/>
            <w:noWrap w:val="0"/>
            <w:vAlign w:val="top"/>
          </w:tcPr>
          <w:p w14:paraId="4C9B23FF">
            <w:pPr>
              <w:spacing w:line="269" w:lineRule="auto"/>
              <w:rPr>
                <w:rFonts w:hint="eastAsia" w:ascii="宋体" w:hAnsi="宋体" w:eastAsia="宋体" w:cs="宋体"/>
                <w:sz w:val="22"/>
                <w:szCs w:val="22"/>
              </w:rPr>
            </w:pPr>
          </w:p>
          <w:p w14:paraId="7C42A744">
            <w:pPr>
              <w:pStyle w:val="85"/>
              <w:spacing w:before="78" w:line="220" w:lineRule="auto"/>
              <w:ind w:left="371"/>
              <w:rPr>
                <w:rFonts w:hint="eastAsia" w:ascii="宋体" w:hAnsi="宋体" w:eastAsia="宋体" w:cs="宋体"/>
                <w:sz w:val="22"/>
                <w:szCs w:val="22"/>
              </w:rPr>
            </w:pPr>
            <w:r>
              <w:rPr>
                <w:rFonts w:hint="eastAsia" w:ascii="宋体" w:hAnsi="宋体" w:eastAsia="宋体" w:cs="宋体"/>
                <w:spacing w:val="-3"/>
                <w:sz w:val="22"/>
                <w:szCs w:val="22"/>
              </w:rPr>
              <w:t>经营范围</w:t>
            </w:r>
          </w:p>
        </w:tc>
        <w:tc>
          <w:tcPr>
            <w:tcW w:w="7156" w:type="dxa"/>
            <w:gridSpan w:val="9"/>
            <w:noWrap w:val="0"/>
            <w:vAlign w:val="top"/>
          </w:tcPr>
          <w:p w14:paraId="03E3F4B5">
            <w:pPr>
              <w:rPr>
                <w:rFonts w:hint="eastAsia" w:ascii="宋体" w:hAnsi="宋体" w:eastAsia="宋体" w:cs="宋体"/>
                <w:sz w:val="22"/>
                <w:szCs w:val="22"/>
              </w:rPr>
            </w:pPr>
          </w:p>
        </w:tc>
      </w:tr>
      <w:tr w14:paraId="6534A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7" w:hRule="atLeast"/>
        </w:trPr>
        <w:tc>
          <w:tcPr>
            <w:tcW w:w="1684" w:type="dxa"/>
            <w:noWrap w:val="0"/>
            <w:vAlign w:val="top"/>
          </w:tcPr>
          <w:p w14:paraId="341A5441">
            <w:pPr>
              <w:spacing w:line="254" w:lineRule="auto"/>
              <w:rPr>
                <w:rFonts w:hint="eastAsia" w:ascii="宋体" w:hAnsi="宋体" w:eastAsia="宋体" w:cs="宋体"/>
                <w:sz w:val="22"/>
                <w:szCs w:val="22"/>
              </w:rPr>
            </w:pPr>
          </w:p>
          <w:p w14:paraId="30917CCC">
            <w:pPr>
              <w:spacing w:line="254" w:lineRule="auto"/>
              <w:rPr>
                <w:rFonts w:hint="eastAsia" w:ascii="宋体" w:hAnsi="宋体" w:eastAsia="宋体" w:cs="宋体"/>
                <w:sz w:val="22"/>
                <w:szCs w:val="22"/>
              </w:rPr>
            </w:pPr>
          </w:p>
          <w:p w14:paraId="1CF7C691">
            <w:pPr>
              <w:spacing w:line="254" w:lineRule="auto"/>
              <w:rPr>
                <w:rFonts w:hint="eastAsia" w:ascii="宋体" w:hAnsi="宋体" w:eastAsia="宋体" w:cs="宋体"/>
                <w:sz w:val="22"/>
                <w:szCs w:val="22"/>
              </w:rPr>
            </w:pPr>
          </w:p>
          <w:p w14:paraId="387791FF">
            <w:pPr>
              <w:spacing w:line="254" w:lineRule="auto"/>
              <w:rPr>
                <w:rFonts w:hint="eastAsia" w:ascii="宋体" w:hAnsi="宋体" w:eastAsia="宋体" w:cs="宋体"/>
                <w:sz w:val="22"/>
                <w:szCs w:val="22"/>
              </w:rPr>
            </w:pPr>
          </w:p>
          <w:p w14:paraId="0AEF8BE2">
            <w:pPr>
              <w:spacing w:line="254" w:lineRule="auto"/>
              <w:rPr>
                <w:rFonts w:hint="eastAsia" w:ascii="宋体" w:hAnsi="宋体" w:eastAsia="宋体" w:cs="宋体"/>
                <w:sz w:val="22"/>
                <w:szCs w:val="22"/>
              </w:rPr>
            </w:pPr>
          </w:p>
          <w:p w14:paraId="54F68D80">
            <w:pPr>
              <w:spacing w:line="254" w:lineRule="auto"/>
              <w:rPr>
                <w:rFonts w:hint="eastAsia" w:ascii="宋体" w:hAnsi="宋体" w:eastAsia="宋体" w:cs="宋体"/>
                <w:sz w:val="22"/>
                <w:szCs w:val="22"/>
              </w:rPr>
            </w:pPr>
          </w:p>
          <w:p w14:paraId="00DCD36D">
            <w:pPr>
              <w:pStyle w:val="85"/>
              <w:spacing w:before="78" w:line="220" w:lineRule="auto"/>
              <w:ind w:left="133"/>
              <w:rPr>
                <w:rFonts w:hint="eastAsia" w:ascii="宋体" w:hAnsi="宋体" w:eastAsia="宋体" w:cs="宋体"/>
                <w:sz w:val="22"/>
                <w:szCs w:val="22"/>
              </w:rPr>
            </w:pPr>
            <w:r>
              <w:rPr>
                <w:rFonts w:hint="eastAsia" w:ascii="宋体" w:hAnsi="宋体" w:eastAsia="宋体" w:cs="宋体"/>
                <w:spacing w:val="-2"/>
                <w:sz w:val="22"/>
                <w:szCs w:val="22"/>
              </w:rPr>
              <w:t>企业关联情况</w:t>
            </w:r>
          </w:p>
        </w:tc>
        <w:tc>
          <w:tcPr>
            <w:tcW w:w="7156" w:type="dxa"/>
            <w:gridSpan w:val="9"/>
            <w:noWrap w:val="0"/>
            <w:vAlign w:val="top"/>
          </w:tcPr>
          <w:p w14:paraId="21A42A07">
            <w:pPr>
              <w:pStyle w:val="85"/>
              <w:spacing w:before="42" w:line="242" w:lineRule="auto"/>
              <w:ind w:left="234"/>
              <w:rPr>
                <w:rFonts w:hint="eastAsia" w:ascii="宋体" w:hAnsi="宋体" w:eastAsia="宋体" w:cs="宋体"/>
                <w:sz w:val="22"/>
                <w:szCs w:val="22"/>
              </w:rPr>
            </w:pPr>
            <w:r>
              <w:rPr>
                <w:rFonts w:hint="eastAsia" w:ascii="宋体" w:hAnsi="宋体" w:eastAsia="宋体" w:cs="宋体"/>
                <w:spacing w:val="-4"/>
                <w:sz w:val="22"/>
                <w:szCs w:val="22"/>
              </w:rPr>
              <w:t>1：与我公司单位负责人为同一人的其他单位名称：</w:t>
            </w:r>
          </w:p>
          <w:p w14:paraId="1573E31D">
            <w:pPr>
              <w:pStyle w:val="85"/>
              <w:spacing w:line="220" w:lineRule="auto"/>
              <w:ind w:left="240"/>
              <w:rPr>
                <w:rFonts w:hint="eastAsia" w:ascii="宋体" w:hAnsi="宋体" w:eastAsia="宋体" w:cs="宋体"/>
                <w:sz w:val="22"/>
                <w:szCs w:val="22"/>
              </w:rPr>
            </w:pPr>
            <w:r>
              <w:rPr>
                <w:rFonts w:hint="eastAsia" w:ascii="宋体" w:hAnsi="宋体" w:eastAsia="宋体" w:cs="宋体"/>
                <w:spacing w:val="-20"/>
                <w:sz w:val="22"/>
                <w:szCs w:val="22"/>
              </w:rPr>
              <w:t>□无；</w:t>
            </w:r>
          </w:p>
          <w:p w14:paraId="66EBD4A6">
            <w:pPr>
              <w:pStyle w:val="85"/>
              <w:spacing w:before="30" w:line="220" w:lineRule="auto"/>
              <w:ind w:left="240"/>
              <w:rPr>
                <w:rFonts w:hint="eastAsia" w:ascii="宋体" w:hAnsi="宋体" w:eastAsia="宋体" w:cs="宋体"/>
                <w:sz w:val="22"/>
                <w:szCs w:val="22"/>
              </w:rPr>
            </w:pPr>
            <w:r>
              <w:rPr>
                <w:rFonts w:hint="eastAsia" w:ascii="宋体" w:hAnsi="宋体" w:eastAsia="宋体" w:cs="宋体"/>
                <w:spacing w:val="-20"/>
                <w:sz w:val="22"/>
                <w:szCs w:val="22"/>
              </w:rPr>
              <w:t>□有：</w:t>
            </w:r>
          </w:p>
          <w:p w14:paraId="3238F7E4">
            <w:pPr>
              <w:pStyle w:val="85"/>
              <w:spacing w:before="30" w:line="231" w:lineRule="auto"/>
              <w:ind w:left="240" w:right="1359" w:hanging="21"/>
              <w:rPr>
                <w:rFonts w:hint="eastAsia" w:ascii="宋体" w:hAnsi="宋体" w:eastAsia="宋体" w:cs="宋体"/>
                <w:sz w:val="22"/>
                <w:szCs w:val="22"/>
              </w:rPr>
            </w:pPr>
            <w:r>
              <w:rPr>
                <w:rFonts w:hint="eastAsia" w:ascii="宋体" w:hAnsi="宋体" w:eastAsia="宋体" w:cs="宋体"/>
                <w:spacing w:val="-3"/>
                <w:sz w:val="22"/>
                <w:szCs w:val="22"/>
              </w:rPr>
              <w:t>2、与我公司存在控股、管理关系的其他单位的名称：</w:t>
            </w:r>
            <w:r>
              <w:rPr>
                <w:rFonts w:hint="eastAsia" w:ascii="宋体" w:hAnsi="宋体" w:eastAsia="宋体" w:cs="宋体"/>
                <w:spacing w:val="-20"/>
                <w:sz w:val="22"/>
                <w:szCs w:val="22"/>
              </w:rPr>
              <w:t>□无；</w:t>
            </w:r>
          </w:p>
          <w:p w14:paraId="465F4885">
            <w:pPr>
              <w:pStyle w:val="85"/>
              <w:spacing w:before="30" w:line="317" w:lineRule="exact"/>
              <w:ind w:left="240"/>
              <w:rPr>
                <w:rFonts w:hint="eastAsia" w:ascii="宋体" w:hAnsi="宋体" w:eastAsia="宋体" w:cs="宋体"/>
                <w:sz w:val="22"/>
                <w:szCs w:val="22"/>
              </w:rPr>
            </w:pPr>
            <w:r>
              <w:rPr>
                <w:rFonts w:hint="eastAsia" w:ascii="宋体" w:hAnsi="宋体" w:eastAsia="宋体" w:cs="宋体"/>
                <w:spacing w:val="-20"/>
                <w:position w:val="5"/>
                <w:sz w:val="22"/>
                <w:szCs w:val="22"/>
              </w:rPr>
              <w:t>□有：</w:t>
            </w:r>
          </w:p>
          <w:p w14:paraId="60A6A4EB">
            <w:pPr>
              <w:pStyle w:val="85"/>
              <w:spacing w:before="1" w:line="220" w:lineRule="auto"/>
              <w:ind w:left="219"/>
              <w:rPr>
                <w:rFonts w:hint="eastAsia" w:ascii="宋体" w:hAnsi="宋体" w:eastAsia="宋体" w:cs="宋体"/>
                <w:sz w:val="22"/>
                <w:szCs w:val="22"/>
              </w:rPr>
            </w:pPr>
            <w:r>
              <w:rPr>
                <w:rFonts w:hint="eastAsia" w:ascii="宋体" w:hAnsi="宋体" w:eastAsia="宋体" w:cs="宋体"/>
                <w:spacing w:val="-15"/>
                <w:sz w:val="22"/>
                <w:szCs w:val="22"/>
              </w:rPr>
              <w:t>备注：</w:t>
            </w:r>
          </w:p>
          <w:p w14:paraId="59E93995">
            <w:pPr>
              <w:pStyle w:val="85"/>
              <w:spacing w:before="26" w:line="230" w:lineRule="auto"/>
              <w:ind w:left="215" w:right="122" w:firstLine="18"/>
              <w:rPr>
                <w:rFonts w:hint="eastAsia" w:ascii="宋体" w:hAnsi="宋体" w:eastAsia="宋体" w:cs="宋体"/>
                <w:sz w:val="22"/>
                <w:szCs w:val="22"/>
              </w:rPr>
            </w:pPr>
            <w:r>
              <w:rPr>
                <w:rFonts w:hint="eastAsia" w:ascii="宋体" w:hAnsi="宋体" w:eastAsia="宋体" w:cs="宋体"/>
                <w:spacing w:val="-2"/>
                <w:sz w:val="22"/>
                <w:szCs w:val="22"/>
              </w:rPr>
              <w:t>1、“单位负责人”是指单位法定代表人或者法律、行政法规规定</w:t>
            </w:r>
            <w:r>
              <w:rPr>
                <w:rFonts w:hint="eastAsia" w:ascii="宋体" w:hAnsi="宋体" w:eastAsia="宋体" w:cs="宋体"/>
                <w:spacing w:val="-3"/>
                <w:sz w:val="22"/>
                <w:szCs w:val="22"/>
              </w:rPr>
              <w:t>代表单位行使职权的主要负责人。</w:t>
            </w:r>
          </w:p>
          <w:p w14:paraId="06B53841">
            <w:pPr>
              <w:pStyle w:val="85"/>
              <w:spacing w:before="27" w:line="219" w:lineRule="auto"/>
              <w:ind w:left="115"/>
              <w:rPr>
                <w:rFonts w:hint="eastAsia" w:ascii="宋体" w:hAnsi="宋体" w:eastAsia="宋体" w:cs="宋体"/>
                <w:sz w:val="22"/>
                <w:szCs w:val="22"/>
              </w:rPr>
            </w:pPr>
            <w:r>
              <w:rPr>
                <w:rFonts w:hint="eastAsia" w:ascii="宋体" w:hAnsi="宋体" w:eastAsia="宋体" w:cs="宋体"/>
                <w:spacing w:val="-3"/>
                <w:sz w:val="22"/>
                <w:szCs w:val="22"/>
              </w:rPr>
              <w:t>2、本条所规定的控股、管理关系仅限于直接控股、直接管理关系，</w:t>
            </w:r>
            <w:r>
              <w:rPr>
                <w:rFonts w:hint="eastAsia" w:ascii="宋体" w:hAnsi="宋体" w:eastAsia="宋体" w:cs="宋体"/>
                <w:spacing w:val="-4"/>
                <w:sz w:val="22"/>
                <w:szCs w:val="22"/>
              </w:rPr>
              <w:t>不包括间接的控股或管理关系。</w:t>
            </w:r>
          </w:p>
        </w:tc>
      </w:tr>
      <w:tr w14:paraId="7830C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684" w:type="dxa"/>
            <w:noWrap w:val="0"/>
            <w:vAlign w:val="top"/>
          </w:tcPr>
          <w:p w14:paraId="1ACBB6B0">
            <w:pPr>
              <w:pStyle w:val="85"/>
              <w:spacing w:before="130" w:line="221" w:lineRule="auto"/>
              <w:ind w:left="611"/>
              <w:rPr>
                <w:rFonts w:hint="eastAsia" w:ascii="宋体" w:hAnsi="宋体" w:eastAsia="宋体" w:cs="宋体"/>
                <w:sz w:val="22"/>
                <w:szCs w:val="22"/>
              </w:rPr>
            </w:pPr>
            <w:r>
              <w:rPr>
                <w:rFonts w:hint="eastAsia" w:ascii="宋体" w:hAnsi="宋体" w:eastAsia="宋体" w:cs="宋体"/>
                <w:spacing w:val="-4"/>
                <w:sz w:val="22"/>
                <w:szCs w:val="22"/>
              </w:rPr>
              <w:t>备注</w:t>
            </w:r>
          </w:p>
        </w:tc>
        <w:tc>
          <w:tcPr>
            <w:tcW w:w="7156" w:type="dxa"/>
            <w:gridSpan w:val="9"/>
            <w:noWrap w:val="0"/>
            <w:vAlign w:val="top"/>
          </w:tcPr>
          <w:p w14:paraId="682161CF">
            <w:pPr>
              <w:rPr>
                <w:rFonts w:hint="eastAsia" w:ascii="宋体" w:hAnsi="宋体" w:eastAsia="宋体" w:cs="宋体"/>
                <w:sz w:val="22"/>
                <w:szCs w:val="22"/>
              </w:rPr>
            </w:pPr>
          </w:p>
        </w:tc>
      </w:tr>
    </w:tbl>
    <w:p w14:paraId="45089750">
      <w:pPr>
        <w:pStyle w:val="9"/>
        <w:spacing w:before="195" w:line="240" w:lineRule="auto"/>
        <w:ind w:firstLine="843" w:firstLineChars="400"/>
        <w:jc w:val="left"/>
        <w:rPr>
          <w:b/>
          <w:bCs/>
          <w:color w:val="FF0000"/>
          <w:sz w:val="22"/>
          <w:szCs w:val="22"/>
        </w:rPr>
      </w:pPr>
      <w:r>
        <w:rPr>
          <w:b/>
          <w:bCs/>
          <w:color w:val="FF0000"/>
          <w:spacing w:val="-5"/>
          <w:position w:val="19"/>
          <w:sz w:val="22"/>
          <w:szCs w:val="22"/>
        </w:rPr>
        <w:t>备注：本表后应附企业法人营业执照及其年检合格的证明材料、</w:t>
      </w:r>
      <w:r>
        <w:rPr>
          <w:b/>
          <w:bCs/>
          <w:color w:val="FF0000"/>
          <w:spacing w:val="-6"/>
          <w:position w:val="19"/>
          <w:sz w:val="22"/>
          <w:szCs w:val="22"/>
        </w:rPr>
        <w:t>企业资质证书副本、安全生产许可证等扫描件加盖公章。</w:t>
      </w:r>
    </w:p>
    <w:p w14:paraId="22646EAB">
      <w:pPr>
        <w:pStyle w:val="9"/>
        <w:spacing w:before="132" w:line="240" w:lineRule="auto"/>
        <w:ind w:firstLine="824" w:firstLineChars="400"/>
        <w:rPr>
          <w:sz w:val="22"/>
          <w:szCs w:val="22"/>
        </w:rPr>
      </w:pPr>
      <w:r>
        <w:rPr>
          <w:spacing w:val="-7"/>
          <w:sz w:val="22"/>
          <w:szCs w:val="22"/>
        </w:rPr>
        <w:t>供应商（电子</w:t>
      </w:r>
      <w:r>
        <w:rPr>
          <w:rFonts w:hint="eastAsia"/>
          <w:spacing w:val="-7"/>
          <w:sz w:val="22"/>
          <w:szCs w:val="22"/>
          <w:lang w:val="en-US" w:eastAsia="zh-CN"/>
        </w:rPr>
        <w:t>公</w:t>
      </w:r>
      <w:r>
        <w:rPr>
          <w:spacing w:val="-7"/>
          <w:sz w:val="22"/>
          <w:szCs w:val="22"/>
        </w:rPr>
        <w:t>章</w:t>
      </w:r>
      <w:r>
        <w:rPr>
          <w:spacing w:val="-2"/>
          <w:sz w:val="22"/>
          <w:szCs w:val="22"/>
        </w:rPr>
        <w:t>）：</w:t>
      </w:r>
    </w:p>
    <w:p w14:paraId="3F56065B">
      <w:pPr>
        <w:pStyle w:val="9"/>
        <w:spacing w:before="184" w:line="240" w:lineRule="auto"/>
        <w:ind w:firstLine="848" w:firstLineChars="400"/>
        <w:rPr>
          <w:sz w:val="22"/>
          <w:szCs w:val="22"/>
        </w:rPr>
      </w:pPr>
      <w:r>
        <w:rPr>
          <w:spacing w:val="-4"/>
          <w:position w:val="18"/>
          <w:sz w:val="22"/>
          <w:szCs w:val="22"/>
        </w:rPr>
        <w:t>法定代表人或其授权代表（电子签名</w:t>
      </w:r>
      <w:r>
        <w:rPr>
          <w:rFonts w:hint="eastAsia"/>
          <w:spacing w:val="-4"/>
          <w:position w:val="18"/>
          <w:sz w:val="22"/>
          <w:szCs w:val="22"/>
          <w:lang w:val="en-US" w:eastAsia="zh-CN"/>
        </w:rPr>
        <w:t>或盖章</w:t>
      </w:r>
      <w:r>
        <w:rPr>
          <w:position w:val="18"/>
          <w:sz w:val="22"/>
          <w:szCs w:val="22"/>
        </w:rPr>
        <w:t>）：</w:t>
      </w:r>
    </w:p>
    <w:p w14:paraId="7083BEF5">
      <w:pPr>
        <w:pStyle w:val="9"/>
        <w:spacing w:line="240" w:lineRule="auto"/>
        <w:ind w:firstLine="890" w:firstLineChars="500"/>
        <w:rPr>
          <w:sz w:val="22"/>
          <w:szCs w:val="22"/>
        </w:rPr>
      </w:pPr>
      <w:r>
        <w:rPr>
          <w:spacing w:val="-21"/>
          <w:sz w:val="22"/>
          <w:szCs w:val="22"/>
        </w:rPr>
        <w:t>日期：</w:t>
      </w:r>
      <w:r>
        <w:rPr>
          <w:rFonts w:hint="eastAsia"/>
          <w:spacing w:val="-21"/>
          <w:sz w:val="22"/>
          <w:szCs w:val="22"/>
          <w:u w:val="single"/>
          <w:lang w:val="en-US" w:eastAsia="zh-CN"/>
        </w:rPr>
        <w:t xml:space="preserve">      </w:t>
      </w:r>
      <w:r>
        <w:rPr>
          <w:spacing w:val="-21"/>
          <w:sz w:val="22"/>
          <w:szCs w:val="22"/>
        </w:rPr>
        <w:t>年</w:t>
      </w:r>
      <w:r>
        <w:rPr>
          <w:rFonts w:hint="eastAsia"/>
          <w:spacing w:val="-21"/>
          <w:sz w:val="22"/>
          <w:szCs w:val="22"/>
          <w:u w:val="single"/>
          <w:lang w:val="en-US" w:eastAsia="zh-CN"/>
        </w:rPr>
        <w:t xml:space="preserve">      </w:t>
      </w:r>
      <w:r>
        <w:rPr>
          <w:spacing w:val="-21"/>
          <w:sz w:val="22"/>
          <w:szCs w:val="22"/>
        </w:rPr>
        <w:t>月</w:t>
      </w:r>
      <w:r>
        <w:rPr>
          <w:rFonts w:hint="eastAsia"/>
          <w:spacing w:val="-21"/>
          <w:sz w:val="22"/>
          <w:szCs w:val="22"/>
          <w:u w:val="single"/>
          <w:lang w:val="en-US" w:eastAsia="zh-CN"/>
        </w:rPr>
        <w:t xml:space="preserve">     </w:t>
      </w:r>
      <w:r>
        <w:rPr>
          <w:rFonts w:hint="eastAsia"/>
          <w:spacing w:val="-21"/>
          <w:sz w:val="22"/>
          <w:szCs w:val="22"/>
          <w:lang w:val="en-US" w:eastAsia="zh-CN"/>
        </w:rPr>
        <w:t xml:space="preserve"> </w:t>
      </w:r>
      <w:r>
        <w:rPr>
          <w:spacing w:val="-21"/>
          <w:sz w:val="22"/>
          <w:szCs w:val="22"/>
        </w:rPr>
        <w:t>日</w:t>
      </w:r>
    </w:p>
    <w:p w14:paraId="09AD49C5">
      <w:pPr>
        <w:spacing w:line="240" w:lineRule="auto"/>
        <w:rPr>
          <w:sz w:val="21"/>
          <w:szCs w:val="21"/>
        </w:rPr>
        <w:sectPr>
          <w:footerReference r:id="rId8" w:type="default"/>
          <w:pgSz w:w="11907" w:h="16839"/>
          <w:pgMar w:top="1440" w:right="1800" w:bottom="1440" w:left="1800" w:header="0" w:footer="996" w:gutter="0"/>
          <w:pgNumType w:fmt="decimal"/>
          <w:cols w:space="720" w:num="1"/>
        </w:sectPr>
      </w:pPr>
    </w:p>
    <w:p w14:paraId="6B4A141B">
      <w:pPr>
        <w:pStyle w:val="4"/>
        <w:bidi w:val="0"/>
        <w:rPr>
          <w:rFonts w:hint="default"/>
          <w:lang w:val="en-US" w:eastAsia="zh-CN"/>
        </w:rPr>
      </w:pPr>
      <w:bookmarkStart w:id="452" w:name="_Toc15701"/>
      <w:r>
        <w:rPr>
          <w:lang w:val="en-US" w:eastAsia="zh-CN"/>
        </w:rPr>
        <w:t>三、法定代表人身份证明或附有法定代表人身份证明的</w:t>
      </w:r>
      <w:r>
        <w:rPr>
          <w:rFonts w:hint="eastAsia"/>
          <w:lang w:val="en-US" w:eastAsia="zh-CN"/>
        </w:rPr>
        <w:t>授权书</w:t>
      </w:r>
      <w:bookmarkEnd w:id="452"/>
    </w:p>
    <w:p w14:paraId="6B89548A">
      <w:pPr>
        <w:pStyle w:val="9"/>
        <w:spacing w:before="263" w:line="223" w:lineRule="auto"/>
        <w:ind w:left="2681"/>
        <w:rPr>
          <w:rFonts w:hint="eastAsia" w:ascii="Calibri" w:hAnsi="Calibri" w:eastAsia="宋体" w:cs="Calibri"/>
          <w:color w:val="000000"/>
          <w:spacing w:val="-2"/>
          <w:kern w:val="1"/>
          <w:sz w:val="28"/>
          <w:szCs w:val="28"/>
          <w:lang w:val="en-US" w:eastAsia="zh-CN" w:bidi="ar-SA"/>
        </w:rPr>
      </w:pPr>
      <w:r>
        <w:rPr>
          <w:rFonts w:hint="eastAsia" w:ascii="Calibri" w:hAnsi="Calibri" w:eastAsia="宋体" w:cs="Calibri"/>
          <w:color w:val="000000"/>
          <w:spacing w:val="-2"/>
          <w:kern w:val="1"/>
          <w:sz w:val="28"/>
          <w:szCs w:val="28"/>
          <w:lang w:val="en-US" w:eastAsia="zh-CN" w:bidi="ar-SA"/>
        </w:rPr>
        <w:t>（一）法定代表人身份证明</w:t>
      </w:r>
    </w:p>
    <w:p w14:paraId="6BB61AF9">
      <w:pPr>
        <w:spacing w:line="276" w:lineRule="auto"/>
        <w:rPr>
          <w:rFonts w:ascii="Calibri" w:hAnsi="Calibri" w:eastAsia="宋体" w:cs="Calibri"/>
          <w:color w:val="000000"/>
          <w:spacing w:val="-2"/>
          <w:kern w:val="1"/>
          <w:sz w:val="28"/>
          <w:szCs w:val="28"/>
          <w:lang w:val="en-US" w:eastAsia="zh-CN" w:bidi="ar-SA"/>
        </w:rPr>
      </w:pPr>
    </w:p>
    <w:p w14:paraId="75B6AC0C">
      <w:pPr>
        <w:pStyle w:val="9"/>
        <w:spacing w:before="68" w:line="411" w:lineRule="auto"/>
        <w:ind w:left="440"/>
        <w:rPr>
          <w:rFonts w:hint="default" w:ascii="Calibri" w:hAnsi="Calibri" w:eastAsia="宋体" w:cs="Calibri"/>
          <w:color w:val="000000"/>
          <w:spacing w:val="-2"/>
          <w:kern w:val="1"/>
          <w:sz w:val="24"/>
          <w:szCs w:val="24"/>
          <w:u w:val="single"/>
          <w:lang w:val="en-US" w:eastAsia="zh-CN" w:bidi="ar-SA"/>
        </w:rPr>
      </w:pPr>
      <w:r>
        <w:rPr>
          <w:rFonts w:ascii="Calibri" w:hAnsi="Calibri" w:eastAsia="宋体" w:cs="Calibri"/>
          <w:color w:val="000000"/>
          <w:spacing w:val="-2"/>
          <w:kern w:val="1"/>
          <w:sz w:val="24"/>
          <w:szCs w:val="24"/>
          <w:lang w:val="en-US" w:eastAsia="zh-CN" w:bidi="ar-SA"/>
        </w:rPr>
        <w:t>供应商名称：</w:t>
      </w:r>
      <w:r>
        <w:rPr>
          <w:rFonts w:hint="eastAsia" w:eastAsia="宋体" w:cs="Calibri"/>
          <w:color w:val="000000"/>
          <w:spacing w:val="-2"/>
          <w:kern w:val="1"/>
          <w:sz w:val="24"/>
          <w:szCs w:val="24"/>
          <w:u w:val="single"/>
          <w:lang w:val="en-US" w:eastAsia="zh-CN" w:bidi="ar-SA"/>
        </w:rPr>
        <w:t xml:space="preserve">                      </w:t>
      </w:r>
    </w:p>
    <w:p w14:paraId="5FF71014">
      <w:pPr>
        <w:pStyle w:val="9"/>
        <w:spacing w:line="221" w:lineRule="auto"/>
        <w:ind w:left="441"/>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单位性质：</w:t>
      </w:r>
      <w:r>
        <w:rPr>
          <w:rFonts w:hint="eastAsia" w:ascii="宋体" w:hAnsi="宋体" w:eastAsia="宋体" w:cs="宋体"/>
          <w:sz w:val="28"/>
          <w:szCs w:val="28"/>
          <w:u w:val="single"/>
          <w:lang w:val="en-US" w:eastAsia="zh-CN"/>
        </w:rPr>
        <w:t xml:space="preserve">                  </w:t>
      </w:r>
    </w:p>
    <w:p w14:paraId="33ADF85E">
      <w:pPr>
        <w:pStyle w:val="9"/>
        <w:spacing w:before="216" w:line="412" w:lineRule="auto"/>
        <w:ind w:left="440"/>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地址：</w:t>
      </w:r>
      <w:r>
        <w:rPr>
          <w:rFonts w:hint="eastAsia" w:ascii="宋体" w:hAnsi="宋体" w:eastAsia="宋体" w:cs="宋体"/>
          <w:sz w:val="28"/>
          <w:szCs w:val="28"/>
          <w:u w:val="single"/>
          <w:lang w:val="en-US" w:eastAsia="zh-CN"/>
        </w:rPr>
        <w:t xml:space="preserve">                   </w:t>
      </w:r>
    </w:p>
    <w:p w14:paraId="3B97EDF8">
      <w:pPr>
        <w:pStyle w:val="9"/>
        <w:spacing w:line="220" w:lineRule="auto"/>
        <w:ind w:left="44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成立时间：</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年</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月</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日</w:t>
      </w:r>
    </w:p>
    <w:p w14:paraId="176E307C">
      <w:pPr>
        <w:pStyle w:val="9"/>
        <w:spacing w:before="217" w:line="221" w:lineRule="auto"/>
        <w:ind w:left="441"/>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经营期限：</w:t>
      </w:r>
      <w:r>
        <w:rPr>
          <w:rFonts w:hint="eastAsia" w:ascii="宋体" w:hAnsi="宋体" w:eastAsia="宋体" w:cs="宋体"/>
          <w:sz w:val="28"/>
          <w:szCs w:val="28"/>
          <w:u w:val="single"/>
          <w:lang w:val="en-US" w:eastAsia="zh-CN"/>
        </w:rPr>
        <w:t xml:space="preserve">                   </w:t>
      </w:r>
    </w:p>
    <w:p w14:paraId="47E70CD2">
      <w:pPr>
        <w:spacing w:line="306" w:lineRule="auto"/>
        <w:rPr>
          <w:rFonts w:ascii="Calibri" w:hAnsi="Calibri" w:eastAsia="宋体" w:cs="Calibri"/>
          <w:color w:val="000000"/>
          <w:spacing w:val="-2"/>
          <w:kern w:val="1"/>
          <w:sz w:val="24"/>
          <w:szCs w:val="24"/>
          <w:lang w:val="en-US" w:eastAsia="zh-CN" w:bidi="ar-SA"/>
        </w:rPr>
      </w:pPr>
    </w:p>
    <w:p w14:paraId="6A6EBAC0">
      <w:pPr>
        <w:pStyle w:val="9"/>
        <w:spacing w:before="69" w:line="221" w:lineRule="auto"/>
        <w:ind w:left="440"/>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姓名：</w:t>
      </w:r>
      <w:r>
        <w:rPr>
          <w:rFonts w:hint="eastAsia" w:ascii="宋体" w:hAnsi="宋体" w:eastAsia="宋体" w:cs="宋体"/>
          <w:sz w:val="28"/>
          <w:szCs w:val="28"/>
          <w:u w:val="single"/>
          <w:lang w:val="en-US" w:eastAsia="zh-CN"/>
        </w:rPr>
        <w:t xml:space="preserve">          </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性别：</w:t>
      </w:r>
      <w:r>
        <w:rPr>
          <w:rFonts w:hint="eastAsia" w:ascii="宋体" w:hAnsi="宋体" w:eastAsia="宋体" w:cs="宋体"/>
          <w:sz w:val="28"/>
          <w:szCs w:val="28"/>
          <w:u w:val="single"/>
          <w:lang w:val="en-US" w:eastAsia="zh-CN"/>
        </w:rPr>
        <w:t xml:space="preserve">          </w:t>
      </w:r>
    </w:p>
    <w:p w14:paraId="2827E776">
      <w:pPr>
        <w:pStyle w:val="9"/>
        <w:spacing w:before="217" w:line="221" w:lineRule="auto"/>
        <w:ind w:left="441"/>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年龄：</w:t>
      </w:r>
      <w:r>
        <w:rPr>
          <w:rFonts w:hint="eastAsia" w:ascii="宋体" w:hAnsi="宋体" w:eastAsia="宋体" w:cs="宋体"/>
          <w:sz w:val="28"/>
          <w:szCs w:val="28"/>
          <w:u w:val="single"/>
          <w:lang w:val="en-US" w:eastAsia="zh-CN"/>
        </w:rPr>
        <w:t xml:space="preserve">          </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职务：</w:t>
      </w:r>
      <w:r>
        <w:rPr>
          <w:rFonts w:hint="eastAsia" w:ascii="宋体" w:hAnsi="宋体" w:eastAsia="宋体" w:cs="宋体"/>
          <w:sz w:val="28"/>
          <w:szCs w:val="28"/>
          <w:u w:val="single"/>
          <w:lang w:val="en-US" w:eastAsia="zh-CN"/>
        </w:rPr>
        <w:t xml:space="preserve">          </w:t>
      </w:r>
    </w:p>
    <w:p w14:paraId="389960E0">
      <w:pPr>
        <w:spacing w:line="270" w:lineRule="auto"/>
        <w:rPr>
          <w:rFonts w:ascii="Calibri" w:hAnsi="Calibri" w:eastAsia="宋体" w:cs="Calibri"/>
          <w:color w:val="000000"/>
          <w:spacing w:val="-2"/>
          <w:kern w:val="1"/>
          <w:sz w:val="24"/>
          <w:szCs w:val="24"/>
          <w:lang w:val="en-US" w:eastAsia="zh-CN" w:bidi="ar-SA"/>
        </w:rPr>
      </w:pPr>
    </w:p>
    <w:p w14:paraId="7B1A3AAD">
      <w:pPr>
        <w:pStyle w:val="9"/>
        <w:spacing w:before="69" w:line="412" w:lineRule="auto"/>
        <w:ind w:left="44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系</w:t>
      </w:r>
      <w:r>
        <w:rPr>
          <w:rFonts w:hint="eastAsia" w:ascii="宋体" w:hAnsi="宋体" w:eastAsia="宋体" w:cs="宋体"/>
          <w:sz w:val="28"/>
          <w:szCs w:val="28"/>
          <w:u w:val="single"/>
          <w:lang w:val="en-US" w:eastAsia="zh-CN"/>
        </w:rPr>
        <w:t xml:space="preserve">                    </w:t>
      </w:r>
      <w:r>
        <w:rPr>
          <w:rFonts w:ascii="Calibri" w:hAnsi="Calibri" w:eastAsia="宋体" w:cs="Calibri"/>
          <w:color w:val="000000"/>
          <w:spacing w:val="-2"/>
          <w:kern w:val="1"/>
          <w:sz w:val="24"/>
          <w:szCs w:val="24"/>
          <w:lang w:val="en-US" w:eastAsia="zh-CN" w:bidi="ar-SA"/>
        </w:rPr>
        <w:t>（供应商）的法定代表人。</w:t>
      </w:r>
    </w:p>
    <w:p w14:paraId="4E919B14">
      <w:pPr>
        <w:pStyle w:val="9"/>
        <w:spacing w:before="1" w:line="220" w:lineRule="auto"/>
        <w:ind w:left="44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特此证明。</w:t>
      </w:r>
    </w:p>
    <w:p w14:paraId="284C75AF">
      <w:pPr>
        <w:spacing w:line="306" w:lineRule="auto"/>
        <w:rPr>
          <w:rFonts w:ascii="Calibri" w:hAnsi="Calibri" w:eastAsia="宋体" w:cs="Calibri"/>
          <w:color w:val="000000"/>
          <w:spacing w:val="-2"/>
          <w:kern w:val="1"/>
          <w:sz w:val="24"/>
          <w:szCs w:val="24"/>
          <w:lang w:val="en-US" w:eastAsia="zh-CN" w:bidi="ar-SA"/>
        </w:rPr>
      </w:pPr>
    </w:p>
    <w:p w14:paraId="62133212">
      <w:pPr>
        <w:pStyle w:val="9"/>
        <w:spacing w:before="69" w:line="220" w:lineRule="auto"/>
        <w:ind w:left="45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附：法定代表人身份证复印件正反面</w:t>
      </w:r>
    </w:p>
    <w:p w14:paraId="7DA93DAD">
      <w:pPr>
        <w:spacing w:line="269" w:lineRule="auto"/>
        <w:rPr>
          <w:rFonts w:ascii="Calibri" w:hAnsi="Calibri" w:eastAsia="宋体" w:cs="Calibri"/>
          <w:color w:val="000000"/>
          <w:spacing w:val="-2"/>
          <w:kern w:val="1"/>
          <w:sz w:val="24"/>
          <w:szCs w:val="24"/>
          <w:lang w:val="en-US" w:eastAsia="zh-CN" w:bidi="ar-SA"/>
        </w:rPr>
      </w:pPr>
    </w:p>
    <w:p w14:paraId="2CA0D57A">
      <w:pPr>
        <w:spacing w:line="269" w:lineRule="auto"/>
        <w:rPr>
          <w:rFonts w:ascii="Calibri" w:hAnsi="Calibri" w:eastAsia="宋体" w:cs="Calibri"/>
          <w:color w:val="000000"/>
          <w:spacing w:val="-2"/>
          <w:kern w:val="1"/>
          <w:sz w:val="24"/>
          <w:szCs w:val="24"/>
          <w:lang w:val="en-US" w:eastAsia="zh-CN" w:bidi="ar-SA"/>
        </w:rPr>
      </w:pPr>
    </w:p>
    <w:p w14:paraId="083B5643">
      <w:pPr>
        <w:spacing w:line="270" w:lineRule="auto"/>
        <w:rPr>
          <w:rFonts w:ascii="Calibri" w:hAnsi="Calibri" w:eastAsia="宋体" w:cs="Calibri"/>
          <w:color w:val="000000"/>
          <w:spacing w:val="-2"/>
          <w:kern w:val="1"/>
          <w:sz w:val="24"/>
          <w:szCs w:val="24"/>
          <w:lang w:val="en-US" w:eastAsia="zh-CN" w:bidi="ar-SA"/>
        </w:rPr>
      </w:pPr>
    </w:p>
    <w:p w14:paraId="58E799D2">
      <w:pPr>
        <w:spacing w:line="270" w:lineRule="auto"/>
        <w:rPr>
          <w:rFonts w:ascii="Calibri" w:hAnsi="Calibri" w:eastAsia="宋体" w:cs="Calibri"/>
          <w:color w:val="000000"/>
          <w:spacing w:val="-2"/>
          <w:kern w:val="1"/>
          <w:sz w:val="24"/>
          <w:szCs w:val="24"/>
          <w:lang w:val="en-US" w:eastAsia="zh-CN" w:bidi="ar-SA"/>
        </w:rPr>
      </w:pPr>
    </w:p>
    <w:p w14:paraId="78352F5F">
      <w:pPr>
        <w:spacing w:line="270" w:lineRule="auto"/>
        <w:rPr>
          <w:rFonts w:ascii="Calibri" w:hAnsi="Calibri" w:eastAsia="宋体" w:cs="Calibri"/>
          <w:color w:val="000000"/>
          <w:spacing w:val="-2"/>
          <w:kern w:val="1"/>
          <w:sz w:val="24"/>
          <w:szCs w:val="24"/>
          <w:lang w:val="en-US" w:eastAsia="zh-CN" w:bidi="ar-SA"/>
        </w:rPr>
      </w:pPr>
    </w:p>
    <w:p w14:paraId="741C5DD7">
      <w:pPr>
        <w:pStyle w:val="9"/>
        <w:spacing w:before="69" w:line="220" w:lineRule="auto"/>
        <w:ind w:left="3906"/>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供应商（电子</w:t>
      </w:r>
      <w:r>
        <w:rPr>
          <w:rFonts w:hint="eastAsia" w:ascii="Calibri" w:hAnsi="Calibri" w:eastAsia="宋体" w:cs="Calibri"/>
          <w:color w:val="000000"/>
          <w:spacing w:val="-2"/>
          <w:kern w:val="1"/>
          <w:sz w:val="24"/>
          <w:szCs w:val="24"/>
          <w:lang w:val="en-US" w:eastAsia="zh-CN" w:bidi="ar-SA"/>
        </w:rPr>
        <w:t>公</w:t>
      </w:r>
      <w:r>
        <w:rPr>
          <w:rFonts w:ascii="Calibri" w:hAnsi="Calibri" w:eastAsia="宋体" w:cs="Calibri"/>
          <w:color w:val="000000"/>
          <w:spacing w:val="-2"/>
          <w:kern w:val="1"/>
          <w:sz w:val="24"/>
          <w:szCs w:val="24"/>
          <w:lang w:val="en-US" w:eastAsia="zh-CN" w:bidi="ar-SA"/>
        </w:rPr>
        <w:t>章）：</w:t>
      </w:r>
      <w:r>
        <w:rPr>
          <w:rFonts w:hint="eastAsia" w:ascii="宋体" w:hAnsi="宋体" w:eastAsia="宋体" w:cs="宋体"/>
          <w:sz w:val="28"/>
          <w:szCs w:val="28"/>
          <w:u w:val="single"/>
          <w:lang w:val="en-US" w:eastAsia="zh-CN"/>
        </w:rPr>
        <w:t xml:space="preserve">          </w:t>
      </w:r>
    </w:p>
    <w:p w14:paraId="5FFAC3AA">
      <w:pPr>
        <w:pStyle w:val="9"/>
        <w:spacing w:before="218" w:line="221" w:lineRule="auto"/>
        <w:jc w:val="center"/>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         </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日期：</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年</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月</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日</w:t>
      </w:r>
    </w:p>
    <w:p w14:paraId="6272AED0">
      <w:pPr>
        <w:spacing w:line="278" w:lineRule="auto"/>
        <w:rPr>
          <w:rFonts w:hint="eastAsia" w:ascii="Calibri" w:hAnsi="Calibri" w:eastAsia="宋体" w:cs="Calibri"/>
          <w:color w:val="000000"/>
          <w:spacing w:val="-2"/>
          <w:kern w:val="1"/>
          <w:sz w:val="24"/>
          <w:szCs w:val="24"/>
          <w:lang w:val="en-US" w:eastAsia="zh-CN" w:bidi="ar-SA"/>
        </w:rPr>
      </w:pPr>
    </w:p>
    <w:p w14:paraId="7E0F3C1E">
      <w:pPr>
        <w:spacing w:line="278" w:lineRule="auto"/>
        <w:rPr>
          <w:rFonts w:hint="eastAsia" w:ascii="Calibri" w:hAnsi="Calibri" w:eastAsia="宋体" w:cs="Calibri"/>
          <w:color w:val="000000"/>
          <w:spacing w:val="-2"/>
          <w:kern w:val="1"/>
          <w:sz w:val="28"/>
          <w:szCs w:val="28"/>
          <w:lang w:val="en-US" w:eastAsia="zh-CN" w:bidi="ar-SA"/>
        </w:rPr>
      </w:pPr>
    </w:p>
    <w:p w14:paraId="23F6A1E3">
      <w:pPr>
        <w:spacing w:line="240" w:lineRule="auto"/>
        <w:rPr>
          <w:rFonts w:ascii="Calibri" w:hAnsi="Calibri" w:eastAsia="宋体" w:cs="Calibri"/>
          <w:color w:val="000000"/>
          <w:spacing w:val="-2"/>
          <w:kern w:val="1"/>
          <w:sz w:val="28"/>
          <w:szCs w:val="28"/>
          <w:lang w:val="en-US" w:eastAsia="zh-CN" w:bidi="ar-SA"/>
        </w:rPr>
        <w:sectPr>
          <w:footerReference r:id="rId9" w:type="default"/>
          <w:pgSz w:w="11907" w:h="16839"/>
          <w:pgMar w:top="1440" w:right="1800" w:bottom="1440" w:left="1800" w:header="0" w:footer="996" w:gutter="0"/>
          <w:pgNumType w:fmt="decimal"/>
          <w:cols w:space="720" w:num="1"/>
        </w:sectPr>
      </w:pPr>
    </w:p>
    <w:p w14:paraId="45A39401">
      <w:pPr>
        <w:pStyle w:val="9"/>
        <w:spacing w:before="263" w:line="223" w:lineRule="auto"/>
        <w:ind w:left="2681"/>
        <w:rPr>
          <w:rFonts w:hint="eastAsia" w:ascii="Calibri" w:hAnsi="Calibri" w:eastAsia="宋体" w:cs="Calibri"/>
          <w:color w:val="000000"/>
          <w:spacing w:val="-2"/>
          <w:kern w:val="1"/>
          <w:sz w:val="28"/>
          <w:szCs w:val="28"/>
          <w:lang w:val="en-US" w:eastAsia="zh-CN" w:bidi="ar-SA"/>
        </w:rPr>
      </w:pPr>
      <w:bookmarkStart w:id="453" w:name="_Toc71632264"/>
      <w:bookmarkEnd w:id="453"/>
      <w:bookmarkStart w:id="454" w:name="_Toc71632276"/>
      <w:bookmarkEnd w:id="454"/>
      <w:r>
        <w:rPr>
          <w:rFonts w:hint="eastAsia" w:ascii="Calibri" w:hAnsi="Calibri" w:eastAsia="宋体" w:cs="Calibri"/>
          <w:color w:val="000000"/>
          <w:spacing w:val="-2"/>
          <w:kern w:val="1"/>
          <w:sz w:val="28"/>
          <w:szCs w:val="28"/>
          <w:lang w:val="en-US" w:eastAsia="zh-CN" w:bidi="ar-SA"/>
        </w:rPr>
        <w:t>（二）授权委托书</w:t>
      </w:r>
    </w:p>
    <w:p w14:paraId="650310FE">
      <w:pPr>
        <w:spacing w:line="241" w:lineRule="auto"/>
        <w:rPr>
          <w:rFonts w:ascii="Calibri" w:hAnsi="Calibri" w:eastAsia="宋体" w:cs="Calibri"/>
          <w:color w:val="000000"/>
          <w:spacing w:val="-2"/>
          <w:kern w:val="1"/>
          <w:sz w:val="28"/>
          <w:szCs w:val="28"/>
          <w:lang w:val="en-US" w:eastAsia="zh-CN" w:bidi="ar-SA"/>
        </w:rPr>
      </w:pPr>
    </w:p>
    <w:p w14:paraId="498C5A7A">
      <w:pPr>
        <w:spacing w:line="242" w:lineRule="auto"/>
        <w:rPr>
          <w:rFonts w:ascii="Calibri" w:hAnsi="Calibri" w:eastAsia="宋体" w:cs="Calibri"/>
          <w:color w:val="000000"/>
          <w:spacing w:val="-2"/>
          <w:kern w:val="1"/>
          <w:sz w:val="28"/>
          <w:szCs w:val="28"/>
          <w:lang w:val="en-US" w:eastAsia="zh-CN" w:bidi="ar-SA"/>
        </w:rPr>
      </w:pPr>
    </w:p>
    <w:p w14:paraId="31940D08">
      <w:pPr>
        <w:pStyle w:val="9"/>
        <w:spacing w:before="69" w:line="359" w:lineRule="auto"/>
        <w:ind w:left="22" w:right="7" w:firstLine="419"/>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本授权委托书声明：我</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(姓名)系</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(供应商名称)的法定代表人，现授权委托</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(姓名)为我公司本次谈判采购活动的授权代表，参加(采购人)</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的项目的谈判采购活动。授权代表在谈判、合同签订过程中所签署的一切文件和处理与之有关的一切事务，我均予以承认。</w:t>
      </w:r>
    </w:p>
    <w:p w14:paraId="61D36E70">
      <w:pPr>
        <w:spacing w:line="246" w:lineRule="auto"/>
        <w:rPr>
          <w:rFonts w:hint="eastAsia" w:ascii="宋体" w:hAnsi="宋体" w:eastAsia="宋体" w:cs="宋体"/>
          <w:color w:val="000000"/>
          <w:spacing w:val="-2"/>
          <w:kern w:val="1"/>
          <w:sz w:val="24"/>
          <w:szCs w:val="24"/>
          <w:lang w:val="en-US" w:eastAsia="zh-CN" w:bidi="ar-SA"/>
        </w:rPr>
      </w:pPr>
    </w:p>
    <w:p w14:paraId="36573571">
      <w:pPr>
        <w:spacing w:line="247" w:lineRule="auto"/>
        <w:rPr>
          <w:rFonts w:hint="eastAsia" w:ascii="宋体" w:hAnsi="宋体" w:eastAsia="宋体" w:cs="宋体"/>
          <w:color w:val="000000"/>
          <w:spacing w:val="-2"/>
          <w:kern w:val="1"/>
          <w:sz w:val="24"/>
          <w:szCs w:val="24"/>
          <w:lang w:val="en-US" w:eastAsia="zh-CN" w:bidi="ar-SA"/>
        </w:rPr>
      </w:pPr>
    </w:p>
    <w:p w14:paraId="1F7CB60C">
      <w:pPr>
        <w:pStyle w:val="9"/>
        <w:spacing w:before="68" w:line="221" w:lineRule="auto"/>
        <w:ind w:left="432"/>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授权代表无转委托权。特此委托。</w:t>
      </w:r>
    </w:p>
    <w:p w14:paraId="55E96410">
      <w:pPr>
        <w:spacing w:line="247" w:lineRule="auto"/>
        <w:rPr>
          <w:rFonts w:hint="eastAsia" w:ascii="宋体" w:hAnsi="宋体" w:eastAsia="宋体" w:cs="宋体"/>
          <w:color w:val="000000"/>
          <w:spacing w:val="-2"/>
          <w:kern w:val="1"/>
          <w:sz w:val="24"/>
          <w:szCs w:val="24"/>
          <w:lang w:val="en-US" w:eastAsia="zh-CN" w:bidi="ar-SA"/>
        </w:rPr>
      </w:pPr>
    </w:p>
    <w:p w14:paraId="77F0C978">
      <w:pPr>
        <w:spacing w:line="248" w:lineRule="auto"/>
        <w:rPr>
          <w:rFonts w:hint="eastAsia" w:ascii="宋体" w:hAnsi="宋体" w:eastAsia="宋体" w:cs="宋体"/>
          <w:color w:val="000000"/>
          <w:spacing w:val="-2"/>
          <w:kern w:val="1"/>
          <w:sz w:val="24"/>
          <w:szCs w:val="24"/>
          <w:lang w:val="en-US" w:eastAsia="zh-CN" w:bidi="ar-SA"/>
        </w:rPr>
      </w:pPr>
    </w:p>
    <w:p w14:paraId="5CD70868">
      <w:pPr>
        <w:pStyle w:val="9"/>
        <w:spacing w:before="69" w:line="221" w:lineRule="auto"/>
        <w:ind w:left="432"/>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授权代表（姓名）：</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性别：</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年龄：</w:t>
      </w:r>
      <w:r>
        <w:rPr>
          <w:rFonts w:hint="eastAsia" w:ascii="宋体" w:hAnsi="宋体" w:eastAsia="宋体" w:cs="宋体"/>
          <w:color w:val="000000"/>
          <w:spacing w:val="-2"/>
          <w:kern w:val="1"/>
          <w:sz w:val="24"/>
          <w:szCs w:val="24"/>
          <w:u w:val="single"/>
          <w:lang w:val="en-US" w:eastAsia="zh-CN" w:bidi="ar-SA"/>
        </w:rPr>
        <w:t xml:space="preserve">        </w:t>
      </w:r>
    </w:p>
    <w:p w14:paraId="555ECE64">
      <w:pPr>
        <w:pStyle w:val="9"/>
        <w:spacing w:before="157" w:line="221" w:lineRule="auto"/>
        <w:ind w:left="441"/>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单位：</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部门：</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 xml:space="preserve">  职务：</w:t>
      </w:r>
      <w:r>
        <w:rPr>
          <w:rFonts w:hint="eastAsia" w:ascii="宋体" w:hAnsi="宋体" w:eastAsia="宋体" w:cs="宋体"/>
          <w:color w:val="000000"/>
          <w:spacing w:val="-2"/>
          <w:kern w:val="1"/>
          <w:sz w:val="24"/>
          <w:szCs w:val="24"/>
          <w:u w:val="single"/>
          <w:lang w:val="en-US" w:eastAsia="zh-CN" w:bidi="ar-SA"/>
        </w:rPr>
        <w:t xml:space="preserve">        </w:t>
      </w:r>
    </w:p>
    <w:p w14:paraId="3A6EB2B4">
      <w:pPr>
        <w:spacing w:line="246" w:lineRule="auto"/>
        <w:rPr>
          <w:rFonts w:hint="eastAsia" w:ascii="宋体" w:hAnsi="宋体" w:eastAsia="宋体" w:cs="宋体"/>
          <w:color w:val="000000"/>
          <w:spacing w:val="-2"/>
          <w:kern w:val="1"/>
          <w:sz w:val="24"/>
          <w:szCs w:val="24"/>
          <w:lang w:val="en-US" w:eastAsia="zh-CN" w:bidi="ar-SA"/>
        </w:rPr>
      </w:pPr>
    </w:p>
    <w:p w14:paraId="1D6649CF">
      <w:pPr>
        <w:spacing w:line="247" w:lineRule="auto"/>
        <w:rPr>
          <w:rFonts w:hint="eastAsia" w:ascii="宋体" w:hAnsi="宋体" w:eastAsia="宋体" w:cs="宋体"/>
          <w:color w:val="000000"/>
          <w:spacing w:val="-2"/>
          <w:kern w:val="1"/>
          <w:sz w:val="24"/>
          <w:szCs w:val="24"/>
          <w:lang w:val="en-US" w:eastAsia="zh-CN" w:bidi="ar-SA"/>
        </w:rPr>
      </w:pPr>
    </w:p>
    <w:p w14:paraId="089DCF3D">
      <w:pPr>
        <w:pStyle w:val="9"/>
        <w:spacing w:before="69" w:line="220" w:lineRule="auto"/>
        <w:ind w:left="456"/>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附：授权代表身份证复印件正反面</w:t>
      </w:r>
    </w:p>
    <w:p w14:paraId="7CEF374B">
      <w:pPr>
        <w:spacing w:line="248" w:lineRule="auto"/>
        <w:rPr>
          <w:rFonts w:hint="eastAsia" w:ascii="宋体" w:hAnsi="宋体" w:eastAsia="宋体" w:cs="宋体"/>
          <w:color w:val="000000"/>
          <w:spacing w:val="-2"/>
          <w:kern w:val="1"/>
          <w:sz w:val="24"/>
          <w:szCs w:val="24"/>
          <w:lang w:val="en-US" w:eastAsia="zh-CN" w:bidi="ar-SA"/>
        </w:rPr>
      </w:pPr>
    </w:p>
    <w:p w14:paraId="1378B24E">
      <w:pPr>
        <w:spacing w:line="249" w:lineRule="auto"/>
        <w:rPr>
          <w:rFonts w:hint="eastAsia" w:ascii="宋体" w:hAnsi="宋体" w:eastAsia="宋体" w:cs="宋体"/>
          <w:color w:val="000000"/>
          <w:spacing w:val="-2"/>
          <w:kern w:val="1"/>
          <w:sz w:val="24"/>
          <w:szCs w:val="24"/>
          <w:lang w:val="en-US" w:eastAsia="zh-CN" w:bidi="ar-SA"/>
        </w:rPr>
      </w:pPr>
    </w:p>
    <w:p w14:paraId="2E101638">
      <w:pPr>
        <w:pStyle w:val="9"/>
        <w:spacing w:before="68" w:line="408" w:lineRule="exact"/>
        <w:ind w:left="440"/>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供应商名称(电子公章)：</w:t>
      </w:r>
    </w:p>
    <w:p w14:paraId="2039A124">
      <w:pPr>
        <w:pStyle w:val="9"/>
        <w:spacing w:before="1" w:line="220" w:lineRule="auto"/>
        <w:ind w:left="441"/>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法定代表人(电子签名或盖章)：</w:t>
      </w:r>
    </w:p>
    <w:p w14:paraId="02D2317B">
      <w:pPr>
        <w:pStyle w:val="9"/>
        <w:spacing w:before="156" w:line="221" w:lineRule="auto"/>
        <w:ind w:left="476"/>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日期：</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年</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月</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日</w:t>
      </w:r>
    </w:p>
    <w:p w14:paraId="465A0534">
      <w:pPr>
        <w:spacing w:line="221" w:lineRule="auto"/>
        <w:rPr>
          <w:rFonts w:hint="eastAsia" w:ascii="宋体" w:hAnsi="宋体" w:eastAsia="宋体" w:cs="宋体"/>
          <w:color w:val="000000"/>
          <w:spacing w:val="-2"/>
          <w:kern w:val="1"/>
          <w:sz w:val="24"/>
          <w:szCs w:val="24"/>
          <w:lang w:val="en-US" w:eastAsia="zh-CN" w:bidi="ar-SA"/>
        </w:rPr>
        <w:sectPr>
          <w:footerReference r:id="rId10" w:type="default"/>
          <w:pgSz w:w="11907" w:h="16839"/>
          <w:pgMar w:top="1440" w:right="1800" w:bottom="1440" w:left="1800" w:header="0" w:footer="996" w:gutter="0"/>
          <w:pgNumType w:fmt="decimal"/>
          <w:cols w:space="720" w:num="1"/>
        </w:sectPr>
      </w:pPr>
    </w:p>
    <w:p w14:paraId="29D5633F">
      <w:pPr>
        <w:spacing w:before="100" w:line="224" w:lineRule="auto"/>
        <w:ind w:left="43"/>
        <w:outlineLvl w:val="6"/>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四、</w:t>
      </w:r>
      <w:r>
        <w:rPr>
          <w:rFonts w:hint="eastAsia" w:ascii="Calibri" w:hAnsi="Calibri" w:eastAsia="宋体" w:cs="Calibri"/>
          <w:b/>
          <w:bCs/>
          <w:color w:val="000000"/>
          <w:spacing w:val="-2"/>
          <w:kern w:val="1"/>
          <w:sz w:val="28"/>
          <w:szCs w:val="28"/>
          <w:lang w:val="en-US" w:eastAsia="zh-CN" w:bidi="ar-SA"/>
        </w:rPr>
        <w:t>供应商资格条件证明材料</w:t>
      </w:r>
    </w:p>
    <w:p w14:paraId="0CC50123">
      <w:pPr>
        <w:pStyle w:val="9"/>
        <w:spacing w:before="91" w:line="521" w:lineRule="exact"/>
        <w:ind w:right="16"/>
        <w:jc w:val="both"/>
        <w:rPr>
          <w:rFonts w:hint="eastAsia" w:ascii="宋体" w:hAnsi="宋体" w:eastAsia="宋体" w:cs="宋体"/>
          <w:color w:val="000000"/>
          <w:spacing w:val="-2"/>
          <w:kern w:val="1"/>
          <w:sz w:val="24"/>
          <w:szCs w:val="24"/>
          <w:lang w:val="en-US" w:eastAsia="zh-CN" w:bidi="ar-SA"/>
        </w:rPr>
      </w:pPr>
    </w:p>
    <w:p w14:paraId="3D4BC146">
      <w:pPr>
        <w:pStyle w:val="9"/>
        <w:spacing w:before="91" w:line="521" w:lineRule="exact"/>
        <w:ind w:right="16"/>
        <w:jc w:val="both"/>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（一）、符合《中华人民共和国政府采购法》第二十二条规定条件证明材料，供应商需提供政府采购供应商信用承诺函：</w:t>
      </w:r>
    </w:p>
    <w:p w14:paraId="7D0728B0">
      <w:pPr>
        <w:spacing w:line="290" w:lineRule="auto"/>
        <w:rPr>
          <w:rFonts w:hint="eastAsia" w:ascii="宋体" w:hAnsi="宋体" w:eastAsia="宋体" w:cs="宋体"/>
          <w:color w:val="000000"/>
          <w:spacing w:val="-2"/>
          <w:kern w:val="1"/>
          <w:sz w:val="24"/>
          <w:szCs w:val="24"/>
          <w:lang w:val="en-US" w:eastAsia="zh-CN" w:bidi="ar-SA"/>
        </w:rPr>
      </w:pPr>
    </w:p>
    <w:p w14:paraId="13AA5449">
      <w:pPr>
        <w:widowControl w:val="0"/>
        <w:adjustRightInd w:val="0"/>
        <w:snapToGrid w:val="0"/>
        <w:spacing w:line="360" w:lineRule="auto"/>
        <w:ind w:right="23" w:firstLine="482" w:firstLineChars="200"/>
        <w:jc w:val="center"/>
        <w:rPr>
          <w:rFonts w:hint="default" w:ascii="Calibri" w:hAnsi="Calibri" w:eastAsia="宋体" w:cs="Calibri"/>
          <w:b/>
          <w:bCs/>
          <w:kern w:val="2"/>
          <w:sz w:val="24"/>
          <w:szCs w:val="24"/>
          <w:lang w:val="en-US" w:eastAsia="zh-CN" w:bidi="ar-SA"/>
        </w:rPr>
      </w:pPr>
      <w:r>
        <w:rPr>
          <w:rFonts w:hint="eastAsia" w:hAnsi="宋体" w:cs="Times New Roman"/>
          <w:b/>
          <w:bCs/>
          <w:kern w:val="2"/>
          <w:sz w:val="24"/>
          <w:szCs w:val="24"/>
          <w:lang w:val="en-US" w:eastAsia="zh-CN" w:bidi="ar-SA"/>
        </w:rPr>
        <w:t>1、提供</w:t>
      </w:r>
      <w:r>
        <w:rPr>
          <w:rFonts w:hint="eastAsia" w:ascii="宋体" w:hAnsi="宋体" w:eastAsia="宋体" w:cs="宋体"/>
          <w:b/>
          <w:bCs/>
          <w:kern w:val="2"/>
          <w:sz w:val="24"/>
          <w:szCs w:val="24"/>
          <w:lang w:val="en-US" w:eastAsia="zh-CN" w:bidi="ar"/>
        </w:rPr>
        <w:t>政府采购供应商信用承诺函</w:t>
      </w:r>
    </w:p>
    <w:p w14:paraId="1B7EEAD1">
      <w:pPr>
        <w:keepNext w:val="0"/>
        <w:keepLines w:val="0"/>
        <w:widowControl w:val="0"/>
        <w:suppressLineNumbers w:val="0"/>
        <w:adjustRightInd w:val="0"/>
        <w:snapToGrid w:val="0"/>
        <w:spacing w:before="0" w:beforeAutospacing="0" w:after="0" w:afterAutospacing="0" w:line="360" w:lineRule="auto"/>
        <w:ind w:left="0" w:right="24" w:firstLine="480" w:firstLineChars="200"/>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单位名称（自然人姓名）：</w:t>
      </w:r>
    </w:p>
    <w:p w14:paraId="1648205A">
      <w:pPr>
        <w:keepNext w:val="0"/>
        <w:keepLines w:val="0"/>
        <w:widowControl w:val="0"/>
        <w:suppressLineNumbers w:val="0"/>
        <w:adjustRightInd w:val="0"/>
        <w:snapToGrid w:val="0"/>
        <w:spacing w:before="0" w:beforeAutospacing="0" w:after="0" w:afterAutospacing="0" w:line="360" w:lineRule="auto"/>
        <w:ind w:left="0" w:right="24" w:firstLine="480" w:firstLineChars="200"/>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统一社会信用代码（身份证号码）：</w:t>
      </w:r>
    </w:p>
    <w:p w14:paraId="2EACF88F">
      <w:pPr>
        <w:keepNext w:val="0"/>
        <w:keepLines w:val="0"/>
        <w:widowControl w:val="0"/>
        <w:suppressLineNumbers w:val="0"/>
        <w:adjustRightInd w:val="0"/>
        <w:snapToGrid w:val="0"/>
        <w:spacing w:before="0" w:beforeAutospacing="0" w:after="0" w:afterAutospacing="0" w:line="360" w:lineRule="auto"/>
        <w:ind w:left="0" w:right="24" w:firstLine="480" w:firstLineChars="200"/>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法定代表人（负责人）：</w:t>
      </w:r>
    </w:p>
    <w:p w14:paraId="7BB999B4">
      <w:pPr>
        <w:keepNext w:val="0"/>
        <w:keepLines w:val="0"/>
        <w:widowControl w:val="0"/>
        <w:suppressLineNumbers w:val="0"/>
        <w:adjustRightInd w:val="0"/>
        <w:snapToGrid w:val="0"/>
        <w:spacing w:before="0" w:beforeAutospacing="0" w:after="0" w:afterAutospacing="0" w:line="360" w:lineRule="auto"/>
        <w:ind w:left="0" w:right="24" w:firstLine="480" w:firstLineChars="200"/>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为维护公平、公正、公开的政府采购市场秩序，树立诚实守信的政府采购供应商形象，我单位（本人）自愿作出以下承诺：</w:t>
      </w:r>
    </w:p>
    <w:p w14:paraId="6380FF80">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7EC4DEA">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（一）具有独立承担民事责任的能力；</w:t>
      </w:r>
    </w:p>
    <w:p w14:paraId="2EABCF1A">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（二）具有良好的商业信誉和健全的财务会计制度；</w:t>
      </w:r>
    </w:p>
    <w:p w14:paraId="1B18B4E0">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Calibri" w:hAnsi="Calibri" w:eastAsia="宋体" w:cs="Calibri"/>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（三）具有履行合同所必需的设备和专业技术能力；</w:t>
      </w:r>
    </w:p>
    <w:p w14:paraId="381C7A92">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（四）有依法缴纳税收和社会保障资金的良好记录；</w:t>
      </w:r>
    </w:p>
    <w:p w14:paraId="4F1F6DA7">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（五）参加政府采购活动前三年内，在经营活动中没有重大违法记录；</w:t>
      </w:r>
    </w:p>
    <w:p w14:paraId="16F58B76">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（六）未被列入经营异常名录或者严重违法失信名单、失信被执行人、重大税收违法案件当事人名单、政府采购严重违法失信行为记录名单；</w:t>
      </w:r>
    </w:p>
    <w:p w14:paraId="43CAF021">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（七）未被相关监管部门作出行政处罚且尚在处罚有效期内；</w:t>
      </w:r>
    </w:p>
    <w:p w14:paraId="1D5F21B1">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（八）未曾作出虚假采购承诺；</w:t>
      </w:r>
    </w:p>
    <w:p w14:paraId="19C99877">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（九）符合法律、行政法规规定的其他条件。</w:t>
      </w:r>
    </w:p>
    <w:p w14:paraId="7AE4DD5B">
      <w:pPr>
        <w:keepNext w:val="0"/>
        <w:keepLines w:val="0"/>
        <w:widowControl w:val="0"/>
        <w:suppressLineNumbers w:val="0"/>
        <w:adjustRightInd w:val="0"/>
        <w:snapToGrid w:val="0"/>
        <w:spacing w:before="0" w:beforeAutospacing="0" w:after="0" w:afterAutospacing="0" w:line="360" w:lineRule="auto"/>
        <w:ind w:left="0" w:right="24" w:firstLine="480" w:firstLineChars="200"/>
        <w:jc w:val="both"/>
        <w:rPr>
          <w:rFonts w:hint="eastAsia" w:ascii="Calibri" w:hAnsi="Calibri" w:eastAsia="宋体" w:cs="Times New Roman"/>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86CE14A">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Calibri" w:hAnsi="Calibri" w:eastAsia="宋体" w:cs="Calibri"/>
          <w:b/>
          <w:bCs/>
          <w:kern w:val="2"/>
          <w:sz w:val="24"/>
          <w:szCs w:val="24"/>
          <w:lang w:val="en-US" w:eastAsia="zh-CN" w:bidi="ar-SA"/>
        </w:rPr>
      </w:pPr>
      <w:r>
        <w:rPr>
          <w:rFonts w:hint="default" w:ascii="Calibri" w:hAnsi="Calibri" w:eastAsia="宋体" w:cs="Calibri"/>
          <w:b/>
          <w:bCs/>
          <w:kern w:val="2"/>
          <w:sz w:val="24"/>
          <w:szCs w:val="24"/>
          <w:lang w:val="en-US" w:eastAsia="zh-CN" w:bidi="ar"/>
        </w:rPr>
        <w:t xml:space="preserve"> </w:t>
      </w:r>
    </w:p>
    <w:p w14:paraId="25964973">
      <w:pPr>
        <w:keepNext w:val="0"/>
        <w:keepLines w:val="0"/>
        <w:widowControl w:val="0"/>
        <w:suppressLineNumbers w:val="0"/>
        <w:adjustRightInd w:val="0"/>
        <w:snapToGrid w:val="0"/>
        <w:spacing w:before="0" w:beforeAutospacing="0" w:after="0" w:afterAutospacing="0" w:line="360" w:lineRule="auto"/>
        <w:ind w:left="0" w:right="24"/>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单位名称：       （</w:t>
      </w:r>
      <w:r>
        <w:rPr>
          <w:rFonts w:hint="eastAsia" w:ascii="宋体" w:hAnsi="宋体" w:cs="宋体"/>
          <w:kern w:val="2"/>
          <w:sz w:val="24"/>
          <w:szCs w:val="24"/>
          <w:lang w:val="en-US" w:eastAsia="zh-CN" w:bidi="ar"/>
        </w:rPr>
        <w:t>电子公章</w:t>
      </w:r>
      <w:r>
        <w:rPr>
          <w:rFonts w:hint="eastAsia" w:ascii="宋体" w:hAnsi="宋体" w:eastAsia="宋体" w:cs="宋体"/>
          <w:kern w:val="2"/>
          <w:sz w:val="24"/>
          <w:szCs w:val="24"/>
          <w:lang w:val="en-US" w:eastAsia="zh-CN" w:bidi="ar"/>
        </w:rPr>
        <w:t>）</w:t>
      </w:r>
    </w:p>
    <w:p w14:paraId="1EF1FD92">
      <w:pPr>
        <w:keepNext w:val="0"/>
        <w:keepLines w:val="0"/>
        <w:widowControl w:val="0"/>
        <w:suppressLineNumbers w:val="0"/>
        <w:adjustRightInd w:val="0"/>
        <w:snapToGrid w:val="0"/>
        <w:spacing w:before="0" w:beforeAutospacing="0" w:after="0" w:afterAutospacing="0" w:line="360" w:lineRule="auto"/>
        <w:ind w:left="0" w:right="24"/>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   月    日</w:t>
      </w:r>
    </w:p>
    <w:p w14:paraId="0630F165">
      <w:pPr>
        <w:spacing w:line="219" w:lineRule="auto"/>
        <w:rPr>
          <w:rFonts w:ascii="Calibri" w:hAnsi="Calibri" w:eastAsia="宋体" w:cs="Calibri"/>
          <w:color w:val="000000"/>
          <w:spacing w:val="-2"/>
          <w:kern w:val="1"/>
          <w:sz w:val="28"/>
          <w:szCs w:val="28"/>
          <w:lang w:val="en-US" w:eastAsia="zh-CN" w:bidi="ar-SA"/>
        </w:rPr>
      </w:pPr>
    </w:p>
    <w:p w14:paraId="6ADDCB8F">
      <w:pPr>
        <w:spacing w:line="219" w:lineRule="auto"/>
        <w:rPr>
          <w:rFonts w:ascii="Calibri" w:hAnsi="Calibri" w:eastAsia="宋体" w:cs="Calibri"/>
          <w:color w:val="000000"/>
          <w:spacing w:val="-2"/>
          <w:kern w:val="1"/>
          <w:sz w:val="28"/>
          <w:szCs w:val="28"/>
          <w:lang w:val="en-US" w:eastAsia="zh-CN" w:bidi="ar-SA"/>
        </w:rPr>
      </w:pPr>
    </w:p>
    <w:p w14:paraId="2BDC8B7C">
      <w:pPr>
        <w:spacing w:line="219" w:lineRule="auto"/>
        <w:rPr>
          <w:rFonts w:ascii="Calibri" w:hAnsi="Calibri" w:eastAsia="宋体" w:cs="Calibri"/>
          <w:color w:val="000000"/>
          <w:spacing w:val="-2"/>
          <w:kern w:val="1"/>
          <w:sz w:val="28"/>
          <w:szCs w:val="28"/>
          <w:lang w:val="en-US" w:eastAsia="zh-CN" w:bidi="ar-SA"/>
        </w:rPr>
      </w:pPr>
    </w:p>
    <w:p w14:paraId="5FAFC46F">
      <w:pPr>
        <w:spacing w:line="219" w:lineRule="auto"/>
        <w:rPr>
          <w:rFonts w:ascii="Calibri" w:hAnsi="Calibri" w:eastAsia="宋体" w:cs="Calibri"/>
          <w:color w:val="000000"/>
          <w:spacing w:val="-2"/>
          <w:kern w:val="1"/>
          <w:sz w:val="28"/>
          <w:szCs w:val="28"/>
          <w:lang w:val="en-US" w:eastAsia="zh-CN" w:bidi="ar-SA"/>
        </w:rPr>
      </w:pPr>
    </w:p>
    <w:p w14:paraId="028EF200">
      <w:pPr>
        <w:spacing w:line="219" w:lineRule="auto"/>
        <w:rPr>
          <w:rFonts w:ascii="Calibri" w:hAnsi="Calibri" w:eastAsia="宋体" w:cs="Calibri"/>
          <w:color w:val="000000"/>
          <w:spacing w:val="-2"/>
          <w:kern w:val="1"/>
          <w:sz w:val="28"/>
          <w:szCs w:val="28"/>
          <w:lang w:val="en-US" w:eastAsia="zh-CN" w:bidi="ar-SA"/>
        </w:rPr>
      </w:pPr>
    </w:p>
    <w:p w14:paraId="1D0503C2">
      <w:pPr>
        <w:spacing w:line="219" w:lineRule="auto"/>
        <w:rPr>
          <w:rFonts w:ascii="Calibri" w:hAnsi="Calibri" w:eastAsia="宋体" w:cs="Calibri"/>
          <w:color w:val="000000"/>
          <w:spacing w:val="-2"/>
          <w:kern w:val="1"/>
          <w:sz w:val="28"/>
          <w:szCs w:val="28"/>
          <w:lang w:val="en-US" w:eastAsia="zh-CN" w:bidi="ar-SA"/>
        </w:rPr>
      </w:pPr>
    </w:p>
    <w:p w14:paraId="1FA6CF05">
      <w:pPr>
        <w:spacing w:line="219" w:lineRule="auto"/>
        <w:rPr>
          <w:rFonts w:ascii="Calibri" w:hAnsi="Calibri" w:eastAsia="宋体" w:cs="Calibri"/>
          <w:color w:val="000000"/>
          <w:spacing w:val="-2"/>
          <w:kern w:val="1"/>
          <w:sz w:val="28"/>
          <w:szCs w:val="28"/>
          <w:lang w:val="en-US" w:eastAsia="zh-CN" w:bidi="ar-SA"/>
        </w:rPr>
      </w:pPr>
    </w:p>
    <w:p w14:paraId="5DCBEBAF">
      <w:pPr>
        <w:spacing w:line="219" w:lineRule="auto"/>
        <w:rPr>
          <w:rFonts w:ascii="Calibri" w:hAnsi="Calibri" w:eastAsia="宋体" w:cs="Calibri"/>
          <w:color w:val="000000"/>
          <w:spacing w:val="-2"/>
          <w:kern w:val="1"/>
          <w:sz w:val="28"/>
          <w:szCs w:val="28"/>
          <w:lang w:val="en-US" w:eastAsia="zh-CN" w:bidi="ar-SA"/>
        </w:rPr>
      </w:pPr>
    </w:p>
    <w:p w14:paraId="5EACE500">
      <w:pPr>
        <w:spacing w:line="219" w:lineRule="auto"/>
        <w:rPr>
          <w:rFonts w:ascii="Calibri" w:hAnsi="Calibri" w:eastAsia="宋体" w:cs="Calibri"/>
          <w:color w:val="000000"/>
          <w:spacing w:val="-2"/>
          <w:kern w:val="1"/>
          <w:sz w:val="28"/>
          <w:szCs w:val="28"/>
          <w:lang w:val="en-US" w:eastAsia="zh-CN" w:bidi="ar-SA"/>
        </w:rPr>
      </w:pPr>
    </w:p>
    <w:p w14:paraId="5319EC21">
      <w:pPr>
        <w:spacing w:line="219" w:lineRule="auto"/>
        <w:rPr>
          <w:rFonts w:ascii="Calibri" w:hAnsi="Calibri" w:eastAsia="宋体" w:cs="Calibri"/>
          <w:color w:val="000000"/>
          <w:spacing w:val="-2"/>
          <w:kern w:val="1"/>
          <w:sz w:val="28"/>
          <w:szCs w:val="28"/>
          <w:lang w:val="en-US" w:eastAsia="zh-CN" w:bidi="ar-SA"/>
        </w:rPr>
      </w:pPr>
    </w:p>
    <w:p w14:paraId="031B5209">
      <w:pPr>
        <w:spacing w:line="219" w:lineRule="auto"/>
        <w:rPr>
          <w:rFonts w:ascii="Calibri" w:hAnsi="Calibri" w:eastAsia="宋体" w:cs="Calibri"/>
          <w:color w:val="000000"/>
          <w:spacing w:val="-2"/>
          <w:kern w:val="1"/>
          <w:sz w:val="28"/>
          <w:szCs w:val="28"/>
          <w:lang w:val="en-US" w:eastAsia="zh-CN" w:bidi="ar-SA"/>
        </w:rPr>
      </w:pPr>
    </w:p>
    <w:p w14:paraId="5C1310FA">
      <w:pPr>
        <w:spacing w:line="219" w:lineRule="auto"/>
        <w:rPr>
          <w:rFonts w:ascii="Calibri" w:hAnsi="Calibri" w:eastAsia="宋体" w:cs="Calibri"/>
          <w:color w:val="000000"/>
          <w:spacing w:val="-2"/>
          <w:kern w:val="1"/>
          <w:sz w:val="28"/>
          <w:szCs w:val="28"/>
          <w:lang w:val="en-US" w:eastAsia="zh-CN" w:bidi="ar-SA"/>
        </w:rPr>
      </w:pPr>
    </w:p>
    <w:p w14:paraId="1AFFCD00">
      <w:pPr>
        <w:spacing w:line="219" w:lineRule="auto"/>
        <w:rPr>
          <w:rFonts w:ascii="Calibri" w:hAnsi="Calibri" w:eastAsia="宋体" w:cs="Calibri"/>
          <w:color w:val="000000"/>
          <w:spacing w:val="-2"/>
          <w:kern w:val="1"/>
          <w:sz w:val="28"/>
          <w:szCs w:val="28"/>
          <w:lang w:val="en-US" w:eastAsia="zh-CN" w:bidi="ar-SA"/>
        </w:rPr>
      </w:pPr>
    </w:p>
    <w:p w14:paraId="13DE8BB9">
      <w:pPr>
        <w:spacing w:line="219" w:lineRule="auto"/>
        <w:rPr>
          <w:rFonts w:ascii="Calibri" w:hAnsi="Calibri" w:eastAsia="宋体" w:cs="Calibri"/>
          <w:color w:val="000000"/>
          <w:spacing w:val="-2"/>
          <w:kern w:val="1"/>
          <w:sz w:val="28"/>
          <w:szCs w:val="28"/>
          <w:lang w:val="en-US" w:eastAsia="zh-CN" w:bidi="ar-SA"/>
        </w:rPr>
      </w:pPr>
    </w:p>
    <w:p w14:paraId="028FAFC7">
      <w:pPr>
        <w:spacing w:line="219" w:lineRule="auto"/>
        <w:rPr>
          <w:rFonts w:ascii="Calibri" w:hAnsi="Calibri" w:eastAsia="宋体" w:cs="Calibri"/>
          <w:color w:val="000000"/>
          <w:spacing w:val="-2"/>
          <w:kern w:val="1"/>
          <w:sz w:val="28"/>
          <w:szCs w:val="28"/>
          <w:lang w:val="en-US" w:eastAsia="zh-CN" w:bidi="ar-SA"/>
        </w:rPr>
      </w:pPr>
    </w:p>
    <w:p w14:paraId="25651C96">
      <w:pPr>
        <w:spacing w:line="219" w:lineRule="auto"/>
        <w:rPr>
          <w:rFonts w:ascii="Calibri" w:hAnsi="Calibri" w:eastAsia="宋体" w:cs="Calibri"/>
          <w:color w:val="000000"/>
          <w:spacing w:val="-2"/>
          <w:kern w:val="1"/>
          <w:sz w:val="28"/>
          <w:szCs w:val="28"/>
          <w:lang w:val="en-US" w:eastAsia="zh-CN" w:bidi="ar-SA"/>
        </w:rPr>
      </w:pPr>
    </w:p>
    <w:p w14:paraId="5D72F993">
      <w:pPr>
        <w:spacing w:line="219" w:lineRule="auto"/>
        <w:rPr>
          <w:rFonts w:ascii="Calibri" w:hAnsi="Calibri" w:eastAsia="宋体" w:cs="Calibri"/>
          <w:color w:val="000000"/>
          <w:spacing w:val="-2"/>
          <w:kern w:val="1"/>
          <w:sz w:val="28"/>
          <w:szCs w:val="28"/>
          <w:lang w:val="en-US" w:eastAsia="zh-CN" w:bidi="ar-SA"/>
        </w:rPr>
      </w:pPr>
    </w:p>
    <w:p w14:paraId="3A3B031B">
      <w:pPr>
        <w:spacing w:line="219" w:lineRule="auto"/>
        <w:rPr>
          <w:rFonts w:ascii="Calibri" w:hAnsi="Calibri" w:eastAsia="宋体" w:cs="Calibri"/>
          <w:color w:val="000000"/>
          <w:spacing w:val="-2"/>
          <w:kern w:val="1"/>
          <w:sz w:val="28"/>
          <w:szCs w:val="28"/>
          <w:lang w:val="en-US" w:eastAsia="zh-CN" w:bidi="ar-SA"/>
        </w:rPr>
      </w:pPr>
    </w:p>
    <w:p w14:paraId="2C7B6079">
      <w:pPr>
        <w:spacing w:line="219" w:lineRule="auto"/>
        <w:rPr>
          <w:rFonts w:ascii="Calibri" w:hAnsi="Calibri" w:eastAsia="宋体" w:cs="Calibri"/>
          <w:color w:val="000000"/>
          <w:spacing w:val="-2"/>
          <w:kern w:val="1"/>
          <w:sz w:val="28"/>
          <w:szCs w:val="28"/>
          <w:lang w:val="en-US" w:eastAsia="zh-CN" w:bidi="ar-SA"/>
        </w:rPr>
      </w:pPr>
    </w:p>
    <w:p w14:paraId="66F33F92">
      <w:pPr>
        <w:spacing w:line="219" w:lineRule="auto"/>
        <w:rPr>
          <w:rFonts w:ascii="Calibri" w:hAnsi="Calibri" w:eastAsia="宋体" w:cs="Calibri"/>
          <w:color w:val="000000"/>
          <w:spacing w:val="-2"/>
          <w:kern w:val="1"/>
          <w:sz w:val="28"/>
          <w:szCs w:val="28"/>
          <w:lang w:val="en-US" w:eastAsia="zh-CN" w:bidi="ar-SA"/>
        </w:rPr>
      </w:pPr>
    </w:p>
    <w:p w14:paraId="71CF3CE5">
      <w:pPr>
        <w:spacing w:line="219" w:lineRule="auto"/>
        <w:rPr>
          <w:rFonts w:ascii="Calibri" w:hAnsi="Calibri" w:eastAsia="宋体" w:cs="Calibri"/>
          <w:color w:val="000000"/>
          <w:spacing w:val="-2"/>
          <w:kern w:val="1"/>
          <w:sz w:val="28"/>
          <w:szCs w:val="28"/>
          <w:lang w:val="en-US" w:eastAsia="zh-CN" w:bidi="ar-SA"/>
        </w:rPr>
      </w:pPr>
    </w:p>
    <w:p w14:paraId="355E0515">
      <w:pPr>
        <w:spacing w:line="219" w:lineRule="auto"/>
        <w:rPr>
          <w:rFonts w:ascii="Calibri" w:hAnsi="Calibri" w:eastAsia="宋体" w:cs="Calibri"/>
          <w:color w:val="000000"/>
          <w:spacing w:val="-2"/>
          <w:kern w:val="1"/>
          <w:sz w:val="28"/>
          <w:szCs w:val="28"/>
          <w:lang w:val="en-US" w:eastAsia="zh-CN" w:bidi="ar-SA"/>
        </w:rPr>
      </w:pPr>
    </w:p>
    <w:p w14:paraId="0633BF78">
      <w:pPr>
        <w:spacing w:line="219" w:lineRule="auto"/>
        <w:rPr>
          <w:rFonts w:ascii="Calibri" w:hAnsi="Calibri" w:eastAsia="宋体" w:cs="Calibri"/>
          <w:color w:val="000000"/>
          <w:spacing w:val="-2"/>
          <w:kern w:val="1"/>
          <w:sz w:val="28"/>
          <w:szCs w:val="28"/>
          <w:lang w:val="en-US" w:eastAsia="zh-CN" w:bidi="ar-SA"/>
        </w:rPr>
      </w:pPr>
    </w:p>
    <w:p w14:paraId="5166725D">
      <w:pPr>
        <w:spacing w:line="219" w:lineRule="auto"/>
        <w:rPr>
          <w:rFonts w:ascii="Calibri" w:hAnsi="Calibri" w:eastAsia="宋体" w:cs="Calibri"/>
          <w:color w:val="000000"/>
          <w:spacing w:val="-2"/>
          <w:kern w:val="1"/>
          <w:sz w:val="28"/>
          <w:szCs w:val="28"/>
          <w:lang w:val="en-US" w:eastAsia="zh-CN" w:bidi="ar-SA"/>
        </w:rPr>
      </w:pPr>
    </w:p>
    <w:p w14:paraId="5051B63D">
      <w:pPr>
        <w:spacing w:line="219" w:lineRule="auto"/>
        <w:rPr>
          <w:rFonts w:ascii="Calibri" w:hAnsi="Calibri" w:eastAsia="宋体" w:cs="Calibri"/>
          <w:color w:val="000000"/>
          <w:spacing w:val="-2"/>
          <w:kern w:val="1"/>
          <w:sz w:val="28"/>
          <w:szCs w:val="28"/>
          <w:lang w:val="en-US" w:eastAsia="zh-CN" w:bidi="ar-SA"/>
        </w:rPr>
      </w:pPr>
    </w:p>
    <w:p w14:paraId="483D7118">
      <w:pPr>
        <w:spacing w:line="219" w:lineRule="auto"/>
        <w:rPr>
          <w:rFonts w:ascii="Calibri" w:hAnsi="Calibri" w:eastAsia="宋体" w:cs="Calibri"/>
          <w:color w:val="000000"/>
          <w:spacing w:val="-2"/>
          <w:kern w:val="1"/>
          <w:sz w:val="28"/>
          <w:szCs w:val="28"/>
          <w:lang w:val="en-US" w:eastAsia="zh-CN" w:bidi="ar-SA"/>
        </w:rPr>
      </w:pPr>
    </w:p>
    <w:p w14:paraId="7BCA8858">
      <w:pPr>
        <w:spacing w:line="219" w:lineRule="auto"/>
        <w:rPr>
          <w:rFonts w:ascii="Calibri" w:hAnsi="Calibri" w:eastAsia="宋体" w:cs="Calibri"/>
          <w:color w:val="000000"/>
          <w:spacing w:val="-2"/>
          <w:kern w:val="1"/>
          <w:sz w:val="28"/>
          <w:szCs w:val="28"/>
          <w:lang w:val="en-US" w:eastAsia="zh-CN" w:bidi="ar-SA"/>
        </w:rPr>
      </w:pPr>
    </w:p>
    <w:p w14:paraId="412B2B28">
      <w:pPr>
        <w:spacing w:line="219" w:lineRule="auto"/>
        <w:rPr>
          <w:rFonts w:ascii="Calibri" w:hAnsi="Calibri" w:eastAsia="宋体" w:cs="Calibri"/>
          <w:color w:val="000000"/>
          <w:spacing w:val="-2"/>
          <w:kern w:val="1"/>
          <w:sz w:val="28"/>
          <w:szCs w:val="28"/>
          <w:lang w:val="en-US" w:eastAsia="zh-CN" w:bidi="ar-SA"/>
        </w:rPr>
      </w:pPr>
    </w:p>
    <w:p w14:paraId="05080309">
      <w:pPr>
        <w:spacing w:line="219" w:lineRule="auto"/>
        <w:rPr>
          <w:rFonts w:ascii="Calibri" w:hAnsi="Calibri" w:eastAsia="宋体" w:cs="Calibri"/>
          <w:color w:val="000000"/>
          <w:spacing w:val="-2"/>
          <w:kern w:val="1"/>
          <w:sz w:val="28"/>
          <w:szCs w:val="28"/>
          <w:lang w:val="en-US" w:eastAsia="zh-CN" w:bidi="ar-SA"/>
        </w:rPr>
      </w:pPr>
    </w:p>
    <w:p w14:paraId="7A03182D">
      <w:pPr>
        <w:spacing w:line="219" w:lineRule="auto"/>
        <w:rPr>
          <w:rFonts w:ascii="Calibri" w:hAnsi="Calibri" w:eastAsia="宋体" w:cs="Calibri"/>
          <w:color w:val="000000"/>
          <w:spacing w:val="-2"/>
          <w:kern w:val="1"/>
          <w:sz w:val="28"/>
          <w:szCs w:val="28"/>
          <w:lang w:val="en-US" w:eastAsia="zh-CN" w:bidi="ar-SA"/>
        </w:rPr>
      </w:pPr>
    </w:p>
    <w:p w14:paraId="53BD8DF5">
      <w:pPr>
        <w:spacing w:line="219" w:lineRule="auto"/>
        <w:rPr>
          <w:rFonts w:ascii="Calibri" w:hAnsi="Calibri" w:eastAsia="宋体" w:cs="Calibri"/>
          <w:color w:val="000000"/>
          <w:spacing w:val="-2"/>
          <w:kern w:val="1"/>
          <w:sz w:val="28"/>
          <w:szCs w:val="28"/>
          <w:lang w:val="en-US" w:eastAsia="zh-CN" w:bidi="ar-SA"/>
        </w:rPr>
      </w:pPr>
    </w:p>
    <w:p w14:paraId="47B2A405">
      <w:pPr>
        <w:spacing w:line="219" w:lineRule="auto"/>
        <w:rPr>
          <w:rFonts w:ascii="Calibri" w:hAnsi="Calibri" w:eastAsia="宋体" w:cs="Calibri"/>
          <w:color w:val="000000"/>
          <w:spacing w:val="-2"/>
          <w:kern w:val="1"/>
          <w:sz w:val="28"/>
          <w:szCs w:val="28"/>
          <w:lang w:val="en-US" w:eastAsia="zh-CN" w:bidi="ar-SA"/>
        </w:rPr>
      </w:pPr>
    </w:p>
    <w:p w14:paraId="6254A701">
      <w:pPr>
        <w:spacing w:line="219" w:lineRule="auto"/>
        <w:rPr>
          <w:rFonts w:ascii="Calibri" w:hAnsi="Calibri" w:eastAsia="宋体" w:cs="Calibri"/>
          <w:color w:val="000000"/>
          <w:spacing w:val="-2"/>
          <w:kern w:val="1"/>
          <w:sz w:val="28"/>
          <w:szCs w:val="28"/>
          <w:lang w:val="en-US" w:eastAsia="zh-CN" w:bidi="ar-SA"/>
        </w:rPr>
      </w:pPr>
    </w:p>
    <w:p w14:paraId="0A8F115A">
      <w:pPr>
        <w:spacing w:line="219" w:lineRule="auto"/>
        <w:rPr>
          <w:rFonts w:ascii="Calibri" w:hAnsi="Calibri" w:eastAsia="宋体" w:cs="Calibri"/>
          <w:color w:val="000000"/>
          <w:spacing w:val="-2"/>
          <w:kern w:val="1"/>
          <w:sz w:val="28"/>
          <w:szCs w:val="28"/>
          <w:lang w:val="en-US" w:eastAsia="zh-CN" w:bidi="ar-SA"/>
        </w:rPr>
      </w:pPr>
    </w:p>
    <w:p w14:paraId="491AC108">
      <w:pPr>
        <w:spacing w:line="219" w:lineRule="auto"/>
        <w:rPr>
          <w:rFonts w:ascii="Calibri" w:hAnsi="Calibri" w:eastAsia="宋体" w:cs="Calibri"/>
          <w:color w:val="000000"/>
          <w:spacing w:val="-2"/>
          <w:kern w:val="1"/>
          <w:sz w:val="28"/>
          <w:szCs w:val="28"/>
          <w:lang w:val="en-US" w:eastAsia="zh-CN" w:bidi="ar-SA"/>
        </w:rPr>
      </w:pPr>
    </w:p>
    <w:p w14:paraId="75218ADE">
      <w:pPr>
        <w:pStyle w:val="9"/>
        <w:numPr>
          <w:ilvl w:val="0"/>
          <w:numId w:val="0"/>
        </w:numPr>
        <w:spacing w:before="91" w:line="219" w:lineRule="auto"/>
        <w:ind w:left="630" w:leftChars="0" w:firstLine="831" w:firstLineChars="300"/>
        <w:rPr>
          <w:rFonts w:ascii="Calibri" w:hAnsi="Calibri" w:eastAsia="宋体" w:cs="Calibri"/>
          <w:b/>
          <w:bCs/>
          <w:color w:val="000000"/>
          <w:spacing w:val="-2"/>
          <w:kern w:val="1"/>
          <w:sz w:val="28"/>
          <w:szCs w:val="28"/>
          <w:lang w:val="en-US" w:eastAsia="zh-CN" w:bidi="ar-SA"/>
        </w:rPr>
      </w:pPr>
      <w:r>
        <w:rPr>
          <w:rFonts w:hint="eastAsia" w:eastAsia="宋体" w:cs="Calibri"/>
          <w:b/>
          <w:bCs/>
          <w:color w:val="000000"/>
          <w:spacing w:val="-2"/>
          <w:kern w:val="1"/>
          <w:sz w:val="28"/>
          <w:szCs w:val="28"/>
          <w:lang w:val="en-US" w:eastAsia="zh-CN" w:bidi="ar-SA"/>
        </w:rPr>
        <w:t>2、</w:t>
      </w:r>
      <w:r>
        <w:rPr>
          <w:rFonts w:ascii="Calibri" w:hAnsi="Calibri" w:eastAsia="宋体" w:cs="Calibri"/>
          <w:b/>
          <w:bCs/>
          <w:color w:val="000000"/>
          <w:spacing w:val="-2"/>
          <w:kern w:val="1"/>
          <w:sz w:val="28"/>
          <w:szCs w:val="28"/>
          <w:lang w:val="en-US" w:eastAsia="zh-CN" w:bidi="ar-SA"/>
        </w:rPr>
        <w:t>在政府采购活动中查询及使用信用记录</w:t>
      </w:r>
    </w:p>
    <w:p w14:paraId="3CC3502C">
      <w:pPr>
        <w:pStyle w:val="9"/>
        <w:widowControl w:val="0"/>
        <w:numPr>
          <w:ilvl w:val="0"/>
          <w:numId w:val="0"/>
        </w:numPr>
        <w:spacing w:before="91" w:after="120" w:line="219" w:lineRule="auto"/>
        <w:jc w:val="both"/>
        <w:rPr>
          <w:rFonts w:ascii="Calibri" w:hAnsi="Calibri" w:eastAsia="宋体" w:cs="Calibri"/>
          <w:color w:val="000000"/>
          <w:spacing w:val="-2"/>
          <w:kern w:val="1"/>
          <w:sz w:val="28"/>
          <w:szCs w:val="28"/>
          <w:lang w:val="en-US" w:eastAsia="zh-CN" w:bidi="ar-SA"/>
        </w:rPr>
      </w:pPr>
    </w:p>
    <w:p w14:paraId="7B0E28DA">
      <w:pPr>
        <w:pStyle w:val="9"/>
        <w:spacing w:before="78" w:line="360" w:lineRule="auto"/>
        <w:ind w:left="21" w:firstLine="472" w:firstLineChars="200"/>
        <w:rPr>
          <w:rFonts w:hint="eastAsia" w:ascii="宋体" w:hAnsi="宋体" w:eastAsia="宋体" w:cs="宋体"/>
          <w:b w:val="0"/>
          <w:bCs w:val="0"/>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在“信用中国”网站（www.creditchina.gov.cn）、中国政府采购网（www.ccgp.gov.cn）等渠道的主体信用记录，以采购代理机构于递交响应文件截止日当天在“信用中国”网站（www.creditchina.gov.cn）及中国政府采购网(www.ccgp.gov.cn)查询结果为准，</w:t>
      </w:r>
      <w:r>
        <w:rPr>
          <w:rFonts w:hint="eastAsia" w:ascii="宋体" w:hAnsi="宋体" w:eastAsia="宋体" w:cs="宋体"/>
          <w:b w:val="0"/>
          <w:bCs w:val="0"/>
          <w:color w:val="000000"/>
          <w:spacing w:val="-2"/>
          <w:kern w:val="1"/>
          <w:sz w:val="24"/>
          <w:szCs w:val="24"/>
          <w:lang w:val="en-US" w:eastAsia="zh-CN" w:bidi="ar-SA"/>
        </w:rPr>
        <w:t>如相关失信记录已失效，供应商需提供相关证明资料。</w:t>
      </w:r>
    </w:p>
    <w:p w14:paraId="7C01CAF3">
      <w:pPr>
        <w:pStyle w:val="9"/>
        <w:spacing w:before="78" w:line="219" w:lineRule="auto"/>
        <w:ind w:left="21" w:firstLine="552" w:firstLineChars="200"/>
        <w:rPr>
          <w:rFonts w:ascii="Calibri" w:hAnsi="Calibri" w:eastAsia="宋体" w:cs="Calibri"/>
          <w:color w:val="000000"/>
          <w:spacing w:val="-2"/>
          <w:kern w:val="1"/>
          <w:sz w:val="28"/>
          <w:szCs w:val="28"/>
          <w:lang w:val="en-US" w:eastAsia="zh-CN" w:bidi="ar-SA"/>
        </w:rPr>
      </w:pPr>
    </w:p>
    <w:p w14:paraId="52BF2AAE">
      <w:pPr>
        <w:spacing w:line="218" w:lineRule="auto"/>
        <w:rPr>
          <w:rFonts w:ascii="Calibri" w:hAnsi="Calibri" w:eastAsia="宋体" w:cs="Calibri"/>
          <w:color w:val="000000"/>
          <w:spacing w:val="-2"/>
          <w:kern w:val="1"/>
          <w:sz w:val="28"/>
          <w:szCs w:val="28"/>
          <w:lang w:val="en-US" w:eastAsia="zh-CN" w:bidi="ar-SA"/>
        </w:rPr>
      </w:pPr>
    </w:p>
    <w:p w14:paraId="3ACB21F3">
      <w:pPr>
        <w:spacing w:line="218" w:lineRule="auto"/>
        <w:rPr>
          <w:rFonts w:ascii="Calibri" w:hAnsi="Calibri" w:eastAsia="宋体" w:cs="Calibri"/>
          <w:color w:val="000000"/>
          <w:spacing w:val="-2"/>
          <w:kern w:val="1"/>
          <w:sz w:val="28"/>
          <w:szCs w:val="28"/>
          <w:lang w:val="en-US" w:eastAsia="zh-CN" w:bidi="ar-SA"/>
        </w:rPr>
      </w:pPr>
    </w:p>
    <w:p w14:paraId="70AA2741">
      <w:pPr>
        <w:spacing w:line="218" w:lineRule="auto"/>
        <w:rPr>
          <w:rFonts w:ascii="Calibri" w:hAnsi="Calibri" w:eastAsia="宋体" w:cs="Calibri"/>
          <w:color w:val="000000"/>
          <w:spacing w:val="-2"/>
          <w:kern w:val="1"/>
          <w:sz w:val="28"/>
          <w:szCs w:val="28"/>
          <w:lang w:val="en-US" w:eastAsia="zh-CN" w:bidi="ar-SA"/>
        </w:rPr>
      </w:pPr>
    </w:p>
    <w:p w14:paraId="718FE407">
      <w:pPr>
        <w:spacing w:line="218" w:lineRule="auto"/>
        <w:rPr>
          <w:rFonts w:ascii="Calibri" w:hAnsi="Calibri" w:eastAsia="宋体" w:cs="Calibri"/>
          <w:color w:val="000000"/>
          <w:spacing w:val="-2"/>
          <w:kern w:val="1"/>
          <w:sz w:val="28"/>
          <w:szCs w:val="28"/>
          <w:lang w:val="en-US" w:eastAsia="zh-CN" w:bidi="ar-SA"/>
        </w:rPr>
      </w:pPr>
    </w:p>
    <w:p w14:paraId="70ED3750">
      <w:pPr>
        <w:spacing w:line="218" w:lineRule="auto"/>
        <w:rPr>
          <w:rFonts w:ascii="Calibri" w:hAnsi="Calibri" w:eastAsia="宋体" w:cs="Calibri"/>
          <w:color w:val="000000"/>
          <w:spacing w:val="-2"/>
          <w:kern w:val="1"/>
          <w:sz w:val="28"/>
          <w:szCs w:val="28"/>
          <w:lang w:val="en-US" w:eastAsia="zh-CN" w:bidi="ar-SA"/>
        </w:rPr>
      </w:pPr>
    </w:p>
    <w:p w14:paraId="0BA614F6">
      <w:pPr>
        <w:spacing w:line="218" w:lineRule="auto"/>
        <w:rPr>
          <w:rFonts w:ascii="Calibri" w:hAnsi="Calibri" w:eastAsia="宋体" w:cs="Calibri"/>
          <w:color w:val="000000"/>
          <w:spacing w:val="-2"/>
          <w:kern w:val="1"/>
          <w:sz w:val="28"/>
          <w:szCs w:val="28"/>
          <w:lang w:val="en-US" w:eastAsia="zh-CN" w:bidi="ar-SA"/>
        </w:rPr>
      </w:pPr>
    </w:p>
    <w:p w14:paraId="3314E95B">
      <w:pPr>
        <w:spacing w:line="218" w:lineRule="auto"/>
        <w:rPr>
          <w:rFonts w:ascii="Calibri" w:hAnsi="Calibri" w:eastAsia="宋体" w:cs="Calibri"/>
          <w:color w:val="000000"/>
          <w:spacing w:val="-2"/>
          <w:kern w:val="1"/>
          <w:sz w:val="28"/>
          <w:szCs w:val="28"/>
          <w:lang w:val="en-US" w:eastAsia="zh-CN" w:bidi="ar-SA"/>
        </w:rPr>
      </w:pPr>
    </w:p>
    <w:p w14:paraId="1D434ADE">
      <w:pPr>
        <w:spacing w:line="218" w:lineRule="auto"/>
        <w:rPr>
          <w:rFonts w:ascii="Calibri" w:hAnsi="Calibri" w:eastAsia="宋体" w:cs="Calibri"/>
          <w:color w:val="000000"/>
          <w:spacing w:val="-2"/>
          <w:kern w:val="1"/>
          <w:sz w:val="28"/>
          <w:szCs w:val="28"/>
          <w:lang w:val="en-US" w:eastAsia="zh-CN" w:bidi="ar-SA"/>
        </w:rPr>
      </w:pPr>
    </w:p>
    <w:p w14:paraId="0130904E">
      <w:pPr>
        <w:spacing w:line="218" w:lineRule="auto"/>
        <w:rPr>
          <w:rFonts w:ascii="Calibri" w:hAnsi="Calibri" w:eastAsia="宋体" w:cs="Calibri"/>
          <w:color w:val="000000"/>
          <w:spacing w:val="-2"/>
          <w:kern w:val="1"/>
          <w:sz w:val="28"/>
          <w:szCs w:val="28"/>
          <w:lang w:val="en-US" w:eastAsia="zh-CN" w:bidi="ar-SA"/>
        </w:rPr>
      </w:pPr>
    </w:p>
    <w:p w14:paraId="03A8EA9B">
      <w:pPr>
        <w:spacing w:line="218" w:lineRule="auto"/>
        <w:rPr>
          <w:rFonts w:ascii="Calibri" w:hAnsi="Calibri" w:eastAsia="宋体" w:cs="Calibri"/>
          <w:color w:val="000000"/>
          <w:spacing w:val="-2"/>
          <w:kern w:val="1"/>
          <w:sz w:val="28"/>
          <w:szCs w:val="28"/>
          <w:lang w:val="en-US" w:eastAsia="zh-CN" w:bidi="ar-SA"/>
        </w:rPr>
      </w:pPr>
    </w:p>
    <w:p w14:paraId="0FF84B25">
      <w:pPr>
        <w:spacing w:line="218" w:lineRule="auto"/>
        <w:rPr>
          <w:rFonts w:ascii="Calibri" w:hAnsi="Calibri" w:eastAsia="宋体" w:cs="Calibri"/>
          <w:color w:val="000000"/>
          <w:spacing w:val="-2"/>
          <w:kern w:val="1"/>
          <w:sz w:val="28"/>
          <w:szCs w:val="28"/>
          <w:lang w:val="en-US" w:eastAsia="zh-CN" w:bidi="ar-SA"/>
        </w:rPr>
      </w:pPr>
    </w:p>
    <w:p w14:paraId="599BEBD5">
      <w:pPr>
        <w:spacing w:line="218" w:lineRule="auto"/>
        <w:rPr>
          <w:rFonts w:ascii="Calibri" w:hAnsi="Calibri" w:eastAsia="宋体" w:cs="Calibri"/>
          <w:color w:val="000000"/>
          <w:spacing w:val="-2"/>
          <w:kern w:val="1"/>
          <w:sz w:val="28"/>
          <w:szCs w:val="28"/>
          <w:lang w:val="en-US" w:eastAsia="zh-CN" w:bidi="ar-SA"/>
        </w:rPr>
      </w:pPr>
    </w:p>
    <w:p w14:paraId="56908479">
      <w:pPr>
        <w:spacing w:line="218" w:lineRule="auto"/>
        <w:rPr>
          <w:rFonts w:ascii="Calibri" w:hAnsi="Calibri" w:eastAsia="宋体" w:cs="Calibri"/>
          <w:color w:val="000000"/>
          <w:spacing w:val="-2"/>
          <w:kern w:val="1"/>
          <w:sz w:val="28"/>
          <w:szCs w:val="28"/>
          <w:lang w:val="en-US" w:eastAsia="zh-CN" w:bidi="ar-SA"/>
        </w:rPr>
      </w:pPr>
    </w:p>
    <w:p w14:paraId="35539849">
      <w:pPr>
        <w:spacing w:line="218" w:lineRule="auto"/>
        <w:rPr>
          <w:rFonts w:ascii="Calibri" w:hAnsi="Calibri" w:eastAsia="宋体" w:cs="Calibri"/>
          <w:color w:val="000000"/>
          <w:spacing w:val="-2"/>
          <w:kern w:val="1"/>
          <w:sz w:val="28"/>
          <w:szCs w:val="28"/>
          <w:lang w:val="en-US" w:eastAsia="zh-CN" w:bidi="ar-SA"/>
        </w:rPr>
      </w:pPr>
    </w:p>
    <w:p w14:paraId="45447D31">
      <w:pPr>
        <w:spacing w:line="218" w:lineRule="auto"/>
        <w:rPr>
          <w:rFonts w:ascii="Calibri" w:hAnsi="Calibri" w:eastAsia="宋体" w:cs="Calibri"/>
          <w:color w:val="000000"/>
          <w:spacing w:val="-2"/>
          <w:kern w:val="1"/>
          <w:sz w:val="28"/>
          <w:szCs w:val="28"/>
          <w:lang w:val="en-US" w:eastAsia="zh-CN" w:bidi="ar-SA"/>
        </w:rPr>
      </w:pPr>
    </w:p>
    <w:p w14:paraId="6C55DA1C">
      <w:pPr>
        <w:spacing w:line="218" w:lineRule="auto"/>
        <w:rPr>
          <w:rFonts w:ascii="Calibri" w:hAnsi="Calibri" w:eastAsia="宋体" w:cs="Calibri"/>
          <w:color w:val="000000"/>
          <w:spacing w:val="-2"/>
          <w:kern w:val="1"/>
          <w:sz w:val="28"/>
          <w:szCs w:val="28"/>
          <w:lang w:val="en-US" w:eastAsia="zh-CN" w:bidi="ar-SA"/>
        </w:rPr>
      </w:pPr>
    </w:p>
    <w:p w14:paraId="28DE7585">
      <w:pPr>
        <w:spacing w:line="218" w:lineRule="auto"/>
        <w:rPr>
          <w:rFonts w:ascii="Calibri" w:hAnsi="Calibri" w:eastAsia="宋体" w:cs="Calibri"/>
          <w:color w:val="000000"/>
          <w:spacing w:val="-2"/>
          <w:kern w:val="1"/>
          <w:sz w:val="28"/>
          <w:szCs w:val="28"/>
          <w:lang w:val="en-US" w:eastAsia="zh-CN" w:bidi="ar-SA"/>
        </w:rPr>
      </w:pPr>
    </w:p>
    <w:p w14:paraId="1FF0B16D">
      <w:pPr>
        <w:spacing w:line="218" w:lineRule="auto"/>
        <w:rPr>
          <w:rFonts w:ascii="Calibri" w:hAnsi="Calibri" w:eastAsia="宋体" w:cs="Calibri"/>
          <w:color w:val="000000"/>
          <w:spacing w:val="-2"/>
          <w:kern w:val="1"/>
          <w:sz w:val="28"/>
          <w:szCs w:val="28"/>
          <w:lang w:val="en-US" w:eastAsia="zh-CN" w:bidi="ar-SA"/>
        </w:rPr>
      </w:pPr>
    </w:p>
    <w:p w14:paraId="1735A201">
      <w:pPr>
        <w:spacing w:line="218" w:lineRule="auto"/>
        <w:rPr>
          <w:rFonts w:ascii="Calibri" w:hAnsi="Calibri" w:eastAsia="宋体" w:cs="Calibri"/>
          <w:color w:val="000000"/>
          <w:spacing w:val="-2"/>
          <w:kern w:val="1"/>
          <w:sz w:val="28"/>
          <w:szCs w:val="28"/>
          <w:lang w:val="en-US" w:eastAsia="zh-CN" w:bidi="ar-SA"/>
        </w:rPr>
      </w:pPr>
    </w:p>
    <w:p w14:paraId="32D8DF95">
      <w:pPr>
        <w:spacing w:line="218" w:lineRule="auto"/>
        <w:rPr>
          <w:rFonts w:ascii="Calibri" w:hAnsi="Calibri" w:eastAsia="宋体" w:cs="Calibri"/>
          <w:color w:val="000000"/>
          <w:spacing w:val="-2"/>
          <w:kern w:val="1"/>
          <w:sz w:val="28"/>
          <w:szCs w:val="28"/>
          <w:lang w:val="en-US" w:eastAsia="zh-CN" w:bidi="ar-SA"/>
        </w:rPr>
      </w:pPr>
    </w:p>
    <w:p w14:paraId="42CD8DDC">
      <w:pPr>
        <w:spacing w:line="218" w:lineRule="auto"/>
        <w:rPr>
          <w:rFonts w:ascii="Calibri" w:hAnsi="Calibri" w:eastAsia="宋体" w:cs="Calibri"/>
          <w:color w:val="000000"/>
          <w:spacing w:val="-2"/>
          <w:kern w:val="1"/>
          <w:sz w:val="28"/>
          <w:szCs w:val="28"/>
          <w:lang w:val="en-US" w:eastAsia="zh-CN" w:bidi="ar-SA"/>
        </w:rPr>
      </w:pPr>
    </w:p>
    <w:p w14:paraId="73AE292F">
      <w:pPr>
        <w:spacing w:line="218" w:lineRule="auto"/>
        <w:rPr>
          <w:rFonts w:ascii="Calibri" w:hAnsi="Calibri" w:eastAsia="宋体" w:cs="Calibri"/>
          <w:color w:val="000000"/>
          <w:spacing w:val="-2"/>
          <w:kern w:val="1"/>
          <w:sz w:val="28"/>
          <w:szCs w:val="28"/>
          <w:lang w:val="en-US" w:eastAsia="zh-CN" w:bidi="ar-SA"/>
        </w:rPr>
      </w:pPr>
    </w:p>
    <w:p w14:paraId="236AEF98">
      <w:pPr>
        <w:spacing w:line="218" w:lineRule="auto"/>
        <w:rPr>
          <w:rFonts w:ascii="Calibri" w:hAnsi="Calibri" w:eastAsia="宋体" w:cs="Calibri"/>
          <w:color w:val="000000"/>
          <w:spacing w:val="-2"/>
          <w:kern w:val="1"/>
          <w:sz w:val="28"/>
          <w:szCs w:val="28"/>
          <w:lang w:val="en-US" w:eastAsia="zh-CN" w:bidi="ar-SA"/>
        </w:rPr>
      </w:pPr>
    </w:p>
    <w:p w14:paraId="1A1F2DA0">
      <w:pPr>
        <w:spacing w:line="218" w:lineRule="auto"/>
        <w:rPr>
          <w:rFonts w:ascii="Calibri" w:hAnsi="Calibri" w:eastAsia="宋体" w:cs="Calibri"/>
          <w:color w:val="000000"/>
          <w:spacing w:val="-2"/>
          <w:kern w:val="1"/>
          <w:sz w:val="28"/>
          <w:szCs w:val="28"/>
          <w:lang w:val="en-US" w:eastAsia="zh-CN" w:bidi="ar-SA"/>
        </w:rPr>
      </w:pPr>
    </w:p>
    <w:p w14:paraId="190FDF1B">
      <w:pPr>
        <w:spacing w:line="218" w:lineRule="auto"/>
        <w:rPr>
          <w:rFonts w:ascii="Calibri" w:hAnsi="Calibri" w:eastAsia="宋体" w:cs="Calibri"/>
          <w:color w:val="000000"/>
          <w:spacing w:val="-2"/>
          <w:kern w:val="1"/>
          <w:sz w:val="28"/>
          <w:szCs w:val="28"/>
          <w:lang w:val="en-US" w:eastAsia="zh-CN" w:bidi="ar-SA"/>
        </w:rPr>
      </w:pPr>
    </w:p>
    <w:p w14:paraId="66602F3E">
      <w:pPr>
        <w:spacing w:line="218" w:lineRule="auto"/>
        <w:rPr>
          <w:rFonts w:ascii="Calibri" w:hAnsi="Calibri" w:eastAsia="宋体" w:cs="Calibri"/>
          <w:color w:val="000000"/>
          <w:spacing w:val="-2"/>
          <w:kern w:val="1"/>
          <w:sz w:val="28"/>
          <w:szCs w:val="28"/>
          <w:lang w:val="en-US" w:eastAsia="zh-CN" w:bidi="ar-SA"/>
        </w:rPr>
      </w:pPr>
    </w:p>
    <w:p w14:paraId="343DBF97">
      <w:pPr>
        <w:spacing w:line="218" w:lineRule="auto"/>
        <w:rPr>
          <w:rFonts w:ascii="Calibri" w:hAnsi="Calibri" w:eastAsia="宋体" w:cs="Calibri"/>
          <w:color w:val="000000"/>
          <w:spacing w:val="-2"/>
          <w:kern w:val="1"/>
          <w:sz w:val="28"/>
          <w:szCs w:val="28"/>
          <w:lang w:val="en-US" w:eastAsia="zh-CN" w:bidi="ar-SA"/>
        </w:rPr>
      </w:pPr>
    </w:p>
    <w:p w14:paraId="615FD755">
      <w:pPr>
        <w:spacing w:line="218" w:lineRule="auto"/>
        <w:rPr>
          <w:rFonts w:ascii="Calibri" w:hAnsi="Calibri" w:eastAsia="宋体" w:cs="Calibri"/>
          <w:color w:val="000000"/>
          <w:spacing w:val="-2"/>
          <w:kern w:val="1"/>
          <w:sz w:val="28"/>
          <w:szCs w:val="28"/>
          <w:lang w:val="en-US" w:eastAsia="zh-CN" w:bidi="ar-SA"/>
        </w:rPr>
      </w:pPr>
    </w:p>
    <w:p w14:paraId="6BA8C309">
      <w:pPr>
        <w:spacing w:line="218" w:lineRule="auto"/>
        <w:rPr>
          <w:rFonts w:ascii="Calibri" w:hAnsi="Calibri" w:eastAsia="宋体" w:cs="Calibri"/>
          <w:color w:val="000000"/>
          <w:spacing w:val="-2"/>
          <w:kern w:val="1"/>
          <w:sz w:val="28"/>
          <w:szCs w:val="28"/>
          <w:lang w:val="en-US" w:eastAsia="zh-CN" w:bidi="ar-SA"/>
        </w:rPr>
      </w:pPr>
    </w:p>
    <w:p w14:paraId="5C91D5F0">
      <w:pPr>
        <w:spacing w:line="218" w:lineRule="auto"/>
        <w:rPr>
          <w:rFonts w:ascii="Calibri" w:hAnsi="Calibri" w:eastAsia="宋体" w:cs="Calibri"/>
          <w:color w:val="000000"/>
          <w:spacing w:val="-2"/>
          <w:kern w:val="1"/>
          <w:sz w:val="28"/>
          <w:szCs w:val="28"/>
          <w:lang w:val="en-US" w:eastAsia="zh-CN" w:bidi="ar-SA"/>
        </w:rPr>
      </w:pPr>
    </w:p>
    <w:p w14:paraId="48C157B2">
      <w:pPr>
        <w:spacing w:line="218" w:lineRule="auto"/>
        <w:rPr>
          <w:rFonts w:ascii="Calibri" w:hAnsi="Calibri" w:eastAsia="宋体" w:cs="Calibri"/>
          <w:color w:val="000000"/>
          <w:spacing w:val="-2"/>
          <w:kern w:val="1"/>
          <w:sz w:val="28"/>
          <w:szCs w:val="28"/>
          <w:lang w:val="en-US" w:eastAsia="zh-CN" w:bidi="ar-SA"/>
        </w:rPr>
      </w:pPr>
    </w:p>
    <w:p w14:paraId="0BAB83C5">
      <w:pPr>
        <w:spacing w:line="218" w:lineRule="auto"/>
        <w:rPr>
          <w:rFonts w:ascii="Calibri" w:hAnsi="Calibri" w:eastAsia="宋体" w:cs="Calibri"/>
          <w:color w:val="000000"/>
          <w:spacing w:val="-2"/>
          <w:kern w:val="1"/>
          <w:sz w:val="28"/>
          <w:szCs w:val="28"/>
          <w:lang w:val="en-US" w:eastAsia="zh-CN" w:bidi="ar-SA"/>
        </w:rPr>
      </w:pPr>
    </w:p>
    <w:p w14:paraId="606BBFB1">
      <w:pPr>
        <w:keepNext w:val="0"/>
        <w:keepLines w:val="0"/>
        <w:widowControl/>
        <w:numPr>
          <w:ilvl w:val="0"/>
          <w:numId w:val="0"/>
        </w:numPr>
        <w:suppressLineNumbers w:val="0"/>
        <w:jc w:val="left"/>
        <w:rPr>
          <w:rFonts w:ascii="Calibri" w:hAnsi="Calibri" w:eastAsia="宋体" w:cs="Calibri"/>
          <w:b w:val="0"/>
          <w:bCs w:val="0"/>
          <w:color w:val="000000"/>
          <w:spacing w:val="-2"/>
          <w:kern w:val="1"/>
          <w:sz w:val="28"/>
          <w:szCs w:val="28"/>
          <w:lang w:val="en-US" w:eastAsia="zh-CN" w:bidi="ar-SA"/>
        </w:rPr>
      </w:pPr>
    </w:p>
    <w:p w14:paraId="6B79A13B">
      <w:pPr>
        <w:keepNext w:val="0"/>
        <w:keepLines w:val="0"/>
        <w:widowControl/>
        <w:suppressLineNumbers w:val="0"/>
        <w:jc w:val="center"/>
        <w:rPr>
          <w:rFonts w:hint="eastAsia" w:ascii="Calibri" w:hAnsi="Calibri" w:eastAsia="宋体" w:cs="Calibri"/>
          <w:b/>
          <w:bCs/>
          <w:color w:val="000000"/>
          <w:spacing w:val="-2"/>
          <w:kern w:val="1"/>
          <w:sz w:val="28"/>
          <w:szCs w:val="28"/>
          <w:lang w:val="en-US" w:eastAsia="zh-CN" w:bidi="ar-SA"/>
        </w:rPr>
      </w:pPr>
      <w:r>
        <w:rPr>
          <w:rFonts w:hint="eastAsia" w:eastAsia="宋体" w:cs="Calibri"/>
          <w:b/>
          <w:bCs/>
          <w:color w:val="000000"/>
          <w:spacing w:val="-2"/>
          <w:kern w:val="1"/>
          <w:sz w:val="28"/>
          <w:szCs w:val="28"/>
          <w:lang w:val="en-US" w:eastAsia="zh-CN" w:bidi="ar-SA"/>
        </w:rPr>
        <w:t>3、</w:t>
      </w:r>
      <w:r>
        <w:rPr>
          <w:rFonts w:hint="eastAsia" w:ascii="Calibri" w:hAnsi="Calibri" w:eastAsia="宋体" w:cs="Calibri"/>
          <w:b/>
          <w:bCs/>
          <w:color w:val="000000"/>
          <w:spacing w:val="-2"/>
          <w:kern w:val="1"/>
          <w:sz w:val="28"/>
          <w:szCs w:val="28"/>
          <w:lang w:val="en-US" w:eastAsia="zh-CN" w:bidi="ar-SA"/>
        </w:rPr>
        <w:t>不参与围标串标承诺书</w:t>
      </w:r>
    </w:p>
    <w:p w14:paraId="392A74DB">
      <w:pPr>
        <w:keepNext w:val="0"/>
        <w:keepLines w:val="0"/>
        <w:widowControl/>
        <w:suppressLineNumbers w:val="0"/>
        <w:jc w:val="center"/>
        <w:rPr>
          <w:rFonts w:hint="eastAsia" w:ascii="Calibri" w:hAnsi="Calibri" w:eastAsia="宋体" w:cs="Calibri"/>
          <w:color w:val="000000"/>
          <w:spacing w:val="-2"/>
          <w:kern w:val="1"/>
          <w:sz w:val="28"/>
          <w:szCs w:val="28"/>
          <w:lang w:val="en-US" w:eastAsia="zh-CN" w:bidi="ar-SA"/>
        </w:rPr>
      </w:pPr>
    </w:p>
    <w:p w14:paraId="76345585">
      <w:pPr>
        <w:keepNext w:val="0"/>
        <w:keepLines w:val="0"/>
        <w:widowControl/>
        <w:suppressLineNumbers w:val="0"/>
        <w:jc w:val="center"/>
        <w:rPr>
          <w:rFonts w:hint="eastAsia" w:ascii="Calibri" w:hAnsi="Calibri" w:eastAsia="宋体" w:cs="Calibri"/>
          <w:color w:val="000000"/>
          <w:spacing w:val="-2"/>
          <w:kern w:val="1"/>
          <w:sz w:val="28"/>
          <w:szCs w:val="28"/>
          <w:lang w:val="en-US" w:eastAsia="zh-CN" w:bidi="ar-SA"/>
        </w:rPr>
      </w:pPr>
    </w:p>
    <w:p w14:paraId="392DAB15">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本人作为</w:t>
      </w:r>
      <w:r>
        <w:rPr>
          <w:rFonts w:hint="eastAsia" w:eastAsia="宋体" w:cs="Calibri"/>
          <w:color w:val="000000"/>
          <w:spacing w:val="-2"/>
          <w:kern w:val="1"/>
          <w:sz w:val="24"/>
          <w:szCs w:val="24"/>
          <w:u w:val="single"/>
          <w:lang w:val="en-US" w:eastAsia="zh-CN" w:bidi="ar-SA"/>
        </w:rPr>
        <w:t xml:space="preserve">                </w:t>
      </w:r>
      <w:r>
        <w:rPr>
          <w:rFonts w:hint="eastAsia" w:ascii="Calibri" w:hAnsi="Calibri" w:eastAsia="宋体" w:cs="Calibri"/>
          <w:color w:val="000000"/>
          <w:spacing w:val="-2"/>
          <w:kern w:val="1"/>
          <w:sz w:val="24"/>
          <w:szCs w:val="24"/>
          <w:u w:val="single"/>
          <w:lang w:val="en-US" w:eastAsia="zh-CN" w:bidi="ar-SA"/>
        </w:rPr>
        <w:t>（单位名称）</w:t>
      </w:r>
      <w:r>
        <w:rPr>
          <w:rFonts w:hint="eastAsia" w:ascii="Calibri" w:hAnsi="Calibri" w:eastAsia="宋体" w:cs="Calibri"/>
          <w:color w:val="000000"/>
          <w:spacing w:val="-2"/>
          <w:kern w:val="1"/>
          <w:sz w:val="24"/>
          <w:szCs w:val="24"/>
          <w:lang w:val="en-US" w:eastAsia="zh-CN" w:bidi="ar-SA"/>
        </w:rPr>
        <w:t xml:space="preserve">的法人，清楚知晓我公司本项目投标活动，对以下事项作出承诺： </w:t>
      </w:r>
    </w:p>
    <w:p w14:paraId="5C74F263">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一、我单位遵循公开、公平、公正、诚实守信的原则，依法依规参与本项目竞标。 </w:t>
      </w:r>
    </w:p>
    <w:p w14:paraId="5594A7CB">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二、我单位在本项目招标投标活动中，未参与围标串标。 </w:t>
      </w:r>
    </w:p>
    <w:p w14:paraId="532AAFFA">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三、我单位如被查实在本项目招标投标活动中存在围标串标的，递交投标文 件行为作为实施串通投标违法行为的关键环节，本人承担直接责任人员法律责任，接受相应行政处罚和失信惩戒。 </w:t>
      </w:r>
    </w:p>
    <w:p w14:paraId="04F356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p>
    <w:p w14:paraId="731D95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项目编号：</w:t>
      </w:r>
    </w:p>
    <w:p w14:paraId="0F85B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 </w:t>
      </w:r>
    </w:p>
    <w:p w14:paraId="21D7E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p>
    <w:p w14:paraId="1E4CA7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p>
    <w:p w14:paraId="7C242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供应商单位名称：</w:t>
      </w:r>
    </w:p>
    <w:p w14:paraId="320EDC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 </w:t>
      </w:r>
    </w:p>
    <w:p w14:paraId="08DA2C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供应商法定代表人（电子签名</w:t>
      </w:r>
      <w:r>
        <w:rPr>
          <w:rFonts w:hint="eastAsia" w:ascii="Calibri" w:hAnsi="Calibri" w:cs="Calibri"/>
          <w:color w:val="000000"/>
          <w:spacing w:val="-2"/>
          <w:kern w:val="1"/>
          <w:sz w:val="24"/>
          <w:szCs w:val="24"/>
          <w:lang w:val="en-US" w:eastAsia="zh-CN" w:bidi="ar-SA"/>
        </w:rPr>
        <w:t>或盖章</w:t>
      </w:r>
      <w:r>
        <w:rPr>
          <w:rFonts w:hint="eastAsia" w:ascii="Calibri" w:hAnsi="Calibri" w:eastAsia="宋体" w:cs="Calibri"/>
          <w:color w:val="000000"/>
          <w:spacing w:val="-2"/>
          <w:kern w:val="1"/>
          <w:sz w:val="24"/>
          <w:szCs w:val="24"/>
          <w:lang w:val="en-US" w:eastAsia="zh-CN" w:bidi="ar-SA"/>
        </w:rPr>
        <w:t xml:space="preserve">）： </w:t>
      </w:r>
    </w:p>
    <w:p w14:paraId="3B55375D">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33EF5838">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1E4934E0">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4F2F2BA9">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1B82A2DE">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27D6E37E">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7FF7B53A">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140F0C37">
      <w:pPr>
        <w:keepNext w:val="0"/>
        <w:keepLines w:val="0"/>
        <w:widowControl/>
        <w:suppressLineNumbers w:val="0"/>
        <w:ind w:firstLine="5520" w:firstLineChars="2000"/>
        <w:jc w:val="left"/>
        <w:rPr>
          <w:rFonts w:hint="eastAsia" w:ascii="Calibri" w:hAnsi="Calibri" w:eastAsia="宋体" w:cs="Calibri"/>
          <w:color w:val="000000"/>
          <w:spacing w:val="-2"/>
          <w:kern w:val="1"/>
          <w:sz w:val="28"/>
          <w:szCs w:val="28"/>
          <w:lang w:val="en-US" w:eastAsia="zh-CN" w:bidi="ar-SA"/>
        </w:rPr>
      </w:pPr>
      <w:r>
        <w:rPr>
          <w:rFonts w:hint="eastAsia" w:ascii="Calibri" w:hAnsi="Calibri" w:eastAsia="宋体" w:cs="Calibri"/>
          <w:color w:val="000000"/>
          <w:spacing w:val="-2"/>
          <w:kern w:val="1"/>
          <w:sz w:val="28"/>
          <w:szCs w:val="28"/>
          <w:lang w:val="en-US" w:eastAsia="zh-CN" w:bidi="ar-SA"/>
        </w:rPr>
        <w:t>供应商（电子</w:t>
      </w:r>
      <w:r>
        <w:rPr>
          <w:rFonts w:hint="eastAsia" w:ascii="Calibri" w:hAnsi="Calibri" w:cs="Calibri"/>
          <w:color w:val="000000"/>
          <w:spacing w:val="-2"/>
          <w:kern w:val="1"/>
          <w:sz w:val="28"/>
          <w:szCs w:val="28"/>
          <w:lang w:val="en-US" w:eastAsia="zh-CN" w:bidi="ar-SA"/>
        </w:rPr>
        <w:t>公</w:t>
      </w:r>
      <w:r>
        <w:rPr>
          <w:rFonts w:hint="eastAsia" w:ascii="Calibri" w:hAnsi="Calibri" w:eastAsia="宋体" w:cs="Calibri"/>
          <w:color w:val="000000"/>
          <w:spacing w:val="-2"/>
          <w:kern w:val="1"/>
          <w:sz w:val="28"/>
          <w:szCs w:val="28"/>
          <w:lang w:val="en-US" w:eastAsia="zh-CN" w:bidi="ar-SA"/>
        </w:rPr>
        <w:t>章）</w:t>
      </w:r>
    </w:p>
    <w:p w14:paraId="73ACCE19">
      <w:pPr>
        <w:keepNext w:val="0"/>
        <w:keepLines w:val="0"/>
        <w:widowControl/>
        <w:suppressLineNumbers w:val="0"/>
        <w:ind w:firstLine="5520" w:firstLineChars="2000"/>
        <w:jc w:val="left"/>
        <w:rPr>
          <w:rFonts w:ascii="Calibri" w:hAnsi="Calibri" w:eastAsia="宋体" w:cs="Calibri"/>
          <w:color w:val="000000"/>
          <w:spacing w:val="-2"/>
          <w:kern w:val="1"/>
          <w:sz w:val="28"/>
          <w:szCs w:val="28"/>
          <w:lang w:val="en-US" w:eastAsia="zh-CN" w:bidi="ar-SA"/>
        </w:rPr>
      </w:pPr>
      <w:r>
        <w:rPr>
          <w:rFonts w:hint="eastAsia" w:ascii="Calibri" w:hAnsi="Calibri" w:eastAsia="宋体" w:cs="Calibri"/>
          <w:color w:val="000000"/>
          <w:spacing w:val="-2"/>
          <w:kern w:val="1"/>
          <w:sz w:val="28"/>
          <w:szCs w:val="28"/>
          <w:lang w:val="en-US" w:eastAsia="zh-CN" w:bidi="ar-SA"/>
        </w:rPr>
        <w:t xml:space="preserve"> </w:t>
      </w:r>
    </w:p>
    <w:p w14:paraId="564E0171">
      <w:pPr>
        <w:keepNext w:val="0"/>
        <w:keepLines w:val="0"/>
        <w:widowControl/>
        <w:suppressLineNumbers w:val="0"/>
        <w:ind w:firstLine="5520" w:firstLineChars="2000"/>
        <w:jc w:val="left"/>
        <w:rPr>
          <w:rFonts w:ascii="Calibri" w:hAnsi="Calibri" w:eastAsia="宋体" w:cs="Calibri"/>
          <w:color w:val="000000"/>
          <w:spacing w:val="-2"/>
          <w:kern w:val="1"/>
          <w:sz w:val="28"/>
          <w:szCs w:val="28"/>
          <w:lang w:val="en-US" w:eastAsia="zh-CN" w:bidi="ar-SA"/>
        </w:rPr>
      </w:pPr>
      <w:r>
        <w:rPr>
          <w:rFonts w:hint="eastAsia" w:ascii="Calibri" w:hAnsi="Calibri" w:eastAsia="宋体" w:cs="Calibri"/>
          <w:color w:val="000000"/>
          <w:spacing w:val="-2"/>
          <w:kern w:val="1"/>
          <w:sz w:val="28"/>
          <w:szCs w:val="28"/>
          <w:lang w:val="en-US" w:eastAsia="zh-CN" w:bidi="ar-SA"/>
        </w:rPr>
        <w:t xml:space="preserve">年 月 日 </w:t>
      </w:r>
    </w:p>
    <w:p w14:paraId="3F9AE2C2">
      <w:pPr>
        <w:spacing w:line="218" w:lineRule="auto"/>
        <w:rPr>
          <w:rFonts w:ascii="Calibri" w:hAnsi="Calibri" w:eastAsia="宋体" w:cs="Calibri"/>
          <w:color w:val="000000"/>
          <w:spacing w:val="-2"/>
          <w:kern w:val="1"/>
          <w:sz w:val="28"/>
          <w:szCs w:val="28"/>
          <w:lang w:val="en-US" w:eastAsia="zh-CN" w:bidi="ar-SA"/>
        </w:rPr>
      </w:pPr>
    </w:p>
    <w:p w14:paraId="7BB08C65">
      <w:pPr>
        <w:spacing w:line="218" w:lineRule="auto"/>
        <w:rPr>
          <w:rFonts w:ascii="Calibri" w:hAnsi="Calibri" w:eastAsia="宋体" w:cs="Calibri"/>
          <w:color w:val="000000"/>
          <w:spacing w:val="-2"/>
          <w:kern w:val="1"/>
          <w:sz w:val="28"/>
          <w:szCs w:val="28"/>
          <w:lang w:val="en-US" w:eastAsia="zh-CN" w:bidi="ar-SA"/>
        </w:rPr>
      </w:pPr>
    </w:p>
    <w:p w14:paraId="5E0925FD">
      <w:pPr>
        <w:spacing w:line="218" w:lineRule="auto"/>
        <w:rPr>
          <w:rFonts w:ascii="Calibri" w:hAnsi="Calibri" w:eastAsia="宋体" w:cs="Calibri"/>
          <w:color w:val="000000"/>
          <w:spacing w:val="-2"/>
          <w:kern w:val="1"/>
          <w:sz w:val="28"/>
          <w:szCs w:val="28"/>
          <w:lang w:val="en-US" w:eastAsia="zh-CN" w:bidi="ar-SA"/>
        </w:rPr>
      </w:pPr>
    </w:p>
    <w:p w14:paraId="3DECBD6B">
      <w:pPr>
        <w:spacing w:line="218" w:lineRule="auto"/>
        <w:rPr>
          <w:rFonts w:ascii="Calibri" w:hAnsi="Calibri" w:eastAsia="宋体" w:cs="Calibri"/>
          <w:color w:val="000000"/>
          <w:spacing w:val="-2"/>
          <w:kern w:val="1"/>
          <w:sz w:val="28"/>
          <w:szCs w:val="28"/>
          <w:lang w:val="en-US" w:eastAsia="zh-CN" w:bidi="ar-SA"/>
        </w:rPr>
      </w:pPr>
    </w:p>
    <w:p w14:paraId="7905B9BA">
      <w:pPr>
        <w:spacing w:line="218" w:lineRule="auto"/>
        <w:rPr>
          <w:rFonts w:ascii="Calibri" w:hAnsi="Calibri" w:eastAsia="宋体" w:cs="Calibri"/>
          <w:color w:val="000000"/>
          <w:spacing w:val="-2"/>
          <w:kern w:val="1"/>
          <w:sz w:val="28"/>
          <w:szCs w:val="28"/>
          <w:lang w:val="en-US" w:eastAsia="zh-CN" w:bidi="ar-SA"/>
        </w:rPr>
      </w:pPr>
    </w:p>
    <w:p w14:paraId="5746DDAF">
      <w:pPr>
        <w:spacing w:line="218" w:lineRule="auto"/>
        <w:rPr>
          <w:rFonts w:ascii="Calibri" w:hAnsi="Calibri" w:eastAsia="宋体" w:cs="Calibri"/>
          <w:color w:val="000000"/>
          <w:spacing w:val="-2"/>
          <w:kern w:val="1"/>
          <w:sz w:val="28"/>
          <w:szCs w:val="28"/>
          <w:lang w:val="en-US" w:eastAsia="zh-CN" w:bidi="ar-SA"/>
        </w:rPr>
      </w:pPr>
    </w:p>
    <w:p w14:paraId="4DA52BE1">
      <w:pPr>
        <w:spacing w:line="218" w:lineRule="auto"/>
        <w:rPr>
          <w:rFonts w:ascii="Calibri" w:hAnsi="Calibri" w:eastAsia="宋体" w:cs="Calibri"/>
          <w:color w:val="000000"/>
          <w:spacing w:val="-2"/>
          <w:kern w:val="1"/>
          <w:sz w:val="28"/>
          <w:szCs w:val="28"/>
          <w:lang w:val="en-US" w:eastAsia="zh-CN" w:bidi="ar-SA"/>
        </w:rPr>
      </w:pPr>
    </w:p>
    <w:p w14:paraId="69A73F33">
      <w:pPr>
        <w:spacing w:line="218" w:lineRule="auto"/>
        <w:rPr>
          <w:rFonts w:ascii="Calibri" w:hAnsi="Calibri" w:eastAsia="宋体" w:cs="Calibri"/>
          <w:color w:val="000000"/>
          <w:spacing w:val="-2"/>
          <w:kern w:val="1"/>
          <w:sz w:val="28"/>
          <w:szCs w:val="28"/>
          <w:lang w:val="en-US" w:eastAsia="zh-CN" w:bidi="ar-SA"/>
        </w:rPr>
      </w:pPr>
    </w:p>
    <w:p w14:paraId="07470B4F">
      <w:pPr>
        <w:keepNext w:val="0"/>
        <w:keepLines w:val="0"/>
        <w:widowControl/>
        <w:suppressLineNumbers w:val="0"/>
        <w:jc w:val="left"/>
        <w:rPr>
          <w:rFonts w:hint="eastAsia" w:ascii="Calibri" w:hAnsi="Calibri" w:eastAsia="宋体" w:cs="Calibri"/>
          <w:b/>
          <w:bCs/>
          <w:color w:val="000000"/>
          <w:spacing w:val="-2"/>
          <w:kern w:val="1"/>
          <w:sz w:val="28"/>
          <w:szCs w:val="28"/>
          <w:lang w:val="en-US" w:eastAsia="zh-CN" w:bidi="ar-SA"/>
        </w:rPr>
      </w:pPr>
    </w:p>
    <w:p w14:paraId="6E39CDBF">
      <w:pPr>
        <w:keepNext w:val="0"/>
        <w:keepLines w:val="0"/>
        <w:widowControl/>
        <w:suppressLineNumbers w:val="0"/>
        <w:jc w:val="left"/>
        <w:rPr>
          <w:rFonts w:hint="eastAsia" w:ascii="Calibri" w:hAnsi="Calibri" w:eastAsia="宋体" w:cs="Calibri"/>
          <w:b/>
          <w:bCs/>
          <w:color w:val="000000"/>
          <w:spacing w:val="-2"/>
          <w:kern w:val="1"/>
          <w:sz w:val="28"/>
          <w:szCs w:val="28"/>
          <w:lang w:val="en-US" w:eastAsia="zh-CN" w:bidi="ar-SA"/>
        </w:rPr>
      </w:pPr>
    </w:p>
    <w:p w14:paraId="613E9B0E">
      <w:pPr>
        <w:keepNext w:val="0"/>
        <w:keepLines w:val="0"/>
        <w:widowControl/>
        <w:suppressLineNumbers w:val="0"/>
        <w:jc w:val="left"/>
        <w:rPr>
          <w:rFonts w:hint="eastAsia" w:ascii="Calibri" w:hAnsi="Calibri" w:eastAsia="宋体" w:cs="Calibri"/>
          <w:b/>
          <w:bCs/>
          <w:color w:val="000000"/>
          <w:spacing w:val="-2"/>
          <w:kern w:val="1"/>
          <w:sz w:val="28"/>
          <w:szCs w:val="28"/>
          <w:lang w:val="en-US" w:eastAsia="zh-CN" w:bidi="ar-SA"/>
        </w:rPr>
      </w:pPr>
      <w:r>
        <w:rPr>
          <w:rFonts w:hint="eastAsia" w:eastAsia="宋体" w:cs="Calibri"/>
          <w:b/>
          <w:bCs/>
          <w:color w:val="000000"/>
          <w:spacing w:val="-2"/>
          <w:kern w:val="1"/>
          <w:sz w:val="28"/>
          <w:szCs w:val="28"/>
          <w:lang w:val="en-US" w:eastAsia="zh-CN" w:bidi="ar-SA"/>
        </w:rPr>
        <w:t>4</w:t>
      </w:r>
      <w:r>
        <w:rPr>
          <w:rFonts w:hint="eastAsia" w:ascii="Calibri" w:hAnsi="Calibri" w:eastAsia="宋体" w:cs="Calibri"/>
          <w:b/>
          <w:bCs/>
          <w:color w:val="000000"/>
          <w:spacing w:val="-2"/>
          <w:kern w:val="1"/>
          <w:sz w:val="28"/>
          <w:szCs w:val="28"/>
          <w:lang w:val="en-US" w:eastAsia="zh-CN" w:bidi="ar-SA"/>
        </w:rPr>
        <w:t>、中、小企业声明函</w:t>
      </w:r>
    </w:p>
    <w:p w14:paraId="15A520E0">
      <w:pPr>
        <w:spacing w:line="218" w:lineRule="auto"/>
        <w:rPr>
          <w:rFonts w:hint="eastAsia" w:ascii="Calibri" w:hAnsi="Calibri" w:eastAsia="宋体" w:cs="Calibri"/>
          <w:color w:val="000000"/>
          <w:spacing w:val="-2"/>
          <w:kern w:val="1"/>
          <w:sz w:val="28"/>
          <w:szCs w:val="28"/>
          <w:lang w:val="en-US" w:eastAsia="zh-CN" w:bidi="ar-SA"/>
        </w:rPr>
      </w:pPr>
    </w:p>
    <w:p w14:paraId="749A126C">
      <w:pPr>
        <w:spacing w:line="218" w:lineRule="auto"/>
        <w:jc w:val="center"/>
        <w:rPr>
          <w:rFonts w:hint="eastAsia" w:ascii="Calibri" w:hAnsi="Calibri" w:eastAsia="宋体" w:cs="Calibri"/>
          <w:b/>
          <w:bCs/>
          <w:color w:val="000000"/>
          <w:spacing w:val="-2"/>
          <w:kern w:val="1"/>
          <w:sz w:val="28"/>
          <w:szCs w:val="28"/>
          <w:lang w:val="en-US" w:eastAsia="zh-CN" w:bidi="ar-SA"/>
        </w:rPr>
      </w:pPr>
      <w:r>
        <w:rPr>
          <w:rFonts w:hint="eastAsia" w:eastAsia="宋体" w:cs="Calibri"/>
          <w:b/>
          <w:bCs/>
          <w:color w:val="000000"/>
          <w:spacing w:val="-2"/>
          <w:kern w:val="1"/>
          <w:sz w:val="28"/>
          <w:szCs w:val="28"/>
          <w:lang w:val="en-US" w:eastAsia="zh-CN" w:bidi="ar-SA"/>
        </w:rPr>
        <w:t>4</w:t>
      </w:r>
      <w:r>
        <w:rPr>
          <w:rFonts w:hint="eastAsia" w:ascii="Calibri" w:hAnsi="Calibri" w:eastAsia="宋体" w:cs="Calibri"/>
          <w:b/>
          <w:bCs/>
          <w:color w:val="000000"/>
          <w:spacing w:val="-2"/>
          <w:kern w:val="1"/>
          <w:sz w:val="28"/>
          <w:szCs w:val="28"/>
          <w:lang w:val="en-US" w:eastAsia="zh-CN" w:bidi="ar-SA"/>
        </w:rPr>
        <w:t>.1中小企业声明函</w:t>
      </w:r>
    </w:p>
    <w:p w14:paraId="72064570">
      <w:pPr>
        <w:spacing w:line="218" w:lineRule="auto"/>
        <w:jc w:val="center"/>
        <w:rPr>
          <w:rFonts w:hint="eastAsia" w:ascii="Calibri" w:hAnsi="Calibri" w:eastAsia="宋体" w:cs="Calibri"/>
          <w:b/>
          <w:bCs/>
          <w:color w:val="000000"/>
          <w:spacing w:val="-2"/>
          <w:kern w:val="1"/>
          <w:sz w:val="28"/>
          <w:szCs w:val="28"/>
          <w:lang w:val="en-US" w:eastAsia="zh-CN" w:bidi="ar-SA"/>
        </w:rPr>
      </w:pPr>
    </w:p>
    <w:p w14:paraId="0FD8F435">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color w:val="000000"/>
          <w:spacing w:val="-2"/>
          <w:kern w:val="1"/>
          <w:sz w:val="24"/>
          <w:szCs w:val="24"/>
          <w:u w:val="single"/>
          <w:lang w:val="en-US" w:eastAsia="zh-CN" w:bidi="ar-SA"/>
        </w:rPr>
        <w:t xml:space="preserve">  （单位名称）</w:t>
      </w:r>
      <w:r>
        <w:rPr>
          <w:rFonts w:hint="eastAsia" w:ascii="宋体" w:hAnsi="宋体" w:eastAsia="宋体" w:cs="宋体"/>
          <w:color w:val="000000"/>
          <w:spacing w:val="-2"/>
          <w:kern w:val="1"/>
          <w:sz w:val="24"/>
          <w:szCs w:val="24"/>
          <w:lang w:val="en-US" w:eastAsia="zh-CN" w:bidi="ar-SA"/>
        </w:rPr>
        <w:t>的</w:t>
      </w:r>
      <w:r>
        <w:rPr>
          <w:rFonts w:hint="eastAsia" w:ascii="宋体" w:hAnsi="宋体" w:eastAsia="宋体" w:cs="宋体"/>
          <w:color w:val="000000"/>
          <w:spacing w:val="-2"/>
          <w:kern w:val="1"/>
          <w:sz w:val="24"/>
          <w:szCs w:val="24"/>
          <w:u w:val="single"/>
          <w:lang w:val="en-US" w:eastAsia="zh-CN" w:bidi="ar-SA"/>
        </w:rPr>
        <w:t>（项目名称）</w:t>
      </w:r>
      <w:r>
        <w:rPr>
          <w:rFonts w:hint="eastAsia" w:ascii="宋体" w:hAnsi="宋体" w:eastAsia="宋体" w:cs="宋体"/>
          <w:color w:val="000000"/>
          <w:spacing w:val="-2"/>
          <w:kern w:val="1"/>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2D924A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1.（</w:t>
      </w:r>
      <w:r>
        <w:rPr>
          <w:rFonts w:hint="eastAsia" w:ascii="宋体" w:hAnsi="宋体" w:eastAsia="宋体" w:cs="宋体"/>
          <w:color w:val="000000"/>
          <w:spacing w:val="-2"/>
          <w:kern w:val="1"/>
          <w:sz w:val="24"/>
          <w:szCs w:val="24"/>
          <w:u w:val="single"/>
          <w:lang w:val="en-US" w:eastAsia="zh-CN" w:bidi="ar-SA"/>
        </w:rPr>
        <w:t>标的名称）</w:t>
      </w:r>
      <w:r>
        <w:rPr>
          <w:rFonts w:hint="eastAsia" w:ascii="宋体" w:hAnsi="宋体" w:eastAsia="宋体" w:cs="宋体"/>
          <w:color w:val="000000"/>
          <w:spacing w:val="-2"/>
          <w:kern w:val="1"/>
          <w:sz w:val="24"/>
          <w:szCs w:val="24"/>
          <w:lang w:val="en-US" w:eastAsia="zh-CN" w:bidi="ar-SA"/>
        </w:rPr>
        <w:t>，属于</w:t>
      </w:r>
      <w:r>
        <w:rPr>
          <w:rFonts w:hint="eastAsia" w:ascii="宋体" w:hAnsi="宋体" w:eastAsia="宋体" w:cs="宋体"/>
          <w:color w:val="000000"/>
          <w:spacing w:val="-2"/>
          <w:kern w:val="1"/>
          <w:sz w:val="24"/>
          <w:szCs w:val="24"/>
          <w:u w:val="single"/>
          <w:lang w:val="en-US" w:eastAsia="zh-CN" w:bidi="ar-SA"/>
        </w:rPr>
        <w:t>（采购文件中明确的所属行业为建筑业）</w:t>
      </w:r>
      <w:r>
        <w:rPr>
          <w:rFonts w:hint="eastAsia" w:ascii="宋体" w:hAnsi="宋体" w:eastAsia="宋体" w:cs="宋体"/>
          <w:color w:val="000000"/>
          <w:spacing w:val="-2"/>
          <w:kern w:val="1"/>
          <w:sz w:val="24"/>
          <w:szCs w:val="24"/>
          <w:lang w:val="en-US" w:eastAsia="zh-CN" w:bidi="ar-SA"/>
        </w:rPr>
        <w:t>；承建（承接）企业为</w:t>
      </w:r>
      <w:r>
        <w:rPr>
          <w:rFonts w:hint="eastAsia" w:ascii="宋体" w:hAnsi="宋体" w:eastAsia="宋体" w:cs="宋体"/>
          <w:color w:val="000000"/>
          <w:spacing w:val="-2"/>
          <w:kern w:val="1"/>
          <w:sz w:val="24"/>
          <w:szCs w:val="24"/>
          <w:u w:val="single"/>
          <w:lang w:val="en-US" w:eastAsia="zh-CN" w:bidi="ar-SA"/>
        </w:rPr>
        <w:t>（企业名称）</w:t>
      </w:r>
      <w:r>
        <w:rPr>
          <w:rFonts w:hint="eastAsia" w:ascii="宋体" w:hAnsi="宋体" w:eastAsia="宋体" w:cs="宋体"/>
          <w:color w:val="000000"/>
          <w:spacing w:val="-2"/>
          <w:kern w:val="1"/>
          <w:sz w:val="24"/>
          <w:szCs w:val="24"/>
          <w:lang w:val="en-US" w:eastAsia="zh-CN" w:bidi="ar-SA"/>
        </w:rPr>
        <w:t>，从业人员</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人，营业收入为</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万元，资产总额为</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万元1，属于</w:t>
      </w:r>
      <w:r>
        <w:rPr>
          <w:rFonts w:hint="eastAsia" w:ascii="宋体" w:hAnsi="宋体" w:eastAsia="宋体" w:cs="宋体"/>
          <w:color w:val="000000"/>
          <w:spacing w:val="-2"/>
          <w:kern w:val="1"/>
          <w:sz w:val="24"/>
          <w:szCs w:val="24"/>
          <w:u w:val="single"/>
          <w:lang w:val="en-US" w:eastAsia="zh-CN" w:bidi="ar-SA"/>
        </w:rPr>
        <w:t>（中型企业、小型企业、微型企业）</w:t>
      </w:r>
      <w:r>
        <w:rPr>
          <w:rFonts w:hint="eastAsia" w:ascii="宋体" w:hAnsi="宋体" w:eastAsia="宋体" w:cs="宋体"/>
          <w:color w:val="000000"/>
          <w:spacing w:val="-2"/>
          <w:kern w:val="1"/>
          <w:sz w:val="24"/>
          <w:szCs w:val="24"/>
          <w:lang w:val="en-US" w:eastAsia="zh-CN" w:bidi="ar-SA"/>
        </w:rPr>
        <w:t>；</w:t>
      </w:r>
    </w:p>
    <w:p w14:paraId="474553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2.</w:t>
      </w:r>
      <w:r>
        <w:rPr>
          <w:rFonts w:hint="eastAsia" w:ascii="宋体" w:hAnsi="宋体" w:eastAsia="宋体" w:cs="宋体"/>
          <w:color w:val="000000"/>
          <w:spacing w:val="-2"/>
          <w:kern w:val="1"/>
          <w:sz w:val="24"/>
          <w:szCs w:val="24"/>
          <w:u w:val="single"/>
          <w:lang w:val="en-US" w:eastAsia="zh-CN" w:bidi="ar-SA"/>
        </w:rPr>
        <w:t>（标的名称）</w:t>
      </w:r>
      <w:r>
        <w:rPr>
          <w:rFonts w:hint="eastAsia" w:ascii="宋体" w:hAnsi="宋体" w:eastAsia="宋体" w:cs="宋体"/>
          <w:color w:val="000000"/>
          <w:spacing w:val="-2"/>
          <w:kern w:val="1"/>
          <w:sz w:val="24"/>
          <w:szCs w:val="24"/>
          <w:lang w:val="en-US" w:eastAsia="zh-CN" w:bidi="ar-SA"/>
        </w:rPr>
        <w:t>，属于</w:t>
      </w:r>
      <w:r>
        <w:rPr>
          <w:rFonts w:hint="eastAsia" w:ascii="宋体" w:hAnsi="宋体" w:eastAsia="宋体" w:cs="宋体"/>
          <w:color w:val="000000"/>
          <w:spacing w:val="-2"/>
          <w:kern w:val="1"/>
          <w:sz w:val="24"/>
          <w:szCs w:val="24"/>
          <w:u w:val="single"/>
          <w:lang w:val="en-US" w:eastAsia="zh-CN" w:bidi="ar-SA"/>
        </w:rPr>
        <w:t>（采购文件中明确的所属行业）</w:t>
      </w:r>
      <w:r>
        <w:rPr>
          <w:rFonts w:hint="eastAsia" w:ascii="宋体" w:hAnsi="宋体" w:eastAsia="宋体" w:cs="宋体"/>
          <w:color w:val="000000"/>
          <w:spacing w:val="-2"/>
          <w:kern w:val="1"/>
          <w:sz w:val="24"/>
          <w:szCs w:val="24"/>
          <w:lang w:val="en-US" w:eastAsia="zh-CN" w:bidi="ar-SA"/>
        </w:rPr>
        <w:t>；承建</w:t>
      </w:r>
      <w:r>
        <w:rPr>
          <w:rFonts w:hint="eastAsia" w:ascii="宋体" w:hAnsi="宋体" w:eastAsia="宋体" w:cs="宋体"/>
          <w:color w:val="000000"/>
          <w:spacing w:val="-2"/>
          <w:kern w:val="1"/>
          <w:sz w:val="24"/>
          <w:szCs w:val="24"/>
          <w:u w:val="none"/>
          <w:lang w:val="en-US" w:eastAsia="zh-CN" w:bidi="ar-SA"/>
        </w:rPr>
        <w:t>（承接）</w:t>
      </w:r>
      <w:r>
        <w:rPr>
          <w:rFonts w:hint="eastAsia" w:ascii="宋体" w:hAnsi="宋体" w:eastAsia="宋体" w:cs="宋体"/>
          <w:color w:val="000000"/>
          <w:spacing w:val="-2"/>
          <w:kern w:val="1"/>
          <w:sz w:val="24"/>
          <w:szCs w:val="24"/>
          <w:lang w:val="en-US" w:eastAsia="zh-CN" w:bidi="ar-SA"/>
        </w:rPr>
        <w:t>企业为</w:t>
      </w:r>
      <w:r>
        <w:rPr>
          <w:rFonts w:hint="eastAsia" w:ascii="宋体" w:hAnsi="宋体" w:eastAsia="宋体" w:cs="宋体"/>
          <w:color w:val="000000"/>
          <w:spacing w:val="-2"/>
          <w:kern w:val="1"/>
          <w:sz w:val="24"/>
          <w:szCs w:val="24"/>
          <w:u w:val="single"/>
          <w:lang w:val="en-US" w:eastAsia="zh-CN" w:bidi="ar-SA"/>
        </w:rPr>
        <w:t>（企业名称）</w:t>
      </w:r>
      <w:r>
        <w:rPr>
          <w:rFonts w:hint="eastAsia" w:ascii="宋体" w:hAnsi="宋体" w:eastAsia="宋体" w:cs="宋体"/>
          <w:color w:val="000000"/>
          <w:spacing w:val="-2"/>
          <w:kern w:val="1"/>
          <w:sz w:val="24"/>
          <w:szCs w:val="24"/>
          <w:lang w:val="en-US" w:eastAsia="zh-CN" w:bidi="ar-SA"/>
        </w:rPr>
        <w:t>，从业人员</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人，营业收入为</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万元，资产总额为</w:t>
      </w:r>
      <w:r>
        <w:rPr>
          <w:rFonts w:hint="eastAsia" w:ascii="宋体" w:hAnsi="宋体" w:eastAsia="宋体" w:cs="宋体"/>
          <w:color w:val="000000"/>
          <w:spacing w:val="-2"/>
          <w:kern w:val="1"/>
          <w:sz w:val="24"/>
          <w:szCs w:val="24"/>
          <w:u w:val="single"/>
          <w:lang w:val="en-US" w:eastAsia="zh-CN" w:bidi="ar-SA"/>
        </w:rPr>
        <w:t xml:space="preserve">    </w:t>
      </w:r>
      <w:r>
        <w:rPr>
          <w:rFonts w:hint="eastAsia" w:ascii="宋体" w:hAnsi="宋体" w:eastAsia="宋体" w:cs="宋体"/>
          <w:color w:val="000000"/>
          <w:spacing w:val="-2"/>
          <w:kern w:val="1"/>
          <w:sz w:val="24"/>
          <w:szCs w:val="24"/>
          <w:lang w:val="en-US" w:eastAsia="zh-CN" w:bidi="ar-SA"/>
        </w:rPr>
        <w:t>万元，属于</w:t>
      </w:r>
      <w:r>
        <w:rPr>
          <w:rFonts w:hint="eastAsia" w:ascii="宋体" w:hAnsi="宋体" w:eastAsia="宋体" w:cs="宋体"/>
          <w:color w:val="000000"/>
          <w:spacing w:val="-2"/>
          <w:kern w:val="1"/>
          <w:sz w:val="24"/>
          <w:szCs w:val="24"/>
          <w:u w:val="single"/>
          <w:lang w:val="en-US" w:eastAsia="zh-CN" w:bidi="ar-SA"/>
        </w:rPr>
        <w:t>（中型企业、小型企业、微型企业）</w:t>
      </w:r>
      <w:r>
        <w:rPr>
          <w:rFonts w:hint="eastAsia" w:ascii="宋体" w:hAnsi="宋体" w:eastAsia="宋体" w:cs="宋体"/>
          <w:color w:val="000000"/>
          <w:spacing w:val="-2"/>
          <w:kern w:val="1"/>
          <w:sz w:val="24"/>
          <w:szCs w:val="24"/>
          <w:lang w:val="en-US" w:eastAsia="zh-CN" w:bidi="ar-SA"/>
        </w:rPr>
        <w:t>；</w:t>
      </w:r>
    </w:p>
    <w:p w14:paraId="37475A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w:t>
      </w:r>
    </w:p>
    <w:p w14:paraId="7C170F9B">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以上企业，不属于大企业的分支机构，不存在控股股东为大企业的情形也不存在与大企业的负责人为同一人的情形。</w:t>
      </w:r>
    </w:p>
    <w:p w14:paraId="735CBF82">
      <w:pPr>
        <w:keepNext w:val="0"/>
        <w:keepLines w:val="0"/>
        <w:pageBreakBefore w:val="0"/>
        <w:widowControl/>
        <w:suppressLineNumbers w:val="0"/>
        <w:kinsoku/>
        <w:wordWrap/>
        <w:overflowPunct/>
        <w:topLinePunct w:val="0"/>
        <w:autoSpaceDE/>
        <w:autoSpaceDN/>
        <w:bidi w:val="0"/>
        <w:adjustRightInd/>
        <w:snapToGrid/>
        <w:spacing w:line="400" w:lineRule="exact"/>
        <w:ind w:firstLine="472" w:firstLineChars="200"/>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本企业对上述声明内容的真实性负责。如有虚假，将依法承担相应责任。</w:t>
      </w:r>
    </w:p>
    <w:p w14:paraId="4959AA51">
      <w:pPr>
        <w:keepNext w:val="0"/>
        <w:keepLines w:val="0"/>
        <w:pageBreakBefore w:val="0"/>
        <w:widowControl/>
        <w:suppressLineNumbers w:val="0"/>
        <w:kinsoku/>
        <w:wordWrap/>
        <w:overflowPunct/>
        <w:topLinePunct w:val="0"/>
        <w:autoSpaceDE/>
        <w:autoSpaceDN/>
        <w:bidi w:val="0"/>
        <w:adjustRightInd/>
        <w:snapToGrid/>
        <w:spacing w:line="400" w:lineRule="exact"/>
        <w:ind w:firstLine="4484" w:firstLineChars="1900"/>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企业名称（电子</w:t>
      </w:r>
      <w:r>
        <w:rPr>
          <w:rFonts w:hint="eastAsia" w:ascii="宋体" w:hAnsi="宋体" w:cs="宋体"/>
          <w:color w:val="000000"/>
          <w:spacing w:val="-2"/>
          <w:kern w:val="1"/>
          <w:sz w:val="24"/>
          <w:szCs w:val="24"/>
          <w:lang w:val="en-US" w:eastAsia="zh-CN" w:bidi="ar-SA"/>
        </w:rPr>
        <w:t>公</w:t>
      </w:r>
      <w:r>
        <w:rPr>
          <w:rFonts w:hint="eastAsia" w:ascii="宋体" w:hAnsi="宋体" w:eastAsia="宋体" w:cs="宋体"/>
          <w:color w:val="000000"/>
          <w:spacing w:val="-2"/>
          <w:kern w:val="1"/>
          <w:sz w:val="24"/>
          <w:szCs w:val="24"/>
          <w:lang w:val="en-US" w:eastAsia="zh-CN" w:bidi="ar-SA"/>
        </w:rPr>
        <w:t>章）：</w:t>
      </w:r>
    </w:p>
    <w:p w14:paraId="7CA8FF01">
      <w:pPr>
        <w:keepNext w:val="0"/>
        <w:keepLines w:val="0"/>
        <w:pageBreakBefore w:val="0"/>
        <w:widowControl/>
        <w:suppressLineNumbers w:val="0"/>
        <w:kinsoku/>
        <w:wordWrap/>
        <w:overflowPunct/>
        <w:topLinePunct w:val="0"/>
        <w:autoSpaceDE/>
        <w:autoSpaceDN/>
        <w:bidi w:val="0"/>
        <w:adjustRightInd/>
        <w:snapToGrid/>
        <w:spacing w:line="400" w:lineRule="exact"/>
        <w:ind w:firstLine="6372" w:firstLineChars="2700"/>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日期：</w:t>
      </w:r>
    </w:p>
    <w:p w14:paraId="63BD69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1从业人员、营业收入、资产总额填报上一年度数据，无上一年度数据的新成立企业可不填报。</w:t>
      </w:r>
    </w:p>
    <w:p w14:paraId="5FE74964">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180CE9D0">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296AB0C7">
      <w:pPr>
        <w:keepNext w:val="0"/>
        <w:keepLines w:val="0"/>
        <w:widowControl/>
        <w:suppressLineNumbers w:val="0"/>
        <w:jc w:val="left"/>
        <w:rPr>
          <w:rFonts w:hint="eastAsia" w:ascii="Calibri" w:hAnsi="Calibri" w:eastAsia="宋体" w:cs="Calibri"/>
          <w:color w:val="000000"/>
          <w:spacing w:val="-2"/>
          <w:kern w:val="1"/>
          <w:sz w:val="28"/>
          <w:szCs w:val="28"/>
          <w:lang w:val="en-US" w:eastAsia="zh-CN" w:bidi="ar-SA"/>
        </w:rPr>
      </w:pPr>
    </w:p>
    <w:p w14:paraId="68EEC873">
      <w:pPr>
        <w:keepNext w:val="0"/>
        <w:keepLines w:val="0"/>
        <w:widowControl/>
        <w:suppressLineNumbers w:val="0"/>
        <w:ind w:firstLine="474" w:firstLineChars="200"/>
        <w:jc w:val="left"/>
        <w:rPr>
          <w:rFonts w:hint="eastAsia" w:ascii="Calibri" w:hAnsi="Calibri" w:eastAsia="宋体" w:cs="Calibri"/>
          <w:b/>
          <w:bCs/>
          <w:color w:val="000000"/>
          <w:spacing w:val="-2"/>
          <w:kern w:val="1"/>
          <w:sz w:val="24"/>
          <w:szCs w:val="24"/>
          <w:lang w:val="en-US" w:eastAsia="zh-CN" w:bidi="ar-SA"/>
        </w:rPr>
      </w:pPr>
      <w:r>
        <w:rPr>
          <w:rFonts w:hint="eastAsia" w:ascii="Calibri" w:hAnsi="Calibri" w:eastAsia="宋体" w:cs="Calibri"/>
          <w:b/>
          <w:bCs/>
          <w:color w:val="000000"/>
          <w:spacing w:val="-2"/>
          <w:kern w:val="1"/>
          <w:sz w:val="24"/>
          <w:szCs w:val="24"/>
          <w:lang w:val="en-US" w:eastAsia="zh-CN" w:bidi="ar-SA"/>
        </w:rPr>
        <w:t>注：请按采购文件中明确的所属行业划分确定是否为中小企业，如为中小企业须提供《中小企业声明函》，并按实际情况填写相应内容（从业人员、营业收入、资产总额填报上一年度数据，无上一年度数据的新成立企业可不填报。）如未按上述要求提供、填写，造成资格评审不通过等后果，由供应商自行承担。</w:t>
      </w:r>
    </w:p>
    <w:p w14:paraId="456CD286">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39FD26DD">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005C22E0">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55BECBA7">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0DD22F38">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5C3513D1">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7D86D5AC">
      <w:pPr>
        <w:keepNext w:val="0"/>
        <w:keepLines w:val="0"/>
        <w:widowControl/>
        <w:suppressLineNumbers w:val="0"/>
        <w:ind w:firstLine="552" w:firstLineChars="200"/>
        <w:jc w:val="left"/>
        <w:rPr>
          <w:rFonts w:hint="eastAsia" w:ascii="Calibri" w:hAnsi="Calibri" w:eastAsia="宋体" w:cs="Calibri"/>
          <w:color w:val="000000"/>
          <w:spacing w:val="-2"/>
          <w:kern w:val="1"/>
          <w:sz w:val="28"/>
          <w:szCs w:val="28"/>
          <w:lang w:val="en-US" w:eastAsia="zh-CN" w:bidi="ar-SA"/>
        </w:rPr>
      </w:pPr>
    </w:p>
    <w:p w14:paraId="61F4EACD">
      <w:pPr>
        <w:pStyle w:val="9"/>
        <w:rPr>
          <w:rFonts w:hint="eastAsia" w:ascii="Calibri" w:hAnsi="Calibri" w:eastAsia="宋体" w:cs="Calibri"/>
          <w:color w:val="000000"/>
          <w:spacing w:val="-2"/>
          <w:kern w:val="1"/>
          <w:sz w:val="28"/>
          <w:szCs w:val="28"/>
          <w:lang w:val="en-US" w:eastAsia="zh-CN" w:bidi="ar-SA"/>
        </w:rPr>
      </w:pPr>
    </w:p>
    <w:p w14:paraId="02AC2706">
      <w:pPr>
        <w:pStyle w:val="9"/>
        <w:spacing w:before="71" w:line="219" w:lineRule="auto"/>
        <w:ind w:left="520"/>
        <w:rPr>
          <w:rFonts w:hint="eastAsia" w:ascii="Calibri" w:hAnsi="Calibri" w:eastAsia="宋体" w:cs="Calibri"/>
          <w:b/>
          <w:bCs/>
          <w:color w:val="000000"/>
          <w:spacing w:val="-2"/>
          <w:kern w:val="1"/>
          <w:sz w:val="28"/>
          <w:szCs w:val="28"/>
          <w:lang w:val="en-US" w:eastAsia="zh-CN" w:bidi="ar-SA"/>
        </w:rPr>
      </w:pPr>
    </w:p>
    <w:p w14:paraId="1FAF0752">
      <w:pPr>
        <w:pStyle w:val="9"/>
        <w:spacing w:before="71" w:line="219" w:lineRule="auto"/>
        <w:ind w:left="520"/>
        <w:rPr>
          <w:rFonts w:hint="eastAsia" w:ascii="Calibri" w:hAnsi="Calibri" w:eastAsia="宋体" w:cs="Calibri"/>
          <w:color w:val="000000"/>
          <w:spacing w:val="-2"/>
          <w:kern w:val="1"/>
          <w:sz w:val="28"/>
          <w:szCs w:val="28"/>
          <w:lang w:val="en-US" w:eastAsia="zh-CN" w:bidi="ar-SA"/>
        </w:rPr>
      </w:pPr>
      <w:r>
        <w:rPr>
          <w:rFonts w:hint="eastAsia" w:ascii="Calibri" w:hAnsi="Calibri" w:eastAsia="宋体" w:cs="Calibri"/>
          <w:b/>
          <w:bCs/>
          <w:color w:val="000000"/>
          <w:spacing w:val="-2"/>
          <w:kern w:val="1"/>
          <w:sz w:val="28"/>
          <w:szCs w:val="28"/>
          <w:lang w:val="en-US" w:eastAsia="zh-CN" w:bidi="ar-SA"/>
        </w:rPr>
        <w:t>附：中小企业划型标准（工信部联企业〔2011〕300号）</w:t>
      </w:r>
    </w:p>
    <w:p w14:paraId="4F84AD68">
      <w:pPr>
        <w:pStyle w:val="9"/>
        <w:spacing w:before="97" w:line="261" w:lineRule="auto"/>
        <w:ind w:left="24" w:right="82" w:firstLine="429"/>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一、根据《中华人民共和国中小企业促进法》和《国务院关于进一步促进中小企业发展的若干意见》（国发〔2009〕36号)，制定本规定。</w:t>
      </w:r>
    </w:p>
    <w:p w14:paraId="592167AE">
      <w:pPr>
        <w:pStyle w:val="9"/>
        <w:spacing w:before="98" w:line="261" w:lineRule="auto"/>
        <w:ind w:left="19" w:right="80" w:firstLine="433"/>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二、中小企业划分为中型、小型、微型三种类型，具体标准根据企业从业人员、营业收入、资产总额等指标，结合行业特点制定。</w:t>
      </w:r>
    </w:p>
    <w:p w14:paraId="6E9EB813">
      <w:pPr>
        <w:pStyle w:val="9"/>
        <w:spacing w:before="101" w:line="288" w:lineRule="auto"/>
        <w:ind w:left="21" w:right="78" w:firstLine="428"/>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E562381">
      <w:pPr>
        <w:pStyle w:val="9"/>
        <w:spacing w:before="98" w:line="221" w:lineRule="auto"/>
        <w:ind w:left="471"/>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color w:val="000000"/>
          <w:spacing w:val="-2"/>
          <w:kern w:val="1"/>
          <w:sz w:val="24"/>
          <w:szCs w:val="24"/>
          <w:lang w:val="en-US" w:eastAsia="zh-CN" w:bidi="ar-SA"/>
        </w:rPr>
        <w:t>四、各行业划型标准为：</w:t>
      </w:r>
    </w:p>
    <w:p w14:paraId="2411040F">
      <w:pPr>
        <w:pStyle w:val="9"/>
        <w:spacing w:before="96" w:line="275" w:lineRule="auto"/>
        <w:ind w:left="27" w:right="78" w:firstLine="649"/>
        <w:jc w:val="both"/>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（一）农、林、牧、渔业。</w:t>
      </w:r>
      <w:r>
        <w:rPr>
          <w:rFonts w:hint="eastAsia" w:ascii="宋体" w:hAnsi="宋体" w:eastAsia="宋体" w:cs="宋体"/>
          <w:color w:val="000000"/>
          <w:spacing w:val="-2"/>
          <w:kern w:val="1"/>
          <w:sz w:val="24"/>
          <w:szCs w:val="24"/>
          <w:lang w:val="en-US" w:eastAsia="zh-CN" w:bidi="ar-SA"/>
        </w:rPr>
        <w:t>营业收入20000万元以下的为中小微型企业。其中，营业收入500万元及以上的为中型企业，营业收入50万元及以上的为小型企业，营业收入50万元以下的为微型企业。</w:t>
      </w:r>
    </w:p>
    <w:p w14:paraId="5BB33C19">
      <w:pPr>
        <w:pStyle w:val="9"/>
        <w:spacing w:before="96" w:line="282" w:lineRule="auto"/>
        <w:ind w:left="19" w:firstLine="429"/>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（二）工业。</w:t>
      </w:r>
      <w:r>
        <w:rPr>
          <w:rFonts w:hint="eastAsia" w:ascii="宋体" w:hAnsi="宋体" w:eastAsia="宋体" w:cs="宋体"/>
          <w:color w:val="000000"/>
          <w:spacing w:val="-2"/>
          <w:kern w:val="1"/>
          <w:sz w:val="24"/>
          <w:szCs w:val="24"/>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934419">
      <w:pPr>
        <w:pStyle w:val="9"/>
        <w:spacing w:before="96" w:line="282" w:lineRule="auto"/>
        <w:ind w:left="22" w:right="80" w:firstLine="426"/>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（三）建筑业。</w:t>
      </w:r>
      <w:r>
        <w:rPr>
          <w:rFonts w:hint="eastAsia" w:ascii="宋体" w:hAnsi="宋体" w:eastAsia="宋体" w:cs="宋体"/>
          <w:color w:val="000000"/>
          <w:spacing w:val="-2"/>
          <w:kern w:val="1"/>
          <w:sz w:val="24"/>
          <w:szCs w:val="24"/>
          <w:lang w:val="en-US" w:eastAsia="zh-CN" w:bidi="ar-SA"/>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75DE41">
      <w:pPr>
        <w:pStyle w:val="9"/>
        <w:spacing w:before="96" w:line="282" w:lineRule="auto"/>
        <w:ind w:left="21" w:firstLine="391"/>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（四）批发业。</w:t>
      </w:r>
      <w:r>
        <w:rPr>
          <w:rFonts w:hint="eastAsia" w:ascii="宋体" w:hAnsi="宋体" w:eastAsia="宋体" w:cs="宋体"/>
          <w:color w:val="000000"/>
          <w:spacing w:val="-2"/>
          <w:kern w:val="1"/>
          <w:sz w:val="24"/>
          <w:szCs w:val="24"/>
          <w:lang w:val="en-US" w:eastAsia="zh-CN" w:bidi="ar-S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94707E2">
      <w:pPr>
        <w:pStyle w:val="9"/>
        <w:spacing w:before="96" w:line="282" w:lineRule="auto"/>
        <w:ind w:left="21" w:firstLine="391"/>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（五）零售业。</w:t>
      </w:r>
      <w:r>
        <w:rPr>
          <w:rFonts w:hint="eastAsia" w:ascii="宋体" w:hAnsi="宋体" w:eastAsia="宋体" w:cs="宋体"/>
          <w:color w:val="000000"/>
          <w:spacing w:val="-2"/>
          <w:kern w:val="1"/>
          <w:sz w:val="24"/>
          <w:szCs w:val="24"/>
          <w:lang w:val="en-US" w:eastAsia="zh-CN" w:bidi="ar-SA"/>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5C136C">
      <w:pPr>
        <w:pStyle w:val="9"/>
        <w:spacing w:before="96" w:line="282" w:lineRule="auto"/>
        <w:ind w:left="23" w:right="76" w:firstLine="442"/>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（六）交通运输业。</w:t>
      </w:r>
      <w:r>
        <w:rPr>
          <w:rFonts w:hint="eastAsia" w:ascii="宋体" w:hAnsi="宋体" w:eastAsia="宋体" w:cs="宋体"/>
          <w:color w:val="000000"/>
          <w:spacing w:val="-2"/>
          <w:kern w:val="1"/>
          <w:sz w:val="24"/>
          <w:szCs w:val="24"/>
          <w:lang w:val="en-US" w:eastAsia="zh-CN" w:bidi="ar-SA"/>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A6AA92A">
      <w:pPr>
        <w:pStyle w:val="9"/>
        <w:spacing w:before="71" w:line="261" w:lineRule="auto"/>
        <w:ind w:left="19" w:right="76" w:firstLine="474" w:firstLineChars="200"/>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（七）仓储业。</w:t>
      </w:r>
      <w:r>
        <w:rPr>
          <w:rFonts w:hint="eastAsia" w:ascii="宋体" w:hAnsi="宋体" w:eastAsia="宋体" w:cs="宋体"/>
          <w:color w:val="000000"/>
          <w:spacing w:val="-2"/>
          <w:kern w:val="1"/>
          <w:sz w:val="24"/>
          <w:szCs w:val="24"/>
          <w:lang w:val="en-US" w:eastAsia="zh-CN" w:bidi="ar-SA"/>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FD34A90">
      <w:pPr>
        <w:pStyle w:val="9"/>
        <w:spacing w:before="95" w:line="282" w:lineRule="auto"/>
        <w:ind w:left="19" w:right="78" w:firstLine="448"/>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（八）邮政业。</w:t>
      </w:r>
      <w:r>
        <w:rPr>
          <w:rFonts w:hint="eastAsia" w:ascii="宋体" w:hAnsi="宋体" w:eastAsia="宋体" w:cs="宋体"/>
          <w:color w:val="000000"/>
          <w:spacing w:val="-2"/>
          <w:kern w:val="1"/>
          <w:sz w:val="24"/>
          <w:szCs w:val="24"/>
          <w:lang w:val="en-US" w:eastAsia="zh-CN" w:bidi="ar-SA"/>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E829090">
      <w:pPr>
        <w:pStyle w:val="9"/>
        <w:spacing w:before="95" w:line="282" w:lineRule="auto"/>
        <w:ind w:left="19" w:firstLine="393"/>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（九）住宿业。</w:t>
      </w:r>
      <w:r>
        <w:rPr>
          <w:rFonts w:hint="eastAsia" w:ascii="宋体" w:hAnsi="宋体" w:eastAsia="宋体" w:cs="宋体"/>
          <w:color w:val="000000"/>
          <w:spacing w:val="-2"/>
          <w:kern w:val="1"/>
          <w:sz w:val="24"/>
          <w:szCs w:val="24"/>
          <w:lang w:val="en-US" w:eastAsia="zh-CN" w:bidi="ar-SA"/>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8FE940">
      <w:pPr>
        <w:pStyle w:val="9"/>
        <w:spacing w:before="96" w:line="282" w:lineRule="auto"/>
        <w:ind w:left="19" w:firstLine="393"/>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（十）餐饮业。</w:t>
      </w:r>
      <w:r>
        <w:rPr>
          <w:rFonts w:hint="eastAsia" w:ascii="宋体" w:hAnsi="宋体" w:eastAsia="宋体" w:cs="宋体"/>
          <w:color w:val="000000"/>
          <w:spacing w:val="-2"/>
          <w:kern w:val="1"/>
          <w:sz w:val="24"/>
          <w:szCs w:val="24"/>
          <w:lang w:val="en-US" w:eastAsia="zh-CN" w:bidi="ar-SA"/>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C73546">
      <w:pPr>
        <w:pStyle w:val="9"/>
        <w:spacing w:before="96" w:line="282" w:lineRule="auto"/>
        <w:ind w:left="20" w:right="17" w:firstLine="426"/>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（十一）信息传输业。</w:t>
      </w:r>
      <w:r>
        <w:rPr>
          <w:rFonts w:hint="eastAsia" w:ascii="宋体" w:hAnsi="宋体" w:eastAsia="宋体" w:cs="宋体"/>
          <w:color w:val="000000"/>
          <w:spacing w:val="-2"/>
          <w:kern w:val="1"/>
          <w:sz w:val="24"/>
          <w:szCs w:val="24"/>
          <w:lang w:val="en-US" w:eastAsia="zh-CN" w:bidi="ar-SA"/>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DB2CEDA">
      <w:pPr>
        <w:pStyle w:val="9"/>
        <w:spacing w:before="96" w:line="282" w:lineRule="auto"/>
        <w:ind w:left="37" w:right="78" w:firstLine="409"/>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（十二）软件和信息技术服务业。</w:t>
      </w:r>
      <w:r>
        <w:rPr>
          <w:rFonts w:hint="eastAsia" w:ascii="宋体" w:hAnsi="宋体" w:eastAsia="宋体" w:cs="宋体"/>
          <w:color w:val="000000"/>
          <w:spacing w:val="-2"/>
          <w:kern w:val="1"/>
          <w:sz w:val="24"/>
          <w:szCs w:val="24"/>
          <w:lang w:val="en-US" w:eastAsia="zh-CN" w:bidi="ar-S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2BFB71B">
      <w:pPr>
        <w:pStyle w:val="9"/>
        <w:spacing w:before="96" w:line="282" w:lineRule="auto"/>
        <w:ind w:left="23" w:right="75" w:firstLine="442"/>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（十三）房地产开发经营。</w:t>
      </w:r>
      <w:r>
        <w:rPr>
          <w:rFonts w:hint="eastAsia" w:ascii="宋体" w:hAnsi="宋体" w:eastAsia="宋体" w:cs="宋体"/>
          <w:color w:val="000000"/>
          <w:spacing w:val="-2"/>
          <w:kern w:val="1"/>
          <w:sz w:val="24"/>
          <w:szCs w:val="24"/>
          <w:lang w:val="en-US" w:eastAsia="zh-CN" w:bidi="ar-SA"/>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6C726D3">
      <w:pPr>
        <w:pStyle w:val="9"/>
        <w:spacing w:before="96" w:line="282" w:lineRule="auto"/>
        <w:ind w:left="19" w:right="76" w:firstLine="429"/>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（十四）物业管理。</w:t>
      </w:r>
      <w:r>
        <w:rPr>
          <w:rFonts w:hint="eastAsia" w:ascii="宋体" w:hAnsi="宋体" w:eastAsia="宋体" w:cs="宋体"/>
          <w:color w:val="000000"/>
          <w:spacing w:val="-2"/>
          <w:kern w:val="1"/>
          <w:sz w:val="24"/>
          <w:szCs w:val="24"/>
          <w:lang w:val="en-US" w:eastAsia="zh-CN" w:bidi="ar-SA"/>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DF9979">
      <w:pPr>
        <w:pStyle w:val="9"/>
        <w:spacing w:before="96" w:line="282" w:lineRule="auto"/>
        <w:ind w:left="23" w:right="78" w:firstLine="442"/>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（十五）租赁和商务服务业。</w:t>
      </w:r>
      <w:r>
        <w:rPr>
          <w:rFonts w:hint="eastAsia" w:ascii="宋体" w:hAnsi="宋体" w:eastAsia="宋体" w:cs="宋体"/>
          <w:color w:val="000000"/>
          <w:spacing w:val="-2"/>
          <w:kern w:val="1"/>
          <w:sz w:val="24"/>
          <w:szCs w:val="24"/>
          <w:lang w:val="en-US" w:eastAsia="zh-CN" w:bidi="ar-SA"/>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3BE484A">
      <w:pPr>
        <w:pStyle w:val="9"/>
        <w:spacing w:before="97" w:line="275" w:lineRule="auto"/>
        <w:ind w:left="27" w:right="76" w:firstLine="426"/>
        <w:rPr>
          <w:rFonts w:hint="eastAsia" w:ascii="宋体" w:hAnsi="宋体" w:eastAsia="宋体" w:cs="宋体"/>
          <w:color w:val="000000"/>
          <w:spacing w:val="-2"/>
          <w:kern w:val="1"/>
          <w:sz w:val="24"/>
          <w:szCs w:val="24"/>
          <w:lang w:val="en-US" w:eastAsia="zh-CN" w:bidi="ar-SA"/>
        </w:rPr>
      </w:pPr>
      <w:r>
        <w:rPr>
          <w:rFonts w:hint="eastAsia" w:ascii="宋体" w:hAnsi="宋体" w:eastAsia="宋体" w:cs="宋体"/>
          <w:b/>
          <w:bCs/>
          <w:color w:val="000000"/>
          <w:spacing w:val="-2"/>
          <w:kern w:val="1"/>
          <w:sz w:val="24"/>
          <w:szCs w:val="24"/>
          <w:lang w:val="en-US" w:eastAsia="zh-CN" w:bidi="ar-SA"/>
        </w:rPr>
        <w:t>（十六）其他未列明行业。</w:t>
      </w:r>
      <w:r>
        <w:rPr>
          <w:rFonts w:hint="eastAsia" w:ascii="宋体" w:hAnsi="宋体" w:eastAsia="宋体" w:cs="宋体"/>
          <w:color w:val="000000"/>
          <w:spacing w:val="-2"/>
          <w:kern w:val="1"/>
          <w:sz w:val="24"/>
          <w:szCs w:val="24"/>
          <w:lang w:val="en-US" w:eastAsia="zh-CN" w:bidi="ar-SA"/>
        </w:rPr>
        <w:t>从业人员300人以下的为中小微型企业。其中，从业人员100人及以上的为中型企业；从业人员10人及以上的为小型企业；从业人员10人以下的为微型企业。</w:t>
      </w:r>
    </w:p>
    <w:p w14:paraId="178036F5">
      <w:pPr>
        <w:spacing w:line="275" w:lineRule="auto"/>
        <w:rPr>
          <w:rFonts w:ascii="Calibri" w:hAnsi="Calibri" w:eastAsia="宋体" w:cs="Calibri"/>
          <w:color w:val="000000"/>
          <w:spacing w:val="-2"/>
          <w:kern w:val="1"/>
          <w:sz w:val="28"/>
          <w:szCs w:val="28"/>
          <w:lang w:val="en-US" w:eastAsia="zh-CN" w:bidi="ar-SA"/>
        </w:rPr>
      </w:pPr>
    </w:p>
    <w:p w14:paraId="57D16C75">
      <w:pPr>
        <w:spacing w:line="275" w:lineRule="auto"/>
        <w:rPr>
          <w:rFonts w:ascii="Calibri" w:hAnsi="Calibri" w:eastAsia="宋体" w:cs="Calibri"/>
          <w:color w:val="000000"/>
          <w:spacing w:val="-2"/>
          <w:kern w:val="1"/>
          <w:sz w:val="28"/>
          <w:szCs w:val="28"/>
          <w:lang w:val="en-US" w:eastAsia="zh-CN" w:bidi="ar-SA"/>
        </w:rPr>
      </w:pPr>
    </w:p>
    <w:p w14:paraId="626F823E">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5B1C3812">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6F78F063">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6739CA53">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4A108B83">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3B162E75">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1A6F1607">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65BFEF98">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0F2B0D5A">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6ECA4094">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59FACDFF">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2BB251C3">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3C8F78AE">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7EFC0CDE">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10CE2AB1">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06451501">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10F75CF8">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49340E10">
      <w:pPr>
        <w:rPr>
          <w:rFonts w:hint="eastAsia" w:ascii="Calibri" w:hAnsi="Calibri" w:eastAsia="宋体" w:cs="Calibri"/>
          <w:b/>
          <w:bCs/>
          <w:color w:val="000000"/>
          <w:spacing w:val="-2"/>
          <w:kern w:val="1"/>
          <w:sz w:val="32"/>
          <w:szCs w:val="32"/>
          <w:lang w:val="en-US" w:eastAsia="zh-CN" w:bidi="ar-SA"/>
        </w:rPr>
      </w:pPr>
    </w:p>
    <w:p w14:paraId="168BB6EF">
      <w:pPr>
        <w:pStyle w:val="9"/>
        <w:rPr>
          <w:rFonts w:hint="eastAsia" w:ascii="Calibri" w:hAnsi="Calibri" w:eastAsia="宋体" w:cs="Calibri"/>
          <w:b/>
          <w:bCs/>
          <w:color w:val="000000"/>
          <w:spacing w:val="-2"/>
          <w:kern w:val="1"/>
          <w:sz w:val="32"/>
          <w:szCs w:val="32"/>
          <w:lang w:val="en-US" w:eastAsia="zh-CN" w:bidi="ar-SA"/>
        </w:rPr>
      </w:pPr>
    </w:p>
    <w:p w14:paraId="6E892891">
      <w:pPr>
        <w:rPr>
          <w:rFonts w:hint="eastAsia" w:ascii="Calibri" w:hAnsi="Calibri" w:eastAsia="宋体" w:cs="Calibri"/>
          <w:b/>
          <w:bCs/>
          <w:color w:val="000000"/>
          <w:spacing w:val="-2"/>
          <w:kern w:val="1"/>
          <w:sz w:val="32"/>
          <w:szCs w:val="32"/>
          <w:lang w:val="en-US" w:eastAsia="zh-CN" w:bidi="ar-SA"/>
        </w:rPr>
      </w:pPr>
    </w:p>
    <w:p w14:paraId="24F3C06A">
      <w:pPr>
        <w:pStyle w:val="9"/>
        <w:rPr>
          <w:rFonts w:hint="eastAsia"/>
          <w:lang w:val="en-US" w:eastAsia="zh-CN"/>
        </w:rPr>
      </w:pPr>
    </w:p>
    <w:p w14:paraId="566E93C9">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0DC09633">
      <w:pPr>
        <w:pStyle w:val="9"/>
        <w:spacing w:before="97" w:line="275" w:lineRule="auto"/>
        <w:ind w:left="27" w:right="76" w:firstLine="426"/>
        <w:jc w:val="center"/>
        <w:rPr>
          <w:rFonts w:hint="eastAsia" w:ascii="Calibri" w:hAnsi="Calibri" w:eastAsia="宋体" w:cs="Calibri"/>
          <w:b/>
          <w:bCs/>
          <w:color w:val="000000"/>
          <w:spacing w:val="-2"/>
          <w:kern w:val="1"/>
          <w:sz w:val="32"/>
          <w:szCs w:val="32"/>
          <w:lang w:val="en-US" w:eastAsia="zh-CN" w:bidi="ar-SA"/>
        </w:rPr>
      </w:pPr>
    </w:p>
    <w:p w14:paraId="0551CDB7">
      <w:pPr>
        <w:pStyle w:val="9"/>
        <w:spacing w:before="97" w:line="275" w:lineRule="auto"/>
        <w:ind w:left="27" w:right="76" w:firstLine="426"/>
        <w:jc w:val="center"/>
        <w:rPr>
          <w:rFonts w:ascii="Calibri" w:hAnsi="Calibri" w:eastAsia="宋体" w:cs="Calibri"/>
          <w:color w:val="000000"/>
          <w:spacing w:val="-2"/>
          <w:kern w:val="1"/>
          <w:sz w:val="28"/>
          <w:szCs w:val="28"/>
          <w:lang w:val="en-US" w:eastAsia="zh-CN" w:bidi="ar-SA"/>
        </w:rPr>
      </w:pPr>
      <w:r>
        <w:rPr>
          <w:rFonts w:hint="eastAsia" w:eastAsia="宋体" w:cs="Calibri"/>
          <w:b/>
          <w:bCs/>
          <w:color w:val="000000"/>
          <w:spacing w:val="-2"/>
          <w:kern w:val="1"/>
          <w:sz w:val="32"/>
          <w:szCs w:val="32"/>
          <w:lang w:val="en-US" w:eastAsia="zh-CN" w:bidi="ar-SA"/>
        </w:rPr>
        <w:t>4</w:t>
      </w:r>
      <w:r>
        <w:rPr>
          <w:rFonts w:hint="eastAsia" w:ascii="Calibri" w:hAnsi="Calibri" w:eastAsia="宋体" w:cs="Calibri"/>
          <w:b/>
          <w:bCs/>
          <w:color w:val="000000"/>
          <w:spacing w:val="-2"/>
          <w:kern w:val="1"/>
          <w:sz w:val="32"/>
          <w:szCs w:val="32"/>
          <w:lang w:val="en-US" w:eastAsia="zh-CN" w:bidi="ar-SA"/>
        </w:rPr>
        <w:t>.2供应商监狱企业声明函</w:t>
      </w:r>
    </w:p>
    <w:p w14:paraId="04C1A7DB">
      <w:pPr>
        <w:pStyle w:val="9"/>
        <w:spacing w:before="78" w:line="468" w:lineRule="exact"/>
        <w:ind w:firstLine="472" w:firstLineChars="2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本企业（单位）郑重声明下列事项（按照实际情况勾选或填空）：</w:t>
      </w:r>
    </w:p>
    <w:p w14:paraId="41C04E41">
      <w:pPr>
        <w:pStyle w:val="9"/>
        <w:spacing w:before="78" w:line="468" w:lineRule="exact"/>
        <w:ind w:firstLine="472" w:firstLineChars="2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本企业（单位）为直接投标供应商提供本企业（单位）制造的货物（由本单位承担工程/提供服务）。</w:t>
      </w:r>
    </w:p>
    <w:p w14:paraId="6EAF93D7">
      <w:pPr>
        <w:pStyle w:val="9"/>
        <w:spacing w:before="78" w:line="468" w:lineRule="exact"/>
        <w:ind w:firstLine="472" w:firstLineChars="2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（1）本企业（单位）</w:t>
      </w:r>
      <w:r>
        <w:rPr>
          <w:rFonts w:hint="eastAsia" w:eastAsia="宋体" w:cs="Calibri"/>
          <w:color w:val="000000"/>
          <w:spacing w:val="-2"/>
          <w:kern w:val="1"/>
          <w:sz w:val="24"/>
          <w:szCs w:val="24"/>
          <w:lang w:val="en-US" w:eastAsia="zh-CN" w:bidi="ar-SA"/>
        </w:rPr>
        <w:t xml:space="preserve">  ___</w:t>
      </w:r>
      <w:r>
        <w:rPr>
          <w:rFonts w:ascii="Calibri" w:hAnsi="Calibri" w:eastAsia="宋体" w:cs="Calibri"/>
          <w:color w:val="000000"/>
          <w:spacing w:val="-2"/>
          <w:kern w:val="1"/>
          <w:sz w:val="24"/>
          <w:szCs w:val="24"/>
          <w:lang w:val="en-US" w:eastAsia="zh-CN" w:bidi="ar-SA"/>
        </w:rPr>
        <w:t>（请填写：是、不是）监狱企业。后附省级以上监狱管理局、戒毒管理局（含新疆生产建设兵团）出具的属于监狱企业的证明文件。</w:t>
      </w:r>
    </w:p>
    <w:p w14:paraId="139FC9BD">
      <w:pPr>
        <w:pStyle w:val="9"/>
        <w:spacing w:before="78" w:line="360" w:lineRule="auto"/>
        <w:ind w:left="22" w:right="89" w:firstLine="425"/>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（2）本企业（单位）</w:t>
      </w:r>
      <w:r>
        <w:rPr>
          <w:rFonts w:hint="eastAsia" w:eastAsia="宋体" w:cs="Calibri"/>
          <w:color w:val="000000"/>
          <w:spacing w:val="-2"/>
          <w:kern w:val="1"/>
          <w:sz w:val="24"/>
          <w:szCs w:val="24"/>
          <w:lang w:val="en-US" w:eastAsia="zh-CN" w:bidi="ar-SA"/>
        </w:rPr>
        <w:t xml:space="preserve">____ </w:t>
      </w:r>
      <w:r>
        <w:rPr>
          <w:rFonts w:ascii="Calibri" w:hAnsi="Calibri" w:eastAsia="宋体" w:cs="Calibri"/>
          <w:color w:val="000000"/>
          <w:spacing w:val="-2"/>
          <w:kern w:val="1"/>
          <w:sz w:val="24"/>
          <w:szCs w:val="24"/>
          <w:lang w:val="en-US" w:eastAsia="zh-CN" w:bidi="ar-SA"/>
        </w:rPr>
        <w:t>（请填写：是、不是）为联合体一方，提供本企业（单位）制造的货物（由本企业（单位）承担工程、提供服务）。本企业（单位）提供协议合同金额占到共同投标协议合同总金额的比例为</w:t>
      </w:r>
      <w:r>
        <w:rPr>
          <w:rFonts w:hint="eastAsia" w:eastAsia="宋体" w:cs="Calibri"/>
          <w:color w:val="000000"/>
          <w:spacing w:val="-2"/>
          <w:kern w:val="1"/>
          <w:sz w:val="24"/>
          <w:szCs w:val="24"/>
          <w:lang w:val="en-US" w:eastAsia="zh-CN" w:bidi="ar-SA"/>
        </w:rPr>
        <w:t xml:space="preserve">  _____ </w:t>
      </w:r>
      <w:r>
        <w:rPr>
          <w:rFonts w:ascii="Calibri" w:hAnsi="Calibri" w:eastAsia="宋体" w:cs="Calibri"/>
          <w:color w:val="000000"/>
          <w:spacing w:val="-2"/>
          <w:kern w:val="1"/>
          <w:sz w:val="24"/>
          <w:szCs w:val="24"/>
          <w:lang w:val="en-US" w:eastAsia="zh-CN" w:bidi="ar-SA"/>
        </w:rPr>
        <w:t>。</w:t>
      </w:r>
    </w:p>
    <w:p w14:paraId="5CEBD0D2">
      <w:pPr>
        <w:pStyle w:val="9"/>
        <w:spacing w:before="78" w:line="219" w:lineRule="auto"/>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本企业（单位）对上述声明的真实性负责。如有虚假，将依法承担相应责任。</w:t>
      </w:r>
    </w:p>
    <w:p w14:paraId="543A6072">
      <w:pPr>
        <w:spacing w:line="261" w:lineRule="auto"/>
        <w:rPr>
          <w:rFonts w:ascii="Calibri" w:hAnsi="Calibri" w:eastAsia="宋体" w:cs="Calibri"/>
          <w:color w:val="000000"/>
          <w:spacing w:val="-2"/>
          <w:kern w:val="1"/>
          <w:sz w:val="24"/>
          <w:szCs w:val="24"/>
          <w:lang w:val="en-US" w:eastAsia="zh-CN" w:bidi="ar-SA"/>
        </w:rPr>
      </w:pPr>
    </w:p>
    <w:p w14:paraId="3A256A93">
      <w:pPr>
        <w:spacing w:line="262" w:lineRule="auto"/>
        <w:rPr>
          <w:rFonts w:ascii="Calibri" w:hAnsi="Calibri" w:eastAsia="宋体" w:cs="Calibri"/>
          <w:color w:val="000000"/>
          <w:spacing w:val="-2"/>
          <w:kern w:val="1"/>
          <w:sz w:val="24"/>
          <w:szCs w:val="24"/>
          <w:lang w:val="en-US" w:eastAsia="zh-CN" w:bidi="ar-SA"/>
        </w:rPr>
      </w:pPr>
    </w:p>
    <w:p w14:paraId="79817204">
      <w:pPr>
        <w:spacing w:line="262" w:lineRule="auto"/>
        <w:rPr>
          <w:rFonts w:ascii="Calibri" w:hAnsi="Calibri" w:eastAsia="宋体" w:cs="Calibri"/>
          <w:color w:val="000000"/>
          <w:spacing w:val="-2"/>
          <w:kern w:val="1"/>
          <w:sz w:val="24"/>
          <w:szCs w:val="24"/>
          <w:lang w:val="en-US" w:eastAsia="zh-CN" w:bidi="ar-SA"/>
        </w:rPr>
      </w:pPr>
    </w:p>
    <w:p w14:paraId="2A8DEAC2">
      <w:pPr>
        <w:spacing w:line="262" w:lineRule="auto"/>
        <w:rPr>
          <w:rFonts w:ascii="Calibri" w:hAnsi="Calibri" w:eastAsia="宋体" w:cs="Calibri"/>
          <w:color w:val="000000"/>
          <w:spacing w:val="-2"/>
          <w:kern w:val="1"/>
          <w:sz w:val="24"/>
          <w:szCs w:val="24"/>
          <w:lang w:val="en-US" w:eastAsia="zh-CN" w:bidi="ar-SA"/>
        </w:rPr>
      </w:pPr>
    </w:p>
    <w:p w14:paraId="0AFC1056">
      <w:pPr>
        <w:spacing w:line="262" w:lineRule="auto"/>
        <w:rPr>
          <w:rFonts w:ascii="Calibri" w:hAnsi="Calibri" w:eastAsia="宋体" w:cs="Calibri"/>
          <w:color w:val="000000"/>
          <w:spacing w:val="-2"/>
          <w:kern w:val="1"/>
          <w:sz w:val="24"/>
          <w:szCs w:val="24"/>
          <w:lang w:val="en-US" w:eastAsia="zh-CN" w:bidi="ar-SA"/>
        </w:rPr>
      </w:pPr>
    </w:p>
    <w:p w14:paraId="0CAA2310">
      <w:pPr>
        <w:spacing w:line="262" w:lineRule="auto"/>
        <w:rPr>
          <w:rFonts w:ascii="Calibri" w:hAnsi="Calibri" w:eastAsia="宋体" w:cs="Calibri"/>
          <w:color w:val="000000"/>
          <w:spacing w:val="-2"/>
          <w:kern w:val="1"/>
          <w:sz w:val="24"/>
          <w:szCs w:val="24"/>
          <w:lang w:val="en-US" w:eastAsia="zh-CN" w:bidi="ar-SA"/>
        </w:rPr>
      </w:pPr>
    </w:p>
    <w:p w14:paraId="1F559726">
      <w:pPr>
        <w:spacing w:line="262" w:lineRule="auto"/>
        <w:rPr>
          <w:rFonts w:ascii="Calibri" w:hAnsi="Calibri" w:eastAsia="宋体" w:cs="Calibri"/>
          <w:color w:val="000000"/>
          <w:spacing w:val="-2"/>
          <w:kern w:val="1"/>
          <w:sz w:val="24"/>
          <w:szCs w:val="24"/>
          <w:lang w:val="en-US" w:eastAsia="zh-CN" w:bidi="ar-SA"/>
        </w:rPr>
      </w:pPr>
    </w:p>
    <w:p w14:paraId="78DB2C28">
      <w:pPr>
        <w:pStyle w:val="9"/>
        <w:spacing w:before="79" w:line="219" w:lineRule="auto"/>
        <w:ind w:left="3984"/>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投标供应商（</w:t>
      </w:r>
      <w:r>
        <w:rPr>
          <w:rFonts w:hint="eastAsia" w:ascii="Calibri" w:hAnsi="Calibri" w:eastAsia="宋体" w:cs="Calibri"/>
          <w:color w:val="000000"/>
          <w:spacing w:val="-2"/>
          <w:kern w:val="1"/>
          <w:sz w:val="24"/>
          <w:szCs w:val="24"/>
          <w:lang w:val="en-US" w:eastAsia="zh-CN" w:bidi="ar-SA"/>
        </w:rPr>
        <w:t>电子公章</w:t>
      </w:r>
      <w:r>
        <w:rPr>
          <w:rFonts w:ascii="Calibri" w:hAnsi="Calibri" w:eastAsia="宋体" w:cs="Calibri"/>
          <w:color w:val="000000"/>
          <w:spacing w:val="-2"/>
          <w:kern w:val="1"/>
          <w:sz w:val="24"/>
          <w:szCs w:val="24"/>
          <w:lang w:val="en-US" w:eastAsia="zh-CN" w:bidi="ar-SA"/>
        </w:rPr>
        <w:t>）：</w:t>
      </w:r>
      <w:r>
        <w:rPr>
          <w:rFonts w:hint="eastAsia" w:eastAsia="宋体" w:cs="Calibri"/>
          <w:color w:val="000000"/>
          <w:spacing w:val="-2"/>
          <w:kern w:val="1"/>
          <w:sz w:val="24"/>
          <w:szCs w:val="24"/>
          <w:lang w:val="en-US" w:eastAsia="zh-CN" w:bidi="ar-SA"/>
        </w:rPr>
        <w:t>______________</w:t>
      </w:r>
    </w:p>
    <w:p w14:paraId="318E745B">
      <w:pPr>
        <w:spacing w:line="384" w:lineRule="auto"/>
        <w:rPr>
          <w:rFonts w:ascii="Calibri" w:hAnsi="Calibri" w:eastAsia="宋体" w:cs="Calibri"/>
          <w:color w:val="000000"/>
          <w:spacing w:val="-2"/>
          <w:kern w:val="1"/>
          <w:sz w:val="24"/>
          <w:szCs w:val="24"/>
          <w:lang w:val="en-US" w:eastAsia="zh-CN" w:bidi="ar-SA"/>
        </w:rPr>
      </w:pPr>
    </w:p>
    <w:p w14:paraId="42D6010E">
      <w:pPr>
        <w:pStyle w:val="9"/>
        <w:spacing w:before="78" w:line="220" w:lineRule="auto"/>
        <w:ind w:left="4023"/>
        <w:rPr>
          <w:rFonts w:hint="default"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4"/>
          <w:szCs w:val="24"/>
          <w:lang w:val="en-US" w:eastAsia="zh-CN" w:bidi="ar-SA"/>
        </w:rPr>
        <w:t>日</w:t>
      </w:r>
      <w:r>
        <w:rPr>
          <w:rFonts w:hint="eastAsia"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期：</w:t>
      </w:r>
      <w:r>
        <w:rPr>
          <w:rFonts w:hint="eastAsia" w:eastAsia="宋体" w:cs="Calibri"/>
          <w:color w:val="000000"/>
          <w:spacing w:val="-2"/>
          <w:kern w:val="1"/>
          <w:sz w:val="24"/>
          <w:szCs w:val="24"/>
          <w:lang w:val="en-US" w:eastAsia="zh-CN" w:bidi="ar-SA"/>
        </w:rPr>
        <w:t>________________</w:t>
      </w:r>
    </w:p>
    <w:p w14:paraId="06FAF097">
      <w:pPr>
        <w:spacing w:line="290" w:lineRule="auto"/>
        <w:rPr>
          <w:rFonts w:ascii="Calibri" w:hAnsi="Calibri" w:eastAsia="宋体" w:cs="Calibri"/>
          <w:color w:val="000000"/>
          <w:spacing w:val="-2"/>
          <w:kern w:val="1"/>
          <w:sz w:val="28"/>
          <w:szCs w:val="28"/>
          <w:lang w:val="en-US" w:eastAsia="zh-CN" w:bidi="ar-SA"/>
        </w:rPr>
      </w:pPr>
    </w:p>
    <w:p w14:paraId="65C08230">
      <w:pPr>
        <w:spacing w:line="290" w:lineRule="auto"/>
        <w:rPr>
          <w:rFonts w:ascii="Calibri" w:hAnsi="Calibri" w:eastAsia="宋体" w:cs="Calibri"/>
          <w:color w:val="000000"/>
          <w:spacing w:val="-2"/>
          <w:kern w:val="1"/>
          <w:sz w:val="28"/>
          <w:szCs w:val="28"/>
          <w:lang w:val="en-US" w:eastAsia="zh-CN" w:bidi="ar-SA"/>
        </w:rPr>
      </w:pPr>
    </w:p>
    <w:p w14:paraId="3B049DAC">
      <w:pPr>
        <w:spacing w:line="290" w:lineRule="auto"/>
        <w:rPr>
          <w:rFonts w:ascii="Calibri" w:hAnsi="Calibri" w:eastAsia="宋体" w:cs="Calibri"/>
          <w:color w:val="000000"/>
          <w:spacing w:val="-2"/>
          <w:kern w:val="1"/>
          <w:sz w:val="28"/>
          <w:szCs w:val="28"/>
          <w:lang w:val="en-US" w:eastAsia="zh-CN" w:bidi="ar-SA"/>
        </w:rPr>
      </w:pPr>
    </w:p>
    <w:p w14:paraId="0B9F3BE3">
      <w:pPr>
        <w:spacing w:line="266" w:lineRule="auto"/>
        <w:rPr>
          <w:rFonts w:ascii="Calibri" w:hAnsi="Calibri" w:eastAsia="宋体" w:cs="Calibri"/>
          <w:b/>
          <w:bCs/>
          <w:color w:val="000000"/>
          <w:spacing w:val="-2"/>
          <w:kern w:val="1"/>
          <w:sz w:val="24"/>
          <w:szCs w:val="24"/>
          <w:lang w:val="en-US" w:eastAsia="zh-CN" w:bidi="ar-SA"/>
        </w:rPr>
      </w:pPr>
      <w:r>
        <w:rPr>
          <w:rFonts w:ascii="Calibri" w:hAnsi="Calibri" w:eastAsia="宋体" w:cs="Calibri"/>
          <w:b/>
          <w:bCs/>
          <w:color w:val="000000"/>
          <w:spacing w:val="-2"/>
          <w:kern w:val="1"/>
          <w:sz w:val="24"/>
          <w:szCs w:val="24"/>
          <w:lang w:val="en-US" w:eastAsia="zh-CN" w:bidi="ar-SA"/>
        </w:rPr>
        <w:t>注：如供应商为监狱企业，须提供省级以上监狱管理局、戒毒管理局（含新疆生产建设兵团）出具的属于监狱企业证明文件的，视同为小型和微型企业。</w:t>
      </w:r>
    </w:p>
    <w:p w14:paraId="4914B220">
      <w:pPr>
        <w:spacing w:line="275" w:lineRule="auto"/>
        <w:rPr>
          <w:rFonts w:ascii="Calibri" w:hAnsi="Calibri" w:eastAsia="宋体" w:cs="Calibri"/>
          <w:color w:val="000000"/>
          <w:spacing w:val="-2"/>
          <w:kern w:val="1"/>
          <w:sz w:val="28"/>
          <w:szCs w:val="28"/>
          <w:lang w:val="en-US" w:eastAsia="zh-CN" w:bidi="ar-SA"/>
        </w:rPr>
      </w:pPr>
    </w:p>
    <w:p w14:paraId="1B255F17">
      <w:pPr>
        <w:spacing w:line="275" w:lineRule="auto"/>
        <w:rPr>
          <w:rFonts w:ascii="Calibri" w:hAnsi="Calibri" w:eastAsia="宋体" w:cs="Calibri"/>
          <w:color w:val="000000"/>
          <w:spacing w:val="-2"/>
          <w:kern w:val="1"/>
          <w:sz w:val="28"/>
          <w:szCs w:val="28"/>
          <w:lang w:val="en-US" w:eastAsia="zh-CN" w:bidi="ar-SA"/>
        </w:rPr>
      </w:pPr>
    </w:p>
    <w:p w14:paraId="4698877A">
      <w:pPr>
        <w:spacing w:line="275" w:lineRule="auto"/>
        <w:rPr>
          <w:rFonts w:ascii="Calibri" w:hAnsi="Calibri" w:eastAsia="宋体" w:cs="Calibri"/>
          <w:color w:val="000000"/>
          <w:spacing w:val="-2"/>
          <w:kern w:val="1"/>
          <w:sz w:val="28"/>
          <w:szCs w:val="28"/>
          <w:lang w:val="en-US" w:eastAsia="zh-CN" w:bidi="ar-SA"/>
        </w:rPr>
      </w:pPr>
    </w:p>
    <w:p w14:paraId="2A8385E8">
      <w:pPr>
        <w:spacing w:line="275" w:lineRule="auto"/>
        <w:rPr>
          <w:rFonts w:ascii="Calibri" w:hAnsi="Calibri" w:eastAsia="宋体" w:cs="Calibri"/>
          <w:color w:val="000000"/>
          <w:spacing w:val="-2"/>
          <w:kern w:val="1"/>
          <w:sz w:val="28"/>
          <w:szCs w:val="28"/>
          <w:lang w:val="en-US" w:eastAsia="zh-CN" w:bidi="ar-SA"/>
        </w:rPr>
      </w:pPr>
    </w:p>
    <w:p w14:paraId="088A61F6">
      <w:pPr>
        <w:spacing w:line="275" w:lineRule="auto"/>
        <w:rPr>
          <w:rFonts w:ascii="Calibri" w:hAnsi="Calibri" w:eastAsia="宋体" w:cs="Calibri"/>
          <w:color w:val="000000"/>
          <w:spacing w:val="-2"/>
          <w:kern w:val="1"/>
          <w:sz w:val="28"/>
          <w:szCs w:val="28"/>
          <w:lang w:val="en-US" w:eastAsia="zh-CN" w:bidi="ar-SA"/>
        </w:rPr>
      </w:pPr>
    </w:p>
    <w:p w14:paraId="424CEFAD">
      <w:pPr>
        <w:spacing w:line="267" w:lineRule="auto"/>
        <w:rPr>
          <w:rFonts w:ascii="Calibri" w:hAnsi="Calibri" w:eastAsia="宋体" w:cs="Calibri"/>
          <w:color w:val="000000"/>
          <w:spacing w:val="-2"/>
          <w:kern w:val="1"/>
          <w:sz w:val="28"/>
          <w:szCs w:val="28"/>
          <w:lang w:val="en-US" w:eastAsia="zh-CN" w:bidi="ar-SA"/>
        </w:rPr>
      </w:pPr>
    </w:p>
    <w:p w14:paraId="0D18E997">
      <w:pPr>
        <w:pStyle w:val="9"/>
        <w:rPr>
          <w:rFonts w:ascii="Calibri" w:hAnsi="Calibri" w:eastAsia="宋体" w:cs="Calibri"/>
          <w:color w:val="000000"/>
          <w:spacing w:val="-2"/>
          <w:kern w:val="1"/>
          <w:sz w:val="28"/>
          <w:szCs w:val="28"/>
          <w:lang w:val="en-US" w:eastAsia="zh-CN" w:bidi="ar-SA"/>
        </w:rPr>
      </w:pPr>
    </w:p>
    <w:p w14:paraId="65CBA389">
      <w:pPr>
        <w:rPr>
          <w:rFonts w:ascii="Calibri" w:hAnsi="Calibri" w:eastAsia="宋体" w:cs="Calibri"/>
          <w:color w:val="000000"/>
          <w:spacing w:val="-2"/>
          <w:kern w:val="1"/>
          <w:sz w:val="28"/>
          <w:szCs w:val="28"/>
          <w:lang w:val="en-US" w:eastAsia="zh-CN" w:bidi="ar-SA"/>
        </w:rPr>
      </w:pPr>
    </w:p>
    <w:p w14:paraId="047EA7A9">
      <w:pPr>
        <w:pStyle w:val="9"/>
        <w:rPr>
          <w:lang w:val="en-US" w:eastAsia="zh-CN"/>
        </w:rPr>
      </w:pPr>
    </w:p>
    <w:p w14:paraId="22CCD172">
      <w:pPr>
        <w:pStyle w:val="9"/>
        <w:spacing w:before="97" w:line="275" w:lineRule="auto"/>
        <w:ind w:left="27" w:right="76" w:firstLine="426"/>
        <w:jc w:val="center"/>
        <w:rPr>
          <w:rFonts w:ascii="Calibri" w:hAnsi="Calibri" w:eastAsia="宋体" w:cs="Calibri"/>
          <w:color w:val="000000"/>
          <w:spacing w:val="-2"/>
          <w:kern w:val="1"/>
          <w:sz w:val="28"/>
          <w:szCs w:val="28"/>
          <w:lang w:val="en-US" w:eastAsia="zh-CN" w:bidi="ar-SA"/>
        </w:rPr>
      </w:pPr>
      <w:r>
        <w:rPr>
          <w:rFonts w:hint="eastAsia" w:eastAsia="宋体" w:cs="Calibri"/>
          <w:b/>
          <w:bCs/>
          <w:color w:val="000000"/>
          <w:spacing w:val="-2"/>
          <w:kern w:val="1"/>
          <w:sz w:val="28"/>
          <w:szCs w:val="28"/>
          <w:lang w:val="en-US" w:eastAsia="zh-CN" w:bidi="ar-SA"/>
        </w:rPr>
        <w:t>4</w:t>
      </w:r>
      <w:r>
        <w:rPr>
          <w:rFonts w:hint="eastAsia" w:ascii="Calibri" w:hAnsi="Calibri" w:eastAsia="宋体" w:cs="Calibri"/>
          <w:b/>
          <w:bCs/>
          <w:color w:val="000000"/>
          <w:spacing w:val="-2"/>
          <w:kern w:val="1"/>
          <w:sz w:val="28"/>
          <w:szCs w:val="28"/>
          <w:lang w:val="en-US" w:eastAsia="zh-CN" w:bidi="ar-SA"/>
        </w:rPr>
        <w:t>.3残疾人福利性单位声明函</w:t>
      </w:r>
    </w:p>
    <w:p w14:paraId="285AECC3">
      <w:pPr>
        <w:pStyle w:val="9"/>
        <w:spacing w:before="78" w:line="360" w:lineRule="auto"/>
        <w:ind w:left="20" w:right="10" w:firstLine="568"/>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本单位郑重声明，根据《财政部民政部中国残疾人联合会关于促进残疾人就业政府采购政策的通知》（财库〔2017〕141号）的规定，本单位为符合条件的残疾人福利性单位，且本单位参加</w:t>
      </w:r>
      <w:r>
        <w:rPr>
          <w:rFonts w:hint="eastAsia" w:eastAsia="宋体" w:cs="Calibri"/>
          <w:color w:val="000000"/>
          <w:spacing w:val="-2"/>
          <w:kern w:val="1"/>
          <w:sz w:val="24"/>
          <w:szCs w:val="24"/>
          <w:lang w:val="en-US" w:eastAsia="zh-CN" w:bidi="ar-SA"/>
        </w:rPr>
        <w:t>____</w:t>
      </w:r>
      <w:r>
        <w:rPr>
          <w:rFonts w:ascii="Calibri" w:hAnsi="Calibri" w:eastAsia="宋体" w:cs="Calibri"/>
          <w:color w:val="000000"/>
          <w:spacing w:val="-2"/>
          <w:kern w:val="1"/>
          <w:sz w:val="24"/>
          <w:szCs w:val="24"/>
          <w:lang w:val="en-US" w:eastAsia="zh-CN" w:bidi="ar-SA"/>
        </w:rPr>
        <w:t>单位的</w:t>
      </w:r>
      <w:r>
        <w:rPr>
          <w:rFonts w:hint="eastAsia" w:eastAsia="宋体" w:cs="Calibri"/>
          <w:color w:val="000000"/>
          <w:spacing w:val="-2"/>
          <w:kern w:val="1"/>
          <w:sz w:val="24"/>
          <w:szCs w:val="24"/>
          <w:lang w:val="en-US" w:eastAsia="zh-CN" w:bidi="ar-SA"/>
        </w:rPr>
        <w:t>_____</w:t>
      </w:r>
      <w:r>
        <w:rPr>
          <w:rFonts w:ascii="Calibri" w:hAnsi="Calibri" w:eastAsia="宋体" w:cs="Calibri"/>
          <w:color w:val="000000"/>
          <w:spacing w:val="-2"/>
          <w:kern w:val="1"/>
          <w:sz w:val="24"/>
          <w:szCs w:val="24"/>
          <w:lang w:val="en-US" w:eastAsia="zh-CN" w:bidi="ar-SA"/>
        </w:rPr>
        <w:t>项目采购活动提供本单位制造的货物（由本单位承担工程/提供服务），或者提供其他残疾人福利性单位制造的货物（不包括使用非残疾人福利性单位注册商标的货物）。</w:t>
      </w:r>
    </w:p>
    <w:p w14:paraId="4AAA0D61">
      <w:pPr>
        <w:pStyle w:val="9"/>
        <w:spacing w:before="183" w:line="219" w:lineRule="auto"/>
        <w:ind w:left="56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本单位对上述声明的真实性负责。如有虚假，将依法承担相应责任。</w:t>
      </w:r>
    </w:p>
    <w:p w14:paraId="09C96FF3">
      <w:pPr>
        <w:pStyle w:val="9"/>
        <w:spacing w:before="78" w:line="219" w:lineRule="auto"/>
        <w:ind w:left="1701"/>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残疾人福利性单位（</w:t>
      </w:r>
      <w:r>
        <w:rPr>
          <w:rFonts w:hint="eastAsia" w:ascii="Calibri" w:hAnsi="Calibri" w:eastAsia="宋体" w:cs="Calibri"/>
          <w:color w:val="000000"/>
          <w:spacing w:val="-2"/>
          <w:kern w:val="1"/>
          <w:sz w:val="24"/>
          <w:szCs w:val="24"/>
          <w:lang w:val="en-US" w:eastAsia="zh-CN" w:bidi="ar-SA"/>
        </w:rPr>
        <w:t>电子公章</w:t>
      </w:r>
      <w:r>
        <w:rPr>
          <w:rFonts w:ascii="Calibri" w:hAnsi="Calibri" w:eastAsia="宋体" w:cs="Calibri"/>
          <w:color w:val="000000"/>
          <w:spacing w:val="-2"/>
          <w:kern w:val="1"/>
          <w:sz w:val="24"/>
          <w:szCs w:val="24"/>
          <w:lang w:val="en-US" w:eastAsia="zh-CN" w:bidi="ar-SA"/>
        </w:rPr>
        <w:t>）：</w:t>
      </w:r>
      <w:r>
        <w:rPr>
          <w:rFonts w:hint="eastAsia" w:eastAsia="宋体" w:cs="Calibri"/>
          <w:color w:val="000000"/>
          <w:spacing w:val="-2"/>
          <w:kern w:val="1"/>
          <w:sz w:val="24"/>
          <w:szCs w:val="24"/>
          <w:lang w:val="en-US" w:eastAsia="zh-CN" w:bidi="ar-SA"/>
        </w:rPr>
        <w:t>___________</w:t>
      </w:r>
    </w:p>
    <w:p w14:paraId="5DA3EADC">
      <w:pPr>
        <w:pStyle w:val="9"/>
        <w:spacing w:before="78" w:line="220" w:lineRule="auto"/>
        <w:ind w:left="3828"/>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日期：</w:t>
      </w:r>
      <w:r>
        <w:rPr>
          <w:rFonts w:hint="eastAsia" w:eastAsia="宋体" w:cs="Calibri"/>
          <w:color w:val="000000"/>
          <w:spacing w:val="-2"/>
          <w:kern w:val="1"/>
          <w:sz w:val="24"/>
          <w:szCs w:val="24"/>
          <w:lang w:val="en-US" w:eastAsia="zh-CN" w:bidi="ar-SA"/>
        </w:rPr>
        <w:t>___________________</w:t>
      </w:r>
    </w:p>
    <w:p w14:paraId="4A108D2E">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p>
    <w:p w14:paraId="68E0C88A">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p>
    <w:p w14:paraId="04B65F3C">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注：符合享受政府采购支持政策的残疾人福利性单位条件且提供《残疾人福利性单位声明函》的，视同为小型和微型企业。</w:t>
      </w:r>
    </w:p>
    <w:p w14:paraId="252D7E70">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说明：为了发挥政府采购促进残疾人就业的作用，进一步保障残疾人权益，依照《政府采购法》、《残疾人保障法》等法律法规及相关规定，享受政府采购支持政策的残疾人福利性单位应当同时满足以下条件：</w:t>
      </w:r>
    </w:p>
    <w:p w14:paraId="02A30485">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(一)安置的残疾人占本单位在职职工人数的比例不低于25%(含25%)，并且安置的残疾人人数不少于10人(含10人)；</w:t>
      </w:r>
    </w:p>
    <w:p w14:paraId="708D87EC">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(二)依法与安置的每位残疾人签订了一年以上(含一年)的劳动合同或服务协议；</w:t>
      </w:r>
    </w:p>
    <w:p w14:paraId="3257A7C9">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 xml:space="preserve">  (三)为安置的每位残疾人按月足额缴纳了基本养老保险、基本医疗保险、失业保险、工伤保险和生育保险等社会保险费；</w:t>
      </w:r>
    </w:p>
    <w:p w14:paraId="0B653497">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(四)通过银行等金融机构向安置的每位残疾人，按月支付了不低于单位所在区县适用的经省级人民政府批准的月最低工资标准的工资；</w:t>
      </w:r>
    </w:p>
    <w:p w14:paraId="433EA3B3">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r>
        <w:rPr>
          <w:rFonts w:hint="eastAsia" w:ascii="Calibri" w:hAnsi="Calibri" w:eastAsia="宋体" w:cs="Calibri"/>
          <w:b w:val="0"/>
          <w:bCs w:val="0"/>
          <w:color w:val="000000"/>
          <w:spacing w:val="-2"/>
          <w:kern w:val="1"/>
          <w:sz w:val="24"/>
          <w:szCs w:val="24"/>
          <w:lang w:val="en-US" w:eastAsia="zh-CN" w:bidi="ar-SA"/>
        </w:rPr>
        <w:t>(五)提供本单位制造的货物、承担的工程或者服务(以下简称产品)，或者提供其他残疾人福利性单位制造的货物(不包括使用非残疾人福利性单位注册商标的货物)。</w:t>
      </w:r>
    </w:p>
    <w:p w14:paraId="200B9C00">
      <w:pPr>
        <w:pStyle w:val="9"/>
        <w:spacing w:before="97" w:line="275" w:lineRule="auto"/>
        <w:ind w:left="27" w:right="76" w:firstLine="426"/>
        <w:jc w:val="left"/>
        <w:rPr>
          <w:rFonts w:hint="eastAsia" w:ascii="Calibri" w:hAnsi="Calibri" w:eastAsia="宋体" w:cs="Calibri"/>
          <w:b w:val="0"/>
          <w:bCs w:val="0"/>
          <w:color w:val="000000"/>
          <w:spacing w:val="-2"/>
          <w:kern w:val="1"/>
          <w:sz w:val="24"/>
          <w:szCs w:val="24"/>
          <w:lang w:val="en-US" w:eastAsia="zh-CN" w:bidi="ar-SA"/>
        </w:rPr>
      </w:pPr>
    </w:p>
    <w:p w14:paraId="402DE059">
      <w:pPr>
        <w:spacing w:line="275" w:lineRule="auto"/>
        <w:rPr>
          <w:rFonts w:ascii="Calibri" w:hAnsi="Calibri" w:eastAsia="宋体" w:cs="Calibri"/>
          <w:color w:val="000000"/>
          <w:spacing w:val="-2"/>
          <w:kern w:val="1"/>
          <w:sz w:val="28"/>
          <w:szCs w:val="28"/>
          <w:lang w:val="en-US" w:eastAsia="zh-CN" w:bidi="ar-SA"/>
        </w:rPr>
      </w:pPr>
    </w:p>
    <w:p w14:paraId="475DB2B2">
      <w:pPr>
        <w:spacing w:line="275" w:lineRule="auto"/>
        <w:rPr>
          <w:rFonts w:ascii="Calibri" w:hAnsi="Calibri" w:eastAsia="宋体" w:cs="Calibri"/>
          <w:color w:val="000000"/>
          <w:spacing w:val="-2"/>
          <w:kern w:val="1"/>
          <w:sz w:val="28"/>
          <w:szCs w:val="28"/>
          <w:lang w:val="en-US" w:eastAsia="zh-CN" w:bidi="ar-SA"/>
        </w:rPr>
      </w:pPr>
    </w:p>
    <w:p w14:paraId="730F3AC3">
      <w:pPr>
        <w:spacing w:line="275" w:lineRule="auto"/>
        <w:rPr>
          <w:rFonts w:ascii="Calibri" w:hAnsi="Calibri" w:eastAsia="宋体" w:cs="Calibri"/>
          <w:color w:val="000000"/>
          <w:spacing w:val="-2"/>
          <w:kern w:val="1"/>
          <w:sz w:val="28"/>
          <w:szCs w:val="28"/>
          <w:lang w:val="en-US" w:eastAsia="zh-CN" w:bidi="ar-SA"/>
        </w:rPr>
      </w:pPr>
    </w:p>
    <w:p w14:paraId="29CD875F">
      <w:pPr>
        <w:spacing w:line="275" w:lineRule="auto"/>
        <w:rPr>
          <w:rFonts w:ascii="Calibri" w:hAnsi="Calibri" w:eastAsia="宋体" w:cs="Calibri"/>
          <w:color w:val="000000"/>
          <w:spacing w:val="-2"/>
          <w:kern w:val="1"/>
          <w:sz w:val="28"/>
          <w:szCs w:val="28"/>
          <w:lang w:val="en-US" w:eastAsia="zh-CN" w:bidi="ar-SA"/>
        </w:rPr>
      </w:pPr>
    </w:p>
    <w:p w14:paraId="605E4A01">
      <w:pPr>
        <w:pStyle w:val="9"/>
        <w:rPr>
          <w:rFonts w:ascii="Calibri" w:hAnsi="Calibri" w:eastAsia="宋体" w:cs="Calibri"/>
          <w:color w:val="000000"/>
          <w:spacing w:val="-2"/>
          <w:kern w:val="1"/>
          <w:sz w:val="28"/>
          <w:szCs w:val="28"/>
          <w:lang w:val="en-US" w:eastAsia="zh-CN" w:bidi="ar-SA"/>
        </w:rPr>
      </w:pPr>
    </w:p>
    <w:p w14:paraId="61CD6569">
      <w:pPr>
        <w:spacing w:line="275" w:lineRule="auto"/>
        <w:rPr>
          <w:rFonts w:ascii="Calibri" w:hAnsi="Calibri" w:eastAsia="宋体" w:cs="Calibri"/>
          <w:color w:val="000000"/>
          <w:spacing w:val="-2"/>
          <w:kern w:val="1"/>
          <w:sz w:val="28"/>
          <w:szCs w:val="28"/>
          <w:lang w:val="en-US" w:eastAsia="zh-CN" w:bidi="ar-SA"/>
        </w:rPr>
      </w:pPr>
    </w:p>
    <w:p w14:paraId="1983E2F8">
      <w:pPr>
        <w:spacing w:before="101" w:line="224" w:lineRule="auto"/>
        <w:ind w:left="123"/>
        <w:outlineLvl w:val="6"/>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七、项目管理机构组成表</w:t>
      </w:r>
    </w:p>
    <w:p w14:paraId="55AD8634">
      <w:pPr>
        <w:pStyle w:val="9"/>
        <w:spacing w:before="269" w:line="219" w:lineRule="auto"/>
        <w:ind w:left="3018"/>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项目管理机构组成表</w:t>
      </w:r>
    </w:p>
    <w:p w14:paraId="3EB929EB">
      <w:pPr>
        <w:spacing w:line="119" w:lineRule="exact"/>
        <w:rPr>
          <w:rFonts w:ascii="Calibri" w:hAnsi="Calibri" w:eastAsia="宋体" w:cs="Calibri"/>
          <w:color w:val="000000"/>
          <w:spacing w:val="-2"/>
          <w:kern w:val="1"/>
          <w:sz w:val="28"/>
          <w:szCs w:val="28"/>
          <w:lang w:val="en-US" w:eastAsia="zh-CN" w:bidi="ar-SA"/>
        </w:rPr>
      </w:pPr>
    </w:p>
    <w:tbl>
      <w:tblPr>
        <w:tblStyle w:val="8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19"/>
        <w:gridCol w:w="719"/>
        <w:gridCol w:w="1080"/>
        <w:gridCol w:w="720"/>
        <w:gridCol w:w="720"/>
        <w:gridCol w:w="720"/>
        <w:gridCol w:w="2291"/>
        <w:gridCol w:w="907"/>
      </w:tblGrid>
      <w:tr w14:paraId="45462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52" w:type="dxa"/>
            <w:vMerge w:val="restart"/>
            <w:tcBorders>
              <w:bottom w:val="nil"/>
            </w:tcBorders>
            <w:noWrap w:val="0"/>
            <w:vAlign w:val="top"/>
          </w:tcPr>
          <w:p w14:paraId="1EE76D01">
            <w:pPr>
              <w:spacing w:line="302" w:lineRule="auto"/>
              <w:rPr>
                <w:rFonts w:ascii="Calibri" w:hAnsi="Calibri" w:eastAsia="宋体" w:cs="Calibri"/>
                <w:color w:val="000000"/>
                <w:spacing w:val="-2"/>
                <w:kern w:val="1"/>
                <w:sz w:val="28"/>
                <w:szCs w:val="28"/>
                <w:lang w:val="en-US" w:eastAsia="zh-CN" w:bidi="ar-SA"/>
              </w:rPr>
            </w:pPr>
          </w:p>
          <w:p w14:paraId="10E3A5B1">
            <w:pPr>
              <w:pStyle w:val="85"/>
              <w:spacing w:before="68" w:line="221" w:lineRule="auto"/>
              <w:ind w:left="121"/>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职务</w:t>
            </w:r>
          </w:p>
        </w:tc>
        <w:tc>
          <w:tcPr>
            <w:tcW w:w="719" w:type="dxa"/>
            <w:vMerge w:val="restart"/>
            <w:tcBorders>
              <w:bottom w:val="nil"/>
            </w:tcBorders>
            <w:noWrap w:val="0"/>
            <w:vAlign w:val="top"/>
          </w:tcPr>
          <w:p w14:paraId="3898C357">
            <w:pPr>
              <w:spacing w:line="302" w:lineRule="auto"/>
              <w:rPr>
                <w:rFonts w:ascii="Calibri" w:hAnsi="Calibri" w:eastAsia="宋体" w:cs="Calibri"/>
                <w:color w:val="000000"/>
                <w:spacing w:val="-2"/>
                <w:kern w:val="1"/>
                <w:sz w:val="28"/>
                <w:szCs w:val="28"/>
                <w:lang w:val="en-US" w:eastAsia="zh-CN" w:bidi="ar-SA"/>
              </w:rPr>
            </w:pPr>
          </w:p>
          <w:p w14:paraId="575C818D">
            <w:pPr>
              <w:pStyle w:val="85"/>
              <w:spacing w:before="68" w:line="221" w:lineRule="auto"/>
              <w:ind w:left="150"/>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姓名</w:t>
            </w:r>
          </w:p>
        </w:tc>
        <w:tc>
          <w:tcPr>
            <w:tcW w:w="719" w:type="dxa"/>
            <w:vMerge w:val="restart"/>
            <w:tcBorders>
              <w:bottom w:val="nil"/>
            </w:tcBorders>
            <w:noWrap w:val="0"/>
            <w:vAlign w:val="top"/>
          </w:tcPr>
          <w:p w14:paraId="2EB49451">
            <w:pPr>
              <w:spacing w:line="302" w:lineRule="auto"/>
              <w:rPr>
                <w:rFonts w:ascii="Calibri" w:hAnsi="Calibri" w:eastAsia="宋体" w:cs="Calibri"/>
                <w:color w:val="000000"/>
                <w:spacing w:val="-2"/>
                <w:kern w:val="1"/>
                <w:sz w:val="28"/>
                <w:szCs w:val="28"/>
                <w:lang w:val="en-US" w:eastAsia="zh-CN" w:bidi="ar-SA"/>
              </w:rPr>
            </w:pPr>
          </w:p>
          <w:p w14:paraId="718CA163">
            <w:pPr>
              <w:pStyle w:val="85"/>
              <w:spacing w:before="68" w:line="223" w:lineRule="auto"/>
              <w:ind w:left="154"/>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职称</w:t>
            </w:r>
          </w:p>
        </w:tc>
        <w:tc>
          <w:tcPr>
            <w:tcW w:w="5531" w:type="dxa"/>
            <w:gridSpan w:val="5"/>
            <w:noWrap w:val="0"/>
            <w:vAlign w:val="top"/>
          </w:tcPr>
          <w:p w14:paraId="44F29BBD">
            <w:pPr>
              <w:pStyle w:val="85"/>
              <w:spacing w:before="132" w:line="221" w:lineRule="auto"/>
              <w:ind w:left="1825"/>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执业或职业资格证明</w:t>
            </w:r>
          </w:p>
        </w:tc>
        <w:tc>
          <w:tcPr>
            <w:tcW w:w="907" w:type="dxa"/>
            <w:noWrap w:val="0"/>
            <w:vAlign w:val="top"/>
          </w:tcPr>
          <w:p w14:paraId="784441F7">
            <w:pPr>
              <w:pStyle w:val="85"/>
              <w:spacing w:before="132" w:line="222" w:lineRule="auto"/>
              <w:ind w:left="251"/>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备注</w:t>
            </w:r>
          </w:p>
        </w:tc>
      </w:tr>
      <w:tr w14:paraId="39D55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vMerge w:val="continue"/>
            <w:tcBorders>
              <w:top w:val="nil"/>
            </w:tcBorders>
            <w:noWrap w:val="0"/>
            <w:vAlign w:val="top"/>
          </w:tcPr>
          <w:p w14:paraId="77F3F947">
            <w:pPr>
              <w:rPr>
                <w:rFonts w:ascii="Calibri" w:hAnsi="Calibri" w:eastAsia="宋体" w:cs="Calibri"/>
                <w:color w:val="000000"/>
                <w:spacing w:val="-2"/>
                <w:kern w:val="1"/>
                <w:sz w:val="28"/>
                <w:szCs w:val="28"/>
                <w:lang w:val="en-US" w:eastAsia="zh-CN" w:bidi="ar-SA"/>
              </w:rPr>
            </w:pPr>
          </w:p>
        </w:tc>
        <w:tc>
          <w:tcPr>
            <w:tcW w:w="719" w:type="dxa"/>
            <w:vMerge w:val="continue"/>
            <w:tcBorders>
              <w:top w:val="nil"/>
            </w:tcBorders>
            <w:noWrap w:val="0"/>
            <w:vAlign w:val="top"/>
          </w:tcPr>
          <w:p w14:paraId="741B3B31">
            <w:pPr>
              <w:rPr>
                <w:rFonts w:ascii="Calibri" w:hAnsi="Calibri" w:eastAsia="宋体" w:cs="Calibri"/>
                <w:color w:val="000000"/>
                <w:spacing w:val="-2"/>
                <w:kern w:val="1"/>
                <w:sz w:val="28"/>
                <w:szCs w:val="28"/>
                <w:lang w:val="en-US" w:eastAsia="zh-CN" w:bidi="ar-SA"/>
              </w:rPr>
            </w:pPr>
          </w:p>
        </w:tc>
        <w:tc>
          <w:tcPr>
            <w:tcW w:w="719" w:type="dxa"/>
            <w:vMerge w:val="continue"/>
            <w:tcBorders>
              <w:top w:val="nil"/>
            </w:tcBorders>
            <w:noWrap w:val="0"/>
            <w:vAlign w:val="top"/>
          </w:tcPr>
          <w:p w14:paraId="44D3A445">
            <w:pPr>
              <w:rPr>
                <w:rFonts w:ascii="Calibri" w:hAnsi="Calibri" w:eastAsia="宋体" w:cs="Calibri"/>
                <w:color w:val="000000"/>
                <w:spacing w:val="-2"/>
                <w:kern w:val="1"/>
                <w:sz w:val="28"/>
                <w:szCs w:val="28"/>
                <w:lang w:val="en-US" w:eastAsia="zh-CN" w:bidi="ar-SA"/>
              </w:rPr>
            </w:pPr>
          </w:p>
        </w:tc>
        <w:tc>
          <w:tcPr>
            <w:tcW w:w="1080" w:type="dxa"/>
            <w:noWrap w:val="0"/>
            <w:vAlign w:val="top"/>
          </w:tcPr>
          <w:p w14:paraId="6FC588D6">
            <w:pPr>
              <w:pStyle w:val="85"/>
              <w:spacing w:before="128" w:line="220" w:lineRule="auto"/>
              <w:ind w:left="124"/>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证书名称</w:t>
            </w:r>
          </w:p>
        </w:tc>
        <w:tc>
          <w:tcPr>
            <w:tcW w:w="720" w:type="dxa"/>
            <w:noWrap w:val="0"/>
            <w:vAlign w:val="top"/>
          </w:tcPr>
          <w:p w14:paraId="0094DC92">
            <w:pPr>
              <w:pStyle w:val="85"/>
              <w:spacing w:before="128" w:line="221" w:lineRule="auto"/>
              <w:ind w:left="158"/>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级别</w:t>
            </w:r>
          </w:p>
        </w:tc>
        <w:tc>
          <w:tcPr>
            <w:tcW w:w="720" w:type="dxa"/>
            <w:noWrap w:val="0"/>
            <w:vAlign w:val="top"/>
          </w:tcPr>
          <w:p w14:paraId="52F6B5A2">
            <w:pPr>
              <w:pStyle w:val="85"/>
              <w:spacing w:before="128" w:line="222" w:lineRule="auto"/>
              <w:ind w:left="152"/>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证号</w:t>
            </w:r>
          </w:p>
        </w:tc>
        <w:tc>
          <w:tcPr>
            <w:tcW w:w="720" w:type="dxa"/>
            <w:noWrap w:val="0"/>
            <w:vAlign w:val="top"/>
          </w:tcPr>
          <w:p w14:paraId="2FF480CC">
            <w:pPr>
              <w:pStyle w:val="85"/>
              <w:spacing w:before="128" w:line="221" w:lineRule="auto"/>
              <w:ind w:left="156"/>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专业</w:t>
            </w:r>
          </w:p>
        </w:tc>
        <w:tc>
          <w:tcPr>
            <w:tcW w:w="2291" w:type="dxa"/>
            <w:noWrap w:val="0"/>
            <w:vAlign w:val="top"/>
          </w:tcPr>
          <w:p w14:paraId="2260AE56">
            <w:pPr>
              <w:pStyle w:val="85"/>
              <w:spacing w:before="127" w:line="221" w:lineRule="auto"/>
              <w:ind w:left="732"/>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养老保险</w:t>
            </w:r>
          </w:p>
        </w:tc>
        <w:tc>
          <w:tcPr>
            <w:tcW w:w="907" w:type="dxa"/>
            <w:noWrap w:val="0"/>
            <w:vAlign w:val="top"/>
          </w:tcPr>
          <w:p w14:paraId="02FC18A3">
            <w:pPr>
              <w:rPr>
                <w:rFonts w:ascii="Calibri" w:hAnsi="Calibri" w:eastAsia="宋体" w:cs="Calibri"/>
                <w:color w:val="000000"/>
                <w:spacing w:val="-2"/>
                <w:kern w:val="1"/>
                <w:sz w:val="28"/>
                <w:szCs w:val="28"/>
                <w:lang w:val="en-US" w:eastAsia="zh-CN" w:bidi="ar-SA"/>
              </w:rPr>
            </w:pPr>
          </w:p>
        </w:tc>
      </w:tr>
      <w:tr w14:paraId="217D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1FCB4608">
            <w:pPr>
              <w:rPr>
                <w:rFonts w:ascii="Calibri" w:hAnsi="Calibri" w:eastAsia="宋体" w:cs="Calibri"/>
                <w:color w:val="000000"/>
                <w:spacing w:val="-2"/>
                <w:kern w:val="1"/>
                <w:sz w:val="28"/>
                <w:szCs w:val="28"/>
                <w:lang w:val="en-US" w:eastAsia="zh-CN" w:bidi="ar-SA"/>
              </w:rPr>
            </w:pPr>
          </w:p>
        </w:tc>
        <w:tc>
          <w:tcPr>
            <w:tcW w:w="719" w:type="dxa"/>
            <w:noWrap w:val="0"/>
            <w:vAlign w:val="top"/>
          </w:tcPr>
          <w:p w14:paraId="4966613A">
            <w:pPr>
              <w:rPr>
                <w:rFonts w:ascii="Calibri" w:hAnsi="Calibri" w:eastAsia="宋体" w:cs="Calibri"/>
                <w:color w:val="000000"/>
                <w:spacing w:val="-2"/>
                <w:kern w:val="1"/>
                <w:sz w:val="28"/>
                <w:szCs w:val="28"/>
                <w:lang w:val="en-US" w:eastAsia="zh-CN" w:bidi="ar-SA"/>
              </w:rPr>
            </w:pPr>
          </w:p>
        </w:tc>
        <w:tc>
          <w:tcPr>
            <w:tcW w:w="719" w:type="dxa"/>
            <w:noWrap w:val="0"/>
            <w:vAlign w:val="top"/>
          </w:tcPr>
          <w:p w14:paraId="4FE15868">
            <w:pPr>
              <w:rPr>
                <w:rFonts w:ascii="Calibri" w:hAnsi="Calibri" w:eastAsia="宋体" w:cs="Calibri"/>
                <w:color w:val="000000"/>
                <w:spacing w:val="-2"/>
                <w:kern w:val="1"/>
                <w:sz w:val="28"/>
                <w:szCs w:val="28"/>
                <w:lang w:val="en-US" w:eastAsia="zh-CN" w:bidi="ar-SA"/>
              </w:rPr>
            </w:pPr>
          </w:p>
        </w:tc>
        <w:tc>
          <w:tcPr>
            <w:tcW w:w="1080" w:type="dxa"/>
            <w:noWrap w:val="0"/>
            <w:vAlign w:val="top"/>
          </w:tcPr>
          <w:p w14:paraId="3F08E49D">
            <w:pPr>
              <w:rPr>
                <w:rFonts w:ascii="Calibri" w:hAnsi="Calibri" w:eastAsia="宋体" w:cs="Calibri"/>
                <w:color w:val="000000"/>
                <w:spacing w:val="-2"/>
                <w:kern w:val="1"/>
                <w:sz w:val="28"/>
                <w:szCs w:val="28"/>
                <w:lang w:val="en-US" w:eastAsia="zh-CN" w:bidi="ar-SA"/>
              </w:rPr>
            </w:pPr>
          </w:p>
        </w:tc>
        <w:tc>
          <w:tcPr>
            <w:tcW w:w="720" w:type="dxa"/>
            <w:noWrap w:val="0"/>
            <w:vAlign w:val="top"/>
          </w:tcPr>
          <w:p w14:paraId="3B4E48FD">
            <w:pPr>
              <w:rPr>
                <w:rFonts w:ascii="Calibri" w:hAnsi="Calibri" w:eastAsia="宋体" w:cs="Calibri"/>
                <w:color w:val="000000"/>
                <w:spacing w:val="-2"/>
                <w:kern w:val="1"/>
                <w:sz w:val="28"/>
                <w:szCs w:val="28"/>
                <w:lang w:val="en-US" w:eastAsia="zh-CN" w:bidi="ar-SA"/>
              </w:rPr>
            </w:pPr>
          </w:p>
        </w:tc>
        <w:tc>
          <w:tcPr>
            <w:tcW w:w="720" w:type="dxa"/>
            <w:noWrap w:val="0"/>
            <w:vAlign w:val="top"/>
          </w:tcPr>
          <w:p w14:paraId="6225A42F">
            <w:pPr>
              <w:rPr>
                <w:rFonts w:ascii="Calibri" w:hAnsi="Calibri" w:eastAsia="宋体" w:cs="Calibri"/>
                <w:color w:val="000000"/>
                <w:spacing w:val="-2"/>
                <w:kern w:val="1"/>
                <w:sz w:val="28"/>
                <w:szCs w:val="28"/>
                <w:lang w:val="en-US" w:eastAsia="zh-CN" w:bidi="ar-SA"/>
              </w:rPr>
            </w:pPr>
          </w:p>
        </w:tc>
        <w:tc>
          <w:tcPr>
            <w:tcW w:w="720" w:type="dxa"/>
            <w:noWrap w:val="0"/>
            <w:vAlign w:val="top"/>
          </w:tcPr>
          <w:p w14:paraId="27A62F54">
            <w:pPr>
              <w:rPr>
                <w:rFonts w:ascii="Calibri" w:hAnsi="Calibri" w:eastAsia="宋体" w:cs="Calibri"/>
                <w:color w:val="000000"/>
                <w:spacing w:val="-2"/>
                <w:kern w:val="1"/>
                <w:sz w:val="28"/>
                <w:szCs w:val="28"/>
                <w:lang w:val="en-US" w:eastAsia="zh-CN" w:bidi="ar-SA"/>
              </w:rPr>
            </w:pPr>
          </w:p>
        </w:tc>
        <w:tc>
          <w:tcPr>
            <w:tcW w:w="2291" w:type="dxa"/>
            <w:noWrap w:val="0"/>
            <w:vAlign w:val="top"/>
          </w:tcPr>
          <w:p w14:paraId="2DEAE30B">
            <w:pPr>
              <w:rPr>
                <w:rFonts w:ascii="Calibri" w:hAnsi="Calibri" w:eastAsia="宋体" w:cs="Calibri"/>
                <w:color w:val="000000"/>
                <w:spacing w:val="-2"/>
                <w:kern w:val="1"/>
                <w:sz w:val="28"/>
                <w:szCs w:val="28"/>
                <w:lang w:val="en-US" w:eastAsia="zh-CN" w:bidi="ar-SA"/>
              </w:rPr>
            </w:pPr>
          </w:p>
        </w:tc>
        <w:tc>
          <w:tcPr>
            <w:tcW w:w="907" w:type="dxa"/>
            <w:noWrap w:val="0"/>
            <w:vAlign w:val="top"/>
          </w:tcPr>
          <w:p w14:paraId="045AAD95">
            <w:pPr>
              <w:rPr>
                <w:rFonts w:ascii="Calibri" w:hAnsi="Calibri" w:eastAsia="宋体" w:cs="Calibri"/>
                <w:color w:val="000000"/>
                <w:spacing w:val="-2"/>
                <w:kern w:val="1"/>
                <w:sz w:val="28"/>
                <w:szCs w:val="28"/>
                <w:lang w:val="en-US" w:eastAsia="zh-CN" w:bidi="ar-SA"/>
              </w:rPr>
            </w:pPr>
          </w:p>
        </w:tc>
      </w:tr>
      <w:tr w14:paraId="01684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52" w:type="dxa"/>
            <w:noWrap w:val="0"/>
            <w:vAlign w:val="top"/>
          </w:tcPr>
          <w:p w14:paraId="4942D1E9">
            <w:pPr>
              <w:rPr>
                <w:rFonts w:ascii="Calibri" w:hAnsi="Calibri" w:eastAsia="宋体" w:cs="Calibri"/>
                <w:color w:val="000000"/>
                <w:spacing w:val="-2"/>
                <w:kern w:val="1"/>
                <w:sz w:val="28"/>
                <w:szCs w:val="28"/>
                <w:lang w:val="en-US" w:eastAsia="zh-CN" w:bidi="ar-SA"/>
              </w:rPr>
            </w:pPr>
          </w:p>
        </w:tc>
        <w:tc>
          <w:tcPr>
            <w:tcW w:w="719" w:type="dxa"/>
            <w:noWrap w:val="0"/>
            <w:vAlign w:val="top"/>
          </w:tcPr>
          <w:p w14:paraId="35C41440">
            <w:pPr>
              <w:rPr>
                <w:rFonts w:ascii="Calibri" w:hAnsi="Calibri" w:eastAsia="宋体" w:cs="Calibri"/>
                <w:color w:val="000000"/>
                <w:spacing w:val="-2"/>
                <w:kern w:val="1"/>
                <w:sz w:val="28"/>
                <w:szCs w:val="28"/>
                <w:lang w:val="en-US" w:eastAsia="zh-CN" w:bidi="ar-SA"/>
              </w:rPr>
            </w:pPr>
          </w:p>
        </w:tc>
        <w:tc>
          <w:tcPr>
            <w:tcW w:w="719" w:type="dxa"/>
            <w:noWrap w:val="0"/>
            <w:vAlign w:val="top"/>
          </w:tcPr>
          <w:p w14:paraId="29CD424D">
            <w:pPr>
              <w:rPr>
                <w:rFonts w:ascii="Calibri" w:hAnsi="Calibri" w:eastAsia="宋体" w:cs="Calibri"/>
                <w:color w:val="000000"/>
                <w:spacing w:val="-2"/>
                <w:kern w:val="1"/>
                <w:sz w:val="28"/>
                <w:szCs w:val="28"/>
                <w:lang w:val="en-US" w:eastAsia="zh-CN" w:bidi="ar-SA"/>
              </w:rPr>
            </w:pPr>
          </w:p>
        </w:tc>
        <w:tc>
          <w:tcPr>
            <w:tcW w:w="1080" w:type="dxa"/>
            <w:noWrap w:val="0"/>
            <w:vAlign w:val="top"/>
          </w:tcPr>
          <w:p w14:paraId="2CE761C6">
            <w:pPr>
              <w:rPr>
                <w:rFonts w:ascii="Calibri" w:hAnsi="Calibri" w:eastAsia="宋体" w:cs="Calibri"/>
                <w:color w:val="000000"/>
                <w:spacing w:val="-2"/>
                <w:kern w:val="1"/>
                <w:sz w:val="28"/>
                <w:szCs w:val="28"/>
                <w:lang w:val="en-US" w:eastAsia="zh-CN" w:bidi="ar-SA"/>
              </w:rPr>
            </w:pPr>
          </w:p>
        </w:tc>
        <w:tc>
          <w:tcPr>
            <w:tcW w:w="720" w:type="dxa"/>
            <w:noWrap w:val="0"/>
            <w:vAlign w:val="top"/>
          </w:tcPr>
          <w:p w14:paraId="4E5BA3A9">
            <w:pPr>
              <w:rPr>
                <w:rFonts w:ascii="Calibri" w:hAnsi="Calibri" w:eastAsia="宋体" w:cs="Calibri"/>
                <w:color w:val="000000"/>
                <w:spacing w:val="-2"/>
                <w:kern w:val="1"/>
                <w:sz w:val="28"/>
                <w:szCs w:val="28"/>
                <w:lang w:val="en-US" w:eastAsia="zh-CN" w:bidi="ar-SA"/>
              </w:rPr>
            </w:pPr>
          </w:p>
        </w:tc>
        <w:tc>
          <w:tcPr>
            <w:tcW w:w="720" w:type="dxa"/>
            <w:noWrap w:val="0"/>
            <w:vAlign w:val="top"/>
          </w:tcPr>
          <w:p w14:paraId="66D87866">
            <w:pPr>
              <w:rPr>
                <w:rFonts w:ascii="Calibri" w:hAnsi="Calibri" w:eastAsia="宋体" w:cs="Calibri"/>
                <w:color w:val="000000"/>
                <w:spacing w:val="-2"/>
                <w:kern w:val="1"/>
                <w:sz w:val="28"/>
                <w:szCs w:val="28"/>
                <w:lang w:val="en-US" w:eastAsia="zh-CN" w:bidi="ar-SA"/>
              </w:rPr>
            </w:pPr>
          </w:p>
        </w:tc>
        <w:tc>
          <w:tcPr>
            <w:tcW w:w="720" w:type="dxa"/>
            <w:noWrap w:val="0"/>
            <w:vAlign w:val="top"/>
          </w:tcPr>
          <w:p w14:paraId="6143F68C">
            <w:pPr>
              <w:rPr>
                <w:rFonts w:ascii="Calibri" w:hAnsi="Calibri" w:eastAsia="宋体" w:cs="Calibri"/>
                <w:color w:val="000000"/>
                <w:spacing w:val="-2"/>
                <w:kern w:val="1"/>
                <w:sz w:val="28"/>
                <w:szCs w:val="28"/>
                <w:lang w:val="en-US" w:eastAsia="zh-CN" w:bidi="ar-SA"/>
              </w:rPr>
            </w:pPr>
          </w:p>
        </w:tc>
        <w:tc>
          <w:tcPr>
            <w:tcW w:w="2291" w:type="dxa"/>
            <w:noWrap w:val="0"/>
            <w:vAlign w:val="top"/>
          </w:tcPr>
          <w:p w14:paraId="5B0D00F3">
            <w:pPr>
              <w:rPr>
                <w:rFonts w:ascii="Calibri" w:hAnsi="Calibri" w:eastAsia="宋体" w:cs="Calibri"/>
                <w:color w:val="000000"/>
                <w:spacing w:val="-2"/>
                <w:kern w:val="1"/>
                <w:sz w:val="28"/>
                <w:szCs w:val="28"/>
                <w:lang w:val="en-US" w:eastAsia="zh-CN" w:bidi="ar-SA"/>
              </w:rPr>
            </w:pPr>
          </w:p>
        </w:tc>
        <w:tc>
          <w:tcPr>
            <w:tcW w:w="907" w:type="dxa"/>
            <w:noWrap w:val="0"/>
            <w:vAlign w:val="top"/>
          </w:tcPr>
          <w:p w14:paraId="776F22B9">
            <w:pPr>
              <w:rPr>
                <w:rFonts w:ascii="Calibri" w:hAnsi="Calibri" w:eastAsia="宋体" w:cs="Calibri"/>
                <w:color w:val="000000"/>
                <w:spacing w:val="-2"/>
                <w:kern w:val="1"/>
                <w:sz w:val="28"/>
                <w:szCs w:val="28"/>
                <w:lang w:val="en-US" w:eastAsia="zh-CN" w:bidi="ar-SA"/>
              </w:rPr>
            </w:pPr>
          </w:p>
        </w:tc>
      </w:tr>
      <w:tr w14:paraId="61A06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638C7A12">
            <w:pPr>
              <w:rPr>
                <w:rFonts w:ascii="Calibri" w:hAnsi="Calibri" w:eastAsia="宋体" w:cs="Calibri"/>
                <w:color w:val="000000"/>
                <w:spacing w:val="-2"/>
                <w:kern w:val="1"/>
                <w:sz w:val="28"/>
                <w:szCs w:val="28"/>
                <w:lang w:val="en-US" w:eastAsia="zh-CN" w:bidi="ar-SA"/>
              </w:rPr>
            </w:pPr>
          </w:p>
        </w:tc>
        <w:tc>
          <w:tcPr>
            <w:tcW w:w="719" w:type="dxa"/>
            <w:noWrap w:val="0"/>
            <w:vAlign w:val="top"/>
          </w:tcPr>
          <w:p w14:paraId="480336B5">
            <w:pPr>
              <w:rPr>
                <w:rFonts w:ascii="Calibri" w:hAnsi="Calibri" w:eastAsia="宋体" w:cs="Calibri"/>
                <w:color w:val="000000"/>
                <w:spacing w:val="-2"/>
                <w:kern w:val="1"/>
                <w:sz w:val="28"/>
                <w:szCs w:val="28"/>
                <w:lang w:val="en-US" w:eastAsia="zh-CN" w:bidi="ar-SA"/>
              </w:rPr>
            </w:pPr>
          </w:p>
        </w:tc>
        <w:tc>
          <w:tcPr>
            <w:tcW w:w="719" w:type="dxa"/>
            <w:noWrap w:val="0"/>
            <w:vAlign w:val="top"/>
          </w:tcPr>
          <w:p w14:paraId="6A6707E1">
            <w:pPr>
              <w:rPr>
                <w:rFonts w:ascii="Calibri" w:hAnsi="Calibri" w:eastAsia="宋体" w:cs="Calibri"/>
                <w:color w:val="000000"/>
                <w:spacing w:val="-2"/>
                <w:kern w:val="1"/>
                <w:sz w:val="28"/>
                <w:szCs w:val="28"/>
                <w:lang w:val="en-US" w:eastAsia="zh-CN" w:bidi="ar-SA"/>
              </w:rPr>
            </w:pPr>
          </w:p>
        </w:tc>
        <w:tc>
          <w:tcPr>
            <w:tcW w:w="1080" w:type="dxa"/>
            <w:noWrap w:val="0"/>
            <w:vAlign w:val="top"/>
          </w:tcPr>
          <w:p w14:paraId="30310A3B">
            <w:pPr>
              <w:rPr>
                <w:rFonts w:ascii="Calibri" w:hAnsi="Calibri" w:eastAsia="宋体" w:cs="Calibri"/>
                <w:color w:val="000000"/>
                <w:spacing w:val="-2"/>
                <w:kern w:val="1"/>
                <w:sz w:val="28"/>
                <w:szCs w:val="28"/>
                <w:lang w:val="en-US" w:eastAsia="zh-CN" w:bidi="ar-SA"/>
              </w:rPr>
            </w:pPr>
          </w:p>
        </w:tc>
        <w:tc>
          <w:tcPr>
            <w:tcW w:w="720" w:type="dxa"/>
            <w:noWrap w:val="0"/>
            <w:vAlign w:val="top"/>
          </w:tcPr>
          <w:p w14:paraId="5B4AE632">
            <w:pPr>
              <w:rPr>
                <w:rFonts w:ascii="Calibri" w:hAnsi="Calibri" w:eastAsia="宋体" w:cs="Calibri"/>
                <w:color w:val="000000"/>
                <w:spacing w:val="-2"/>
                <w:kern w:val="1"/>
                <w:sz w:val="28"/>
                <w:szCs w:val="28"/>
                <w:lang w:val="en-US" w:eastAsia="zh-CN" w:bidi="ar-SA"/>
              </w:rPr>
            </w:pPr>
          </w:p>
        </w:tc>
        <w:tc>
          <w:tcPr>
            <w:tcW w:w="720" w:type="dxa"/>
            <w:noWrap w:val="0"/>
            <w:vAlign w:val="top"/>
          </w:tcPr>
          <w:p w14:paraId="7FD482BA">
            <w:pPr>
              <w:rPr>
                <w:rFonts w:ascii="Calibri" w:hAnsi="Calibri" w:eastAsia="宋体" w:cs="Calibri"/>
                <w:color w:val="000000"/>
                <w:spacing w:val="-2"/>
                <w:kern w:val="1"/>
                <w:sz w:val="28"/>
                <w:szCs w:val="28"/>
                <w:lang w:val="en-US" w:eastAsia="zh-CN" w:bidi="ar-SA"/>
              </w:rPr>
            </w:pPr>
          </w:p>
        </w:tc>
        <w:tc>
          <w:tcPr>
            <w:tcW w:w="720" w:type="dxa"/>
            <w:noWrap w:val="0"/>
            <w:vAlign w:val="top"/>
          </w:tcPr>
          <w:p w14:paraId="1605F8FE">
            <w:pPr>
              <w:rPr>
                <w:rFonts w:ascii="Calibri" w:hAnsi="Calibri" w:eastAsia="宋体" w:cs="Calibri"/>
                <w:color w:val="000000"/>
                <w:spacing w:val="-2"/>
                <w:kern w:val="1"/>
                <w:sz w:val="28"/>
                <w:szCs w:val="28"/>
                <w:lang w:val="en-US" w:eastAsia="zh-CN" w:bidi="ar-SA"/>
              </w:rPr>
            </w:pPr>
          </w:p>
        </w:tc>
        <w:tc>
          <w:tcPr>
            <w:tcW w:w="2291" w:type="dxa"/>
            <w:noWrap w:val="0"/>
            <w:vAlign w:val="top"/>
          </w:tcPr>
          <w:p w14:paraId="0F7BB6AF">
            <w:pPr>
              <w:rPr>
                <w:rFonts w:ascii="Calibri" w:hAnsi="Calibri" w:eastAsia="宋体" w:cs="Calibri"/>
                <w:color w:val="000000"/>
                <w:spacing w:val="-2"/>
                <w:kern w:val="1"/>
                <w:sz w:val="28"/>
                <w:szCs w:val="28"/>
                <w:lang w:val="en-US" w:eastAsia="zh-CN" w:bidi="ar-SA"/>
              </w:rPr>
            </w:pPr>
          </w:p>
        </w:tc>
        <w:tc>
          <w:tcPr>
            <w:tcW w:w="907" w:type="dxa"/>
            <w:noWrap w:val="0"/>
            <w:vAlign w:val="top"/>
          </w:tcPr>
          <w:p w14:paraId="74C0BE58">
            <w:pPr>
              <w:rPr>
                <w:rFonts w:ascii="Calibri" w:hAnsi="Calibri" w:eastAsia="宋体" w:cs="Calibri"/>
                <w:color w:val="000000"/>
                <w:spacing w:val="-2"/>
                <w:kern w:val="1"/>
                <w:sz w:val="28"/>
                <w:szCs w:val="28"/>
                <w:lang w:val="en-US" w:eastAsia="zh-CN" w:bidi="ar-SA"/>
              </w:rPr>
            </w:pPr>
          </w:p>
        </w:tc>
      </w:tr>
      <w:tr w14:paraId="5970D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38E3CFDE">
            <w:pPr>
              <w:rPr>
                <w:rFonts w:ascii="Calibri" w:hAnsi="Calibri" w:eastAsia="宋体" w:cs="Calibri"/>
                <w:color w:val="000000"/>
                <w:spacing w:val="-2"/>
                <w:kern w:val="1"/>
                <w:sz w:val="28"/>
                <w:szCs w:val="28"/>
                <w:lang w:val="en-US" w:eastAsia="zh-CN" w:bidi="ar-SA"/>
              </w:rPr>
            </w:pPr>
          </w:p>
        </w:tc>
        <w:tc>
          <w:tcPr>
            <w:tcW w:w="719" w:type="dxa"/>
            <w:noWrap w:val="0"/>
            <w:vAlign w:val="top"/>
          </w:tcPr>
          <w:p w14:paraId="7F6959C2">
            <w:pPr>
              <w:rPr>
                <w:rFonts w:ascii="Calibri" w:hAnsi="Calibri" w:eastAsia="宋体" w:cs="Calibri"/>
                <w:color w:val="000000"/>
                <w:spacing w:val="-2"/>
                <w:kern w:val="1"/>
                <w:sz w:val="28"/>
                <w:szCs w:val="28"/>
                <w:lang w:val="en-US" w:eastAsia="zh-CN" w:bidi="ar-SA"/>
              </w:rPr>
            </w:pPr>
          </w:p>
        </w:tc>
        <w:tc>
          <w:tcPr>
            <w:tcW w:w="719" w:type="dxa"/>
            <w:noWrap w:val="0"/>
            <w:vAlign w:val="top"/>
          </w:tcPr>
          <w:p w14:paraId="78E7D479">
            <w:pPr>
              <w:rPr>
                <w:rFonts w:ascii="Calibri" w:hAnsi="Calibri" w:eastAsia="宋体" w:cs="Calibri"/>
                <w:color w:val="000000"/>
                <w:spacing w:val="-2"/>
                <w:kern w:val="1"/>
                <w:sz w:val="28"/>
                <w:szCs w:val="28"/>
                <w:lang w:val="en-US" w:eastAsia="zh-CN" w:bidi="ar-SA"/>
              </w:rPr>
            </w:pPr>
          </w:p>
        </w:tc>
        <w:tc>
          <w:tcPr>
            <w:tcW w:w="1080" w:type="dxa"/>
            <w:noWrap w:val="0"/>
            <w:vAlign w:val="top"/>
          </w:tcPr>
          <w:p w14:paraId="7CB77E82">
            <w:pPr>
              <w:rPr>
                <w:rFonts w:ascii="Calibri" w:hAnsi="Calibri" w:eastAsia="宋体" w:cs="Calibri"/>
                <w:color w:val="000000"/>
                <w:spacing w:val="-2"/>
                <w:kern w:val="1"/>
                <w:sz w:val="28"/>
                <w:szCs w:val="28"/>
                <w:lang w:val="en-US" w:eastAsia="zh-CN" w:bidi="ar-SA"/>
              </w:rPr>
            </w:pPr>
          </w:p>
        </w:tc>
        <w:tc>
          <w:tcPr>
            <w:tcW w:w="720" w:type="dxa"/>
            <w:noWrap w:val="0"/>
            <w:vAlign w:val="top"/>
          </w:tcPr>
          <w:p w14:paraId="1F02A8AE">
            <w:pPr>
              <w:rPr>
                <w:rFonts w:ascii="Calibri" w:hAnsi="Calibri" w:eastAsia="宋体" w:cs="Calibri"/>
                <w:color w:val="000000"/>
                <w:spacing w:val="-2"/>
                <w:kern w:val="1"/>
                <w:sz w:val="28"/>
                <w:szCs w:val="28"/>
                <w:lang w:val="en-US" w:eastAsia="zh-CN" w:bidi="ar-SA"/>
              </w:rPr>
            </w:pPr>
          </w:p>
        </w:tc>
        <w:tc>
          <w:tcPr>
            <w:tcW w:w="720" w:type="dxa"/>
            <w:noWrap w:val="0"/>
            <w:vAlign w:val="top"/>
          </w:tcPr>
          <w:p w14:paraId="3B9DFC49">
            <w:pPr>
              <w:rPr>
                <w:rFonts w:ascii="Calibri" w:hAnsi="Calibri" w:eastAsia="宋体" w:cs="Calibri"/>
                <w:color w:val="000000"/>
                <w:spacing w:val="-2"/>
                <w:kern w:val="1"/>
                <w:sz w:val="28"/>
                <w:szCs w:val="28"/>
                <w:lang w:val="en-US" w:eastAsia="zh-CN" w:bidi="ar-SA"/>
              </w:rPr>
            </w:pPr>
          </w:p>
        </w:tc>
        <w:tc>
          <w:tcPr>
            <w:tcW w:w="720" w:type="dxa"/>
            <w:noWrap w:val="0"/>
            <w:vAlign w:val="top"/>
          </w:tcPr>
          <w:p w14:paraId="30E48B55">
            <w:pPr>
              <w:rPr>
                <w:rFonts w:ascii="Calibri" w:hAnsi="Calibri" w:eastAsia="宋体" w:cs="Calibri"/>
                <w:color w:val="000000"/>
                <w:spacing w:val="-2"/>
                <w:kern w:val="1"/>
                <w:sz w:val="28"/>
                <w:szCs w:val="28"/>
                <w:lang w:val="en-US" w:eastAsia="zh-CN" w:bidi="ar-SA"/>
              </w:rPr>
            </w:pPr>
          </w:p>
        </w:tc>
        <w:tc>
          <w:tcPr>
            <w:tcW w:w="2291" w:type="dxa"/>
            <w:noWrap w:val="0"/>
            <w:vAlign w:val="top"/>
          </w:tcPr>
          <w:p w14:paraId="2DC5805F">
            <w:pPr>
              <w:rPr>
                <w:rFonts w:ascii="Calibri" w:hAnsi="Calibri" w:eastAsia="宋体" w:cs="Calibri"/>
                <w:color w:val="000000"/>
                <w:spacing w:val="-2"/>
                <w:kern w:val="1"/>
                <w:sz w:val="28"/>
                <w:szCs w:val="28"/>
                <w:lang w:val="en-US" w:eastAsia="zh-CN" w:bidi="ar-SA"/>
              </w:rPr>
            </w:pPr>
          </w:p>
        </w:tc>
        <w:tc>
          <w:tcPr>
            <w:tcW w:w="907" w:type="dxa"/>
            <w:noWrap w:val="0"/>
            <w:vAlign w:val="top"/>
          </w:tcPr>
          <w:p w14:paraId="1A881B89">
            <w:pPr>
              <w:rPr>
                <w:rFonts w:ascii="Calibri" w:hAnsi="Calibri" w:eastAsia="宋体" w:cs="Calibri"/>
                <w:color w:val="000000"/>
                <w:spacing w:val="-2"/>
                <w:kern w:val="1"/>
                <w:sz w:val="28"/>
                <w:szCs w:val="28"/>
                <w:lang w:val="en-US" w:eastAsia="zh-CN" w:bidi="ar-SA"/>
              </w:rPr>
            </w:pPr>
          </w:p>
        </w:tc>
      </w:tr>
      <w:tr w14:paraId="30B67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77FB5AD5">
            <w:pPr>
              <w:rPr>
                <w:rFonts w:ascii="Calibri" w:hAnsi="Calibri" w:eastAsia="宋体" w:cs="Calibri"/>
                <w:color w:val="000000"/>
                <w:spacing w:val="-2"/>
                <w:kern w:val="1"/>
                <w:sz w:val="28"/>
                <w:szCs w:val="28"/>
                <w:lang w:val="en-US" w:eastAsia="zh-CN" w:bidi="ar-SA"/>
              </w:rPr>
            </w:pPr>
          </w:p>
        </w:tc>
        <w:tc>
          <w:tcPr>
            <w:tcW w:w="719" w:type="dxa"/>
            <w:noWrap w:val="0"/>
            <w:vAlign w:val="top"/>
          </w:tcPr>
          <w:p w14:paraId="11704C23">
            <w:pPr>
              <w:rPr>
                <w:rFonts w:ascii="Calibri" w:hAnsi="Calibri" w:eastAsia="宋体" w:cs="Calibri"/>
                <w:color w:val="000000"/>
                <w:spacing w:val="-2"/>
                <w:kern w:val="1"/>
                <w:sz w:val="28"/>
                <w:szCs w:val="28"/>
                <w:lang w:val="en-US" w:eastAsia="zh-CN" w:bidi="ar-SA"/>
              </w:rPr>
            </w:pPr>
          </w:p>
        </w:tc>
        <w:tc>
          <w:tcPr>
            <w:tcW w:w="719" w:type="dxa"/>
            <w:noWrap w:val="0"/>
            <w:vAlign w:val="top"/>
          </w:tcPr>
          <w:p w14:paraId="31A9D2F0">
            <w:pPr>
              <w:rPr>
                <w:rFonts w:ascii="Calibri" w:hAnsi="Calibri" w:eastAsia="宋体" w:cs="Calibri"/>
                <w:color w:val="000000"/>
                <w:spacing w:val="-2"/>
                <w:kern w:val="1"/>
                <w:sz w:val="28"/>
                <w:szCs w:val="28"/>
                <w:lang w:val="en-US" w:eastAsia="zh-CN" w:bidi="ar-SA"/>
              </w:rPr>
            </w:pPr>
          </w:p>
        </w:tc>
        <w:tc>
          <w:tcPr>
            <w:tcW w:w="1080" w:type="dxa"/>
            <w:noWrap w:val="0"/>
            <w:vAlign w:val="top"/>
          </w:tcPr>
          <w:p w14:paraId="31EBC34C">
            <w:pPr>
              <w:rPr>
                <w:rFonts w:ascii="Calibri" w:hAnsi="Calibri" w:eastAsia="宋体" w:cs="Calibri"/>
                <w:color w:val="000000"/>
                <w:spacing w:val="-2"/>
                <w:kern w:val="1"/>
                <w:sz w:val="28"/>
                <w:szCs w:val="28"/>
                <w:lang w:val="en-US" w:eastAsia="zh-CN" w:bidi="ar-SA"/>
              </w:rPr>
            </w:pPr>
          </w:p>
        </w:tc>
        <w:tc>
          <w:tcPr>
            <w:tcW w:w="720" w:type="dxa"/>
            <w:noWrap w:val="0"/>
            <w:vAlign w:val="top"/>
          </w:tcPr>
          <w:p w14:paraId="68789959">
            <w:pPr>
              <w:rPr>
                <w:rFonts w:ascii="Calibri" w:hAnsi="Calibri" w:eastAsia="宋体" w:cs="Calibri"/>
                <w:color w:val="000000"/>
                <w:spacing w:val="-2"/>
                <w:kern w:val="1"/>
                <w:sz w:val="28"/>
                <w:szCs w:val="28"/>
                <w:lang w:val="en-US" w:eastAsia="zh-CN" w:bidi="ar-SA"/>
              </w:rPr>
            </w:pPr>
          </w:p>
        </w:tc>
        <w:tc>
          <w:tcPr>
            <w:tcW w:w="720" w:type="dxa"/>
            <w:noWrap w:val="0"/>
            <w:vAlign w:val="top"/>
          </w:tcPr>
          <w:p w14:paraId="48FA35AB">
            <w:pPr>
              <w:rPr>
                <w:rFonts w:ascii="Calibri" w:hAnsi="Calibri" w:eastAsia="宋体" w:cs="Calibri"/>
                <w:color w:val="000000"/>
                <w:spacing w:val="-2"/>
                <w:kern w:val="1"/>
                <w:sz w:val="28"/>
                <w:szCs w:val="28"/>
                <w:lang w:val="en-US" w:eastAsia="zh-CN" w:bidi="ar-SA"/>
              </w:rPr>
            </w:pPr>
          </w:p>
        </w:tc>
        <w:tc>
          <w:tcPr>
            <w:tcW w:w="720" w:type="dxa"/>
            <w:noWrap w:val="0"/>
            <w:vAlign w:val="top"/>
          </w:tcPr>
          <w:p w14:paraId="2016BED8">
            <w:pPr>
              <w:rPr>
                <w:rFonts w:ascii="Calibri" w:hAnsi="Calibri" w:eastAsia="宋体" w:cs="Calibri"/>
                <w:color w:val="000000"/>
                <w:spacing w:val="-2"/>
                <w:kern w:val="1"/>
                <w:sz w:val="28"/>
                <w:szCs w:val="28"/>
                <w:lang w:val="en-US" w:eastAsia="zh-CN" w:bidi="ar-SA"/>
              </w:rPr>
            </w:pPr>
          </w:p>
        </w:tc>
        <w:tc>
          <w:tcPr>
            <w:tcW w:w="2291" w:type="dxa"/>
            <w:noWrap w:val="0"/>
            <w:vAlign w:val="top"/>
          </w:tcPr>
          <w:p w14:paraId="64B36F37">
            <w:pPr>
              <w:rPr>
                <w:rFonts w:ascii="Calibri" w:hAnsi="Calibri" w:eastAsia="宋体" w:cs="Calibri"/>
                <w:color w:val="000000"/>
                <w:spacing w:val="-2"/>
                <w:kern w:val="1"/>
                <w:sz w:val="28"/>
                <w:szCs w:val="28"/>
                <w:lang w:val="en-US" w:eastAsia="zh-CN" w:bidi="ar-SA"/>
              </w:rPr>
            </w:pPr>
          </w:p>
        </w:tc>
        <w:tc>
          <w:tcPr>
            <w:tcW w:w="907" w:type="dxa"/>
            <w:noWrap w:val="0"/>
            <w:vAlign w:val="top"/>
          </w:tcPr>
          <w:p w14:paraId="6E20C440">
            <w:pPr>
              <w:rPr>
                <w:rFonts w:ascii="Calibri" w:hAnsi="Calibri" w:eastAsia="宋体" w:cs="Calibri"/>
                <w:color w:val="000000"/>
                <w:spacing w:val="-2"/>
                <w:kern w:val="1"/>
                <w:sz w:val="28"/>
                <w:szCs w:val="28"/>
                <w:lang w:val="en-US" w:eastAsia="zh-CN" w:bidi="ar-SA"/>
              </w:rPr>
            </w:pPr>
          </w:p>
        </w:tc>
      </w:tr>
      <w:tr w14:paraId="3D7C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18A0326D">
            <w:pPr>
              <w:rPr>
                <w:rFonts w:ascii="Calibri" w:hAnsi="Calibri" w:eastAsia="宋体" w:cs="Calibri"/>
                <w:color w:val="000000"/>
                <w:spacing w:val="-2"/>
                <w:kern w:val="1"/>
                <w:sz w:val="28"/>
                <w:szCs w:val="28"/>
                <w:lang w:val="en-US" w:eastAsia="zh-CN" w:bidi="ar-SA"/>
              </w:rPr>
            </w:pPr>
          </w:p>
        </w:tc>
        <w:tc>
          <w:tcPr>
            <w:tcW w:w="719" w:type="dxa"/>
            <w:noWrap w:val="0"/>
            <w:vAlign w:val="top"/>
          </w:tcPr>
          <w:p w14:paraId="0B61D774">
            <w:pPr>
              <w:rPr>
                <w:rFonts w:ascii="Calibri" w:hAnsi="Calibri" w:eastAsia="宋体" w:cs="Calibri"/>
                <w:color w:val="000000"/>
                <w:spacing w:val="-2"/>
                <w:kern w:val="1"/>
                <w:sz w:val="28"/>
                <w:szCs w:val="28"/>
                <w:lang w:val="en-US" w:eastAsia="zh-CN" w:bidi="ar-SA"/>
              </w:rPr>
            </w:pPr>
          </w:p>
        </w:tc>
        <w:tc>
          <w:tcPr>
            <w:tcW w:w="719" w:type="dxa"/>
            <w:noWrap w:val="0"/>
            <w:vAlign w:val="top"/>
          </w:tcPr>
          <w:p w14:paraId="419CAC6D">
            <w:pPr>
              <w:rPr>
                <w:rFonts w:ascii="Calibri" w:hAnsi="Calibri" w:eastAsia="宋体" w:cs="Calibri"/>
                <w:color w:val="000000"/>
                <w:spacing w:val="-2"/>
                <w:kern w:val="1"/>
                <w:sz w:val="28"/>
                <w:szCs w:val="28"/>
                <w:lang w:val="en-US" w:eastAsia="zh-CN" w:bidi="ar-SA"/>
              </w:rPr>
            </w:pPr>
          </w:p>
        </w:tc>
        <w:tc>
          <w:tcPr>
            <w:tcW w:w="1080" w:type="dxa"/>
            <w:noWrap w:val="0"/>
            <w:vAlign w:val="top"/>
          </w:tcPr>
          <w:p w14:paraId="77751585">
            <w:pPr>
              <w:rPr>
                <w:rFonts w:ascii="Calibri" w:hAnsi="Calibri" w:eastAsia="宋体" w:cs="Calibri"/>
                <w:color w:val="000000"/>
                <w:spacing w:val="-2"/>
                <w:kern w:val="1"/>
                <w:sz w:val="28"/>
                <w:szCs w:val="28"/>
                <w:lang w:val="en-US" w:eastAsia="zh-CN" w:bidi="ar-SA"/>
              </w:rPr>
            </w:pPr>
          </w:p>
        </w:tc>
        <w:tc>
          <w:tcPr>
            <w:tcW w:w="720" w:type="dxa"/>
            <w:noWrap w:val="0"/>
            <w:vAlign w:val="top"/>
          </w:tcPr>
          <w:p w14:paraId="5F91746E">
            <w:pPr>
              <w:rPr>
                <w:rFonts w:ascii="Calibri" w:hAnsi="Calibri" w:eastAsia="宋体" w:cs="Calibri"/>
                <w:color w:val="000000"/>
                <w:spacing w:val="-2"/>
                <w:kern w:val="1"/>
                <w:sz w:val="28"/>
                <w:szCs w:val="28"/>
                <w:lang w:val="en-US" w:eastAsia="zh-CN" w:bidi="ar-SA"/>
              </w:rPr>
            </w:pPr>
          </w:p>
        </w:tc>
        <w:tc>
          <w:tcPr>
            <w:tcW w:w="720" w:type="dxa"/>
            <w:noWrap w:val="0"/>
            <w:vAlign w:val="top"/>
          </w:tcPr>
          <w:p w14:paraId="1A554BB9">
            <w:pPr>
              <w:rPr>
                <w:rFonts w:ascii="Calibri" w:hAnsi="Calibri" w:eastAsia="宋体" w:cs="Calibri"/>
                <w:color w:val="000000"/>
                <w:spacing w:val="-2"/>
                <w:kern w:val="1"/>
                <w:sz w:val="28"/>
                <w:szCs w:val="28"/>
                <w:lang w:val="en-US" w:eastAsia="zh-CN" w:bidi="ar-SA"/>
              </w:rPr>
            </w:pPr>
          </w:p>
        </w:tc>
        <w:tc>
          <w:tcPr>
            <w:tcW w:w="720" w:type="dxa"/>
            <w:noWrap w:val="0"/>
            <w:vAlign w:val="top"/>
          </w:tcPr>
          <w:p w14:paraId="529B5D2A">
            <w:pPr>
              <w:rPr>
                <w:rFonts w:ascii="Calibri" w:hAnsi="Calibri" w:eastAsia="宋体" w:cs="Calibri"/>
                <w:color w:val="000000"/>
                <w:spacing w:val="-2"/>
                <w:kern w:val="1"/>
                <w:sz w:val="28"/>
                <w:szCs w:val="28"/>
                <w:lang w:val="en-US" w:eastAsia="zh-CN" w:bidi="ar-SA"/>
              </w:rPr>
            </w:pPr>
          </w:p>
        </w:tc>
        <w:tc>
          <w:tcPr>
            <w:tcW w:w="2291" w:type="dxa"/>
            <w:noWrap w:val="0"/>
            <w:vAlign w:val="top"/>
          </w:tcPr>
          <w:p w14:paraId="1D181E36">
            <w:pPr>
              <w:rPr>
                <w:rFonts w:ascii="Calibri" w:hAnsi="Calibri" w:eastAsia="宋体" w:cs="Calibri"/>
                <w:color w:val="000000"/>
                <w:spacing w:val="-2"/>
                <w:kern w:val="1"/>
                <w:sz w:val="28"/>
                <w:szCs w:val="28"/>
                <w:lang w:val="en-US" w:eastAsia="zh-CN" w:bidi="ar-SA"/>
              </w:rPr>
            </w:pPr>
          </w:p>
        </w:tc>
        <w:tc>
          <w:tcPr>
            <w:tcW w:w="907" w:type="dxa"/>
            <w:noWrap w:val="0"/>
            <w:vAlign w:val="top"/>
          </w:tcPr>
          <w:p w14:paraId="4F2D9A45">
            <w:pPr>
              <w:rPr>
                <w:rFonts w:ascii="Calibri" w:hAnsi="Calibri" w:eastAsia="宋体" w:cs="Calibri"/>
                <w:color w:val="000000"/>
                <w:spacing w:val="-2"/>
                <w:kern w:val="1"/>
                <w:sz w:val="28"/>
                <w:szCs w:val="28"/>
                <w:lang w:val="en-US" w:eastAsia="zh-CN" w:bidi="ar-SA"/>
              </w:rPr>
            </w:pPr>
          </w:p>
        </w:tc>
      </w:tr>
      <w:tr w14:paraId="6D32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11A78357">
            <w:pPr>
              <w:rPr>
                <w:rFonts w:ascii="Calibri" w:hAnsi="Calibri" w:eastAsia="宋体" w:cs="Calibri"/>
                <w:color w:val="000000"/>
                <w:spacing w:val="-2"/>
                <w:kern w:val="1"/>
                <w:sz w:val="28"/>
                <w:szCs w:val="28"/>
                <w:lang w:val="en-US" w:eastAsia="zh-CN" w:bidi="ar-SA"/>
              </w:rPr>
            </w:pPr>
          </w:p>
        </w:tc>
        <w:tc>
          <w:tcPr>
            <w:tcW w:w="719" w:type="dxa"/>
            <w:noWrap w:val="0"/>
            <w:vAlign w:val="top"/>
          </w:tcPr>
          <w:p w14:paraId="5516D63F">
            <w:pPr>
              <w:rPr>
                <w:rFonts w:ascii="Calibri" w:hAnsi="Calibri" w:eastAsia="宋体" w:cs="Calibri"/>
                <w:color w:val="000000"/>
                <w:spacing w:val="-2"/>
                <w:kern w:val="1"/>
                <w:sz w:val="28"/>
                <w:szCs w:val="28"/>
                <w:lang w:val="en-US" w:eastAsia="zh-CN" w:bidi="ar-SA"/>
              </w:rPr>
            </w:pPr>
          </w:p>
        </w:tc>
        <w:tc>
          <w:tcPr>
            <w:tcW w:w="719" w:type="dxa"/>
            <w:noWrap w:val="0"/>
            <w:vAlign w:val="top"/>
          </w:tcPr>
          <w:p w14:paraId="387DB1C9">
            <w:pPr>
              <w:rPr>
                <w:rFonts w:ascii="Calibri" w:hAnsi="Calibri" w:eastAsia="宋体" w:cs="Calibri"/>
                <w:color w:val="000000"/>
                <w:spacing w:val="-2"/>
                <w:kern w:val="1"/>
                <w:sz w:val="28"/>
                <w:szCs w:val="28"/>
                <w:lang w:val="en-US" w:eastAsia="zh-CN" w:bidi="ar-SA"/>
              </w:rPr>
            </w:pPr>
          </w:p>
        </w:tc>
        <w:tc>
          <w:tcPr>
            <w:tcW w:w="1080" w:type="dxa"/>
            <w:noWrap w:val="0"/>
            <w:vAlign w:val="top"/>
          </w:tcPr>
          <w:p w14:paraId="2FBBDFE4">
            <w:pPr>
              <w:rPr>
                <w:rFonts w:ascii="Calibri" w:hAnsi="Calibri" w:eastAsia="宋体" w:cs="Calibri"/>
                <w:color w:val="000000"/>
                <w:spacing w:val="-2"/>
                <w:kern w:val="1"/>
                <w:sz w:val="28"/>
                <w:szCs w:val="28"/>
                <w:lang w:val="en-US" w:eastAsia="zh-CN" w:bidi="ar-SA"/>
              </w:rPr>
            </w:pPr>
          </w:p>
        </w:tc>
        <w:tc>
          <w:tcPr>
            <w:tcW w:w="720" w:type="dxa"/>
            <w:noWrap w:val="0"/>
            <w:vAlign w:val="top"/>
          </w:tcPr>
          <w:p w14:paraId="3E1A6FC7">
            <w:pPr>
              <w:rPr>
                <w:rFonts w:ascii="Calibri" w:hAnsi="Calibri" w:eastAsia="宋体" w:cs="Calibri"/>
                <w:color w:val="000000"/>
                <w:spacing w:val="-2"/>
                <w:kern w:val="1"/>
                <w:sz w:val="28"/>
                <w:szCs w:val="28"/>
                <w:lang w:val="en-US" w:eastAsia="zh-CN" w:bidi="ar-SA"/>
              </w:rPr>
            </w:pPr>
          </w:p>
        </w:tc>
        <w:tc>
          <w:tcPr>
            <w:tcW w:w="720" w:type="dxa"/>
            <w:noWrap w:val="0"/>
            <w:vAlign w:val="top"/>
          </w:tcPr>
          <w:p w14:paraId="47935367">
            <w:pPr>
              <w:rPr>
                <w:rFonts w:ascii="Calibri" w:hAnsi="Calibri" w:eastAsia="宋体" w:cs="Calibri"/>
                <w:color w:val="000000"/>
                <w:spacing w:val="-2"/>
                <w:kern w:val="1"/>
                <w:sz w:val="28"/>
                <w:szCs w:val="28"/>
                <w:lang w:val="en-US" w:eastAsia="zh-CN" w:bidi="ar-SA"/>
              </w:rPr>
            </w:pPr>
          </w:p>
        </w:tc>
        <w:tc>
          <w:tcPr>
            <w:tcW w:w="720" w:type="dxa"/>
            <w:noWrap w:val="0"/>
            <w:vAlign w:val="top"/>
          </w:tcPr>
          <w:p w14:paraId="44EED309">
            <w:pPr>
              <w:rPr>
                <w:rFonts w:ascii="Calibri" w:hAnsi="Calibri" w:eastAsia="宋体" w:cs="Calibri"/>
                <w:color w:val="000000"/>
                <w:spacing w:val="-2"/>
                <w:kern w:val="1"/>
                <w:sz w:val="28"/>
                <w:szCs w:val="28"/>
                <w:lang w:val="en-US" w:eastAsia="zh-CN" w:bidi="ar-SA"/>
              </w:rPr>
            </w:pPr>
          </w:p>
        </w:tc>
        <w:tc>
          <w:tcPr>
            <w:tcW w:w="2291" w:type="dxa"/>
            <w:noWrap w:val="0"/>
            <w:vAlign w:val="top"/>
          </w:tcPr>
          <w:p w14:paraId="6018BF21">
            <w:pPr>
              <w:rPr>
                <w:rFonts w:ascii="Calibri" w:hAnsi="Calibri" w:eastAsia="宋体" w:cs="Calibri"/>
                <w:color w:val="000000"/>
                <w:spacing w:val="-2"/>
                <w:kern w:val="1"/>
                <w:sz w:val="28"/>
                <w:szCs w:val="28"/>
                <w:lang w:val="en-US" w:eastAsia="zh-CN" w:bidi="ar-SA"/>
              </w:rPr>
            </w:pPr>
          </w:p>
        </w:tc>
        <w:tc>
          <w:tcPr>
            <w:tcW w:w="907" w:type="dxa"/>
            <w:noWrap w:val="0"/>
            <w:vAlign w:val="top"/>
          </w:tcPr>
          <w:p w14:paraId="230A586D">
            <w:pPr>
              <w:rPr>
                <w:rFonts w:ascii="Calibri" w:hAnsi="Calibri" w:eastAsia="宋体" w:cs="Calibri"/>
                <w:color w:val="000000"/>
                <w:spacing w:val="-2"/>
                <w:kern w:val="1"/>
                <w:sz w:val="28"/>
                <w:szCs w:val="28"/>
                <w:lang w:val="en-US" w:eastAsia="zh-CN" w:bidi="ar-SA"/>
              </w:rPr>
            </w:pPr>
          </w:p>
        </w:tc>
      </w:tr>
      <w:tr w14:paraId="7FB93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641EDBD5">
            <w:pPr>
              <w:rPr>
                <w:rFonts w:ascii="Calibri" w:hAnsi="Calibri" w:eastAsia="宋体" w:cs="Calibri"/>
                <w:color w:val="000000"/>
                <w:spacing w:val="-2"/>
                <w:kern w:val="1"/>
                <w:sz w:val="28"/>
                <w:szCs w:val="28"/>
                <w:lang w:val="en-US" w:eastAsia="zh-CN" w:bidi="ar-SA"/>
              </w:rPr>
            </w:pPr>
          </w:p>
        </w:tc>
        <w:tc>
          <w:tcPr>
            <w:tcW w:w="719" w:type="dxa"/>
            <w:noWrap w:val="0"/>
            <w:vAlign w:val="top"/>
          </w:tcPr>
          <w:p w14:paraId="6FDD7EB3">
            <w:pPr>
              <w:rPr>
                <w:rFonts w:ascii="Calibri" w:hAnsi="Calibri" w:eastAsia="宋体" w:cs="Calibri"/>
                <w:color w:val="000000"/>
                <w:spacing w:val="-2"/>
                <w:kern w:val="1"/>
                <w:sz w:val="28"/>
                <w:szCs w:val="28"/>
                <w:lang w:val="en-US" w:eastAsia="zh-CN" w:bidi="ar-SA"/>
              </w:rPr>
            </w:pPr>
          </w:p>
        </w:tc>
        <w:tc>
          <w:tcPr>
            <w:tcW w:w="719" w:type="dxa"/>
            <w:noWrap w:val="0"/>
            <w:vAlign w:val="top"/>
          </w:tcPr>
          <w:p w14:paraId="4A4DCCCF">
            <w:pPr>
              <w:rPr>
                <w:rFonts w:ascii="Calibri" w:hAnsi="Calibri" w:eastAsia="宋体" w:cs="Calibri"/>
                <w:color w:val="000000"/>
                <w:spacing w:val="-2"/>
                <w:kern w:val="1"/>
                <w:sz w:val="28"/>
                <w:szCs w:val="28"/>
                <w:lang w:val="en-US" w:eastAsia="zh-CN" w:bidi="ar-SA"/>
              </w:rPr>
            </w:pPr>
          </w:p>
        </w:tc>
        <w:tc>
          <w:tcPr>
            <w:tcW w:w="1080" w:type="dxa"/>
            <w:noWrap w:val="0"/>
            <w:vAlign w:val="top"/>
          </w:tcPr>
          <w:p w14:paraId="005102D9">
            <w:pPr>
              <w:rPr>
                <w:rFonts w:ascii="Calibri" w:hAnsi="Calibri" w:eastAsia="宋体" w:cs="Calibri"/>
                <w:color w:val="000000"/>
                <w:spacing w:val="-2"/>
                <w:kern w:val="1"/>
                <w:sz w:val="28"/>
                <w:szCs w:val="28"/>
                <w:lang w:val="en-US" w:eastAsia="zh-CN" w:bidi="ar-SA"/>
              </w:rPr>
            </w:pPr>
          </w:p>
        </w:tc>
        <w:tc>
          <w:tcPr>
            <w:tcW w:w="720" w:type="dxa"/>
            <w:noWrap w:val="0"/>
            <w:vAlign w:val="top"/>
          </w:tcPr>
          <w:p w14:paraId="693748AA">
            <w:pPr>
              <w:rPr>
                <w:rFonts w:ascii="Calibri" w:hAnsi="Calibri" w:eastAsia="宋体" w:cs="Calibri"/>
                <w:color w:val="000000"/>
                <w:spacing w:val="-2"/>
                <w:kern w:val="1"/>
                <w:sz w:val="28"/>
                <w:szCs w:val="28"/>
                <w:lang w:val="en-US" w:eastAsia="zh-CN" w:bidi="ar-SA"/>
              </w:rPr>
            </w:pPr>
          </w:p>
        </w:tc>
        <w:tc>
          <w:tcPr>
            <w:tcW w:w="720" w:type="dxa"/>
            <w:noWrap w:val="0"/>
            <w:vAlign w:val="top"/>
          </w:tcPr>
          <w:p w14:paraId="316744EE">
            <w:pPr>
              <w:rPr>
                <w:rFonts w:ascii="Calibri" w:hAnsi="Calibri" w:eastAsia="宋体" w:cs="Calibri"/>
                <w:color w:val="000000"/>
                <w:spacing w:val="-2"/>
                <w:kern w:val="1"/>
                <w:sz w:val="28"/>
                <w:szCs w:val="28"/>
                <w:lang w:val="en-US" w:eastAsia="zh-CN" w:bidi="ar-SA"/>
              </w:rPr>
            </w:pPr>
          </w:p>
        </w:tc>
        <w:tc>
          <w:tcPr>
            <w:tcW w:w="720" w:type="dxa"/>
            <w:noWrap w:val="0"/>
            <w:vAlign w:val="top"/>
          </w:tcPr>
          <w:p w14:paraId="72BEC502">
            <w:pPr>
              <w:rPr>
                <w:rFonts w:ascii="Calibri" w:hAnsi="Calibri" w:eastAsia="宋体" w:cs="Calibri"/>
                <w:color w:val="000000"/>
                <w:spacing w:val="-2"/>
                <w:kern w:val="1"/>
                <w:sz w:val="28"/>
                <w:szCs w:val="28"/>
                <w:lang w:val="en-US" w:eastAsia="zh-CN" w:bidi="ar-SA"/>
              </w:rPr>
            </w:pPr>
          </w:p>
        </w:tc>
        <w:tc>
          <w:tcPr>
            <w:tcW w:w="2291" w:type="dxa"/>
            <w:noWrap w:val="0"/>
            <w:vAlign w:val="top"/>
          </w:tcPr>
          <w:p w14:paraId="25475C85">
            <w:pPr>
              <w:rPr>
                <w:rFonts w:ascii="Calibri" w:hAnsi="Calibri" w:eastAsia="宋体" w:cs="Calibri"/>
                <w:color w:val="000000"/>
                <w:spacing w:val="-2"/>
                <w:kern w:val="1"/>
                <w:sz w:val="28"/>
                <w:szCs w:val="28"/>
                <w:lang w:val="en-US" w:eastAsia="zh-CN" w:bidi="ar-SA"/>
              </w:rPr>
            </w:pPr>
          </w:p>
        </w:tc>
        <w:tc>
          <w:tcPr>
            <w:tcW w:w="907" w:type="dxa"/>
            <w:noWrap w:val="0"/>
            <w:vAlign w:val="top"/>
          </w:tcPr>
          <w:p w14:paraId="4BF78558">
            <w:pPr>
              <w:rPr>
                <w:rFonts w:ascii="Calibri" w:hAnsi="Calibri" w:eastAsia="宋体" w:cs="Calibri"/>
                <w:color w:val="000000"/>
                <w:spacing w:val="-2"/>
                <w:kern w:val="1"/>
                <w:sz w:val="28"/>
                <w:szCs w:val="28"/>
                <w:lang w:val="en-US" w:eastAsia="zh-CN" w:bidi="ar-SA"/>
              </w:rPr>
            </w:pPr>
          </w:p>
        </w:tc>
      </w:tr>
      <w:tr w14:paraId="7CFB4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415DB1FF">
            <w:pPr>
              <w:rPr>
                <w:rFonts w:ascii="Calibri" w:hAnsi="Calibri" w:eastAsia="宋体" w:cs="Calibri"/>
                <w:color w:val="000000"/>
                <w:spacing w:val="-2"/>
                <w:kern w:val="1"/>
                <w:sz w:val="28"/>
                <w:szCs w:val="28"/>
                <w:lang w:val="en-US" w:eastAsia="zh-CN" w:bidi="ar-SA"/>
              </w:rPr>
            </w:pPr>
          </w:p>
        </w:tc>
        <w:tc>
          <w:tcPr>
            <w:tcW w:w="719" w:type="dxa"/>
            <w:noWrap w:val="0"/>
            <w:vAlign w:val="top"/>
          </w:tcPr>
          <w:p w14:paraId="1F296356">
            <w:pPr>
              <w:rPr>
                <w:rFonts w:ascii="Calibri" w:hAnsi="Calibri" w:eastAsia="宋体" w:cs="Calibri"/>
                <w:color w:val="000000"/>
                <w:spacing w:val="-2"/>
                <w:kern w:val="1"/>
                <w:sz w:val="28"/>
                <w:szCs w:val="28"/>
                <w:lang w:val="en-US" w:eastAsia="zh-CN" w:bidi="ar-SA"/>
              </w:rPr>
            </w:pPr>
          </w:p>
        </w:tc>
        <w:tc>
          <w:tcPr>
            <w:tcW w:w="719" w:type="dxa"/>
            <w:noWrap w:val="0"/>
            <w:vAlign w:val="top"/>
          </w:tcPr>
          <w:p w14:paraId="0107E43A">
            <w:pPr>
              <w:rPr>
                <w:rFonts w:ascii="Calibri" w:hAnsi="Calibri" w:eastAsia="宋体" w:cs="Calibri"/>
                <w:color w:val="000000"/>
                <w:spacing w:val="-2"/>
                <w:kern w:val="1"/>
                <w:sz w:val="28"/>
                <w:szCs w:val="28"/>
                <w:lang w:val="en-US" w:eastAsia="zh-CN" w:bidi="ar-SA"/>
              </w:rPr>
            </w:pPr>
          </w:p>
        </w:tc>
        <w:tc>
          <w:tcPr>
            <w:tcW w:w="1080" w:type="dxa"/>
            <w:noWrap w:val="0"/>
            <w:vAlign w:val="top"/>
          </w:tcPr>
          <w:p w14:paraId="64F285DC">
            <w:pPr>
              <w:rPr>
                <w:rFonts w:ascii="Calibri" w:hAnsi="Calibri" w:eastAsia="宋体" w:cs="Calibri"/>
                <w:color w:val="000000"/>
                <w:spacing w:val="-2"/>
                <w:kern w:val="1"/>
                <w:sz w:val="28"/>
                <w:szCs w:val="28"/>
                <w:lang w:val="en-US" w:eastAsia="zh-CN" w:bidi="ar-SA"/>
              </w:rPr>
            </w:pPr>
          </w:p>
        </w:tc>
        <w:tc>
          <w:tcPr>
            <w:tcW w:w="720" w:type="dxa"/>
            <w:noWrap w:val="0"/>
            <w:vAlign w:val="top"/>
          </w:tcPr>
          <w:p w14:paraId="4DAD6B6E">
            <w:pPr>
              <w:rPr>
                <w:rFonts w:ascii="Calibri" w:hAnsi="Calibri" w:eastAsia="宋体" w:cs="Calibri"/>
                <w:color w:val="000000"/>
                <w:spacing w:val="-2"/>
                <w:kern w:val="1"/>
                <w:sz w:val="28"/>
                <w:szCs w:val="28"/>
                <w:lang w:val="en-US" w:eastAsia="zh-CN" w:bidi="ar-SA"/>
              </w:rPr>
            </w:pPr>
          </w:p>
        </w:tc>
        <w:tc>
          <w:tcPr>
            <w:tcW w:w="720" w:type="dxa"/>
            <w:noWrap w:val="0"/>
            <w:vAlign w:val="top"/>
          </w:tcPr>
          <w:p w14:paraId="62860BE0">
            <w:pPr>
              <w:rPr>
                <w:rFonts w:ascii="Calibri" w:hAnsi="Calibri" w:eastAsia="宋体" w:cs="Calibri"/>
                <w:color w:val="000000"/>
                <w:spacing w:val="-2"/>
                <w:kern w:val="1"/>
                <w:sz w:val="28"/>
                <w:szCs w:val="28"/>
                <w:lang w:val="en-US" w:eastAsia="zh-CN" w:bidi="ar-SA"/>
              </w:rPr>
            </w:pPr>
          </w:p>
        </w:tc>
        <w:tc>
          <w:tcPr>
            <w:tcW w:w="720" w:type="dxa"/>
            <w:noWrap w:val="0"/>
            <w:vAlign w:val="top"/>
          </w:tcPr>
          <w:p w14:paraId="18F3FC4D">
            <w:pPr>
              <w:rPr>
                <w:rFonts w:ascii="Calibri" w:hAnsi="Calibri" w:eastAsia="宋体" w:cs="Calibri"/>
                <w:color w:val="000000"/>
                <w:spacing w:val="-2"/>
                <w:kern w:val="1"/>
                <w:sz w:val="28"/>
                <w:szCs w:val="28"/>
                <w:lang w:val="en-US" w:eastAsia="zh-CN" w:bidi="ar-SA"/>
              </w:rPr>
            </w:pPr>
          </w:p>
        </w:tc>
        <w:tc>
          <w:tcPr>
            <w:tcW w:w="2291" w:type="dxa"/>
            <w:noWrap w:val="0"/>
            <w:vAlign w:val="top"/>
          </w:tcPr>
          <w:p w14:paraId="60D3B486">
            <w:pPr>
              <w:rPr>
                <w:rFonts w:ascii="Calibri" w:hAnsi="Calibri" w:eastAsia="宋体" w:cs="Calibri"/>
                <w:color w:val="000000"/>
                <w:spacing w:val="-2"/>
                <w:kern w:val="1"/>
                <w:sz w:val="28"/>
                <w:szCs w:val="28"/>
                <w:lang w:val="en-US" w:eastAsia="zh-CN" w:bidi="ar-SA"/>
              </w:rPr>
            </w:pPr>
          </w:p>
        </w:tc>
        <w:tc>
          <w:tcPr>
            <w:tcW w:w="907" w:type="dxa"/>
            <w:noWrap w:val="0"/>
            <w:vAlign w:val="top"/>
          </w:tcPr>
          <w:p w14:paraId="0E0E2158">
            <w:pPr>
              <w:rPr>
                <w:rFonts w:ascii="Calibri" w:hAnsi="Calibri" w:eastAsia="宋体" w:cs="Calibri"/>
                <w:color w:val="000000"/>
                <w:spacing w:val="-2"/>
                <w:kern w:val="1"/>
                <w:sz w:val="28"/>
                <w:szCs w:val="28"/>
                <w:lang w:val="en-US" w:eastAsia="zh-CN" w:bidi="ar-SA"/>
              </w:rPr>
            </w:pPr>
          </w:p>
        </w:tc>
      </w:tr>
      <w:tr w14:paraId="018C9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3B9C2D9D">
            <w:pPr>
              <w:rPr>
                <w:rFonts w:ascii="Calibri" w:hAnsi="Calibri" w:eastAsia="宋体" w:cs="Calibri"/>
                <w:color w:val="000000"/>
                <w:spacing w:val="-2"/>
                <w:kern w:val="1"/>
                <w:sz w:val="28"/>
                <w:szCs w:val="28"/>
                <w:lang w:val="en-US" w:eastAsia="zh-CN" w:bidi="ar-SA"/>
              </w:rPr>
            </w:pPr>
          </w:p>
        </w:tc>
        <w:tc>
          <w:tcPr>
            <w:tcW w:w="719" w:type="dxa"/>
            <w:noWrap w:val="0"/>
            <w:vAlign w:val="top"/>
          </w:tcPr>
          <w:p w14:paraId="125C8711">
            <w:pPr>
              <w:rPr>
                <w:rFonts w:ascii="Calibri" w:hAnsi="Calibri" w:eastAsia="宋体" w:cs="Calibri"/>
                <w:color w:val="000000"/>
                <w:spacing w:val="-2"/>
                <w:kern w:val="1"/>
                <w:sz w:val="28"/>
                <w:szCs w:val="28"/>
                <w:lang w:val="en-US" w:eastAsia="zh-CN" w:bidi="ar-SA"/>
              </w:rPr>
            </w:pPr>
          </w:p>
        </w:tc>
        <w:tc>
          <w:tcPr>
            <w:tcW w:w="719" w:type="dxa"/>
            <w:noWrap w:val="0"/>
            <w:vAlign w:val="top"/>
          </w:tcPr>
          <w:p w14:paraId="211ABE5D">
            <w:pPr>
              <w:rPr>
                <w:rFonts w:ascii="Calibri" w:hAnsi="Calibri" w:eastAsia="宋体" w:cs="Calibri"/>
                <w:color w:val="000000"/>
                <w:spacing w:val="-2"/>
                <w:kern w:val="1"/>
                <w:sz w:val="28"/>
                <w:szCs w:val="28"/>
                <w:lang w:val="en-US" w:eastAsia="zh-CN" w:bidi="ar-SA"/>
              </w:rPr>
            </w:pPr>
          </w:p>
        </w:tc>
        <w:tc>
          <w:tcPr>
            <w:tcW w:w="1080" w:type="dxa"/>
            <w:noWrap w:val="0"/>
            <w:vAlign w:val="top"/>
          </w:tcPr>
          <w:p w14:paraId="21F6F50F">
            <w:pPr>
              <w:rPr>
                <w:rFonts w:ascii="Calibri" w:hAnsi="Calibri" w:eastAsia="宋体" w:cs="Calibri"/>
                <w:color w:val="000000"/>
                <w:spacing w:val="-2"/>
                <w:kern w:val="1"/>
                <w:sz w:val="28"/>
                <w:szCs w:val="28"/>
                <w:lang w:val="en-US" w:eastAsia="zh-CN" w:bidi="ar-SA"/>
              </w:rPr>
            </w:pPr>
          </w:p>
        </w:tc>
        <w:tc>
          <w:tcPr>
            <w:tcW w:w="720" w:type="dxa"/>
            <w:noWrap w:val="0"/>
            <w:vAlign w:val="top"/>
          </w:tcPr>
          <w:p w14:paraId="0F9726B4">
            <w:pPr>
              <w:rPr>
                <w:rFonts w:ascii="Calibri" w:hAnsi="Calibri" w:eastAsia="宋体" w:cs="Calibri"/>
                <w:color w:val="000000"/>
                <w:spacing w:val="-2"/>
                <w:kern w:val="1"/>
                <w:sz w:val="28"/>
                <w:szCs w:val="28"/>
                <w:lang w:val="en-US" w:eastAsia="zh-CN" w:bidi="ar-SA"/>
              </w:rPr>
            </w:pPr>
          </w:p>
        </w:tc>
        <w:tc>
          <w:tcPr>
            <w:tcW w:w="720" w:type="dxa"/>
            <w:noWrap w:val="0"/>
            <w:vAlign w:val="top"/>
          </w:tcPr>
          <w:p w14:paraId="5B96A54F">
            <w:pPr>
              <w:rPr>
                <w:rFonts w:ascii="Calibri" w:hAnsi="Calibri" w:eastAsia="宋体" w:cs="Calibri"/>
                <w:color w:val="000000"/>
                <w:spacing w:val="-2"/>
                <w:kern w:val="1"/>
                <w:sz w:val="28"/>
                <w:szCs w:val="28"/>
                <w:lang w:val="en-US" w:eastAsia="zh-CN" w:bidi="ar-SA"/>
              </w:rPr>
            </w:pPr>
          </w:p>
        </w:tc>
        <w:tc>
          <w:tcPr>
            <w:tcW w:w="720" w:type="dxa"/>
            <w:noWrap w:val="0"/>
            <w:vAlign w:val="top"/>
          </w:tcPr>
          <w:p w14:paraId="06161DD9">
            <w:pPr>
              <w:rPr>
                <w:rFonts w:ascii="Calibri" w:hAnsi="Calibri" w:eastAsia="宋体" w:cs="Calibri"/>
                <w:color w:val="000000"/>
                <w:spacing w:val="-2"/>
                <w:kern w:val="1"/>
                <w:sz w:val="28"/>
                <w:szCs w:val="28"/>
                <w:lang w:val="en-US" w:eastAsia="zh-CN" w:bidi="ar-SA"/>
              </w:rPr>
            </w:pPr>
          </w:p>
        </w:tc>
        <w:tc>
          <w:tcPr>
            <w:tcW w:w="2291" w:type="dxa"/>
            <w:noWrap w:val="0"/>
            <w:vAlign w:val="top"/>
          </w:tcPr>
          <w:p w14:paraId="21DD3CB8">
            <w:pPr>
              <w:rPr>
                <w:rFonts w:ascii="Calibri" w:hAnsi="Calibri" w:eastAsia="宋体" w:cs="Calibri"/>
                <w:color w:val="000000"/>
                <w:spacing w:val="-2"/>
                <w:kern w:val="1"/>
                <w:sz w:val="28"/>
                <w:szCs w:val="28"/>
                <w:lang w:val="en-US" w:eastAsia="zh-CN" w:bidi="ar-SA"/>
              </w:rPr>
            </w:pPr>
          </w:p>
        </w:tc>
        <w:tc>
          <w:tcPr>
            <w:tcW w:w="907" w:type="dxa"/>
            <w:noWrap w:val="0"/>
            <w:vAlign w:val="top"/>
          </w:tcPr>
          <w:p w14:paraId="62971979">
            <w:pPr>
              <w:rPr>
                <w:rFonts w:ascii="Calibri" w:hAnsi="Calibri" w:eastAsia="宋体" w:cs="Calibri"/>
                <w:color w:val="000000"/>
                <w:spacing w:val="-2"/>
                <w:kern w:val="1"/>
                <w:sz w:val="28"/>
                <w:szCs w:val="28"/>
                <w:lang w:val="en-US" w:eastAsia="zh-CN" w:bidi="ar-SA"/>
              </w:rPr>
            </w:pPr>
          </w:p>
        </w:tc>
      </w:tr>
      <w:tr w14:paraId="4E495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7DCBFC68">
            <w:pPr>
              <w:rPr>
                <w:rFonts w:ascii="Calibri" w:hAnsi="Calibri" w:eastAsia="宋体" w:cs="Calibri"/>
                <w:color w:val="000000"/>
                <w:spacing w:val="-2"/>
                <w:kern w:val="1"/>
                <w:sz w:val="28"/>
                <w:szCs w:val="28"/>
                <w:lang w:val="en-US" w:eastAsia="zh-CN" w:bidi="ar-SA"/>
              </w:rPr>
            </w:pPr>
          </w:p>
        </w:tc>
        <w:tc>
          <w:tcPr>
            <w:tcW w:w="719" w:type="dxa"/>
            <w:noWrap w:val="0"/>
            <w:vAlign w:val="top"/>
          </w:tcPr>
          <w:p w14:paraId="57D12210">
            <w:pPr>
              <w:rPr>
                <w:rFonts w:ascii="Calibri" w:hAnsi="Calibri" w:eastAsia="宋体" w:cs="Calibri"/>
                <w:color w:val="000000"/>
                <w:spacing w:val="-2"/>
                <w:kern w:val="1"/>
                <w:sz w:val="28"/>
                <w:szCs w:val="28"/>
                <w:lang w:val="en-US" w:eastAsia="zh-CN" w:bidi="ar-SA"/>
              </w:rPr>
            </w:pPr>
          </w:p>
        </w:tc>
        <w:tc>
          <w:tcPr>
            <w:tcW w:w="719" w:type="dxa"/>
            <w:noWrap w:val="0"/>
            <w:vAlign w:val="top"/>
          </w:tcPr>
          <w:p w14:paraId="4E587443">
            <w:pPr>
              <w:rPr>
                <w:rFonts w:ascii="Calibri" w:hAnsi="Calibri" w:eastAsia="宋体" w:cs="Calibri"/>
                <w:color w:val="000000"/>
                <w:spacing w:val="-2"/>
                <w:kern w:val="1"/>
                <w:sz w:val="28"/>
                <w:szCs w:val="28"/>
                <w:lang w:val="en-US" w:eastAsia="zh-CN" w:bidi="ar-SA"/>
              </w:rPr>
            </w:pPr>
          </w:p>
        </w:tc>
        <w:tc>
          <w:tcPr>
            <w:tcW w:w="1080" w:type="dxa"/>
            <w:noWrap w:val="0"/>
            <w:vAlign w:val="top"/>
          </w:tcPr>
          <w:p w14:paraId="20F4C9D0">
            <w:pPr>
              <w:rPr>
                <w:rFonts w:ascii="Calibri" w:hAnsi="Calibri" w:eastAsia="宋体" w:cs="Calibri"/>
                <w:color w:val="000000"/>
                <w:spacing w:val="-2"/>
                <w:kern w:val="1"/>
                <w:sz w:val="28"/>
                <w:szCs w:val="28"/>
                <w:lang w:val="en-US" w:eastAsia="zh-CN" w:bidi="ar-SA"/>
              </w:rPr>
            </w:pPr>
          </w:p>
        </w:tc>
        <w:tc>
          <w:tcPr>
            <w:tcW w:w="720" w:type="dxa"/>
            <w:noWrap w:val="0"/>
            <w:vAlign w:val="top"/>
          </w:tcPr>
          <w:p w14:paraId="053D6618">
            <w:pPr>
              <w:rPr>
                <w:rFonts w:ascii="Calibri" w:hAnsi="Calibri" w:eastAsia="宋体" w:cs="Calibri"/>
                <w:color w:val="000000"/>
                <w:spacing w:val="-2"/>
                <w:kern w:val="1"/>
                <w:sz w:val="28"/>
                <w:szCs w:val="28"/>
                <w:lang w:val="en-US" w:eastAsia="zh-CN" w:bidi="ar-SA"/>
              </w:rPr>
            </w:pPr>
          </w:p>
        </w:tc>
        <w:tc>
          <w:tcPr>
            <w:tcW w:w="720" w:type="dxa"/>
            <w:noWrap w:val="0"/>
            <w:vAlign w:val="top"/>
          </w:tcPr>
          <w:p w14:paraId="313D8750">
            <w:pPr>
              <w:rPr>
                <w:rFonts w:ascii="Calibri" w:hAnsi="Calibri" w:eastAsia="宋体" w:cs="Calibri"/>
                <w:color w:val="000000"/>
                <w:spacing w:val="-2"/>
                <w:kern w:val="1"/>
                <w:sz w:val="28"/>
                <w:szCs w:val="28"/>
                <w:lang w:val="en-US" w:eastAsia="zh-CN" w:bidi="ar-SA"/>
              </w:rPr>
            </w:pPr>
          </w:p>
        </w:tc>
        <w:tc>
          <w:tcPr>
            <w:tcW w:w="720" w:type="dxa"/>
            <w:noWrap w:val="0"/>
            <w:vAlign w:val="top"/>
          </w:tcPr>
          <w:p w14:paraId="16AC3299">
            <w:pPr>
              <w:rPr>
                <w:rFonts w:ascii="Calibri" w:hAnsi="Calibri" w:eastAsia="宋体" w:cs="Calibri"/>
                <w:color w:val="000000"/>
                <w:spacing w:val="-2"/>
                <w:kern w:val="1"/>
                <w:sz w:val="28"/>
                <w:szCs w:val="28"/>
                <w:lang w:val="en-US" w:eastAsia="zh-CN" w:bidi="ar-SA"/>
              </w:rPr>
            </w:pPr>
          </w:p>
        </w:tc>
        <w:tc>
          <w:tcPr>
            <w:tcW w:w="2291" w:type="dxa"/>
            <w:noWrap w:val="0"/>
            <w:vAlign w:val="top"/>
          </w:tcPr>
          <w:p w14:paraId="176E3441">
            <w:pPr>
              <w:rPr>
                <w:rFonts w:ascii="Calibri" w:hAnsi="Calibri" w:eastAsia="宋体" w:cs="Calibri"/>
                <w:color w:val="000000"/>
                <w:spacing w:val="-2"/>
                <w:kern w:val="1"/>
                <w:sz w:val="28"/>
                <w:szCs w:val="28"/>
                <w:lang w:val="en-US" w:eastAsia="zh-CN" w:bidi="ar-SA"/>
              </w:rPr>
            </w:pPr>
          </w:p>
        </w:tc>
        <w:tc>
          <w:tcPr>
            <w:tcW w:w="907" w:type="dxa"/>
            <w:noWrap w:val="0"/>
            <w:vAlign w:val="top"/>
          </w:tcPr>
          <w:p w14:paraId="3CD7D218">
            <w:pPr>
              <w:rPr>
                <w:rFonts w:ascii="Calibri" w:hAnsi="Calibri" w:eastAsia="宋体" w:cs="Calibri"/>
                <w:color w:val="000000"/>
                <w:spacing w:val="-2"/>
                <w:kern w:val="1"/>
                <w:sz w:val="28"/>
                <w:szCs w:val="28"/>
                <w:lang w:val="en-US" w:eastAsia="zh-CN" w:bidi="ar-SA"/>
              </w:rPr>
            </w:pPr>
          </w:p>
        </w:tc>
      </w:tr>
      <w:tr w14:paraId="7B0EF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2A1C4D6E">
            <w:pPr>
              <w:rPr>
                <w:rFonts w:ascii="Calibri" w:hAnsi="Calibri" w:eastAsia="宋体" w:cs="Calibri"/>
                <w:color w:val="000000"/>
                <w:spacing w:val="-2"/>
                <w:kern w:val="1"/>
                <w:sz w:val="28"/>
                <w:szCs w:val="28"/>
                <w:lang w:val="en-US" w:eastAsia="zh-CN" w:bidi="ar-SA"/>
              </w:rPr>
            </w:pPr>
          </w:p>
        </w:tc>
        <w:tc>
          <w:tcPr>
            <w:tcW w:w="719" w:type="dxa"/>
            <w:noWrap w:val="0"/>
            <w:vAlign w:val="top"/>
          </w:tcPr>
          <w:p w14:paraId="282BB906">
            <w:pPr>
              <w:rPr>
                <w:rFonts w:ascii="Calibri" w:hAnsi="Calibri" w:eastAsia="宋体" w:cs="Calibri"/>
                <w:color w:val="000000"/>
                <w:spacing w:val="-2"/>
                <w:kern w:val="1"/>
                <w:sz w:val="28"/>
                <w:szCs w:val="28"/>
                <w:lang w:val="en-US" w:eastAsia="zh-CN" w:bidi="ar-SA"/>
              </w:rPr>
            </w:pPr>
          </w:p>
        </w:tc>
        <w:tc>
          <w:tcPr>
            <w:tcW w:w="719" w:type="dxa"/>
            <w:noWrap w:val="0"/>
            <w:vAlign w:val="top"/>
          </w:tcPr>
          <w:p w14:paraId="346FC543">
            <w:pPr>
              <w:rPr>
                <w:rFonts w:ascii="Calibri" w:hAnsi="Calibri" w:eastAsia="宋体" w:cs="Calibri"/>
                <w:color w:val="000000"/>
                <w:spacing w:val="-2"/>
                <w:kern w:val="1"/>
                <w:sz w:val="28"/>
                <w:szCs w:val="28"/>
                <w:lang w:val="en-US" w:eastAsia="zh-CN" w:bidi="ar-SA"/>
              </w:rPr>
            </w:pPr>
          </w:p>
        </w:tc>
        <w:tc>
          <w:tcPr>
            <w:tcW w:w="1080" w:type="dxa"/>
            <w:noWrap w:val="0"/>
            <w:vAlign w:val="top"/>
          </w:tcPr>
          <w:p w14:paraId="6FCA39E7">
            <w:pPr>
              <w:rPr>
                <w:rFonts w:ascii="Calibri" w:hAnsi="Calibri" w:eastAsia="宋体" w:cs="Calibri"/>
                <w:color w:val="000000"/>
                <w:spacing w:val="-2"/>
                <w:kern w:val="1"/>
                <w:sz w:val="28"/>
                <w:szCs w:val="28"/>
                <w:lang w:val="en-US" w:eastAsia="zh-CN" w:bidi="ar-SA"/>
              </w:rPr>
            </w:pPr>
          </w:p>
        </w:tc>
        <w:tc>
          <w:tcPr>
            <w:tcW w:w="720" w:type="dxa"/>
            <w:noWrap w:val="0"/>
            <w:vAlign w:val="top"/>
          </w:tcPr>
          <w:p w14:paraId="178C8958">
            <w:pPr>
              <w:rPr>
                <w:rFonts w:ascii="Calibri" w:hAnsi="Calibri" w:eastAsia="宋体" w:cs="Calibri"/>
                <w:color w:val="000000"/>
                <w:spacing w:val="-2"/>
                <w:kern w:val="1"/>
                <w:sz w:val="28"/>
                <w:szCs w:val="28"/>
                <w:lang w:val="en-US" w:eastAsia="zh-CN" w:bidi="ar-SA"/>
              </w:rPr>
            </w:pPr>
          </w:p>
        </w:tc>
        <w:tc>
          <w:tcPr>
            <w:tcW w:w="720" w:type="dxa"/>
            <w:noWrap w:val="0"/>
            <w:vAlign w:val="top"/>
          </w:tcPr>
          <w:p w14:paraId="07A1AC45">
            <w:pPr>
              <w:rPr>
                <w:rFonts w:ascii="Calibri" w:hAnsi="Calibri" w:eastAsia="宋体" w:cs="Calibri"/>
                <w:color w:val="000000"/>
                <w:spacing w:val="-2"/>
                <w:kern w:val="1"/>
                <w:sz w:val="28"/>
                <w:szCs w:val="28"/>
                <w:lang w:val="en-US" w:eastAsia="zh-CN" w:bidi="ar-SA"/>
              </w:rPr>
            </w:pPr>
          </w:p>
        </w:tc>
        <w:tc>
          <w:tcPr>
            <w:tcW w:w="720" w:type="dxa"/>
            <w:noWrap w:val="0"/>
            <w:vAlign w:val="top"/>
          </w:tcPr>
          <w:p w14:paraId="2E9029ED">
            <w:pPr>
              <w:rPr>
                <w:rFonts w:ascii="Calibri" w:hAnsi="Calibri" w:eastAsia="宋体" w:cs="Calibri"/>
                <w:color w:val="000000"/>
                <w:spacing w:val="-2"/>
                <w:kern w:val="1"/>
                <w:sz w:val="28"/>
                <w:szCs w:val="28"/>
                <w:lang w:val="en-US" w:eastAsia="zh-CN" w:bidi="ar-SA"/>
              </w:rPr>
            </w:pPr>
          </w:p>
        </w:tc>
        <w:tc>
          <w:tcPr>
            <w:tcW w:w="2291" w:type="dxa"/>
            <w:noWrap w:val="0"/>
            <w:vAlign w:val="top"/>
          </w:tcPr>
          <w:p w14:paraId="3E6CC747">
            <w:pPr>
              <w:rPr>
                <w:rFonts w:ascii="Calibri" w:hAnsi="Calibri" w:eastAsia="宋体" w:cs="Calibri"/>
                <w:color w:val="000000"/>
                <w:spacing w:val="-2"/>
                <w:kern w:val="1"/>
                <w:sz w:val="28"/>
                <w:szCs w:val="28"/>
                <w:lang w:val="en-US" w:eastAsia="zh-CN" w:bidi="ar-SA"/>
              </w:rPr>
            </w:pPr>
          </w:p>
        </w:tc>
        <w:tc>
          <w:tcPr>
            <w:tcW w:w="907" w:type="dxa"/>
            <w:noWrap w:val="0"/>
            <w:vAlign w:val="top"/>
          </w:tcPr>
          <w:p w14:paraId="22AA5799">
            <w:pPr>
              <w:rPr>
                <w:rFonts w:ascii="Calibri" w:hAnsi="Calibri" w:eastAsia="宋体" w:cs="Calibri"/>
                <w:color w:val="000000"/>
                <w:spacing w:val="-2"/>
                <w:kern w:val="1"/>
                <w:sz w:val="28"/>
                <w:szCs w:val="28"/>
                <w:lang w:val="en-US" w:eastAsia="zh-CN" w:bidi="ar-SA"/>
              </w:rPr>
            </w:pPr>
          </w:p>
        </w:tc>
      </w:tr>
      <w:tr w14:paraId="7B2A4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7AA98725">
            <w:pPr>
              <w:rPr>
                <w:rFonts w:ascii="Calibri" w:hAnsi="Calibri" w:eastAsia="宋体" w:cs="Calibri"/>
                <w:color w:val="000000"/>
                <w:spacing w:val="-2"/>
                <w:kern w:val="1"/>
                <w:sz w:val="28"/>
                <w:szCs w:val="28"/>
                <w:lang w:val="en-US" w:eastAsia="zh-CN" w:bidi="ar-SA"/>
              </w:rPr>
            </w:pPr>
          </w:p>
        </w:tc>
        <w:tc>
          <w:tcPr>
            <w:tcW w:w="719" w:type="dxa"/>
            <w:noWrap w:val="0"/>
            <w:vAlign w:val="top"/>
          </w:tcPr>
          <w:p w14:paraId="2BDED5A6">
            <w:pPr>
              <w:rPr>
                <w:rFonts w:ascii="Calibri" w:hAnsi="Calibri" w:eastAsia="宋体" w:cs="Calibri"/>
                <w:color w:val="000000"/>
                <w:spacing w:val="-2"/>
                <w:kern w:val="1"/>
                <w:sz w:val="28"/>
                <w:szCs w:val="28"/>
                <w:lang w:val="en-US" w:eastAsia="zh-CN" w:bidi="ar-SA"/>
              </w:rPr>
            </w:pPr>
          </w:p>
        </w:tc>
        <w:tc>
          <w:tcPr>
            <w:tcW w:w="719" w:type="dxa"/>
            <w:noWrap w:val="0"/>
            <w:vAlign w:val="top"/>
          </w:tcPr>
          <w:p w14:paraId="7F9DFA6A">
            <w:pPr>
              <w:rPr>
                <w:rFonts w:ascii="Calibri" w:hAnsi="Calibri" w:eastAsia="宋体" w:cs="Calibri"/>
                <w:color w:val="000000"/>
                <w:spacing w:val="-2"/>
                <w:kern w:val="1"/>
                <w:sz w:val="28"/>
                <w:szCs w:val="28"/>
                <w:lang w:val="en-US" w:eastAsia="zh-CN" w:bidi="ar-SA"/>
              </w:rPr>
            </w:pPr>
          </w:p>
        </w:tc>
        <w:tc>
          <w:tcPr>
            <w:tcW w:w="1080" w:type="dxa"/>
            <w:noWrap w:val="0"/>
            <w:vAlign w:val="top"/>
          </w:tcPr>
          <w:p w14:paraId="1AB588C9">
            <w:pPr>
              <w:rPr>
                <w:rFonts w:ascii="Calibri" w:hAnsi="Calibri" w:eastAsia="宋体" w:cs="Calibri"/>
                <w:color w:val="000000"/>
                <w:spacing w:val="-2"/>
                <w:kern w:val="1"/>
                <w:sz w:val="28"/>
                <w:szCs w:val="28"/>
                <w:lang w:val="en-US" w:eastAsia="zh-CN" w:bidi="ar-SA"/>
              </w:rPr>
            </w:pPr>
          </w:p>
        </w:tc>
        <w:tc>
          <w:tcPr>
            <w:tcW w:w="720" w:type="dxa"/>
            <w:noWrap w:val="0"/>
            <w:vAlign w:val="top"/>
          </w:tcPr>
          <w:p w14:paraId="37797DFC">
            <w:pPr>
              <w:rPr>
                <w:rFonts w:ascii="Calibri" w:hAnsi="Calibri" w:eastAsia="宋体" w:cs="Calibri"/>
                <w:color w:val="000000"/>
                <w:spacing w:val="-2"/>
                <w:kern w:val="1"/>
                <w:sz w:val="28"/>
                <w:szCs w:val="28"/>
                <w:lang w:val="en-US" w:eastAsia="zh-CN" w:bidi="ar-SA"/>
              </w:rPr>
            </w:pPr>
          </w:p>
        </w:tc>
        <w:tc>
          <w:tcPr>
            <w:tcW w:w="720" w:type="dxa"/>
            <w:noWrap w:val="0"/>
            <w:vAlign w:val="top"/>
          </w:tcPr>
          <w:p w14:paraId="57A95CBD">
            <w:pPr>
              <w:rPr>
                <w:rFonts w:ascii="Calibri" w:hAnsi="Calibri" w:eastAsia="宋体" w:cs="Calibri"/>
                <w:color w:val="000000"/>
                <w:spacing w:val="-2"/>
                <w:kern w:val="1"/>
                <w:sz w:val="28"/>
                <w:szCs w:val="28"/>
                <w:lang w:val="en-US" w:eastAsia="zh-CN" w:bidi="ar-SA"/>
              </w:rPr>
            </w:pPr>
          </w:p>
        </w:tc>
        <w:tc>
          <w:tcPr>
            <w:tcW w:w="720" w:type="dxa"/>
            <w:noWrap w:val="0"/>
            <w:vAlign w:val="top"/>
          </w:tcPr>
          <w:p w14:paraId="48A293CB">
            <w:pPr>
              <w:rPr>
                <w:rFonts w:ascii="Calibri" w:hAnsi="Calibri" w:eastAsia="宋体" w:cs="Calibri"/>
                <w:color w:val="000000"/>
                <w:spacing w:val="-2"/>
                <w:kern w:val="1"/>
                <w:sz w:val="28"/>
                <w:szCs w:val="28"/>
                <w:lang w:val="en-US" w:eastAsia="zh-CN" w:bidi="ar-SA"/>
              </w:rPr>
            </w:pPr>
          </w:p>
        </w:tc>
        <w:tc>
          <w:tcPr>
            <w:tcW w:w="2291" w:type="dxa"/>
            <w:noWrap w:val="0"/>
            <w:vAlign w:val="top"/>
          </w:tcPr>
          <w:p w14:paraId="41D2A611">
            <w:pPr>
              <w:rPr>
                <w:rFonts w:ascii="Calibri" w:hAnsi="Calibri" w:eastAsia="宋体" w:cs="Calibri"/>
                <w:color w:val="000000"/>
                <w:spacing w:val="-2"/>
                <w:kern w:val="1"/>
                <w:sz w:val="28"/>
                <w:szCs w:val="28"/>
                <w:lang w:val="en-US" w:eastAsia="zh-CN" w:bidi="ar-SA"/>
              </w:rPr>
            </w:pPr>
          </w:p>
        </w:tc>
        <w:tc>
          <w:tcPr>
            <w:tcW w:w="907" w:type="dxa"/>
            <w:noWrap w:val="0"/>
            <w:vAlign w:val="top"/>
          </w:tcPr>
          <w:p w14:paraId="13B47678">
            <w:pPr>
              <w:rPr>
                <w:rFonts w:ascii="Calibri" w:hAnsi="Calibri" w:eastAsia="宋体" w:cs="Calibri"/>
                <w:color w:val="000000"/>
                <w:spacing w:val="-2"/>
                <w:kern w:val="1"/>
                <w:sz w:val="28"/>
                <w:szCs w:val="28"/>
                <w:lang w:val="en-US" w:eastAsia="zh-CN" w:bidi="ar-SA"/>
              </w:rPr>
            </w:pPr>
          </w:p>
        </w:tc>
      </w:tr>
      <w:tr w14:paraId="6C676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0E430CFA">
            <w:pPr>
              <w:rPr>
                <w:rFonts w:ascii="Calibri" w:hAnsi="Calibri" w:eastAsia="宋体" w:cs="Calibri"/>
                <w:color w:val="000000"/>
                <w:spacing w:val="-2"/>
                <w:kern w:val="1"/>
                <w:sz w:val="28"/>
                <w:szCs w:val="28"/>
                <w:lang w:val="en-US" w:eastAsia="zh-CN" w:bidi="ar-SA"/>
              </w:rPr>
            </w:pPr>
          </w:p>
        </w:tc>
        <w:tc>
          <w:tcPr>
            <w:tcW w:w="719" w:type="dxa"/>
            <w:noWrap w:val="0"/>
            <w:vAlign w:val="top"/>
          </w:tcPr>
          <w:p w14:paraId="3BAF6FFA">
            <w:pPr>
              <w:rPr>
                <w:rFonts w:ascii="Calibri" w:hAnsi="Calibri" w:eastAsia="宋体" w:cs="Calibri"/>
                <w:color w:val="000000"/>
                <w:spacing w:val="-2"/>
                <w:kern w:val="1"/>
                <w:sz w:val="28"/>
                <w:szCs w:val="28"/>
                <w:lang w:val="en-US" w:eastAsia="zh-CN" w:bidi="ar-SA"/>
              </w:rPr>
            </w:pPr>
          </w:p>
        </w:tc>
        <w:tc>
          <w:tcPr>
            <w:tcW w:w="719" w:type="dxa"/>
            <w:noWrap w:val="0"/>
            <w:vAlign w:val="top"/>
          </w:tcPr>
          <w:p w14:paraId="0F13A60C">
            <w:pPr>
              <w:rPr>
                <w:rFonts w:ascii="Calibri" w:hAnsi="Calibri" w:eastAsia="宋体" w:cs="Calibri"/>
                <w:color w:val="000000"/>
                <w:spacing w:val="-2"/>
                <w:kern w:val="1"/>
                <w:sz w:val="28"/>
                <w:szCs w:val="28"/>
                <w:lang w:val="en-US" w:eastAsia="zh-CN" w:bidi="ar-SA"/>
              </w:rPr>
            </w:pPr>
          </w:p>
        </w:tc>
        <w:tc>
          <w:tcPr>
            <w:tcW w:w="1080" w:type="dxa"/>
            <w:noWrap w:val="0"/>
            <w:vAlign w:val="top"/>
          </w:tcPr>
          <w:p w14:paraId="65DA35FD">
            <w:pPr>
              <w:rPr>
                <w:rFonts w:ascii="Calibri" w:hAnsi="Calibri" w:eastAsia="宋体" w:cs="Calibri"/>
                <w:color w:val="000000"/>
                <w:spacing w:val="-2"/>
                <w:kern w:val="1"/>
                <w:sz w:val="28"/>
                <w:szCs w:val="28"/>
                <w:lang w:val="en-US" w:eastAsia="zh-CN" w:bidi="ar-SA"/>
              </w:rPr>
            </w:pPr>
          </w:p>
        </w:tc>
        <w:tc>
          <w:tcPr>
            <w:tcW w:w="720" w:type="dxa"/>
            <w:noWrap w:val="0"/>
            <w:vAlign w:val="top"/>
          </w:tcPr>
          <w:p w14:paraId="2F05207B">
            <w:pPr>
              <w:rPr>
                <w:rFonts w:ascii="Calibri" w:hAnsi="Calibri" w:eastAsia="宋体" w:cs="Calibri"/>
                <w:color w:val="000000"/>
                <w:spacing w:val="-2"/>
                <w:kern w:val="1"/>
                <w:sz w:val="28"/>
                <w:szCs w:val="28"/>
                <w:lang w:val="en-US" w:eastAsia="zh-CN" w:bidi="ar-SA"/>
              </w:rPr>
            </w:pPr>
          </w:p>
        </w:tc>
        <w:tc>
          <w:tcPr>
            <w:tcW w:w="720" w:type="dxa"/>
            <w:noWrap w:val="0"/>
            <w:vAlign w:val="top"/>
          </w:tcPr>
          <w:p w14:paraId="14143734">
            <w:pPr>
              <w:rPr>
                <w:rFonts w:ascii="Calibri" w:hAnsi="Calibri" w:eastAsia="宋体" w:cs="Calibri"/>
                <w:color w:val="000000"/>
                <w:spacing w:val="-2"/>
                <w:kern w:val="1"/>
                <w:sz w:val="28"/>
                <w:szCs w:val="28"/>
                <w:lang w:val="en-US" w:eastAsia="zh-CN" w:bidi="ar-SA"/>
              </w:rPr>
            </w:pPr>
          </w:p>
        </w:tc>
        <w:tc>
          <w:tcPr>
            <w:tcW w:w="720" w:type="dxa"/>
            <w:noWrap w:val="0"/>
            <w:vAlign w:val="top"/>
          </w:tcPr>
          <w:p w14:paraId="7E6055AC">
            <w:pPr>
              <w:rPr>
                <w:rFonts w:ascii="Calibri" w:hAnsi="Calibri" w:eastAsia="宋体" w:cs="Calibri"/>
                <w:color w:val="000000"/>
                <w:spacing w:val="-2"/>
                <w:kern w:val="1"/>
                <w:sz w:val="28"/>
                <w:szCs w:val="28"/>
                <w:lang w:val="en-US" w:eastAsia="zh-CN" w:bidi="ar-SA"/>
              </w:rPr>
            </w:pPr>
          </w:p>
        </w:tc>
        <w:tc>
          <w:tcPr>
            <w:tcW w:w="2291" w:type="dxa"/>
            <w:noWrap w:val="0"/>
            <w:vAlign w:val="top"/>
          </w:tcPr>
          <w:p w14:paraId="1305F1F8">
            <w:pPr>
              <w:rPr>
                <w:rFonts w:ascii="Calibri" w:hAnsi="Calibri" w:eastAsia="宋体" w:cs="Calibri"/>
                <w:color w:val="000000"/>
                <w:spacing w:val="-2"/>
                <w:kern w:val="1"/>
                <w:sz w:val="28"/>
                <w:szCs w:val="28"/>
                <w:lang w:val="en-US" w:eastAsia="zh-CN" w:bidi="ar-SA"/>
              </w:rPr>
            </w:pPr>
          </w:p>
        </w:tc>
        <w:tc>
          <w:tcPr>
            <w:tcW w:w="907" w:type="dxa"/>
            <w:noWrap w:val="0"/>
            <w:vAlign w:val="top"/>
          </w:tcPr>
          <w:p w14:paraId="22F97DD4">
            <w:pPr>
              <w:rPr>
                <w:rFonts w:ascii="Calibri" w:hAnsi="Calibri" w:eastAsia="宋体" w:cs="Calibri"/>
                <w:color w:val="000000"/>
                <w:spacing w:val="-2"/>
                <w:kern w:val="1"/>
                <w:sz w:val="28"/>
                <w:szCs w:val="28"/>
                <w:lang w:val="en-US" w:eastAsia="zh-CN" w:bidi="ar-SA"/>
              </w:rPr>
            </w:pPr>
          </w:p>
        </w:tc>
      </w:tr>
      <w:tr w14:paraId="1C61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0B4306AB">
            <w:pPr>
              <w:rPr>
                <w:rFonts w:ascii="Calibri" w:hAnsi="Calibri" w:eastAsia="宋体" w:cs="Calibri"/>
                <w:color w:val="000000"/>
                <w:spacing w:val="-2"/>
                <w:kern w:val="1"/>
                <w:sz w:val="28"/>
                <w:szCs w:val="28"/>
                <w:lang w:val="en-US" w:eastAsia="zh-CN" w:bidi="ar-SA"/>
              </w:rPr>
            </w:pPr>
          </w:p>
        </w:tc>
        <w:tc>
          <w:tcPr>
            <w:tcW w:w="719" w:type="dxa"/>
            <w:noWrap w:val="0"/>
            <w:vAlign w:val="top"/>
          </w:tcPr>
          <w:p w14:paraId="72F10361">
            <w:pPr>
              <w:rPr>
                <w:rFonts w:ascii="Calibri" w:hAnsi="Calibri" w:eastAsia="宋体" w:cs="Calibri"/>
                <w:color w:val="000000"/>
                <w:spacing w:val="-2"/>
                <w:kern w:val="1"/>
                <w:sz w:val="28"/>
                <w:szCs w:val="28"/>
                <w:lang w:val="en-US" w:eastAsia="zh-CN" w:bidi="ar-SA"/>
              </w:rPr>
            </w:pPr>
          </w:p>
        </w:tc>
        <w:tc>
          <w:tcPr>
            <w:tcW w:w="719" w:type="dxa"/>
            <w:noWrap w:val="0"/>
            <w:vAlign w:val="top"/>
          </w:tcPr>
          <w:p w14:paraId="2A9A9B22">
            <w:pPr>
              <w:rPr>
                <w:rFonts w:ascii="Calibri" w:hAnsi="Calibri" w:eastAsia="宋体" w:cs="Calibri"/>
                <w:color w:val="000000"/>
                <w:spacing w:val="-2"/>
                <w:kern w:val="1"/>
                <w:sz w:val="28"/>
                <w:szCs w:val="28"/>
                <w:lang w:val="en-US" w:eastAsia="zh-CN" w:bidi="ar-SA"/>
              </w:rPr>
            </w:pPr>
          </w:p>
        </w:tc>
        <w:tc>
          <w:tcPr>
            <w:tcW w:w="1080" w:type="dxa"/>
            <w:noWrap w:val="0"/>
            <w:vAlign w:val="top"/>
          </w:tcPr>
          <w:p w14:paraId="52BBB2E0">
            <w:pPr>
              <w:rPr>
                <w:rFonts w:ascii="Calibri" w:hAnsi="Calibri" w:eastAsia="宋体" w:cs="Calibri"/>
                <w:color w:val="000000"/>
                <w:spacing w:val="-2"/>
                <w:kern w:val="1"/>
                <w:sz w:val="28"/>
                <w:szCs w:val="28"/>
                <w:lang w:val="en-US" w:eastAsia="zh-CN" w:bidi="ar-SA"/>
              </w:rPr>
            </w:pPr>
          </w:p>
        </w:tc>
        <w:tc>
          <w:tcPr>
            <w:tcW w:w="720" w:type="dxa"/>
            <w:noWrap w:val="0"/>
            <w:vAlign w:val="top"/>
          </w:tcPr>
          <w:p w14:paraId="5F9A2978">
            <w:pPr>
              <w:rPr>
                <w:rFonts w:ascii="Calibri" w:hAnsi="Calibri" w:eastAsia="宋体" w:cs="Calibri"/>
                <w:color w:val="000000"/>
                <w:spacing w:val="-2"/>
                <w:kern w:val="1"/>
                <w:sz w:val="28"/>
                <w:szCs w:val="28"/>
                <w:lang w:val="en-US" w:eastAsia="zh-CN" w:bidi="ar-SA"/>
              </w:rPr>
            </w:pPr>
          </w:p>
        </w:tc>
        <w:tc>
          <w:tcPr>
            <w:tcW w:w="720" w:type="dxa"/>
            <w:noWrap w:val="0"/>
            <w:vAlign w:val="top"/>
          </w:tcPr>
          <w:p w14:paraId="2FF3D189">
            <w:pPr>
              <w:rPr>
                <w:rFonts w:ascii="Calibri" w:hAnsi="Calibri" w:eastAsia="宋体" w:cs="Calibri"/>
                <w:color w:val="000000"/>
                <w:spacing w:val="-2"/>
                <w:kern w:val="1"/>
                <w:sz w:val="28"/>
                <w:szCs w:val="28"/>
                <w:lang w:val="en-US" w:eastAsia="zh-CN" w:bidi="ar-SA"/>
              </w:rPr>
            </w:pPr>
          </w:p>
        </w:tc>
        <w:tc>
          <w:tcPr>
            <w:tcW w:w="720" w:type="dxa"/>
            <w:noWrap w:val="0"/>
            <w:vAlign w:val="top"/>
          </w:tcPr>
          <w:p w14:paraId="510E26C8">
            <w:pPr>
              <w:rPr>
                <w:rFonts w:ascii="Calibri" w:hAnsi="Calibri" w:eastAsia="宋体" w:cs="Calibri"/>
                <w:color w:val="000000"/>
                <w:spacing w:val="-2"/>
                <w:kern w:val="1"/>
                <w:sz w:val="28"/>
                <w:szCs w:val="28"/>
                <w:lang w:val="en-US" w:eastAsia="zh-CN" w:bidi="ar-SA"/>
              </w:rPr>
            </w:pPr>
          </w:p>
        </w:tc>
        <w:tc>
          <w:tcPr>
            <w:tcW w:w="2291" w:type="dxa"/>
            <w:noWrap w:val="0"/>
            <w:vAlign w:val="top"/>
          </w:tcPr>
          <w:p w14:paraId="5866CF00">
            <w:pPr>
              <w:rPr>
                <w:rFonts w:ascii="Calibri" w:hAnsi="Calibri" w:eastAsia="宋体" w:cs="Calibri"/>
                <w:color w:val="000000"/>
                <w:spacing w:val="-2"/>
                <w:kern w:val="1"/>
                <w:sz w:val="28"/>
                <w:szCs w:val="28"/>
                <w:lang w:val="en-US" w:eastAsia="zh-CN" w:bidi="ar-SA"/>
              </w:rPr>
            </w:pPr>
          </w:p>
        </w:tc>
        <w:tc>
          <w:tcPr>
            <w:tcW w:w="907" w:type="dxa"/>
            <w:noWrap w:val="0"/>
            <w:vAlign w:val="top"/>
          </w:tcPr>
          <w:p w14:paraId="2D7E7395">
            <w:pPr>
              <w:rPr>
                <w:rFonts w:ascii="Calibri" w:hAnsi="Calibri" w:eastAsia="宋体" w:cs="Calibri"/>
                <w:color w:val="000000"/>
                <w:spacing w:val="-2"/>
                <w:kern w:val="1"/>
                <w:sz w:val="28"/>
                <w:szCs w:val="28"/>
                <w:lang w:val="en-US" w:eastAsia="zh-CN" w:bidi="ar-SA"/>
              </w:rPr>
            </w:pPr>
          </w:p>
        </w:tc>
      </w:tr>
      <w:tr w14:paraId="7DB21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52" w:type="dxa"/>
            <w:noWrap w:val="0"/>
            <w:vAlign w:val="top"/>
          </w:tcPr>
          <w:p w14:paraId="66FFD41F">
            <w:pPr>
              <w:rPr>
                <w:rFonts w:ascii="Calibri" w:hAnsi="Calibri" w:eastAsia="宋体" w:cs="Calibri"/>
                <w:color w:val="000000"/>
                <w:spacing w:val="-2"/>
                <w:kern w:val="1"/>
                <w:sz w:val="28"/>
                <w:szCs w:val="28"/>
                <w:lang w:val="en-US" w:eastAsia="zh-CN" w:bidi="ar-SA"/>
              </w:rPr>
            </w:pPr>
          </w:p>
        </w:tc>
        <w:tc>
          <w:tcPr>
            <w:tcW w:w="719" w:type="dxa"/>
            <w:noWrap w:val="0"/>
            <w:vAlign w:val="top"/>
          </w:tcPr>
          <w:p w14:paraId="22757B00">
            <w:pPr>
              <w:rPr>
                <w:rFonts w:ascii="Calibri" w:hAnsi="Calibri" w:eastAsia="宋体" w:cs="Calibri"/>
                <w:color w:val="000000"/>
                <w:spacing w:val="-2"/>
                <w:kern w:val="1"/>
                <w:sz w:val="28"/>
                <w:szCs w:val="28"/>
                <w:lang w:val="en-US" w:eastAsia="zh-CN" w:bidi="ar-SA"/>
              </w:rPr>
            </w:pPr>
          </w:p>
        </w:tc>
        <w:tc>
          <w:tcPr>
            <w:tcW w:w="719" w:type="dxa"/>
            <w:noWrap w:val="0"/>
            <w:vAlign w:val="top"/>
          </w:tcPr>
          <w:p w14:paraId="005E0A12">
            <w:pPr>
              <w:rPr>
                <w:rFonts w:ascii="Calibri" w:hAnsi="Calibri" w:eastAsia="宋体" w:cs="Calibri"/>
                <w:color w:val="000000"/>
                <w:spacing w:val="-2"/>
                <w:kern w:val="1"/>
                <w:sz w:val="28"/>
                <w:szCs w:val="28"/>
                <w:lang w:val="en-US" w:eastAsia="zh-CN" w:bidi="ar-SA"/>
              </w:rPr>
            </w:pPr>
          </w:p>
        </w:tc>
        <w:tc>
          <w:tcPr>
            <w:tcW w:w="1080" w:type="dxa"/>
            <w:noWrap w:val="0"/>
            <w:vAlign w:val="top"/>
          </w:tcPr>
          <w:p w14:paraId="77B6B143">
            <w:pPr>
              <w:rPr>
                <w:rFonts w:ascii="Calibri" w:hAnsi="Calibri" w:eastAsia="宋体" w:cs="Calibri"/>
                <w:color w:val="000000"/>
                <w:spacing w:val="-2"/>
                <w:kern w:val="1"/>
                <w:sz w:val="28"/>
                <w:szCs w:val="28"/>
                <w:lang w:val="en-US" w:eastAsia="zh-CN" w:bidi="ar-SA"/>
              </w:rPr>
            </w:pPr>
          </w:p>
        </w:tc>
        <w:tc>
          <w:tcPr>
            <w:tcW w:w="720" w:type="dxa"/>
            <w:noWrap w:val="0"/>
            <w:vAlign w:val="top"/>
          </w:tcPr>
          <w:p w14:paraId="20B44741">
            <w:pPr>
              <w:rPr>
                <w:rFonts w:ascii="Calibri" w:hAnsi="Calibri" w:eastAsia="宋体" w:cs="Calibri"/>
                <w:color w:val="000000"/>
                <w:spacing w:val="-2"/>
                <w:kern w:val="1"/>
                <w:sz w:val="28"/>
                <w:szCs w:val="28"/>
                <w:lang w:val="en-US" w:eastAsia="zh-CN" w:bidi="ar-SA"/>
              </w:rPr>
            </w:pPr>
          </w:p>
        </w:tc>
        <w:tc>
          <w:tcPr>
            <w:tcW w:w="720" w:type="dxa"/>
            <w:noWrap w:val="0"/>
            <w:vAlign w:val="top"/>
          </w:tcPr>
          <w:p w14:paraId="47BADB99">
            <w:pPr>
              <w:rPr>
                <w:rFonts w:ascii="Calibri" w:hAnsi="Calibri" w:eastAsia="宋体" w:cs="Calibri"/>
                <w:color w:val="000000"/>
                <w:spacing w:val="-2"/>
                <w:kern w:val="1"/>
                <w:sz w:val="28"/>
                <w:szCs w:val="28"/>
                <w:lang w:val="en-US" w:eastAsia="zh-CN" w:bidi="ar-SA"/>
              </w:rPr>
            </w:pPr>
          </w:p>
        </w:tc>
        <w:tc>
          <w:tcPr>
            <w:tcW w:w="720" w:type="dxa"/>
            <w:noWrap w:val="0"/>
            <w:vAlign w:val="top"/>
          </w:tcPr>
          <w:p w14:paraId="6F00BD68">
            <w:pPr>
              <w:rPr>
                <w:rFonts w:ascii="Calibri" w:hAnsi="Calibri" w:eastAsia="宋体" w:cs="Calibri"/>
                <w:color w:val="000000"/>
                <w:spacing w:val="-2"/>
                <w:kern w:val="1"/>
                <w:sz w:val="28"/>
                <w:szCs w:val="28"/>
                <w:lang w:val="en-US" w:eastAsia="zh-CN" w:bidi="ar-SA"/>
              </w:rPr>
            </w:pPr>
          </w:p>
        </w:tc>
        <w:tc>
          <w:tcPr>
            <w:tcW w:w="2291" w:type="dxa"/>
            <w:noWrap w:val="0"/>
            <w:vAlign w:val="top"/>
          </w:tcPr>
          <w:p w14:paraId="5D5B18B8">
            <w:pPr>
              <w:rPr>
                <w:rFonts w:ascii="Calibri" w:hAnsi="Calibri" w:eastAsia="宋体" w:cs="Calibri"/>
                <w:color w:val="000000"/>
                <w:spacing w:val="-2"/>
                <w:kern w:val="1"/>
                <w:sz w:val="28"/>
                <w:szCs w:val="28"/>
                <w:lang w:val="en-US" w:eastAsia="zh-CN" w:bidi="ar-SA"/>
              </w:rPr>
            </w:pPr>
          </w:p>
        </w:tc>
        <w:tc>
          <w:tcPr>
            <w:tcW w:w="907" w:type="dxa"/>
            <w:noWrap w:val="0"/>
            <w:vAlign w:val="top"/>
          </w:tcPr>
          <w:p w14:paraId="36C88232">
            <w:pPr>
              <w:rPr>
                <w:rFonts w:ascii="Calibri" w:hAnsi="Calibri" w:eastAsia="宋体" w:cs="Calibri"/>
                <w:color w:val="000000"/>
                <w:spacing w:val="-2"/>
                <w:kern w:val="1"/>
                <w:sz w:val="28"/>
                <w:szCs w:val="28"/>
                <w:lang w:val="en-US" w:eastAsia="zh-CN" w:bidi="ar-SA"/>
              </w:rPr>
            </w:pPr>
          </w:p>
        </w:tc>
      </w:tr>
    </w:tbl>
    <w:p w14:paraId="71018073">
      <w:pPr>
        <w:pStyle w:val="9"/>
        <w:spacing w:before="194" w:line="219" w:lineRule="auto"/>
        <w:ind w:left="122"/>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注：本工程一旦我单位成交，将配备上述项目管理人员。上述填报内容真实，如不真实，将按照有关规定接受处理。</w:t>
      </w:r>
    </w:p>
    <w:p w14:paraId="46C36408">
      <w:pPr>
        <w:spacing w:line="275" w:lineRule="auto"/>
        <w:rPr>
          <w:rFonts w:ascii="Calibri" w:hAnsi="Calibri" w:eastAsia="宋体" w:cs="Calibri"/>
          <w:color w:val="000000"/>
          <w:spacing w:val="-2"/>
          <w:kern w:val="1"/>
          <w:sz w:val="28"/>
          <w:szCs w:val="28"/>
          <w:lang w:val="en-US" w:eastAsia="zh-CN" w:bidi="ar-SA"/>
        </w:rPr>
      </w:pPr>
    </w:p>
    <w:p w14:paraId="2D8DD4FB">
      <w:pPr>
        <w:spacing w:line="275" w:lineRule="auto"/>
        <w:rPr>
          <w:rFonts w:ascii="Calibri" w:hAnsi="Calibri" w:eastAsia="宋体" w:cs="Calibri"/>
          <w:color w:val="000000"/>
          <w:spacing w:val="-2"/>
          <w:kern w:val="1"/>
          <w:sz w:val="28"/>
          <w:szCs w:val="28"/>
          <w:lang w:val="en-US" w:eastAsia="zh-CN" w:bidi="ar-SA"/>
        </w:rPr>
      </w:pPr>
    </w:p>
    <w:p w14:paraId="7A81EA36">
      <w:pPr>
        <w:spacing w:line="275" w:lineRule="auto"/>
        <w:rPr>
          <w:rFonts w:ascii="Calibri" w:hAnsi="Calibri" w:eastAsia="宋体" w:cs="Calibri"/>
          <w:color w:val="000000"/>
          <w:spacing w:val="-2"/>
          <w:kern w:val="1"/>
          <w:sz w:val="28"/>
          <w:szCs w:val="28"/>
          <w:lang w:val="en-US" w:eastAsia="zh-CN" w:bidi="ar-SA"/>
        </w:rPr>
      </w:pPr>
    </w:p>
    <w:p w14:paraId="3374ECB0">
      <w:pPr>
        <w:spacing w:line="275" w:lineRule="auto"/>
        <w:rPr>
          <w:rFonts w:ascii="Calibri" w:hAnsi="Calibri" w:eastAsia="宋体" w:cs="Calibri"/>
          <w:color w:val="000000"/>
          <w:spacing w:val="-2"/>
          <w:kern w:val="1"/>
          <w:sz w:val="28"/>
          <w:szCs w:val="28"/>
          <w:lang w:val="en-US" w:eastAsia="zh-CN" w:bidi="ar-SA"/>
        </w:rPr>
      </w:pPr>
    </w:p>
    <w:p w14:paraId="68D48713">
      <w:pPr>
        <w:spacing w:line="275" w:lineRule="auto"/>
        <w:rPr>
          <w:rFonts w:ascii="Calibri" w:hAnsi="Calibri" w:eastAsia="宋体" w:cs="Calibri"/>
          <w:color w:val="000000"/>
          <w:spacing w:val="-2"/>
          <w:kern w:val="1"/>
          <w:sz w:val="28"/>
          <w:szCs w:val="28"/>
          <w:lang w:val="en-US" w:eastAsia="zh-CN" w:bidi="ar-SA"/>
        </w:rPr>
      </w:pPr>
    </w:p>
    <w:p w14:paraId="6CB606D6">
      <w:pPr>
        <w:pStyle w:val="9"/>
        <w:spacing w:before="101" w:line="224" w:lineRule="auto"/>
        <w:ind w:left="127"/>
        <w:outlineLvl w:val="6"/>
        <w:rPr>
          <w:rFonts w:ascii="Calibri" w:hAnsi="Calibri" w:eastAsia="宋体" w:cs="Calibri"/>
          <w:b/>
          <w:bCs/>
          <w:color w:val="000000"/>
          <w:spacing w:val="-2"/>
          <w:kern w:val="1"/>
          <w:sz w:val="28"/>
          <w:szCs w:val="28"/>
          <w:lang w:val="en-US" w:eastAsia="zh-CN" w:bidi="ar-SA"/>
        </w:rPr>
      </w:pPr>
    </w:p>
    <w:p w14:paraId="3BA8748D">
      <w:pPr>
        <w:pStyle w:val="9"/>
        <w:spacing w:before="101" w:line="224" w:lineRule="auto"/>
        <w:ind w:left="127"/>
        <w:outlineLvl w:val="6"/>
        <w:rPr>
          <w:rFonts w:ascii="Calibri" w:hAnsi="Calibri" w:eastAsia="宋体" w:cs="Calibri"/>
          <w:b/>
          <w:bCs/>
          <w:color w:val="000000"/>
          <w:spacing w:val="-2"/>
          <w:kern w:val="1"/>
          <w:sz w:val="28"/>
          <w:szCs w:val="28"/>
          <w:lang w:val="en-US" w:eastAsia="zh-CN" w:bidi="ar-SA"/>
        </w:rPr>
      </w:pPr>
    </w:p>
    <w:p w14:paraId="7E524397">
      <w:pPr>
        <w:pStyle w:val="9"/>
        <w:spacing w:before="101" w:line="224" w:lineRule="auto"/>
        <w:ind w:left="127"/>
        <w:outlineLvl w:val="6"/>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八、项目经理简历表</w:t>
      </w:r>
    </w:p>
    <w:p w14:paraId="7F8FE4B2">
      <w:pPr>
        <w:pStyle w:val="9"/>
        <w:spacing w:before="192" w:line="219" w:lineRule="auto"/>
        <w:ind w:left="3157"/>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项目负责人简历表</w:t>
      </w:r>
    </w:p>
    <w:p w14:paraId="12C33463">
      <w:pPr>
        <w:spacing w:before="171"/>
        <w:rPr>
          <w:rFonts w:ascii="Calibri" w:hAnsi="Calibri" w:eastAsia="宋体" w:cs="Calibri"/>
          <w:color w:val="000000"/>
          <w:spacing w:val="-2"/>
          <w:kern w:val="1"/>
          <w:sz w:val="28"/>
          <w:szCs w:val="28"/>
          <w:lang w:val="en-US" w:eastAsia="zh-CN" w:bidi="ar-SA"/>
        </w:rPr>
      </w:pPr>
    </w:p>
    <w:tbl>
      <w:tblPr>
        <w:tblStyle w:val="8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15"/>
        <w:gridCol w:w="499"/>
        <w:gridCol w:w="478"/>
        <w:gridCol w:w="592"/>
        <w:gridCol w:w="480"/>
        <w:gridCol w:w="727"/>
        <w:gridCol w:w="478"/>
        <w:gridCol w:w="1264"/>
        <w:gridCol w:w="477"/>
        <w:gridCol w:w="2015"/>
      </w:tblGrid>
      <w:tr w14:paraId="7ACA5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518" w:type="dxa"/>
            <w:gridSpan w:val="2"/>
            <w:noWrap w:val="0"/>
            <w:vAlign w:val="top"/>
          </w:tcPr>
          <w:p w14:paraId="4E32EAF2">
            <w:pPr>
              <w:pStyle w:val="85"/>
              <w:spacing w:before="109" w:line="220" w:lineRule="auto"/>
              <w:ind w:left="40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姓名</w:t>
            </w:r>
          </w:p>
        </w:tc>
        <w:tc>
          <w:tcPr>
            <w:tcW w:w="977" w:type="dxa"/>
            <w:gridSpan w:val="2"/>
            <w:noWrap w:val="0"/>
            <w:vAlign w:val="top"/>
          </w:tcPr>
          <w:p w14:paraId="6FE612CF">
            <w:pPr>
              <w:rPr>
                <w:rFonts w:ascii="Calibri" w:hAnsi="Calibri" w:eastAsia="宋体" w:cs="Calibri"/>
                <w:color w:val="000000"/>
                <w:spacing w:val="-2"/>
                <w:kern w:val="1"/>
                <w:sz w:val="24"/>
                <w:szCs w:val="24"/>
                <w:lang w:val="en-US" w:eastAsia="zh-CN" w:bidi="ar-SA"/>
              </w:rPr>
            </w:pPr>
          </w:p>
        </w:tc>
        <w:tc>
          <w:tcPr>
            <w:tcW w:w="1072" w:type="dxa"/>
            <w:gridSpan w:val="2"/>
            <w:noWrap w:val="0"/>
            <w:vAlign w:val="top"/>
          </w:tcPr>
          <w:p w14:paraId="10D9DD96">
            <w:pPr>
              <w:pStyle w:val="85"/>
              <w:spacing w:before="109" w:line="220" w:lineRule="auto"/>
              <w:ind w:left="18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年龄</w:t>
            </w:r>
          </w:p>
        </w:tc>
        <w:tc>
          <w:tcPr>
            <w:tcW w:w="1205" w:type="dxa"/>
            <w:gridSpan w:val="2"/>
            <w:noWrap w:val="0"/>
            <w:vAlign w:val="top"/>
          </w:tcPr>
          <w:p w14:paraId="09B8FCFD">
            <w:pPr>
              <w:rPr>
                <w:rFonts w:ascii="Calibri" w:hAnsi="Calibri" w:eastAsia="宋体" w:cs="Calibri"/>
                <w:color w:val="000000"/>
                <w:spacing w:val="-2"/>
                <w:kern w:val="1"/>
                <w:sz w:val="24"/>
                <w:szCs w:val="24"/>
                <w:lang w:val="en-US" w:eastAsia="zh-CN" w:bidi="ar-SA"/>
              </w:rPr>
            </w:pPr>
          </w:p>
        </w:tc>
        <w:tc>
          <w:tcPr>
            <w:tcW w:w="1741" w:type="dxa"/>
            <w:gridSpan w:val="2"/>
            <w:noWrap w:val="0"/>
            <w:vAlign w:val="top"/>
          </w:tcPr>
          <w:p w14:paraId="78CA5B86">
            <w:pPr>
              <w:pStyle w:val="85"/>
              <w:spacing w:before="110" w:line="221" w:lineRule="auto"/>
              <w:ind w:left="64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学历</w:t>
            </w:r>
          </w:p>
        </w:tc>
        <w:tc>
          <w:tcPr>
            <w:tcW w:w="2015" w:type="dxa"/>
            <w:noWrap w:val="0"/>
            <w:vAlign w:val="top"/>
          </w:tcPr>
          <w:p w14:paraId="05387747">
            <w:pPr>
              <w:rPr>
                <w:rFonts w:ascii="Calibri" w:hAnsi="Calibri" w:eastAsia="宋体" w:cs="Calibri"/>
                <w:color w:val="000000"/>
                <w:spacing w:val="-2"/>
                <w:kern w:val="1"/>
                <w:sz w:val="24"/>
                <w:szCs w:val="24"/>
                <w:lang w:val="en-US" w:eastAsia="zh-CN" w:bidi="ar-SA"/>
              </w:rPr>
            </w:pPr>
          </w:p>
        </w:tc>
      </w:tr>
      <w:tr w14:paraId="667E1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18" w:type="dxa"/>
            <w:gridSpan w:val="2"/>
            <w:noWrap w:val="0"/>
            <w:vAlign w:val="top"/>
          </w:tcPr>
          <w:p w14:paraId="0E2F3365">
            <w:pPr>
              <w:pStyle w:val="85"/>
              <w:spacing w:before="190" w:line="222" w:lineRule="auto"/>
              <w:ind w:left="40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职称</w:t>
            </w:r>
          </w:p>
        </w:tc>
        <w:tc>
          <w:tcPr>
            <w:tcW w:w="977" w:type="dxa"/>
            <w:gridSpan w:val="2"/>
            <w:noWrap w:val="0"/>
            <w:vAlign w:val="top"/>
          </w:tcPr>
          <w:p w14:paraId="7C3528E9">
            <w:pPr>
              <w:rPr>
                <w:rFonts w:ascii="Calibri" w:hAnsi="Calibri" w:eastAsia="宋体" w:cs="Calibri"/>
                <w:color w:val="000000"/>
                <w:spacing w:val="-2"/>
                <w:kern w:val="1"/>
                <w:sz w:val="24"/>
                <w:szCs w:val="24"/>
                <w:lang w:val="en-US" w:eastAsia="zh-CN" w:bidi="ar-SA"/>
              </w:rPr>
            </w:pPr>
          </w:p>
        </w:tc>
        <w:tc>
          <w:tcPr>
            <w:tcW w:w="1072" w:type="dxa"/>
            <w:gridSpan w:val="2"/>
            <w:noWrap w:val="0"/>
            <w:vAlign w:val="top"/>
          </w:tcPr>
          <w:p w14:paraId="6F3349C8">
            <w:pPr>
              <w:pStyle w:val="85"/>
              <w:spacing w:before="190" w:line="220" w:lineRule="auto"/>
              <w:ind w:left="18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职务</w:t>
            </w:r>
          </w:p>
        </w:tc>
        <w:tc>
          <w:tcPr>
            <w:tcW w:w="1205" w:type="dxa"/>
            <w:gridSpan w:val="2"/>
            <w:noWrap w:val="0"/>
            <w:vAlign w:val="top"/>
          </w:tcPr>
          <w:p w14:paraId="478312FB">
            <w:pPr>
              <w:rPr>
                <w:rFonts w:ascii="Calibri" w:hAnsi="Calibri" w:eastAsia="宋体" w:cs="Calibri"/>
                <w:color w:val="000000"/>
                <w:spacing w:val="-2"/>
                <w:kern w:val="1"/>
                <w:sz w:val="24"/>
                <w:szCs w:val="24"/>
                <w:lang w:val="en-US" w:eastAsia="zh-CN" w:bidi="ar-SA"/>
              </w:rPr>
            </w:pPr>
          </w:p>
        </w:tc>
        <w:tc>
          <w:tcPr>
            <w:tcW w:w="1741" w:type="dxa"/>
            <w:gridSpan w:val="2"/>
            <w:noWrap w:val="0"/>
            <w:vAlign w:val="top"/>
          </w:tcPr>
          <w:p w14:paraId="748FB59C">
            <w:pPr>
              <w:pStyle w:val="85"/>
              <w:spacing w:before="35" w:line="224" w:lineRule="auto"/>
              <w:ind w:left="637" w:right="267" w:hanging="359"/>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拟在本工程任职</w:t>
            </w:r>
          </w:p>
        </w:tc>
        <w:tc>
          <w:tcPr>
            <w:tcW w:w="2015" w:type="dxa"/>
            <w:noWrap w:val="0"/>
            <w:vAlign w:val="top"/>
          </w:tcPr>
          <w:p w14:paraId="33064C9B">
            <w:pPr>
              <w:pStyle w:val="85"/>
              <w:spacing w:before="190" w:line="220" w:lineRule="auto"/>
              <w:ind w:left="41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项目负责人</w:t>
            </w:r>
          </w:p>
        </w:tc>
      </w:tr>
      <w:tr w14:paraId="13AC5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087" w:type="dxa"/>
            <w:gridSpan w:val="5"/>
            <w:noWrap w:val="0"/>
            <w:vAlign w:val="top"/>
          </w:tcPr>
          <w:p w14:paraId="0BC439A9">
            <w:pPr>
              <w:pStyle w:val="85"/>
              <w:spacing w:before="106" w:line="220" w:lineRule="auto"/>
              <w:ind w:left="229"/>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注册建造师执业资格等级</w:t>
            </w:r>
          </w:p>
        </w:tc>
        <w:tc>
          <w:tcPr>
            <w:tcW w:w="1207" w:type="dxa"/>
            <w:gridSpan w:val="2"/>
            <w:noWrap w:val="0"/>
            <w:vAlign w:val="top"/>
          </w:tcPr>
          <w:p w14:paraId="4836D27A">
            <w:pPr>
              <w:pStyle w:val="85"/>
              <w:spacing w:before="106" w:line="222" w:lineRule="auto"/>
              <w:ind w:left="49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级</w:t>
            </w:r>
          </w:p>
        </w:tc>
        <w:tc>
          <w:tcPr>
            <w:tcW w:w="1742" w:type="dxa"/>
            <w:gridSpan w:val="2"/>
            <w:noWrap w:val="0"/>
            <w:vAlign w:val="top"/>
          </w:tcPr>
          <w:p w14:paraId="0E196959">
            <w:pPr>
              <w:pStyle w:val="85"/>
              <w:spacing w:before="106" w:line="220" w:lineRule="auto"/>
              <w:ind w:left="28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建造师专业</w:t>
            </w:r>
          </w:p>
        </w:tc>
        <w:tc>
          <w:tcPr>
            <w:tcW w:w="2492" w:type="dxa"/>
            <w:gridSpan w:val="2"/>
            <w:noWrap w:val="0"/>
            <w:vAlign w:val="top"/>
          </w:tcPr>
          <w:p w14:paraId="0FF96A27">
            <w:pPr>
              <w:rPr>
                <w:rFonts w:ascii="Calibri" w:hAnsi="Calibri" w:eastAsia="宋体" w:cs="Calibri"/>
                <w:color w:val="000000"/>
                <w:spacing w:val="-2"/>
                <w:kern w:val="1"/>
                <w:sz w:val="24"/>
                <w:szCs w:val="24"/>
                <w:lang w:val="en-US" w:eastAsia="zh-CN" w:bidi="ar-SA"/>
              </w:rPr>
            </w:pPr>
          </w:p>
        </w:tc>
      </w:tr>
      <w:tr w14:paraId="3E874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087" w:type="dxa"/>
            <w:gridSpan w:val="5"/>
            <w:noWrap w:val="0"/>
            <w:vAlign w:val="top"/>
          </w:tcPr>
          <w:p w14:paraId="5A3EF1A5">
            <w:pPr>
              <w:pStyle w:val="85"/>
              <w:spacing w:before="107" w:line="219" w:lineRule="auto"/>
              <w:ind w:left="35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安全生产考核合格证书</w:t>
            </w:r>
          </w:p>
        </w:tc>
        <w:tc>
          <w:tcPr>
            <w:tcW w:w="5441" w:type="dxa"/>
            <w:gridSpan w:val="6"/>
            <w:noWrap w:val="0"/>
            <w:vAlign w:val="top"/>
          </w:tcPr>
          <w:p w14:paraId="45D40C57">
            <w:pPr>
              <w:rPr>
                <w:rFonts w:ascii="Calibri" w:hAnsi="Calibri" w:eastAsia="宋体" w:cs="Calibri"/>
                <w:color w:val="000000"/>
                <w:spacing w:val="-2"/>
                <w:kern w:val="1"/>
                <w:sz w:val="24"/>
                <w:szCs w:val="24"/>
                <w:lang w:val="en-US" w:eastAsia="zh-CN" w:bidi="ar-SA"/>
              </w:rPr>
            </w:pPr>
          </w:p>
        </w:tc>
      </w:tr>
      <w:tr w14:paraId="166E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09BE7518">
            <w:pPr>
              <w:pStyle w:val="85"/>
              <w:spacing w:before="107" w:line="220" w:lineRule="auto"/>
              <w:ind w:left="23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毕业学校</w:t>
            </w:r>
          </w:p>
        </w:tc>
        <w:tc>
          <w:tcPr>
            <w:tcW w:w="7125" w:type="dxa"/>
            <w:gridSpan w:val="10"/>
            <w:noWrap w:val="0"/>
            <w:vAlign w:val="top"/>
          </w:tcPr>
          <w:p w14:paraId="0E50C031">
            <w:pPr>
              <w:pStyle w:val="85"/>
              <w:spacing w:before="107" w:line="220" w:lineRule="auto"/>
              <w:ind w:left="808"/>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年毕业于学校专业</w:t>
            </w:r>
          </w:p>
        </w:tc>
      </w:tr>
      <w:tr w14:paraId="743D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528" w:type="dxa"/>
            <w:gridSpan w:val="11"/>
            <w:noWrap w:val="0"/>
            <w:vAlign w:val="top"/>
          </w:tcPr>
          <w:p w14:paraId="4F07BBCD">
            <w:pPr>
              <w:pStyle w:val="85"/>
              <w:spacing w:before="109" w:line="220" w:lineRule="auto"/>
              <w:ind w:left="355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主要工作经历</w:t>
            </w:r>
          </w:p>
        </w:tc>
      </w:tr>
      <w:tr w14:paraId="3727D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36EB9738">
            <w:pPr>
              <w:pStyle w:val="85"/>
              <w:spacing w:before="108" w:line="222" w:lineRule="auto"/>
              <w:ind w:left="358"/>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时间</w:t>
            </w:r>
          </w:p>
        </w:tc>
        <w:tc>
          <w:tcPr>
            <w:tcW w:w="2891" w:type="dxa"/>
            <w:gridSpan w:val="6"/>
            <w:noWrap w:val="0"/>
            <w:vAlign w:val="top"/>
          </w:tcPr>
          <w:p w14:paraId="644DF7E3">
            <w:pPr>
              <w:pStyle w:val="85"/>
              <w:spacing w:before="107" w:line="220" w:lineRule="auto"/>
              <w:ind w:left="25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参加过的类似项目名称</w:t>
            </w:r>
          </w:p>
        </w:tc>
        <w:tc>
          <w:tcPr>
            <w:tcW w:w="1742" w:type="dxa"/>
            <w:gridSpan w:val="2"/>
            <w:noWrap w:val="0"/>
            <w:vAlign w:val="top"/>
          </w:tcPr>
          <w:p w14:paraId="5523EB77">
            <w:pPr>
              <w:pStyle w:val="85"/>
              <w:spacing w:before="107" w:line="220" w:lineRule="auto"/>
              <w:ind w:left="16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工程概况说明</w:t>
            </w:r>
          </w:p>
        </w:tc>
        <w:tc>
          <w:tcPr>
            <w:tcW w:w="2492" w:type="dxa"/>
            <w:gridSpan w:val="2"/>
            <w:noWrap w:val="0"/>
            <w:vAlign w:val="top"/>
          </w:tcPr>
          <w:p w14:paraId="19EF79BB">
            <w:pPr>
              <w:pStyle w:val="85"/>
              <w:spacing w:before="108" w:line="220" w:lineRule="auto"/>
              <w:ind w:left="29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发包人及联系电话</w:t>
            </w:r>
          </w:p>
        </w:tc>
      </w:tr>
      <w:tr w14:paraId="45AE6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403" w:type="dxa"/>
            <w:noWrap w:val="0"/>
            <w:vAlign w:val="top"/>
          </w:tcPr>
          <w:p w14:paraId="5A490263">
            <w:pPr>
              <w:rPr>
                <w:rFonts w:ascii="Calibri" w:hAnsi="Calibri" w:eastAsia="宋体" w:cs="Calibri"/>
                <w:color w:val="000000"/>
                <w:spacing w:val="-2"/>
                <w:kern w:val="1"/>
                <w:sz w:val="24"/>
                <w:szCs w:val="24"/>
                <w:lang w:val="en-US" w:eastAsia="zh-CN" w:bidi="ar-SA"/>
              </w:rPr>
            </w:pPr>
          </w:p>
        </w:tc>
        <w:tc>
          <w:tcPr>
            <w:tcW w:w="614" w:type="dxa"/>
            <w:gridSpan w:val="2"/>
            <w:noWrap w:val="0"/>
            <w:vAlign w:val="top"/>
          </w:tcPr>
          <w:p w14:paraId="05E1A283">
            <w:pPr>
              <w:rPr>
                <w:rFonts w:ascii="Calibri" w:hAnsi="Calibri" w:eastAsia="宋体" w:cs="Calibri"/>
                <w:color w:val="000000"/>
                <w:spacing w:val="-2"/>
                <w:kern w:val="1"/>
                <w:sz w:val="24"/>
                <w:szCs w:val="24"/>
                <w:lang w:val="en-US" w:eastAsia="zh-CN" w:bidi="ar-SA"/>
              </w:rPr>
            </w:pPr>
          </w:p>
        </w:tc>
        <w:tc>
          <w:tcPr>
            <w:tcW w:w="1070" w:type="dxa"/>
            <w:gridSpan w:val="2"/>
            <w:noWrap w:val="0"/>
            <w:vAlign w:val="top"/>
          </w:tcPr>
          <w:p w14:paraId="6A2D254B">
            <w:pPr>
              <w:rPr>
                <w:rFonts w:ascii="Calibri" w:hAnsi="Calibri" w:eastAsia="宋体" w:cs="Calibri"/>
                <w:color w:val="000000"/>
                <w:spacing w:val="-2"/>
                <w:kern w:val="1"/>
                <w:sz w:val="24"/>
                <w:szCs w:val="24"/>
                <w:lang w:val="en-US" w:eastAsia="zh-CN" w:bidi="ar-SA"/>
              </w:rPr>
            </w:pPr>
          </w:p>
        </w:tc>
        <w:tc>
          <w:tcPr>
            <w:tcW w:w="1207" w:type="dxa"/>
            <w:gridSpan w:val="2"/>
            <w:noWrap w:val="0"/>
            <w:vAlign w:val="top"/>
          </w:tcPr>
          <w:p w14:paraId="1CCEFECB">
            <w:pPr>
              <w:rPr>
                <w:rFonts w:ascii="Calibri" w:hAnsi="Calibri" w:eastAsia="宋体" w:cs="Calibri"/>
                <w:color w:val="000000"/>
                <w:spacing w:val="-2"/>
                <w:kern w:val="1"/>
                <w:sz w:val="24"/>
                <w:szCs w:val="24"/>
                <w:lang w:val="en-US" w:eastAsia="zh-CN" w:bidi="ar-SA"/>
              </w:rPr>
            </w:pPr>
          </w:p>
        </w:tc>
        <w:tc>
          <w:tcPr>
            <w:tcW w:w="1742" w:type="dxa"/>
            <w:gridSpan w:val="2"/>
            <w:noWrap w:val="0"/>
            <w:vAlign w:val="top"/>
          </w:tcPr>
          <w:p w14:paraId="1DE015AE">
            <w:pPr>
              <w:rPr>
                <w:rFonts w:ascii="Calibri" w:hAnsi="Calibri" w:eastAsia="宋体" w:cs="Calibri"/>
                <w:color w:val="000000"/>
                <w:spacing w:val="-2"/>
                <w:kern w:val="1"/>
                <w:sz w:val="24"/>
                <w:szCs w:val="24"/>
                <w:lang w:val="en-US" w:eastAsia="zh-CN" w:bidi="ar-SA"/>
              </w:rPr>
            </w:pPr>
          </w:p>
        </w:tc>
        <w:tc>
          <w:tcPr>
            <w:tcW w:w="2492" w:type="dxa"/>
            <w:gridSpan w:val="2"/>
            <w:noWrap w:val="0"/>
            <w:vAlign w:val="top"/>
          </w:tcPr>
          <w:p w14:paraId="0869D50C">
            <w:pPr>
              <w:rPr>
                <w:rFonts w:ascii="Calibri" w:hAnsi="Calibri" w:eastAsia="宋体" w:cs="Calibri"/>
                <w:color w:val="000000"/>
                <w:spacing w:val="-2"/>
                <w:kern w:val="1"/>
                <w:sz w:val="24"/>
                <w:szCs w:val="24"/>
                <w:lang w:val="en-US" w:eastAsia="zh-CN" w:bidi="ar-SA"/>
              </w:rPr>
            </w:pPr>
          </w:p>
        </w:tc>
      </w:tr>
      <w:tr w14:paraId="7644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03" w:type="dxa"/>
            <w:noWrap w:val="0"/>
            <w:vAlign w:val="top"/>
          </w:tcPr>
          <w:p w14:paraId="304533BE">
            <w:pPr>
              <w:rPr>
                <w:rFonts w:ascii="Calibri" w:hAnsi="Calibri" w:eastAsia="宋体" w:cs="Calibri"/>
                <w:color w:val="000000"/>
                <w:spacing w:val="-2"/>
                <w:kern w:val="1"/>
                <w:sz w:val="24"/>
                <w:szCs w:val="24"/>
                <w:lang w:val="en-US" w:eastAsia="zh-CN" w:bidi="ar-SA"/>
              </w:rPr>
            </w:pPr>
          </w:p>
        </w:tc>
        <w:tc>
          <w:tcPr>
            <w:tcW w:w="614" w:type="dxa"/>
            <w:gridSpan w:val="2"/>
            <w:noWrap w:val="0"/>
            <w:vAlign w:val="top"/>
          </w:tcPr>
          <w:p w14:paraId="7005142A">
            <w:pPr>
              <w:rPr>
                <w:rFonts w:ascii="Calibri" w:hAnsi="Calibri" w:eastAsia="宋体" w:cs="Calibri"/>
                <w:color w:val="000000"/>
                <w:spacing w:val="-2"/>
                <w:kern w:val="1"/>
                <w:sz w:val="24"/>
                <w:szCs w:val="24"/>
                <w:lang w:val="en-US" w:eastAsia="zh-CN" w:bidi="ar-SA"/>
              </w:rPr>
            </w:pPr>
          </w:p>
        </w:tc>
        <w:tc>
          <w:tcPr>
            <w:tcW w:w="1070" w:type="dxa"/>
            <w:gridSpan w:val="2"/>
            <w:noWrap w:val="0"/>
            <w:vAlign w:val="top"/>
          </w:tcPr>
          <w:p w14:paraId="136088B6">
            <w:pPr>
              <w:rPr>
                <w:rFonts w:ascii="Calibri" w:hAnsi="Calibri" w:eastAsia="宋体" w:cs="Calibri"/>
                <w:color w:val="000000"/>
                <w:spacing w:val="-2"/>
                <w:kern w:val="1"/>
                <w:sz w:val="24"/>
                <w:szCs w:val="24"/>
                <w:lang w:val="en-US" w:eastAsia="zh-CN" w:bidi="ar-SA"/>
              </w:rPr>
            </w:pPr>
          </w:p>
        </w:tc>
        <w:tc>
          <w:tcPr>
            <w:tcW w:w="1207" w:type="dxa"/>
            <w:gridSpan w:val="2"/>
            <w:noWrap w:val="0"/>
            <w:vAlign w:val="top"/>
          </w:tcPr>
          <w:p w14:paraId="756B3518">
            <w:pPr>
              <w:rPr>
                <w:rFonts w:ascii="Calibri" w:hAnsi="Calibri" w:eastAsia="宋体" w:cs="Calibri"/>
                <w:color w:val="000000"/>
                <w:spacing w:val="-2"/>
                <w:kern w:val="1"/>
                <w:sz w:val="24"/>
                <w:szCs w:val="24"/>
                <w:lang w:val="en-US" w:eastAsia="zh-CN" w:bidi="ar-SA"/>
              </w:rPr>
            </w:pPr>
          </w:p>
        </w:tc>
        <w:tc>
          <w:tcPr>
            <w:tcW w:w="1742" w:type="dxa"/>
            <w:gridSpan w:val="2"/>
            <w:noWrap w:val="0"/>
            <w:vAlign w:val="top"/>
          </w:tcPr>
          <w:p w14:paraId="46F1A34D">
            <w:pPr>
              <w:rPr>
                <w:rFonts w:ascii="Calibri" w:hAnsi="Calibri" w:eastAsia="宋体" w:cs="Calibri"/>
                <w:color w:val="000000"/>
                <w:spacing w:val="-2"/>
                <w:kern w:val="1"/>
                <w:sz w:val="24"/>
                <w:szCs w:val="24"/>
                <w:lang w:val="en-US" w:eastAsia="zh-CN" w:bidi="ar-SA"/>
              </w:rPr>
            </w:pPr>
          </w:p>
        </w:tc>
        <w:tc>
          <w:tcPr>
            <w:tcW w:w="2492" w:type="dxa"/>
            <w:gridSpan w:val="2"/>
            <w:noWrap w:val="0"/>
            <w:vAlign w:val="top"/>
          </w:tcPr>
          <w:p w14:paraId="58100E25">
            <w:pPr>
              <w:rPr>
                <w:rFonts w:ascii="Calibri" w:hAnsi="Calibri" w:eastAsia="宋体" w:cs="Calibri"/>
                <w:color w:val="000000"/>
                <w:spacing w:val="-2"/>
                <w:kern w:val="1"/>
                <w:sz w:val="24"/>
                <w:szCs w:val="24"/>
                <w:lang w:val="en-US" w:eastAsia="zh-CN" w:bidi="ar-SA"/>
              </w:rPr>
            </w:pPr>
          </w:p>
        </w:tc>
      </w:tr>
      <w:tr w14:paraId="7B598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403" w:type="dxa"/>
            <w:noWrap w:val="0"/>
            <w:vAlign w:val="top"/>
          </w:tcPr>
          <w:p w14:paraId="31326170">
            <w:pPr>
              <w:rPr>
                <w:rFonts w:ascii="Calibri" w:hAnsi="Calibri" w:eastAsia="宋体" w:cs="Calibri"/>
                <w:color w:val="000000"/>
                <w:spacing w:val="-2"/>
                <w:kern w:val="1"/>
                <w:sz w:val="24"/>
                <w:szCs w:val="24"/>
                <w:lang w:val="en-US" w:eastAsia="zh-CN" w:bidi="ar-SA"/>
              </w:rPr>
            </w:pPr>
          </w:p>
        </w:tc>
        <w:tc>
          <w:tcPr>
            <w:tcW w:w="614" w:type="dxa"/>
            <w:gridSpan w:val="2"/>
            <w:noWrap w:val="0"/>
            <w:vAlign w:val="top"/>
          </w:tcPr>
          <w:p w14:paraId="5F39CEC8">
            <w:pPr>
              <w:rPr>
                <w:rFonts w:ascii="Calibri" w:hAnsi="Calibri" w:eastAsia="宋体" w:cs="Calibri"/>
                <w:color w:val="000000"/>
                <w:spacing w:val="-2"/>
                <w:kern w:val="1"/>
                <w:sz w:val="24"/>
                <w:szCs w:val="24"/>
                <w:lang w:val="en-US" w:eastAsia="zh-CN" w:bidi="ar-SA"/>
              </w:rPr>
            </w:pPr>
          </w:p>
        </w:tc>
        <w:tc>
          <w:tcPr>
            <w:tcW w:w="1070" w:type="dxa"/>
            <w:gridSpan w:val="2"/>
            <w:noWrap w:val="0"/>
            <w:vAlign w:val="top"/>
          </w:tcPr>
          <w:p w14:paraId="20B80D6E">
            <w:pPr>
              <w:rPr>
                <w:rFonts w:ascii="Calibri" w:hAnsi="Calibri" w:eastAsia="宋体" w:cs="Calibri"/>
                <w:color w:val="000000"/>
                <w:spacing w:val="-2"/>
                <w:kern w:val="1"/>
                <w:sz w:val="24"/>
                <w:szCs w:val="24"/>
                <w:lang w:val="en-US" w:eastAsia="zh-CN" w:bidi="ar-SA"/>
              </w:rPr>
            </w:pPr>
          </w:p>
        </w:tc>
        <w:tc>
          <w:tcPr>
            <w:tcW w:w="1207" w:type="dxa"/>
            <w:gridSpan w:val="2"/>
            <w:noWrap w:val="0"/>
            <w:vAlign w:val="top"/>
          </w:tcPr>
          <w:p w14:paraId="5A278877">
            <w:pPr>
              <w:rPr>
                <w:rFonts w:ascii="Calibri" w:hAnsi="Calibri" w:eastAsia="宋体" w:cs="Calibri"/>
                <w:color w:val="000000"/>
                <w:spacing w:val="-2"/>
                <w:kern w:val="1"/>
                <w:sz w:val="24"/>
                <w:szCs w:val="24"/>
                <w:lang w:val="en-US" w:eastAsia="zh-CN" w:bidi="ar-SA"/>
              </w:rPr>
            </w:pPr>
          </w:p>
        </w:tc>
        <w:tc>
          <w:tcPr>
            <w:tcW w:w="1742" w:type="dxa"/>
            <w:gridSpan w:val="2"/>
            <w:noWrap w:val="0"/>
            <w:vAlign w:val="top"/>
          </w:tcPr>
          <w:p w14:paraId="352BF1DF">
            <w:pPr>
              <w:rPr>
                <w:rFonts w:ascii="Calibri" w:hAnsi="Calibri" w:eastAsia="宋体" w:cs="Calibri"/>
                <w:color w:val="000000"/>
                <w:spacing w:val="-2"/>
                <w:kern w:val="1"/>
                <w:sz w:val="24"/>
                <w:szCs w:val="24"/>
                <w:lang w:val="en-US" w:eastAsia="zh-CN" w:bidi="ar-SA"/>
              </w:rPr>
            </w:pPr>
          </w:p>
        </w:tc>
        <w:tc>
          <w:tcPr>
            <w:tcW w:w="2492" w:type="dxa"/>
            <w:gridSpan w:val="2"/>
            <w:noWrap w:val="0"/>
            <w:vAlign w:val="top"/>
          </w:tcPr>
          <w:p w14:paraId="4520D197">
            <w:pPr>
              <w:rPr>
                <w:rFonts w:ascii="Calibri" w:hAnsi="Calibri" w:eastAsia="宋体" w:cs="Calibri"/>
                <w:color w:val="000000"/>
                <w:spacing w:val="-2"/>
                <w:kern w:val="1"/>
                <w:sz w:val="24"/>
                <w:szCs w:val="24"/>
                <w:lang w:val="en-US" w:eastAsia="zh-CN" w:bidi="ar-SA"/>
              </w:rPr>
            </w:pPr>
          </w:p>
        </w:tc>
      </w:tr>
      <w:tr w14:paraId="057D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03" w:type="dxa"/>
            <w:noWrap w:val="0"/>
            <w:vAlign w:val="top"/>
          </w:tcPr>
          <w:p w14:paraId="09EF91F1">
            <w:pPr>
              <w:rPr>
                <w:rFonts w:ascii="Calibri" w:hAnsi="Calibri" w:eastAsia="宋体" w:cs="Calibri"/>
                <w:color w:val="000000"/>
                <w:spacing w:val="-2"/>
                <w:kern w:val="1"/>
                <w:sz w:val="24"/>
                <w:szCs w:val="24"/>
                <w:lang w:val="en-US" w:eastAsia="zh-CN" w:bidi="ar-SA"/>
              </w:rPr>
            </w:pPr>
          </w:p>
        </w:tc>
        <w:tc>
          <w:tcPr>
            <w:tcW w:w="614" w:type="dxa"/>
            <w:gridSpan w:val="2"/>
            <w:noWrap w:val="0"/>
            <w:vAlign w:val="top"/>
          </w:tcPr>
          <w:p w14:paraId="75676C78">
            <w:pPr>
              <w:rPr>
                <w:rFonts w:ascii="Calibri" w:hAnsi="Calibri" w:eastAsia="宋体" w:cs="Calibri"/>
                <w:color w:val="000000"/>
                <w:spacing w:val="-2"/>
                <w:kern w:val="1"/>
                <w:sz w:val="24"/>
                <w:szCs w:val="24"/>
                <w:lang w:val="en-US" w:eastAsia="zh-CN" w:bidi="ar-SA"/>
              </w:rPr>
            </w:pPr>
          </w:p>
        </w:tc>
        <w:tc>
          <w:tcPr>
            <w:tcW w:w="1070" w:type="dxa"/>
            <w:gridSpan w:val="2"/>
            <w:noWrap w:val="0"/>
            <w:vAlign w:val="top"/>
          </w:tcPr>
          <w:p w14:paraId="54DC2B41">
            <w:pPr>
              <w:rPr>
                <w:rFonts w:ascii="Calibri" w:hAnsi="Calibri" w:eastAsia="宋体" w:cs="Calibri"/>
                <w:color w:val="000000"/>
                <w:spacing w:val="-2"/>
                <w:kern w:val="1"/>
                <w:sz w:val="24"/>
                <w:szCs w:val="24"/>
                <w:lang w:val="en-US" w:eastAsia="zh-CN" w:bidi="ar-SA"/>
              </w:rPr>
            </w:pPr>
          </w:p>
        </w:tc>
        <w:tc>
          <w:tcPr>
            <w:tcW w:w="1207" w:type="dxa"/>
            <w:gridSpan w:val="2"/>
            <w:noWrap w:val="0"/>
            <w:vAlign w:val="top"/>
          </w:tcPr>
          <w:p w14:paraId="7DE20236">
            <w:pPr>
              <w:rPr>
                <w:rFonts w:ascii="Calibri" w:hAnsi="Calibri" w:eastAsia="宋体" w:cs="Calibri"/>
                <w:color w:val="000000"/>
                <w:spacing w:val="-2"/>
                <w:kern w:val="1"/>
                <w:sz w:val="24"/>
                <w:szCs w:val="24"/>
                <w:lang w:val="en-US" w:eastAsia="zh-CN" w:bidi="ar-SA"/>
              </w:rPr>
            </w:pPr>
          </w:p>
        </w:tc>
        <w:tc>
          <w:tcPr>
            <w:tcW w:w="1742" w:type="dxa"/>
            <w:gridSpan w:val="2"/>
            <w:noWrap w:val="0"/>
            <w:vAlign w:val="top"/>
          </w:tcPr>
          <w:p w14:paraId="005DD09F">
            <w:pPr>
              <w:rPr>
                <w:rFonts w:ascii="Calibri" w:hAnsi="Calibri" w:eastAsia="宋体" w:cs="Calibri"/>
                <w:color w:val="000000"/>
                <w:spacing w:val="-2"/>
                <w:kern w:val="1"/>
                <w:sz w:val="24"/>
                <w:szCs w:val="24"/>
                <w:lang w:val="en-US" w:eastAsia="zh-CN" w:bidi="ar-SA"/>
              </w:rPr>
            </w:pPr>
          </w:p>
        </w:tc>
        <w:tc>
          <w:tcPr>
            <w:tcW w:w="2492" w:type="dxa"/>
            <w:gridSpan w:val="2"/>
            <w:noWrap w:val="0"/>
            <w:vAlign w:val="top"/>
          </w:tcPr>
          <w:p w14:paraId="73BBAB0A">
            <w:pPr>
              <w:rPr>
                <w:rFonts w:ascii="Calibri" w:hAnsi="Calibri" w:eastAsia="宋体" w:cs="Calibri"/>
                <w:color w:val="000000"/>
                <w:spacing w:val="-2"/>
                <w:kern w:val="1"/>
                <w:sz w:val="24"/>
                <w:szCs w:val="24"/>
                <w:lang w:val="en-US" w:eastAsia="zh-CN" w:bidi="ar-SA"/>
              </w:rPr>
            </w:pPr>
          </w:p>
        </w:tc>
      </w:tr>
      <w:tr w14:paraId="37BC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403" w:type="dxa"/>
            <w:noWrap w:val="0"/>
            <w:vAlign w:val="top"/>
          </w:tcPr>
          <w:p w14:paraId="443DFC85">
            <w:pPr>
              <w:rPr>
                <w:rFonts w:ascii="Calibri" w:hAnsi="Calibri" w:eastAsia="宋体" w:cs="Calibri"/>
                <w:color w:val="000000"/>
                <w:spacing w:val="-2"/>
                <w:kern w:val="1"/>
                <w:sz w:val="28"/>
                <w:szCs w:val="28"/>
                <w:lang w:val="en-US" w:eastAsia="zh-CN" w:bidi="ar-SA"/>
              </w:rPr>
            </w:pPr>
          </w:p>
        </w:tc>
        <w:tc>
          <w:tcPr>
            <w:tcW w:w="614" w:type="dxa"/>
            <w:gridSpan w:val="2"/>
            <w:noWrap w:val="0"/>
            <w:vAlign w:val="top"/>
          </w:tcPr>
          <w:p w14:paraId="183CC534">
            <w:pPr>
              <w:rPr>
                <w:rFonts w:ascii="Calibri" w:hAnsi="Calibri" w:eastAsia="宋体" w:cs="Calibri"/>
                <w:color w:val="000000"/>
                <w:spacing w:val="-2"/>
                <w:kern w:val="1"/>
                <w:sz w:val="28"/>
                <w:szCs w:val="28"/>
                <w:lang w:val="en-US" w:eastAsia="zh-CN" w:bidi="ar-SA"/>
              </w:rPr>
            </w:pPr>
          </w:p>
        </w:tc>
        <w:tc>
          <w:tcPr>
            <w:tcW w:w="1070" w:type="dxa"/>
            <w:gridSpan w:val="2"/>
            <w:noWrap w:val="0"/>
            <w:vAlign w:val="top"/>
          </w:tcPr>
          <w:p w14:paraId="7700255E">
            <w:pPr>
              <w:rPr>
                <w:rFonts w:ascii="Calibri" w:hAnsi="Calibri" w:eastAsia="宋体" w:cs="Calibri"/>
                <w:color w:val="000000"/>
                <w:spacing w:val="-2"/>
                <w:kern w:val="1"/>
                <w:sz w:val="28"/>
                <w:szCs w:val="28"/>
                <w:lang w:val="en-US" w:eastAsia="zh-CN" w:bidi="ar-SA"/>
              </w:rPr>
            </w:pPr>
          </w:p>
        </w:tc>
        <w:tc>
          <w:tcPr>
            <w:tcW w:w="1207" w:type="dxa"/>
            <w:gridSpan w:val="2"/>
            <w:noWrap w:val="0"/>
            <w:vAlign w:val="top"/>
          </w:tcPr>
          <w:p w14:paraId="3BC339AF">
            <w:pPr>
              <w:rPr>
                <w:rFonts w:ascii="Calibri" w:hAnsi="Calibri" w:eastAsia="宋体" w:cs="Calibri"/>
                <w:color w:val="000000"/>
                <w:spacing w:val="-2"/>
                <w:kern w:val="1"/>
                <w:sz w:val="28"/>
                <w:szCs w:val="28"/>
                <w:lang w:val="en-US" w:eastAsia="zh-CN" w:bidi="ar-SA"/>
              </w:rPr>
            </w:pPr>
          </w:p>
        </w:tc>
        <w:tc>
          <w:tcPr>
            <w:tcW w:w="1742" w:type="dxa"/>
            <w:gridSpan w:val="2"/>
            <w:noWrap w:val="0"/>
            <w:vAlign w:val="top"/>
          </w:tcPr>
          <w:p w14:paraId="04FB64D9">
            <w:pPr>
              <w:rPr>
                <w:rFonts w:ascii="Calibri" w:hAnsi="Calibri" w:eastAsia="宋体" w:cs="Calibri"/>
                <w:color w:val="000000"/>
                <w:spacing w:val="-2"/>
                <w:kern w:val="1"/>
                <w:sz w:val="28"/>
                <w:szCs w:val="28"/>
                <w:lang w:val="en-US" w:eastAsia="zh-CN" w:bidi="ar-SA"/>
              </w:rPr>
            </w:pPr>
          </w:p>
        </w:tc>
        <w:tc>
          <w:tcPr>
            <w:tcW w:w="2492" w:type="dxa"/>
            <w:gridSpan w:val="2"/>
            <w:noWrap w:val="0"/>
            <w:vAlign w:val="top"/>
          </w:tcPr>
          <w:p w14:paraId="2C74BC9A">
            <w:pPr>
              <w:rPr>
                <w:rFonts w:ascii="Calibri" w:hAnsi="Calibri" w:eastAsia="宋体" w:cs="Calibri"/>
                <w:color w:val="000000"/>
                <w:spacing w:val="-2"/>
                <w:kern w:val="1"/>
                <w:sz w:val="28"/>
                <w:szCs w:val="28"/>
                <w:lang w:val="en-US" w:eastAsia="zh-CN" w:bidi="ar-SA"/>
              </w:rPr>
            </w:pPr>
          </w:p>
        </w:tc>
      </w:tr>
      <w:tr w14:paraId="6F097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403" w:type="dxa"/>
            <w:noWrap w:val="0"/>
            <w:vAlign w:val="top"/>
          </w:tcPr>
          <w:p w14:paraId="0B4ECC3F">
            <w:pPr>
              <w:rPr>
                <w:rFonts w:ascii="Calibri" w:hAnsi="Calibri" w:eastAsia="宋体" w:cs="Calibri"/>
                <w:color w:val="000000"/>
                <w:spacing w:val="-2"/>
                <w:kern w:val="1"/>
                <w:sz w:val="28"/>
                <w:szCs w:val="28"/>
                <w:lang w:val="en-US" w:eastAsia="zh-CN" w:bidi="ar-SA"/>
              </w:rPr>
            </w:pPr>
          </w:p>
        </w:tc>
        <w:tc>
          <w:tcPr>
            <w:tcW w:w="614" w:type="dxa"/>
            <w:gridSpan w:val="2"/>
            <w:noWrap w:val="0"/>
            <w:vAlign w:val="top"/>
          </w:tcPr>
          <w:p w14:paraId="540EB292">
            <w:pPr>
              <w:rPr>
                <w:rFonts w:ascii="Calibri" w:hAnsi="Calibri" w:eastAsia="宋体" w:cs="Calibri"/>
                <w:color w:val="000000"/>
                <w:spacing w:val="-2"/>
                <w:kern w:val="1"/>
                <w:sz w:val="28"/>
                <w:szCs w:val="28"/>
                <w:lang w:val="en-US" w:eastAsia="zh-CN" w:bidi="ar-SA"/>
              </w:rPr>
            </w:pPr>
          </w:p>
        </w:tc>
        <w:tc>
          <w:tcPr>
            <w:tcW w:w="1070" w:type="dxa"/>
            <w:gridSpan w:val="2"/>
            <w:noWrap w:val="0"/>
            <w:vAlign w:val="top"/>
          </w:tcPr>
          <w:p w14:paraId="5A42189F">
            <w:pPr>
              <w:rPr>
                <w:rFonts w:ascii="Calibri" w:hAnsi="Calibri" w:eastAsia="宋体" w:cs="Calibri"/>
                <w:color w:val="000000"/>
                <w:spacing w:val="-2"/>
                <w:kern w:val="1"/>
                <w:sz w:val="28"/>
                <w:szCs w:val="28"/>
                <w:lang w:val="en-US" w:eastAsia="zh-CN" w:bidi="ar-SA"/>
              </w:rPr>
            </w:pPr>
          </w:p>
        </w:tc>
        <w:tc>
          <w:tcPr>
            <w:tcW w:w="1207" w:type="dxa"/>
            <w:gridSpan w:val="2"/>
            <w:noWrap w:val="0"/>
            <w:vAlign w:val="top"/>
          </w:tcPr>
          <w:p w14:paraId="6CAD59A3">
            <w:pPr>
              <w:rPr>
                <w:rFonts w:ascii="Calibri" w:hAnsi="Calibri" w:eastAsia="宋体" w:cs="Calibri"/>
                <w:color w:val="000000"/>
                <w:spacing w:val="-2"/>
                <w:kern w:val="1"/>
                <w:sz w:val="28"/>
                <w:szCs w:val="28"/>
                <w:lang w:val="en-US" w:eastAsia="zh-CN" w:bidi="ar-SA"/>
              </w:rPr>
            </w:pPr>
          </w:p>
        </w:tc>
        <w:tc>
          <w:tcPr>
            <w:tcW w:w="1742" w:type="dxa"/>
            <w:gridSpan w:val="2"/>
            <w:noWrap w:val="0"/>
            <w:vAlign w:val="top"/>
          </w:tcPr>
          <w:p w14:paraId="55CB78B9">
            <w:pPr>
              <w:rPr>
                <w:rFonts w:ascii="Calibri" w:hAnsi="Calibri" w:eastAsia="宋体" w:cs="Calibri"/>
                <w:color w:val="000000"/>
                <w:spacing w:val="-2"/>
                <w:kern w:val="1"/>
                <w:sz w:val="28"/>
                <w:szCs w:val="28"/>
                <w:lang w:val="en-US" w:eastAsia="zh-CN" w:bidi="ar-SA"/>
              </w:rPr>
            </w:pPr>
          </w:p>
        </w:tc>
        <w:tc>
          <w:tcPr>
            <w:tcW w:w="2492" w:type="dxa"/>
            <w:gridSpan w:val="2"/>
            <w:noWrap w:val="0"/>
            <w:vAlign w:val="top"/>
          </w:tcPr>
          <w:p w14:paraId="1FFAE21A">
            <w:pPr>
              <w:rPr>
                <w:rFonts w:ascii="Calibri" w:hAnsi="Calibri" w:eastAsia="宋体" w:cs="Calibri"/>
                <w:color w:val="000000"/>
                <w:spacing w:val="-2"/>
                <w:kern w:val="1"/>
                <w:sz w:val="28"/>
                <w:szCs w:val="28"/>
                <w:lang w:val="en-US" w:eastAsia="zh-CN" w:bidi="ar-SA"/>
              </w:rPr>
            </w:pPr>
          </w:p>
        </w:tc>
      </w:tr>
    </w:tbl>
    <w:p w14:paraId="4C042014">
      <w:pPr>
        <w:spacing w:line="265" w:lineRule="auto"/>
        <w:rPr>
          <w:rFonts w:ascii="Calibri" w:hAnsi="Calibri" w:eastAsia="宋体" w:cs="Calibri"/>
          <w:color w:val="000000"/>
          <w:spacing w:val="-2"/>
          <w:kern w:val="1"/>
          <w:sz w:val="28"/>
          <w:szCs w:val="28"/>
          <w:lang w:val="en-US" w:eastAsia="zh-CN" w:bidi="ar-SA"/>
        </w:rPr>
      </w:pPr>
    </w:p>
    <w:p w14:paraId="687B2068">
      <w:pPr>
        <w:pStyle w:val="9"/>
        <w:spacing w:before="78" w:line="219" w:lineRule="auto"/>
        <w:ind w:left="498"/>
        <w:rPr>
          <w:rFonts w:ascii="Calibri" w:hAnsi="Calibri" w:eastAsia="宋体" w:cs="Calibri"/>
          <w:b/>
          <w:bCs/>
          <w:color w:val="FF0000"/>
          <w:spacing w:val="-2"/>
          <w:kern w:val="1"/>
          <w:sz w:val="24"/>
          <w:szCs w:val="24"/>
          <w:lang w:val="en-US" w:eastAsia="zh-CN" w:bidi="ar-SA"/>
        </w:rPr>
      </w:pPr>
      <w:r>
        <w:rPr>
          <w:rFonts w:ascii="Calibri" w:hAnsi="Calibri" w:eastAsia="宋体" w:cs="Calibri"/>
          <w:b/>
          <w:bCs/>
          <w:color w:val="FF0000"/>
          <w:spacing w:val="-2"/>
          <w:kern w:val="1"/>
          <w:sz w:val="24"/>
          <w:szCs w:val="24"/>
          <w:lang w:val="en-US" w:eastAsia="zh-CN" w:bidi="ar-SA"/>
        </w:rPr>
        <w:t>附：建造师注册证书、安全生产考核合格证书、身份证复印件</w:t>
      </w:r>
      <w:r>
        <w:rPr>
          <w:rFonts w:hint="eastAsia" w:eastAsia="宋体" w:cs="Calibri"/>
          <w:b/>
          <w:bCs/>
          <w:color w:val="FF0000"/>
          <w:spacing w:val="-2"/>
          <w:kern w:val="1"/>
          <w:sz w:val="24"/>
          <w:szCs w:val="24"/>
          <w:lang w:val="en-US" w:eastAsia="zh-CN" w:bidi="ar-SA"/>
        </w:rPr>
        <w:t>及无在建项目承诺书</w:t>
      </w:r>
      <w:r>
        <w:rPr>
          <w:rFonts w:ascii="Calibri" w:hAnsi="Calibri" w:eastAsia="宋体" w:cs="Calibri"/>
          <w:b/>
          <w:bCs/>
          <w:color w:val="FF0000"/>
          <w:spacing w:val="-2"/>
          <w:kern w:val="1"/>
          <w:sz w:val="24"/>
          <w:szCs w:val="24"/>
          <w:lang w:val="en-US" w:eastAsia="zh-CN" w:bidi="ar-SA"/>
        </w:rPr>
        <w:t>等。</w:t>
      </w:r>
    </w:p>
    <w:p w14:paraId="439F551E">
      <w:pPr>
        <w:spacing w:line="219" w:lineRule="auto"/>
        <w:rPr>
          <w:rFonts w:ascii="Calibri" w:hAnsi="Calibri" w:eastAsia="宋体" w:cs="Calibri"/>
          <w:color w:val="000000"/>
          <w:spacing w:val="-2"/>
          <w:kern w:val="1"/>
          <w:sz w:val="28"/>
          <w:szCs w:val="28"/>
          <w:lang w:val="en-US" w:eastAsia="zh-CN" w:bidi="ar-SA"/>
        </w:rPr>
      </w:pPr>
    </w:p>
    <w:p w14:paraId="3F958E1A">
      <w:pPr>
        <w:spacing w:line="219" w:lineRule="auto"/>
        <w:rPr>
          <w:rFonts w:ascii="Calibri" w:hAnsi="Calibri" w:eastAsia="宋体" w:cs="Calibri"/>
          <w:color w:val="000000"/>
          <w:spacing w:val="-2"/>
          <w:kern w:val="1"/>
          <w:sz w:val="28"/>
          <w:szCs w:val="28"/>
          <w:lang w:val="en-US" w:eastAsia="zh-CN" w:bidi="ar-SA"/>
        </w:rPr>
      </w:pPr>
    </w:p>
    <w:p w14:paraId="2BACD382">
      <w:pPr>
        <w:spacing w:line="219" w:lineRule="auto"/>
        <w:rPr>
          <w:rFonts w:ascii="Calibri" w:hAnsi="Calibri" w:eastAsia="宋体" w:cs="Calibri"/>
          <w:color w:val="000000"/>
          <w:spacing w:val="-2"/>
          <w:kern w:val="1"/>
          <w:sz w:val="28"/>
          <w:szCs w:val="28"/>
          <w:lang w:val="en-US" w:eastAsia="zh-CN" w:bidi="ar-SA"/>
        </w:rPr>
      </w:pPr>
    </w:p>
    <w:p w14:paraId="4C143C98">
      <w:pPr>
        <w:spacing w:line="219" w:lineRule="auto"/>
        <w:rPr>
          <w:rFonts w:ascii="Calibri" w:hAnsi="Calibri" w:eastAsia="宋体" w:cs="Calibri"/>
          <w:color w:val="000000"/>
          <w:spacing w:val="-2"/>
          <w:kern w:val="1"/>
          <w:sz w:val="28"/>
          <w:szCs w:val="28"/>
          <w:lang w:val="en-US" w:eastAsia="zh-CN" w:bidi="ar-SA"/>
        </w:rPr>
      </w:pPr>
    </w:p>
    <w:p w14:paraId="3422E7EC">
      <w:pPr>
        <w:spacing w:line="219" w:lineRule="auto"/>
        <w:rPr>
          <w:rFonts w:ascii="Calibri" w:hAnsi="Calibri" w:eastAsia="宋体" w:cs="Calibri"/>
          <w:color w:val="000000"/>
          <w:spacing w:val="-2"/>
          <w:kern w:val="1"/>
          <w:sz w:val="28"/>
          <w:szCs w:val="28"/>
          <w:lang w:val="en-US" w:eastAsia="zh-CN" w:bidi="ar-SA"/>
        </w:rPr>
      </w:pPr>
    </w:p>
    <w:p w14:paraId="6FFAE0CC">
      <w:pPr>
        <w:spacing w:line="219" w:lineRule="auto"/>
        <w:rPr>
          <w:rFonts w:ascii="Calibri" w:hAnsi="Calibri" w:eastAsia="宋体" w:cs="Calibri"/>
          <w:color w:val="000000"/>
          <w:spacing w:val="-2"/>
          <w:kern w:val="1"/>
          <w:sz w:val="28"/>
          <w:szCs w:val="28"/>
          <w:lang w:val="en-US" w:eastAsia="zh-CN" w:bidi="ar-SA"/>
        </w:rPr>
      </w:pPr>
    </w:p>
    <w:p w14:paraId="01FA8F45">
      <w:pPr>
        <w:spacing w:line="219" w:lineRule="auto"/>
        <w:rPr>
          <w:rFonts w:ascii="Calibri" w:hAnsi="Calibri" w:eastAsia="宋体" w:cs="Calibri"/>
          <w:color w:val="000000"/>
          <w:spacing w:val="-2"/>
          <w:kern w:val="1"/>
          <w:sz w:val="28"/>
          <w:szCs w:val="28"/>
          <w:lang w:val="en-US" w:eastAsia="zh-CN" w:bidi="ar-SA"/>
        </w:rPr>
      </w:pPr>
    </w:p>
    <w:p w14:paraId="27765485">
      <w:pPr>
        <w:spacing w:line="219" w:lineRule="auto"/>
        <w:rPr>
          <w:rFonts w:ascii="Calibri" w:hAnsi="Calibri" w:eastAsia="宋体" w:cs="Calibri"/>
          <w:color w:val="000000"/>
          <w:spacing w:val="-2"/>
          <w:kern w:val="1"/>
          <w:sz w:val="28"/>
          <w:szCs w:val="28"/>
          <w:lang w:val="en-US" w:eastAsia="zh-CN" w:bidi="ar-SA"/>
        </w:rPr>
      </w:pPr>
    </w:p>
    <w:p w14:paraId="7D61354C">
      <w:pPr>
        <w:spacing w:line="219" w:lineRule="auto"/>
        <w:rPr>
          <w:rFonts w:ascii="Calibri" w:hAnsi="Calibri" w:eastAsia="宋体" w:cs="Calibri"/>
          <w:color w:val="000000"/>
          <w:spacing w:val="-2"/>
          <w:kern w:val="1"/>
          <w:sz w:val="28"/>
          <w:szCs w:val="28"/>
          <w:lang w:val="en-US" w:eastAsia="zh-CN" w:bidi="ar-SA"/>
        </w:rPr>
      </w:pPr>
    </w:p>
    <w:p w14:paraId="08E976C9">
      <w:pPr>
        <w:spacing w:line="219" w:lineRule="auto"/>
        <w:rPr>
          <w:rFonts w:ascii="Calibri" w:hAnsi="Calibri" w:eastAsia="宋体" w:cs="Calibri"/>
          <w:color w:val="000000"/>
          <w:spacing w:val="-2"/>
          <w:kern w:val="1"/>
          <w:sz w:val="28"/>
          <w:szCs w:val="28"/>
          <w:lang w:val="en-US" w:eastAsia="zh-CN" w:bidi="ar-SA"/>
        </w:rPr>
      </w:pPr>
    </w:p>
    <w:p w14:paraId="7136ADA1">
      <w:pPr>
        <w:spacing w:line="219" w:lineRule="auto"/>
        <w:rPr>
          <w:rFonts w:ascii="Calibri" w:hAnsi="Calibri" w:eastAsia="宋体" w:cs="Calibri"/>
          <w:color w:val="000000"/>
          <w:spacing w:val="-2"/>
          <w:kern w:val="1"/>
          <w:sz w:val="28"/>
          <w:szCs w:val="28"/>
          <w:lang w:val="en-US" w:eastAsia="zh-CN" w:bidi="ar-SA"/>
        </w:rPr>
      </w:pPr>
    </w:p>
    <w:p w14:paraId="3C5CF528">
      <w:pPr>
        <w:pStyle w:val="9"/>
        <w:spacing w:before="78" w:line="219" w:lineRule="auto"/>
        <w:ind w:left="2951"/>
        <w:rPr>
          <w:rFonts w:ascii="Calibri" w:hAnsi="Calibri" w:eastAsia="宋体" w:cs="Calibri"/>
          <w:b/>
          <w:bCs/>
          <w:color w:val="000000"/>
          <w:spacing w:val="-2"/>
          <w:kern w:val="1"/>
          <w:sz w:val="28"/>
          <w:szCs w:val="28"/>
          <w:lang w:val="en-US" w:eastAsia="zh-CN" w:bidi="ar-SA"/>
        </w:rPr>
      </w:pPr>
    </w:p>
    <w:p w14:paraId="3F43CDA2">
      <w:pPr>
        <w:pStyle w:val="9"/>
        <w:spacing w:before="78" w:line="219" w:lineRule="auto"/>
        <w:ind w:left="2951"/>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主要项目管理人员简历表</w:t>
      </w:r>
    </w:p>
    <w:p w14:paraId="37F5D0C7">
      <w:pPr>
        <w:pStyle w:val="9"/>
        <w:spacing w:before="136" w:line="323" w:lineRule="auto"/>
        <w:ind w:left="121" w:right="73" w:firstLine="479"/>
        <w:jc w:val="both"/>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主要项目管理人员指项目施工员、质量员、专职安全生产管理人员、资料员等岗位人员。应附注册资格证书、身份证、职称证、学历证、养老保险扫描件</w:t>
      </w:r>
      <w:r>
        <w:rPr>
          <w:rFonts w:hint="eastAsia" w:ascii="Calibri" w:hAnsi="Calibri" w:eastAsia="宋体" w:cs="Calibri"/>
          <w:color w:val="000000"/>
          <w:spacing w:val="-2"/>
          <w:kern w:val="1"/>
          <w:sz w:val="28"/>
          <w:szCs w:val="28"/>
          <w:lang w:val="en-US" w:eastAsia="zh-CN" w:bidi="ar-SA"/>
        </w:rPr>
        <w:t>，</w:t>
      </w:r>
      <w:r>
        <w:rPr>
          <w:rFonts w:ascii="Calibri" w:hAnsi="Calibri" w:eastAsia="宋体" w:cs="Calibri"/>
          <w:color w:val="000000"/>
          <w:spacing w:val="-2"/>
          <w:kern w:val="1"/>
          <w:sz w:val="28"/>
          <w:szCs w:val="28"/>
          <w:lang w:val="en-US" w:eastAsia="zh-CN" w:bidi="ar-SA"/>
        </w:rPr>
        <w:t>专职安全生产管理人员应附安全生产考核合格证书，主要业绩须附合同协议书。</w:t>
      </w:r>
    </w:p>
    <w:p w14:paraId="5F6D64D1">
      <w:pPr>
        <w:spacing w:before="203"/>
        <w:rPr>
          <w:rFonts w:ascii="Calibri" w:hAnsi="Calibri" w:eastAsia="宋体" w:cs="Calibri"/>
          <w:color w:val="000000"/>
          <w:spacing w:val="-2"/>
          <w:kern w:val="1"/>
          <w:sz w:val="28"/>
          <w:szCs w:val="28"/>
          <w:lang w:val="en-US" w:eastAsia="zh-CN" w:bidi="ar-SA"/>
        </w:rPr>
      </w:pPr>
    </w:p>
    <w:tbl>
      <w:tblPr>
        <w:tblStyle w:val="8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9"/>
        <w:gridCol w:w="3550"/>
        <w:gridCol w:w="1204"/>
        <w:gridCol w:w="2205"/>
      </w:tblGrid>
      <w:tr w14:paraId="00236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28" w:type="dxa"/>
            <w:gridSpan w:val="4"/>
            <w:noWrap w:val="0"/>
            <w:vAlign w:val="top"/>
          </w:tcPr>
          <w:p w14:paraId="5950FCE9">
            <w:pPr>
              <w:pStyle w:val="85"/>
              <w:spacing w:before="165" w:line="220" w:lineRule="auto"/>
              <w:ind w:left="143"/>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岗位名称</w:t>
            </w:r>
          </w:p>
        </w:tc>
      </w:tr>
      <w:tr w14:paraId="26975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69" w:type="dxa"/>
            <w:noWrap w:val="0"/>
            <w:vAlign w:val="top"/>
          </w:tcPr>
          <w:p w14:paraId="3DB03911">
            <w:pPr>
              <w:pStyle w:val="85"/>
              <w:spacing w:before="160" w:line="220" w:lineRule="auto"/>
              <w:ind w:left="11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姓名</w:t>
            </w:r>
          </w:p>
        </w:tc>
        <w:tc>
          <w:tcPr>
            <w:tcW w:w="3550" w:type="dxa"/>
            <w:noWrap w:val="0"/>
            <w:vAlign w:val="top"/>
          </w:tcPr>
          <w:p w14:paraId="7E0F51D8">
            <w:pPr>
              <w:rPr>
                <w:rFonts w:ascii="Calibri" w:hAnsi="Calibri" w:eastAsia="宋体" w:cs="Calibri"/>
                <w:color w:val="000000"/>
                <w:spacing w:val="-2"/>
                <w:kern w:val="1"/>
                <w:sz w:val="24"/>
                <w:szCs w:val="24"/>
                <w:lang w:val="en-US" w:eastAsia="zh-CN" w:bidi="ar-SA"/>
              </w:rPr>
            </w:pPr>
          </w:p>
        </w:tc>
        <w:tc>
          <w:tcPr>
            <w:tcW w:w="1204" w:type="dxa"/>
            <w:noWrap w:val="0"/>
            <w:vAlign w:val="top"/>
          </w:tcPr>
          <w:p w14:paraId="00910E98">
            <w:pPr>
              <w:pStyle w:val="85"/>
              <w:spacing w:before="160" w:line="220" w:lineRule="auto"/>
              <w:ind w:left="11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年龄</w:t>
            </w:r>
          </w:p>
        </w:tc>
        <w:tc>
          <w:tcPr>
            <w:tcW w:w="2205" w:type="dxa"/>
            <w:noWrap w:val="0"/>
            <w:vAlign w:val="top"/>
          </w:tcPr>
          <w:p w14:paraId="29506CCA">
            <w:pPr>
              <w:rPr>
                <w:rFonts w:ascii="Calibri" w:hAnsi="Calibri" w:eastAsia="宋体" w:cs="Calibri"/>
                <w:color w:val="000000"/>
                <w:spacing w:val="-2"/>
                <w:kern w:val="1"/>
                <w:sz w:val="24"/>
                <w:szCs w:val="24"/>
                <w:lang w:val="en-US" w:eastAsia="zh-CN" w:bidi="ar-SA"/>
              </w:rPr>
            </w:pPr>
          </w:p>
        </w:tc>
      </w:tr>
      <w:tr w14:paraId="50D7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69" w:type="dxa"/>
            <w:noWrap w:val="0"/>
            <w:vAlign w:val="top"/>
          </w:tcPr>
          <w:p w14:paraId="765A9FD1">
            <w:pPr>
              <w:pStyle w:val="85"/>
              <w:spacing w:before="146" w:line="220" w:lineRule="auto"/>
              <w:ind w:left="11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性别</w:t>
            </w:r>
          </w:p>
        </w:tc>
        <w:tc>
          <w:tcPr>
            <w:tcW w:w="3550" w:type="dxa"/>
            <w:noWrap w:val="0"/>
            <w:vAlign w:val="top"/>
          </w:tcPr>
          <w:p w14:paraId="4FCEB03B">
            <w:pPr>
              <w:rPr>
                <w:rFonts w:ascii="Calibri" w:hAnsi="Calibri" w:eastAsia="宋体" w:cs="Calibri"/>
                <w:color w:val="000000"/>
                <w:spacing w:val="-2"/>
                <w:kern w:val="1"/>
                <w:sz w:val="24"/>
                <w:szCs w:val="24"/>
                <w:lang w:val="en-US" w:eastAsia="zh-CN" w:bidi="ar-SA"/>
              </w:rPr>
            </w:pPr>
          </w:p>
        </w:tc>
        <w:tc>
          <w:tcPr>
            <w:tcW w:w="1204" w:type="dxa"/>
            <w:noWrap w:val="0"/>
            <w:vAlign w:val="top"/>
          </w:tcPr>
          <w:p w14:paraId="47067902">
            <w:pPr>
              <w:pStyle w:val="85"/>
              <w:spacing w:before="146" w:line="220" w:lineRule="auto"/>
              <w:ind w:left="118"/>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毕业学校</w:t>
            </w:r>
          </w:p>
        </w:tc>
        <w:tc>
          <w:tcPr>
            <w:tcW w:w="2205" w:type="dxa"/>
            <w:noWrap w:val="0"/>
            <w:vAlign w:val="top"/>
          </w:tcPr>
          <w:p w14:paraId="1DE8B269">
            <w:pPr>
              <w:rPr>
                <w:rFonts w:ascii="Calibri" w:hAnsi="Calibri" w:eastAsia="宋体" w:cs="Calibri"/>
                <w:color w:val="000000"/>
                <w:spacing w:val="-2"/>
                <w:kern w:val="1"/>
                <w:sz w:val="24"/>
                <w:szCs w:val="24"/>
                <w:lang w:val="en-US" w:eastAsia="zh-CN" w:bidi="ar-SA"/>
              </w:rPr>
            </w:pPr>
          </w:p>
        </w:tc>
      </w:tr>
      <w:tr w14:paraId="4453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69" w:type="dxa"/>
            <w:noWrap w:val="0"/>
            <w:vAlign w:val="top"/>
          </w:tcPr>
          <w:p w14:paraId="3C69F401">
            <w:pPr>
              <w:pStyle w:val="85"/>
              <w:spacing w:before="147" w:line="220" w:lineRule="auto"/>
              <w:ind w:left="12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学历和专业</w:t>
            </w:r>
          </w:p>
        </w:tc>
        <w:tc>
          <w:tcPr>
            <w:tcW w:w="3550" w:type="dxa"/>
            <w:noWrap w:val="0"/>
            <w:vAlign w:val="top"/>
          </w:tcPr>
          <w:p w14:paraId="01D585DC">
            <w:pPr>
              <w:rPr>
                <w:rFonts w:ascii="Calibri" w:hAnsi="Calibri" w:eastAsia="宋体" w:cs="Calibri"/>
                <w:color w:val="000000"/>
                <w:spacing w:val="-2"/>
                <w:kern w:val="1"/>
                <w:sz w:val="24"/>
                <w:szCs w:val="24"/>
                <w:lang w:val="en-US" w:eastAsia="zh-CN" w:bidi="ar-SA"/>
              </w:rPr>
            </w:pPr>
          </w:p>
        </w:tc>
        <w:tc>
          <w:tcPr>
            <w:tcW w:w="1204" w:type="dxa"/>
            <w:noWrap w:val="0"/>
            <w:vAlign w:val="top"/>
          </w:tcPr>
          <w:p w14:paraId="61068487">
            <w:pPr>
              <w:pStyle w:val="85"/>
              <w:spacing w:before="146" w:line="220" w:lineRule="auto"/>
              <w:ind w:left="118"/>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毕业时间</w:t>
            </w:r>
          </w:p>
        </w:tc>
        <w:tc>
          <w:tcPr>
            <w:tcW w:w="2205" w:type="dxa"/>
            <w:noWrap w:val="0"/>
            <w:vAlign w:val="top"/>
          </w:tcPr>
          <w:p w14:paraId="4956AF01">
            <w:pPr>
              <w:rPr>
                <w:rFonts w:ascii="Calibri" w:hAnsi="Calibri" w:eastAsia="宋体" w:cs="Calibri"/>
                <w:color w:val="000000"/>
                <w:spacing w:val="-2"/>
                <w:kern w:val="1"/>
                <w:sz w:val="24"/>
                <w:szCs w:val="24"/>
                <w:lang w:val="en-US" w:eastAsia="zh-CN" w:bidi="ar-SA"/>
              </w:rPr>
            </w:pPr>
          </w:p>
        </w:tc>
      </w:tr>
      <w:tr w14:paraId="1E32C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69" w:type="dxa"/>
            <w:noWrap w:val="0"/>
            <w:vAlign w:val="top"/>
          </w:tcPr>
          <w:p w14:paraId="74EB1CAB">
            <w:pPr>
              <w:pStyle w:val="85"/>
              <w:spacing w:before="147" w:line="220" w:lineRule="auto"/>
              <w:ind w:left="11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拥有的执业资格</w:t>
            </w:r>
          </w:p>
        </w:tc>
        <w:tc>
          <w:tcPr>
            <w:tcW w:w="3550" w:type="dxa"/>
            <w:noWrap w:val="0"/>
            <w:vAlign w:val="top"/>
          </w:tcPr>
          <w:p w14:paraId="256DDC80">
            <w:pPr>
              <w:rPr>
                <w:rFonts w:ascii="Calibri" w:hAnsi="Calibri" w:eastAsia="宋体" w:cs="Calibri"/>
                <w:color w:val="000000"/>
                <w:spacing w:val="-2"/>
                <w:kern w:val="1"/>
                <w:sz w:val="24"/>
                <w:szCs w:val="24"/>
                <w:lang w:val="en-US" w:eastAsia="zh-CN" w:bidi="ar-SA"/>
              </w:rPr>
            </w:pPr>
          </w:p>
        </w:tc>
        <w:tc>
          <w:tcPr>
            <w:tcW w:w="1204" w:type="dxa"/>
            <w:noWrap w:val="0"/>
            <w:vAlign w:val="top"/>
          </w:tcPr>
          <w:p w14:paraId="0793791F">
            <w:pPr>
              <w:pStyle w:val="85"/>
              <w:spacing w:before="147" w:line="220" w:lineRule="auto"/>
              <w:ind w:left="11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专业职称</w:t>
            </w:r>
          </w:p>
        </w:tc>
        <w:tc>
          <w:tcPr>
            <w:tcW w:w="2205" w:type="dxa"/>
            <w:noWrap w:val="0"/>
            <w:vAlign w:val="top"/>
          </w:tcPr>
          <w:p w14:paraId="3126F21E">
            <w:pPr>
              <w:rPr>
                <w:rFonts w:ascii="Calibri" w:hAnsi="Calibri" w:eastAsia="宋体" w:cs="Calibri"/>
                <w:color w:val="000000"/>
                <w:spacing w:val="-2"/>
                <w:kern w:val="1"/>
                <w:sz w:val="24"/>
                <w:szCs w:val="24"/>
                <w:lang w:val="en-US" w:eastAsia="zh-CN" w:bidi="ar-SA"/>
              </w:rPr>
            </w:pPr>
          </w:p>
        </w:tc>
      </w:tr>
      <w:tr w14:paraId="3ADB9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569" w:type="dxa"/>
            <w:noWrap w:val="0"/>
            <w:vAlign w:val="top"/>
          </w:tcPr>
          <w:p w14:paraId="1DEFECBF">
            <w:pPr>
              <w:pStyle w:val="85"/>
              <w:spacing w:before="147" w:line="440" w:lineRule="exact"/>
              <w:ind w:left="11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执业资格证书</w:t>
            </w:r>
          </w:p>
          <w:p w14:paraId="59BB1AAF">
            <w:pPr>
              <w:pStyle w:val="85"/>
              <w:spacing w:line="219" w:lineRule="auto"/>
              <w:ind w:left="119"/>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编号</w:t>
            </w:r>
          </w:p>
        </w:tc>
        <w:tc>
          <w:tcPr>
            <w:tcW w:w="3550" w:type="dxa"/>
            <w:noWrap w:val="0"/>
            <w:vAlign w:val="top"/>
          </w:tcPr>
          <w:p w14:paraId="73E2101B">
            <w:pPr>
              <w:rPr>
                <w:rFonts w:ascii="Calibri" w:hAnsi="Calibri" w:eastAsia="宋体" w:cs="Calibri"/>
                <w:color w:val="000000"/>
                <w:spacing w:val="-2"/>
                <w:kern w:val="1"/>
                <w:sz w:val="24"/>
                <w:szCs w:val="24"/>
                <w:lang w:val="en-US" w:eastAsia="zh-CN" w:bidi="ar-SA"/>
              </w:rPr>
            </w:pPr>
          </w:p>
        </w:tc>
        <w:tc>
          <w:tcPr>
            <w:tcW w:w="1204" w:type="dxa"/>
            <w:noWrap w:val="0"/>
            <w:vAlign w:val="top"/>
          </w:tcPr>
          <w:p w14:paraId="30D7B3BE">
            <w:pPr>
              <w:spacing w:line="288" w:lineRule="auto"/>
              <w:rPr>
                <w:rFonts w:ascii="Calibri" w:hAnsi="Calibri" w:eastAsia="宋体" w:cs="Calibri"/>
                <w:color w:val="000000"/>
                <w:spacing w:val="-2"/>
                <w:kern w:val="1"/>
                <w:sz w:val="24"/>
                <w:szCs w:val="24"/>
                <w:lang w:val="en-US" w:eastAsia="zh-CN" w:bidi="ar-SA"/>
              </w:rPr>
            </w:pPr>
          </w:p>
          <w:p w14:paraId="58CE311C">
            <w:pPr>
              <w:pStyle w:val="85"/>
              <w:spacing w:before="78" w:line="220" w:lineRule="auto"/>
              <w:ind w:left="11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工作年限</w:t>
            </w:r>
          </w:p>
        </w:tc>
        <w:tc>
          <w:tcPr>
            <w:tcW w:w="2205" w:type="dxa"/>
            <w:noWrap w:val="0"/>
            <w:vAlign w:val="top"/>
          </w:tcPr>
          <w:p w14:paraId="0267A2B3">
            <w:pPr>
              <w:rPr>
                <w:rFonts w:ascii="Calibri" w:hAnsi="Calibri" w:eastAsia="宋体" w:cs="Calibri"/>
                <w:color w:val="000000"/>
                <w:spacing w:val="-2"/>
                <w:kern w:val="1"/>
                <w:sz w:val="24"/>
                <w:szCs w:val="24"/>
                <w:lang w:val="en-US" w:eastAsia="zh-CN" w:bidi="ar-SA"/>
              </w:rPr>
            </w:pPr>
          </w:p>
        </w:tc>
      </w:tr>
      <w:tr w14:paraId="2B6B5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3" w:hRule="atLeast"/>
        </w:trPr>
        <w:tc>
          <w:tcPr>
            <w:tcW w:w="1569" w:type="dxa"/>
            <w:noWrap w:val="0"/>
            <w:vAlign w:val="center"/>
          </w:tcPr>
          <w:p w14:paraId="6AD4F44D">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主</w:t>
            </w:r>
          </w:p>
          <w:p w14:paraId="0399A358">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要</w:t>
            </w:r>
          </w:p>
          <w:p w14:paraId="0DE12B15">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w:t>
            </w:r>
          </w:p>
          <w:p w14:paraId="54B8B8CB">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作</w:t>
            </w:r>
          </w:p>
          <w:p w14:paraId="0205099C">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业</w:t>
            </w:r>
          </w:p>
          <w:p w14:paraId="01356776">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绩</w:t>
            </w:r>
          </w:p>
          <w:p w14:paraId="778CCE43">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及</w:t>
            </w:r>
          </w:p>
          <w:p w14:paraId="6A818548">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担</w:t>
            </w:r>
          </w:p>
          <w:p w14:paraId="7F85341E">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任</w:t>
            </w:r>
          </w:p>
          <w:p w14:paraId="323225C8">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的</w:t>
            </w:r>
          </w:p>
          <w:p w14:paraId="2C1D19F6">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主</w:t>
            </w:r>
          </w:p>
          <w:p w14:paraId="50CEBD09">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要</w:t>
            </w:r>
          </w:p>
          <w:p w14:paraId="62A42840">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w:t>
            </w:r>
          </w:p>
          <w:p w14:paraId="2F1BF39F">
            <w:pPr>
              <w:pStyle w:val="85"/>
              <w:spacing w:line="219" w:lineRule="auto"/>
              <w:ind w:left="119"/>
              <w:jc w:val="center"/>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作</w:t>
            </w:r>
          </w:p>
        </w:tc>
        <w:tc>
          <w:tcPr>
            <w:tcW w:w="6959" w:type="dxa"/>
            <w:gridSpan w:val="3"/>
            <w:noWrap w:val="0"/>
            <w:vAlign w:val="top"/>
          </w:tcPr>
          <w:p w14:paraId="3B8F4CD7">
            <w:pPr>
              <w:rPr>
                <w:rFonts w:ascii="Calibri" w:hAnsi="Calibri" w:eastAsia="宋体" w:cs="Calibri"/>
                <w:color w:val="000000"/>
                <w:spacing w:val="-2"/>
                <w:kern w:val="1"/>
                <w:sz w:val="24"/>
                <w:szCs w:val="24"/>
                <w:lang w:val="en-US" w:eastAsia="zh-CN" w:bidi="ar-SA"/>
              </w:rPr>
            </w:pPr>
          </w:p>
        </w:tc>
      </w:tr>
    </w:tbl>
    <w:p w14:paraId="38B9D1C0">
      <w:pPr>
        <w:spacing w:line="219" w:lineRule="auto"/>
        <w:rPr>
          <w:rFonts w:ascii="Calibri" w:hAnsi="Calibri" w:eastAsia="宋体" w:cs="Calibri"/>
          <w:color w:val="000000"/>
          <w:spacing w:val="-2"/>
          <w:kern w:val="1"/>
          <w:sz w:val="28"/>
          <w:szCs w:val="28"/>
          <w:lang w:val="en-US" w:eastAsia="zh-CN" w:bidi="ar-SA"/>
        </w:rPr>
      </w:pPr>
    </w:p>
    <w:p w14:paraId="4C90386E">
      <w:pPr>
        <w:spacing w:line="219" w:lineRule="auto"/>
        <w:rPr>
          <w:rFonts w:ascii="Calibri" w:hAnsi="Calibri" w:eastAsia="宋体" w:cs="Calibri"/>
          <w:color w:val="000000"/>
          <w:spacing w:val="-2"/>
          <w:kern w:val="1"/>
          <w:sz w:val="28"/>
          <w:szCs w:val="28"/>
          <w:lang w:val="en-US" w:eastAsia="zh-CN" w:bidi="ar-SA"/>
        </w:rPr>
      </w:pPr>
    </w:p>
    <w:p w14:paraId="00A6E311">
      <w:pPr>
        <w:spacing w:line="271" w:lineRule="auto"/>
        <w:rPr>
          <w:rFonts w:ascii="Calibri" w:hAnsi="Calibri" w:eastAsia="宋体" w:cs="Calibri"/>
          <w:color w:val="000000"/>
          <w:spacing w:val="-2"/>
          <w:kern w:val="1"/>
          <w:sz w:val="28"/>
          <w:szCs w:val="28"/>
          <w:lang w:val="en-US" w:eastAsia="zh-CN" w:bidi="ar-SA"/>
        </w:rPr>
      </w:pPr>
    </w:p>
    <w:p w14:paraId="2E021A15">
      <w:pPr>
        <w:spacing w:line="271" w:lineRule="auto"/>
        <w:rPr>
          <w:rFonts w:ascii="Calibri" w:hAnsi="Calibri" w:eastAsia="宋体" w:cs="Calibri"/>
          <w:color w:val="000000"/>
          <w:spacing w:val="-2"/>
          <w:kern w:val="1"/>
          <w:sz w:val="28"/>
          <w:szCs w:val="28"/>
          <w:lang w:val="en-US" w:eastAsia="zh-CN" w:bidi="ar-SA"/>
        </w:rPr>
      </w:pPr>
    </w:p>
    <w:p w14:paraId="4438D437">
      <w:pPr>
        <w:spacing w:line="271" w:lineRule="auto"/>
        <w:rPr>
          <w:rFonts w:ascii="Calibri" w:hAnsi="Calibri" w:eastAsia="宋体" w:cs="Calibri"/>
          <w:color w:val="000000"/>
          <w:spacing w:val="-2"/>
          <w:kern w:val="1"/>
          <w:sz w:val="28"/>
          <w:szCs w:val="28"/>
          <w:lang w:val="en-US" w:eastAsia="zh-CN" w:bidi="ar-SA"/>
        </w:rPr>
      </w:pPr>
    </w:p>
    <w:p w14:paraId="5DC7E4F2">
      <w:pPr>
        <w:pStyle w:val="9"/>
        <w:widowControl/>
        <w:kinsoku w:val="0"/>
        <w:autoSpaceDE w:val="0"/>
        <w:autoSpaceDN w:val="0"/>
        <w:adjustRightInd w:val="0"/>
        <w:snapToGrid w:val="0"/>
        <w:spacing w:before="100" w:after="0" w:line="225" w:lineRule="auto"/>
        <w:ind w:left="32" w:firstLine="0" w:firstLineChars="0"/>
        <w:jc w:val="left"/>
        <w:textAlignment w:val="baseline"/>
        <w:outlineLvl w:val="6"/>
        <w:rPr>
          <w:rFonts w:ascii="Calibri" w:hAnsi="Calibri" w:eastAsia="宋体" w:cs="Calibri"/>
          <w:b/>
          <w:bCs/>
          <w:color w:val="000000"/>
          <w:spacing w:val="-2"/>
          <w:kern w:val="1"/>
          <w:sz w:val="28"/>
          <w:szCs w:val="28"/>
          <w:lang w:val="en-US" w:eastAsia="en-US" w:bidi="ar-SA"/>
        </w:rPr>
      </w:pPr>
      <w:bookmarkStart w:id="455" w:name="bookmark31"/>
      <w:bookmarkEnd w:id="455"/>
      <w:r>
        <w:rPr>
          <w:rFonts w:hint="eastAsia" w:eastAsia="宋体" w:cs="Calibri"/>
          <w:b/>
          <w:bCs/>
          <w:color w:val="000000"/>
          <w:spacing w:val="-2"/>
          <w:kern w:val="1"/>
          <w:sz w:val="28"/>
          <w:szCs w:val="28"/>
          <w:lang w:val="en-US" w:eastAsia="zh-CN" w:bidi="ar-SA"/>
        </w:rPr>
        <w:t>五</w:t>
      </w:r>
      <w:r>
        <w:rPr>
          <w:rFonts w:ascii="Calibri" w:hAnsi="Calibri" w:eastAsia="宋体" w:cs="Calibri"/>
          <w:b/>
          <w:bCs/>
          <w:color w:val="000000"/>
          <w:spacing w:val="-2"/>
          <w:kern w:val="1"/>
          <w:sz w:val="28"/>
          <w:szCs w:val="28"/>
          <w:lang w:val="en-US" w:eastAsia="en-US" w:bidi="ar-SA"/>
        </w:rPr>
        <w:t>、</w:t>
      </w:r>
      <w:r>
        <w:rPr>
          <w:rFonts w:hint="eastAsia" w:ascii="Calibri" w:hAnsi="Calibri" w:eastAsia="宋体" w:cs="Calibri"/>
          <w:b/>
          <w:bCs/>
          <w:color w:val="000000"/>
          <w:spacing w:val="-2"/>
          <w:kern w:val="1"/>
          <w:sz w:val="28"/>
          <w:szCs w:val="28"/>
          <w:lang w:val="en-US" w:eastAsia="zh-CN" w:bidi="ar-SA"/>
        </w:rPr>
        <w:t>谈判</w:t>
      </w:r>
      <w:r>
        <w:rPr>
          <w:rFonts w:ascii="Calibri" w:hAnsi="Calibri" w:eastAsia="宋体" w:cs="Calibri"/>
          <w:b/>
          <w:bCs/>
          <w:color w:val="000000"/>
          <w:spacing w:val="-2"/>
          <w:kern w:val="1"/>
          <w:sz w:val="28"/>
          <w:szCs w:val="28"/>
          <w:lang w:val="en-US" w:eastAsia="en-US" w:bidi="ar-SA"/>
        </w:rPr>
        <w:t>申请</w:t>
      </w:r>
    </w:p>
    <w:p w14:paraId="56F17DDA">
      <w:pPr>
        <w:pStyle w:val="9"/>
        <w:widowControl/>
        <w:kinsoku w:val="0"/>
        <w:autoSpaceDE w:val="0"/>
        <w:autoSpaceDN w:val="0"/>
        <w:adjustRightInd w:val="0"/>
        <w:snapToGrid w:val="0"/>
        <w:spacing w:before="100" w:after="0" w:line="225" w:lineRule="auto"/>
        <w:ind w:left="32" w:firstLine="0" w:firstLineChars="0"/>
        <w:jc w:val="center"/>
        <w:textAlignment w:val="baseline"/>
        <w:outlineLvl w:val="6"/>
        <w:rPr>
          <w:rFonts w:ascii="Calibri" w:hAnsi="Calibri" w:eastAsia="宋体" w:cs="Calibri"/>
          <w:b/>
          <w:bCs/>
          <w:color w:val="000000"/>
          <w:spacing w:val="-2"/>
          <w:kern w:val="1"/>
          <w:sz w:val="28"/>
          <w:szCs w:val="28"/>
          <w:lang w:val="en-US" w:eastAsia="en-US" w:bidi="ar-SA"/>
        </w:rPr>
      </w:pPr>
      <w:r>
        <w:rPr>
          <w:rFonts w:hint="eastAsia" w:ascii="Calibri" w:hAnsi="Calibri" w:eastAsia="宋体" w:cs="Calibri"/>
          <w:b/>
          <w:bCs/>
          <w:color w:val="000000"/>
          <w:spacing w:val="-2"/>
          <w:kern w:val="1"/>
          <w:sz w:val="28"/>
          <w:szCs w:val="28"/>
          <w:lang w:val="en-US" w:eastAsia="zh-CN" w:bidi="ar-SA"/>
        </w:rPr>
        <w:t>谈判</w:t>
      </w:r>
      <w:r>
        <w:rPr>
          <w:rFonts w:ascii="Calibri" w:hAnsi="Calibri" w:eastAsia="宋体" w:cs="Calibri"/>
          <w:b/>
          <w:bCs/>
          <w:color w:val="000000"/>
          <w:spacing w:val="-2"/>
          <w:kern w:val="1"/>
          <w:sz w:val="28"/>
          <w:szCs w:val="28"/>
          <w:lang w:val="en-US" w:eastAsia="en-US" w:bidi="ar-SA"/>
        </w:rPr>
        <w:t>申请</w:t>
      </w:r>
    </w:p>
    <w:p w14:paraId="1CF26EEF">
      <w:pPr>
        <w:spacing w:line="266" w:lineRule="auto"/>
        <w:rPr>
          <w:rFonts w:ascii="Calibri" w:hAnsi="Calibri" w:eastAsia="宋体" w:cs="Calibri"/>
          <w:b/>
          <w:bCs/>
          <w:color w:val="000000"/>
          <w:spacing w:val="-2"/>
          <w:kern w:val="1"/>
          <w:sz w:val="28"/>
          <w:szCs w:val="28"/>
          <w:lang w:val="en-US" w:eastAsia="zh-CN" w:bidi="ar-SA"/>
        </w:rPr>
      </w:pPr>
    </w:p>
    <w:p w14:paraId="7D290389">
      <w:pPr>
        <w:spacing w:line="266" w:lineRule="auto"/>
        <w:rPr>
          <w:rFonts w:ascii="Calibri" w:hAnsi="Calibri" w:eastAsia="宋体" w:cs="Calibri"/>
          <w:color w:val="000000"/>
          <w:spacing w:val="-2"/>
          <w:kern w:val="1"/>
          <w:sz w:val="28"/>
          <w:szCs w:val="28"/>
          <w:lang w:val="en-US" w:eastAsia="zh-CN" w:bidi="ar-SA"/>
        </w:rPr>
      </w:pPr>
    </w:p>
    <w:p w14:paraId="3C4BBDB3">
      <w:pPr>
        <w:pStyle w:val="9"/>
        <w:spacing w:before="68" w:line="221" w:lineRule="auto"/>
        <w:ind w:left="2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致：</w:t>
      </w:r>
      <w:r>
        <w:rPr>
          <w:rFonts w:hint="eastAsia" w:eastAsia="宋体" w:cs="Calibri"/>
          <w:color w:val="000000"/>
          <w:spacing w:val="-2"/>
          <w:kern w:val="1"/>
          <w:sz w:val="24"/>
          <w:szCs w:val="24"/>
          <w:lang w:val="en-US" w:eastAsia="zh-CN" w:bidi="ar-SA"/>
        </w:rPr>
        <w:t>_____________</w:t>
      </w:r>
      <w:r>
        <w:rPr>
          <w:rFonts w:ascii="Calibri" w:hAnsi="Calibri" w:eastAsia="宋体" w:cs="Calibri"/>
          <w:color w:val="000000"/>
          <w:spacing w:val="-2"/>
          <w:kern w:val="1"/>
          <w:sz w:val="24"/>
          <w:szCs w:val="24"/>
          <w:lang w:val="en-US" w:eastAsia="zh-CN" w:bidi="ar-SA"/>
        </w:rPr>
        <w:t>（项目单位）</w:t>
      </w:r>
    </w:p>
    <w:p w14:paraId="1BAF5129">
      <w:pPr>
        <w:spacing w:line="302" w:lineRule="auto"/>
        <w:rPr>
          <w:rFonts w:ascii="Calibri" w:hAnsi="Calibri" w:eastAsia="宋体" w:cs="Calibri"/>
          <w:color w:val="000000"/>
          <w:spacing w:val="-2"/>
          <w:kern w:val="1"/>
          <w:sz w:val="24"/>
          <w:szCs w:val="24"/>
          <w:lang w:val="en-US" w:eastAsia="zh-CN" w:bidi="ar-SA"/>
        </w:rPr>
      </w:pPr>
    </w:p>
    <w:p w14:paraId="0AF76A45">
      <w:pPr>
        <w:pStyle w:val="9"/>
        <w:spacing w:before="68" w:line="411" w:lineRule="auto"/>
        <w:ind w:left="44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根据贵方项目编号</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的</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文件，我方正式提交响应文件。</w:t>
      </w:r>
    </w:p>
    <w:p w14:paraId="674BC7BF">
      <w:pPr>
        <w:pStyle w:val="9"/>
        <w:spacing w:before="1" w:line="220" w:lineRule="auto"/>
        <w:ind w:left="439"/>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据此函，签字人兹同意如下：</w:t>
      </w:r>
    </w:p>
    <w:p w14:paraId="25ED849A">
      <w:pPr>
        <w:pStyle w:val="9"/>
        <w:spacing w:before="217" w:line="219" w:lineRule="auto"/>
        <w:ind w:left="45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1、总报价为（大写）</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元人民币。</w:t>
      </w:r>
    </w:p>
    <w:p w14:paraId="71CDB229">
      <w:pPr>
        <w:pStyle w:val="9"/>
        <w:spacing w:before="219" w:line="220" w:lineRule="auto"/>
        <w:ind w:left="442"/>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2、我们同意提供贵方可能要求的与本次</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有关的任何证据或资料。</w:t>
      </w:r>
    </w:p>
    <w:p w14:paraId="11A6F1FA">
      <w:pPr>
        <w:pStyle w:val="9"/>
        <w:spacing w:before="136" w:line="323" w:lineRule="auto"/>
        <w:ind w:right="73" w:firstLine="236" w:firstLineChars="100"/>
        <w:jc w:val="both"/>
        <w:rPr>
          <w:rFonts w:ascii="Calibri" w:hAnsi="Calibri" w:eastAsia="宋体" w:cs="Calibri"/>
          <w:color w:val="000000"/>
          <w:spacing w:val="-2"/>
          <w:kern w:val="1"/>
          <w:sz w:val="24"/>
          <w:szCs w:val="24"/>
          <w:lang w:val="en-US" w:eastAsia="zh-CN" w:bidi="ar-SA"/>
        </w:rPr>
      </w:pPr>
      <w:r>
        <w:rPr>
          <w:rFonts w:hint="eastAsia" w:ascii="Calibri" w:hAnsi="Calibri" w:eastAsia="宋体" w:cs="Calibri"/>
          <w:color w:val="000000"/>
          <w:spacing w:val="-2"/>
          <w:kern w:val="1"/>
          <w:sz w:val="24"/>
          <w:szCs w:val="24"/>
          <w:lang w:val="en-US" w:eastAsia="zh-CN" w:bidi="ar-SA"/>
        </w:rPr>
        <w:t xml:space="preserve">  </w:t>
      </w:r>
      <w:r>
        <w:rPr>
          <w:rFonts w:ascii="Calibri" w:hAnsi="Calibri" w:eastAsia="宋体" w:cs="Calibri"/>
          <w:color w:val="000000"/>
          <w:spacing w:val="-2"/>
          <w:kern w:val="1"/>
          <w:sz w:val="24"/>
          <w:szCs w:val="24"/>
          <w:lang w:val="en-US" w:eastAsia="zh-CN" w:bidi="ar-SA"/>
        </w:rPr>
        <w:t>3、一旦我方成交，我方承诺将根据</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文件与贵方签订书面合同，并严格履行合同义务。</w:t>
      </w:r>
    </w:p>
    <w:p w14:paraId="533D59DF">
      <w:pPr>
        <w:pStyle w:val="9"/>
        <w:spacing w:before="136" w:line="323" w:lineRule="auto"/>
        <w:ind w:right="73" w:firstLine="472" w:firstLineChars="200"/>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4、我方指派</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（姓名）为项目经理，保证于承诺的时间内完成本次发包范围内的任务，并交付贵方验收、使用。</w:t>
      </w:r>
    </w:p>
    <w:p w14:paraId="0349DAAD">
      <w:pPr>
        <w:pStyle w:val="9"/>
        <w:spacing w:before="136" w:line="323" w:lineRule="auto"/>
        <w:ind w:left="121" w:right="73" w:firstLine="479"/>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5、我方决不提供虚假材料谋取成交，决不采取不正当手段诋毁、排挤其他供应商，决不与采购人、其它供应商恶意串通，决不向采购人及</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小组进行商业贿赂。如有违反，愿无条件接受贵方及相关管理部门的处罚。</w:t>
      </w:r>
    </w:p>
    <w:p w14:paraId="0979ADEB">
      <w:pPr>
        <w:pStyle w:val="9"/>
        <w:spacing w:before="136" w:line="323" w:lineRule="auto"/>
        <w:ind w:left="121" w:right="73" w:firstLine="479"/>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6、随本申请递交的</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申请附录是本申请的组成部分，对我方构成约束力。</w:t>
      </w:r>
    </w:p>
    <w:p w14:paraId="68B9B0ED">
      <w:pPr>
        <w:pStyle w:val="9"/>
        <w:spacing w:before="218" w:line="468" w:lineRule="exact"/>
        <w:ind w:left="44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7、与本申请有关的正式通讯地址为：</w:t>
      </w:r>
    </w:p>
    <w:p w14:paraId="014C1EA8">
      <w:pPr>
        <w:pStyle w:val="9"/>
        <w:spacing w:before="1" w:line="229" w:lineRule="auto"/>
        <w:ind w:left="440"/>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地址：</w:t>
      </w:r>
      <w:r>
        <w:rPr>
          <w:rFonts w:hint="eastAsia" w:eastAsia="宋体" w:cs="Calibri"/>
          <w:color w:val="000000"/>
          <w:spacing w:val="-2"/>
          <w:kern w:val="1"/>
          <w:sz w:val="28"/>
          <w:szCs w:val="28"/>
          <w:u w:val="single"/>
          <w:lang w:val="en-US" w:eastAsia="zh-CN" w:bidi="ar-SA"/>
        </w:rPr>
        <w:t xml:space="preserve">                   </w:t>
      </w:r>
    </w:p>
    <w:p w14:paraId="791417C3">
      <w:pPr>
        <w:pStyle w:val="9"/>
        <w:spacing w:before="1" w:line="229" w:lineRule="auto"/>
        <w:ind w:left="440"/>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电话：</w:t>
      </w:r>
      <w:r>
        <w:rPr>
          <w:rFonts w:hint="eastAsia" w:eastAsia="宋体" w:cs="Calibri"/>
          <w:color w:val="000000"/>
          <w:spacing w:val="-2"/>
          <w:kern w:val="1"/>
          <w:sz w:val="28"/>
          <w:szCs w:val="28"/>
          <w:u w:val="single"/>
          <w:lang w:val="en-US" w:eastAsia="zh-CN" w:bidi="ar-SA"/>
        </w:rPr>
        <w:t xml:space="preserve">                   </w:t>
      </w:r>
    </w:p>
    <w:p w14:paraId="68A384C1">
      <w:pPr>
        <w:pStyle w:val="9"/>
        <w:spacing w:before="215" w:line="220" w:lineRule="auto"/>
        <w:ind w:left="438"/>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传真：</w:t>
      </w:r>
      <w:r>
        <w:rPr>
          <w:rFonts w:hint="eastAsia" w:eastAsia="宋体" w:cs="Calibri"/>
          <w:color w:val="000000"/>
          <w:spacing w:val="-2"/>
          <w:kern w:val="1"/>
          <w:sz w:val="28"/>
          <w:szCs w:val="28"/>
          <w:u w:val="single"/>
          <w:lang w:val="en-US" w:eastAsia="zh-CN" w:bidi="ar-SA"/>
        </w:rPr>
        <w:t xml:space="preserve">                   </w:t>
      </w:r>
    </w:p>
    <w:p w14:paraId="040B4470">
      <w:pPr>
        <w:spacing w:line="332" w:lineRule="auto"/>
        <w:rPr>
          <w:rFonts w:ascii="Calibri" w:hAnsi="Calibri" w:eastAsia="宋体" w:cs="Calibri"/>
          <w:color w:val="000000"/>
          <w:spacing w:val="-2"/>
          <w:kern w:val="1"/>
          <w:sz w:val="24"/>
          <w:szCs w:val="24"/>
          <w:lang w:val="en-US" w:eastAsia="zh-CN" w:bidi="ar-SA"/>
        </w:rPr>
      </w:pPr>
    </w:p>
    <w:p w14:paraId="1C4ACEED">
      <w:pPr>
        <w:pStyle w:val="9"/>
        <w:spacing w:before="69" w:line="221" w:lineRule="auto"/>
        <w:ind w:left="44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法定代表人或其授权代表（电子签名）：</w:t>
      </w:r>
      <w:r>
        <w:rPr>
          <w:rFonts w:hint="eastAsia" w:eastAsia="宋体" w:cs="Calibri"/>
          <w:color w:val="000000"/>
          <w:spacing w:val="-2"/>
          <w:kern w:val="1"/>
          <w:sz w:val="28"/>
          <w:szCs w:val="28"/>
          <w:u w:val="single"/>
          <w:lang w:val="en-US" w:eastAsia="zh-CN" w:bidi="ar-SA"/>
        </w:rPr>
        <w:t xml:space="preserve">                   </w:t>
      </w:r>
    </w:p>
    <w:p w14:paraId="336023DF">
      <w:pPr>
        <w:pStyle w:val="9"/>
        <w:spacing w:before="69" w:line="221" w:lineRule="auto"/>
        <w:ind w:left="441"/>
        <w:rPr>
          <w:rFonts w:ascii="Calibri" w:hAnsi="Calibri" w:eastAsia="宋体" w:cs="Calibri"/>
          <w:color w:val="000000"/>
          <w:spacing w:val="-2"/>
          <w:kern w:val="1"/>
          <w:sz w:val="24"/>
          <w:szCs w:val="24"/>
          <w:lang w:val="en-US" w:eastAsia="zh-CN" w:bidi="ar-SA"/>
        </w:rPr>
      </w:pPr>
    </w:p>
    <w:p w14:paraId="0B2FA65E">
      <w:pPr>
        <w:pStyle w:val="9"/>
        <w:spacing w:before="69" w:line="412" w:lineRule="auto"/>
        <w:ind w:left="440"/>
        <w:rPr>
          <w:rFonts w:hint="eastAsia"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供应商名称（电子公章）：</w:t>
      </w:r>
      <w:r>
        <w:rPr>
          <w:rFonts w:hint="eastAsia" w:eastAsia="宋体" w:cs="Calibri"/>
          <w:color w:val="000000"/>
          <w:spacing w:val="-2"/>
          <w:kern w:val="1"/>
          <w:sz w:val="28"/>
          <w:szCs w:val="28"/>
          <w:u w:val="single"/>
          <w:lang w:val="en-US" w:eastAsia="zh-CN" w:bidi="ar-SA"/>
        </w:rPr>
        <w:t xml:space="preserve">                   </w:t>
      </w:r>
    </w:p>
    <w:p w14:paraId="3BA13D1A">
      <w:pPr>
        <w:pStyle w:val="9"/>
        <w:spacing w:line="220" w:lineRule="auto"/>
        <w:ind w:left="47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日期：</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年</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月</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日</w:t>
      </w:r>
    </w:p>
    <w:p w14:paraId="35F5C8A2">
      <w:pPr>
        <w:spacing w:line="219" w:lineRule="auto"/>
        <w:rPr>
          <w:rFonts w:ascii="Calibri" w:hAnsi="Calibri" w:eastAsia="宋体" w:cs="Calibri"/>
          <w:color w:val="000000"/>
          <w:spacing w:val="-2"/>
          <w:kern w:val="1"/>
          <w:sz w:val="28"/>
          <w:szCs w:val="28"/>
          <w:lang w:val="en-US" w:eastAsia="zh-CN" w:bidi="ar-SA"/>
        </w:rPr>
      </w:pPr>
    </w:p>
    <w:p w14:paraId="13BA6E19">
      <w:pPr>
        <w:spacing w:line="219" w:lineRule="auto"/>
        <w:rPr>
          <w:rFonts w:ascii="Calibri" w:hAnsi="Calibri" w:eastAsia="宋体" w:cs="Calibri"/>
          <w:color w:val="000000"/>
          <w:spacing w:val="-2"/>
          <w:kern w:val="1"/>
          <w:sz w:val="28"/>
          <w:szCs w:val="28"/>
          <w:lang w:val="en-US" w:eastAsia="zh-CN" w:bidi="ar-SA"/>
        </w:rPr>
      </w:pPr>
    </w:p>
    <w:p w14:paraId="4FFBAD90">
      <w:pPr>
        <w:pStyle w:val="9"/>
        <w:rPr>
          <w:rFonts w:ascii="Calibri" w:hAnsi="Calibri" w:eastAsia="宋体" w:cs="Calibri"/>
          <w:color w:val="000000"/>
          <w:spacing w:val="-2"/>
          <w:kern w:val="1"/>
          <w:sz w:val="28"/>
          <w:szCs w:val="28"/>
          <w:lang w:val="en-US" w:eastAsia="zh-CN" w:bidi="ar-SA"/>
        </w:rPr>
      </w:pPr>
    </w:p>
    <w:p w14:paraId="2897A811">
      <w:pPr>
        <w:rPr>
          <w:rFonts w:ascii="Calibri" w:hAnsi="Calibri" w:eastAsia="宋体" w:cs="Calibri"/>
          <w:color w:val="000000"/>
          <w:spacing w:val="-2"/>
          <w:kern w:val="1"/>
          <w:sz w:val="28"/>
          <w:szCs w:val="28"/>
          <w:lang w:val="en-US" w:eastAsia="zh-CN" w:bidi="ar-SA"/>
        </w:rPr>
      </w:pPr>
    </w:p>
    <w:p w14:paraId="546B7141">
      <w:pPr>
        <w:pStyle w:val="9"/>
        <w:rPr>
          <w:rFonts w:ascii="Calibri" w:hAnsi="Calibri" w:eastAsia="宋体" w:cs="Calibri"/>
          <w:color w:val="000000"/>
          <w:spacing w:val="-2"/>
          <w:kern w:val="1"/>
          <w:sz w:val="28"/>
          <w:szCs w:val="28"/>
          <w:lang w:val="en-US" w:eastAsia="zh-CN" w:bidi="ar-SA"/>
        </w:rPr>
      </w:pPr>
    </w:p>
    <w:p w14:paraId="718064F9">
      <w:pPr>
        <w:rPr>
          <w:rFonts w:ascii="Calibri" w:hAnsi="Calibri" w:eastAsia="宋体" w:cs="Calibri"/>
          <w:color w:val="000000"/>
          <w:spacing w:val="-2"/>
          <w:kern w:val="1"/>
          <w:sz w:val="28"/>
          <w:szCs w:val="28"/>
          <w:lang w:val="en-US" w:eastAsia="zh-CN" w:bidi="ar-SA"/>
        </w:rPr>
      </w:pPr>
    </w:p>
    <w:p w14:paraId="6157976C">
      <w:pPr>
        <w:pStyle w:val="9"/>
        <w:rPr>
          <w:lang w:val="en-US" w:eastAsia="zh-CN"/>
        </w:rPr>
      </w:pPr>
    </w:p>
    <w:p w14:paraId="642AEA3E">
      <w:pPr>
        <w:spacing w:line="219" w:lineRule="auto"/>
        <w:rPr>
          <w:rFonts w:ascii="Calibri" w:hAnsi="Calibri" w:eastAsia="宋体" w:cs="Calibri"/>
          <w:color w:val="000000"/>
          <w:spacing w:val="-2"/>
          <w:kern w:val="1"/>
          <w:sz w:val="28"/>
          <w:szCs w:val="28"/>
          <w:lang w:val="en-US" w:eastAsia="zh-CN" w:bidi="ar-SA"/>
        </w:rPr>
      </w:pPr>
    </w:p>
    <w:p w14:paraId="59E4D3A3">
      <w:pPr>
        <w:spacing w:before="101" w:line="224" w:lineRule="auto"/>
        <w:ind w:left="561"/>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十、</w:t>
      </w:r>
      <w:r>
        <w:rPr>
          <w:rFonts w:hint="eastAsia" w:ascii="Calibri" w:hAnsi="Calibri" w:cs="Calibri"/>
          <w:b/>
          <w:bCs/>
          <w:color w:val="000000"/>
          <w:spacing w:val="-2"/>
          <w:kern w:val="1"/>
          <w:sz w:val="28"/>
          <w:szCs w:val="28"/>
          <w:lang w:val="en-US" w:eastAsia="zh-CN" w:bidi="ar-SA"/>
        </w:rPr>
        <w:t>谈判</w:t>
      </w:r>
      <w:r>
        <w:rPr>
          <w:rFonts w:ascii="Calibri" w:hAnsi="Calibri" w:eastAsia="宋体" w:cs="Calibri"/>
          <w:b/>
          <w:bCs/>
          <w:color w:val="000000"/>
          <w:spacing w:val="-2"/>
          <w:kern w:val="1"/>
          <w:sz w:val="28"/>
          <w:szCs w:val="28"/>
          <w:lang w:val="en-US" w:eastAsia="zh-CN" w:bidi="ar-SA"/>
        </w:rPr>
        <w:t>报价文件组成</w:t>
      </w:r>
    </w:p>
    <w:p w14:paraId="7CF2C6CE">
      <w:pPr>
        <w:pStyle w:val="9"/>
        <w:widowControl/>
        <w:kinsoku w:val="0"/>
        <w:autoSpaceDE w:val="0"/>
        <w:autoSpaceDN w:val="0"/>
        <w:adjustRightInd w:val="0"/>
        <w:snapToGrid w:val="0"/>
        <w:spacing w:before="247" w:after="0" w:line="224" w:lineRule="auto"/>
        <w:ind w:left="3441" w:firstLine="0" w:firstLineChars="0"/>
        <w:jc w:val="left"/>
        <w:textAlignment w:val="baseline"/>
        <w:rPr>
          <w:rFonts w:ascii="Calibri" w:hAnsi="Calibri" w:eastAsia="宋体" w:cs="Calibri"/>
          <w:b/>
          <w:bCs/>
          <w:color w:val="000000"/>
          <w:spacing w:val="-2"/>
          <w:kern w:val="1"/>
          <w:sz w:val="28"/>
          <w:szCs w:val="28"/>
          <w:lang w:val="en-US" w:eastAsia="en-US" w:bidi="ar-SA"/>
        </w:rPr>
      </w:pPr>
      <w:r>
        <w:rPr>
          <w:rFonts w:ascii="Calibri" w:hAnsi="Calibri" w:eastAsia="宋体" w:cs="Calibri"/>
          <w:b/>
          <w:bCs/>
          <w:color w:val="000000"/>
          <w:spacing w:val="-2"/>
          <w:kern w:val="1"/>
          <w:sz w:val="28"/>
          <w:szCs w:val="28"/>
          <w:lang w:val="en-US" w:eastAsia="en-US" w:bidi="ar-SA"/>
        </w:rPr>
        <w:t>（一）报价一览表</w:t>
      </w:r>
    </w:p>
    <w:p w14:paraId="7AA69F65">
      <w:pPr>
        <w:pStyle w:val="9"/>
        <w:spacing w:before="292" w:line="321" w:lineRule="auto"/>
        <w:ind w:left="553"/>
        <w:rPr>
          <w:rFonts w:hint="default"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采购项目编号:</w:t>
      </w:r>
      <w:r>
        <w:rPr>
          <w:rFonts w:hint="eastAsia" w:eastAsia="宋体" w:cs="Calibri"/>
          <w:color w:val="000000"/>
          <w:spacing w:val="-2"/>
          <w:kern w:val="1"/>
          <w:sz w:val="28"/>
          <w:szCs w:val="28"/>
          <w:lang w:val="en-US" w:eastAsia="zh-CN" w:bidi="ar-SA"/>
        </w:rPr>
        <w:t>_____________</w:t>
      </w:r>
    </w:p>
    <w:p w14:paraId="4495ACC8">
      <w:pPr>
        <w:pStyle w:val="9"/>
        <w:spacing w:before="1" w:line="218" w:lineRule="auto"/>
        <w:ind w:left="553"/>
        <w:rPr>
          <w:rFonts w:hint="default"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采购项目名称:</w:t>
      </w:r>
      <w:r>
        <w:rPr>
          <w:rFonts w:hint="eastAsia" w:eastAsia="宋体" w:cs="Calibri"/>
          <w:color w:val="000000"/>
          <w:spacing w:val="-2"/>
          <w:kern w:val="1"/>
          <w:sz w:val="28"/>
          <w:szCs w:val="28"/>
          <w:lang w:val="en-US" w:eastAsia="zh-CN" w:bidi="ar-SA"/>
        </w:rPr>
        <w:t>______________</w:t>
      </w:r>
    </w:p>
    <w:p w14:paraId="0B96B9EA">
      <w:pPr>
        <w:pStyle w:val="9"/>
        <w:spacing w:before="198" w:line="219" w:lineRule="auto"/>
        <w:ind w:firstLine="5664" w:firstLineChars="24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报价单位：人民币元</w:t>
      </w:r>
    </w:p>
    <w:p w14:paraId="34895E23">
      <w:pPr>
        <w:spacing w:before="5"/>
        <w:rPr>
          <w:rFonts w:ascii="Calibri" w:hAnsi="Calibri" w:eastAsia="宋体" w:cs="Calibri"/>
          <w:color w:val="000000"/>
          <w:spacing w:val="-2"/>
          <w:kern w:val="1"/>
          <w:sz w:val="28"/>
          <w:szCs w:val="28"/>
          <w:lang w:val="en-US" w:eastAsia="zh-CN" w:bidi="ar-SA"/>
        </w:rPr>
      </w:pPr>
    </w:p>
    <w:tbl>
      <w:tblPr>
        <w:tblStyle w:val="82"/>
        <w:tblW w:w="94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1500"/>
        <w:gridCol w:w="5873"/>
      </w:tblGrid>
      <w:tr w14:paraId="3359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2027" w:type="dxa"/>
            <w:noWrap w:val="0"/>
            <w:vAlign w:val="top"/>
          </w:tcPr>
          <w:p w14:paraId="6713A5B8">
            <w:pPr>
              <w:spacing w:line="341" w:lineRule="auto"/>
              <w:rPr>
                <w:rFonts w:ascii="Calibri" w:hAnsi="Calibri" w:eastAsia="宋体" w:cs="Calibri"/>
                <w:color w:val="000000"/>
                <w:spacing w:val="-2"/>
                <w:kern w:val="1"/>
                <w:sz w:val="24"/>
                <w:szCs w:val="24"/>
                <w:lang w:val="en-US" w:eastAsia="zh-CN" w:bidi="ar-SA"/>
              </w:rPr>
            </w:pPr>
          </w:p>
          <w:p w14:paraId="02F6A612">
            <w:pPr>
              <w:pStyle w:val="85"/>
              <w:spacing w:before="68" w:line="221" w:lineRule="auto"/>
              <w:ind w:left="443"/>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项目名称</w:t>
            </w:r>
          </w:p>
        </w:tc>
        <w:tc>
          <w:tcPr>
            <w:tcW w:w="7373" w:type="dxa"/>
            <w:gridSpan w:val="2"/>
            <w:noWrap w:val="0"/>
            <w:vAlign w:val="top"/>
          </w:tcPr>
          <w:p w14:paraId="1F908F17">
            <w:pPr>
              <w:rPr>
                <w:rFonts w:ascii="Calibri" w:hAnsi="Calibri" w:eastAsia="宋体" w:cs="Calibri"/>
                <w:color w:val="000000"/>
                <w:spacing w:val="-2"/>
                <w:kern w:val="1"/>
                <w:sz w:val="24"/>
                <w:szCs w:val="24"/>
                <w:lang w:val="en-US" w:eastAsia="zh-CN" w:bidi="ar-SA"/>
              </w:rPr>
            </w:pPr>
          </w:p>
        </w:tc>
      </w:tr>
      <w:tr w14:paraId="1591D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2027" w:type="dxa"/>
            <w:vMerge w:val="restart"/>
            <w:tcBorders>
              <w:bottom w:val="nil"/>
            </w:tcBorders>
            <w:noWrap w:val="0"/>
            <w:vAlign w:val="top"/>
          </w:tcPr>
          <w:p w14:paraId="62BF3D2B">
            <w:pPr>
              <w:spacing w:line="282" w:lineRule="auto"/>
              <w:rPr>
                <w:rFonts w:ascii="Calibri" w:hAnsi="Calibri" w:eastAsia="宋体" w:cs="Calibri"/>
                <w:color w:val="000000"/>
                <w:spacing w:val="-2"/>
                <w:kern w:val="1"/>
                <w:sz w:val="24"/>
                <w:szCs w:val="24"/>
                <w:lang w:val="en-US" w:eastAsia="zh-CN" w:bidi="ar-SA"/>
              </w:rPr>
            </w:pPr>
          </w:p>
          <w:p w14:paraId="5089ED8C">
            <w:pPr>
              <w:spacing w:line="283" w:lineRule="auto"/>
              <w:rPr>
                <w:rFonts w:ascii="Calibri" w:hAnsi="Calibri" w:eastAsia="宋体" w:cs="Calibri"/>
                <w:color w:val="000000"/>
                <w:spacing w:val="-2"/>
                <w:kern w:val="1"/>
                <w:sz w:val="24"/>
                <w:szCs w:val="24"/>
                <w:lang w:val="en-US" w:eastAsia="zh-CN" w:bidi="ar-SA"/>
              </w:rPr>
            </w:pPr>
          </w:p>
          <w:p w14:paraId="68B84026">
            <w:pPr>
              <w:spacing w:line="283" w:lineRule="auto"/>
              <w:rPr>
                <w:rFonts w:ascii="Calibri" w:hAnsi="Calibri" w:eastAsia="宋体" w:cs="Calibri"/>
                <w:color w:val="000000"/>
                <w:spacing w:val="-2"/>
                <w:kern w:val="1"/>
                <w:sz w:val="24"/>
                <w:szCs w:val="24"/>
                <w:lang w:val="en-US" w:eastAsia="zh-CN" w:bidi="ar-SA"/>
              </w:rPr>
            </w:pPr>
          </w:p>
          <w:p w14:paraId="5F016A3F">
            <w:pPr>
              <w:pStyle w:val="85"/>
              <w:spacing w:before="68" w:line="219" w:lineRule="auto"/>
              <w:ind w:left="439"/>
              <w:rPr>
                <w:rFonts w:ascii="Calibri" w:hAnsi="Calibri" w:eastAsia="宋体" w:cs="Calibri"/>
                <w:color w:val="000000"/>
                <w:spacing w:val="-2"/>
                <w:kern w:val="1"/>
                <w:sz w:val="24"/>
                <w:szCs w:val="24"/>
                <w:lang w:val="en-US" w:eastAsia="zh-CN" w:bidi="ar-SA"/>
              </w:rPr>
            </w:pPr>
            <w:r>
              <w:rPr>
                <w:rFonts w:hint="eastAsia" w:ascii="Calibri" w:hAnsi="Calibri"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报价</w:t>
            </w:r>
          </w:p>
        </w:tc>
        <w:tc>
          <w:tcPr>
            <w:tcW w:w="1500" w:type="dxa"/>
            <w:noWrap w:val="0"/>
            <w:vAlign w:val="top"/>
          </w:tcPr>
          <w:p w14:paraId="4331F79B">
            <w:pPr>
              <w:spacing w:line="335" w:lineRule="auto"/>
              <w:rPr>
                <w:rFonts w:ascii="Calibri" w:hAnsi="Calibri" w:eastAsia="宋体" w:cs="Calibri"/>
                <w:color w:val="000000"/>
                <w:spacing w:val="-2"/>
                <w:kern w:val="1"/>
                <w:sz w:val="24"/>
                <w:szCs w:val="24"/>
                <w:lang w:val="en-US" w:eastAsia="zh-CN" w:bidi="ar-SA"/>
              </w:rPr>
            </w:pPr>
          </w:p>
          <w:p w14:paraId="4981E790">
            <w:pPr>
              <w:pStyle w:val="85"/>
              <w:spacing w:before="68" w:line="221" w:lineRule="auto"/>
              <w:ind w:left="533"/>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大写</w:t>
            </w:r>
          </w:p>
        </w:tc>
        <w:tc>
          <w:tcPr>
            <w:tcW w:w="5873" w:type="dxa"/>
            <w:noWrap w:val="0"/>
            <w:vAlign w:val="top"/>
          </w:tcPr>
          <w:p w14:paraId="6CBC6F08">
            <w:pPr>
              <w:rPr>
                <w:rFonts w:ascii="Calibri" w:hAnsi="Calibri" w:eastAsia="宋体" w:cs="Calibri"/>
                <w:color w:val="000000"/>
                <w:spacing w:val="-2"/>
                <w:kern w:val="1"/>
                <w:sz w:val="24"/>
                <w:szCs w:val="24"/>
                <w:lang w:val="en-US" w:eastAsia="zh-CN" w:bidi="ar-SA"/>
              </w:rPr>
            </w:pPr>
          </w:p>
        </w:tc>
      </w:tr>
      <w:tr w14:paraId="431EA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2027" w:type="dxa"/>
            <w:vMerge w:val="continue"/>
            <w:tcBorders>
              <w:top w:val="nil"/>
            </w:tcBorders>
            <w:noWrap w:val="0"/>
            <w:vAlign w:val="top"/>
          </w:tcPr>
          <w:p w14:paraId="6E6F982C">
            <w:pPr>
              <w:rPr>
                <w:rFonts w:ascii="Calibri" w:hAnsi="Calibri" w:eastAsia="宋体" w:cs="Calibri"/>
                <w:color w:val="000000"/>
                <w:spacing w:val="-2"/>
                <w:kern w:val="1"/>
                <w:sz w:val="24"/>
                <w:szCs w:val="24"/>
                <w:lang w:val="en-US" w:eastAsia="zh-CN" w:bidi="ar-SA"/>
              </w:rPr>
            </w:pPr>
          </w:p>
        </w:tc>
        <w:tc>
          <w:tcPr>
            <w:tcW w:w="1500" w:type="dxa"/>
            <w:noWrap w:val="0"/>
            <w:vAlign w:val="top"/>
          </w:tcPr>
          <w:p w14:paraId="002B7433">
            <w:pPr>
              <w:spacing w:line="336" w:lineRule="auto"/>
              <w:rPr>
                <w:rFonts w:ascii="Calibri" w:hAnsi="Calibri" w:eastAsia="宋体" w:cs="Calibri"/>
                <w:color w:val="000000"/>
                <w:spacing w:val="-2"/>
                <w:kern w:val="1"/>
                <w:sz w:val="24"/>
                <w:szCs w:val="24"/>
                <w:lang w:val="en-US" w:eastAsia="zh-CN" w:bidi="ar-SA"/>
              </w:rPr>
            </w:pPr>
          </w:p>
          <w:p w14:paraId="661F8141">
            <w:pPr>
              <w:pStyle w:val="85"/>
              <w:spacing w:before="69" w:line="223" w:lineRule="auto"/>
              <w:ind w:left="53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小写</w:t>
            </w:r>
          </w:p>
        </w:tc>
        <w:tc>
          <w:tcPr>
            <w:tcW w:w="5873" w:type="dxa"/>
            <w:noWrap w:val="0"/>
            <w:vAlign w:val="top"/>
          </w:tcPr>
          <w:p w14:paraId="128F2A03">
            <w:pPr>
              <w:rPr>
                <w:rFonts w:ascii="Calibri" w:hAnsi="Calibri" w:eastAsia="宋体" w:cs="Calibri"/>
                <w:color w:val="000000"/>
                <w:spacing w:val="-2"/>
                <w:kern w:val="1"/>
                <w:sz w:val="24"/>
                <w:szCs w:val="24"/>
                <w:lang w:val="en-US" w:eastAsia="zh-CN" w:bidi="ar-SA"/>
              </w:rPr>
            </w:pPr>
          </w:p>
        </w:tc>
      </w:tr>
      <w:tr w14:paraId="620A4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2027" w:type="dxa"/>
            <w:noWrap w:val="0"/>
            <w:vAlign w:val="top"/>
          </w:tcPr>
          <w:p w14:paraId="59411A30">
            <w:pPr>
              <w:spacing w:line="335" w:lineRule="auto"/>
              <w:rPr>
                <w:rFonts w:ascii="Calibri" w:hAnsi="Calibri" w:eastAsia="宋体" w:cs="Calibri"/>
                <w:color w:val="000000"/>
                <w:spacing w:val="-2"/>
                <w:kern w:val="1"/>
                <w:sz w:val="24"/>
                <w:szCs w:val="24"/>
                <w:lang w:val="en-US" w:eastAsia="zh-CN" w:bidi="ar-SA"/>
              </w:rPr>
            </w:pPr>
          </w:p>
          <w:p w14:paraId="2E7A5490">
            <w:pPr>
              <w:pStyle w:val="85"/>
              <w:spacing w:before="68" w:line="221" w:lineRule="auto"/>
              <w:ind w:left="49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项目负责人</w:t>
            </w:r>
          </w:p>
        </w:tc>
        <w:tc>
          <w:tcPr>
            <w:tcW w:w="7373" w:type="dxa"/>
            <w:gridSpan w:val="2"/>
            <w:noWrap w:val="0"/>
            <w:vAlign w:val="top"/>
          </w:tcPr>
          <w:p w14:paraId="25DE08B2">
            <w:pPr>
              <w:rPr>
                <w:rFonts w:ascii="Calibri" w:hAnsi="Calibri" w:eastAsia="宋体" w:cs="Calibri"/>
                <w:color w:val="000000"/>
                <w:spacing w:val="-2"/>
                <w:kern w:val="1"/>
                <w:sz w:val="24"/>
                <w:szCs w:val="24"/>
                <w:lang w:val="en-US" w:eastAsia="zh-CN" w:bidi="ar-SA"/>
              </w:rPr>
            </w:pPr>
          </w:p>
        </w:tc>
      </w:tr>
      <w:tr w14:paraId="7DFCA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2027" w:type="dxa"/>
            <w:noWrap w:val="0"/>
            <w:vAlign w:val="top"/>
          </w:tcPr>
          <w:p w14:paraId="34B6B525">
            <w:pPr>
              <w:spacing w:line="336" w:lineRule="auto"/>
              <w:rPr>
                <w:rFonts w:ascii="Calibri" w:hAnsi="Calibri" w:eastAsia="宋体" w:cs="Calibri"/>
                <w:color w:val="000000"/>
                <w:spacing w:val="-2"/>
                <w:kern w:val="1"/>
                <w:sz w:val="24"/>
                <w:szCs w:val="24"/>
                <w:lang w:val="en-US" w:eastAsia="zh-CN" w:bidi="ar-SA"/>
              </w:rPr>
            </w:pPr>
          </w:p>
          <w:p w14:paraId="5A86B6C5">
            <w:pPr>
              <w:pStyle w:val="85"/>
              <w:spacing w:before="69" w:line="221" w:lineRule="auto"/>
              <w:ind w:left="65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工期</w:t>
            </w:r>
          </w:p>
        </w:tc>
        <w:tc>
          <w:tcPr>
            <w:tcW w:w="7373" w:type="dxa"/>
            <w:gridSpan w:val="2"/>
            <w:noWrap w:val="0"/>
            <w:vAlign w:val="top"/>
          </w:tcPr>
          <w:p w14:paraId="5831FD56">
            <w:pPr>
              <w:rPr>
                <w:rFonts w:ascii="Calibri" w:hAnsi="Calibri" w:eastAsia="宋体" w:cs="Calibri"/>
                <w:color w:val="000000"/>
                <w:spacing w:val="-2"/>
                <w:kern w:val="1"/>
                <w:sz w:val="24"/>
                <w:szCs w:val="24"/>
                <w:lang w:val="en-US" w:eastAsia="zh-CN" w:bidi="ar-SA"/>
              </w:rPr>
            </w:pPr>
          </w:p>
        </w:tc>
      </w:tr>
      <w:tr w14:paraId="67332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2027" w:type="dxa"/>
            <w:noWrap w:val="0"/>
            <w:vAlign w:val="top"/>
          </w:tcPr>
          <w:p w14:paraId="7B372061">
            <w:pPr>
              <w:spacing w:line="340" w:lineRule="auto"/>
              <w:rPr>
                <w:rFonts w:ascii="Calibri" w:hAnsi="Calibri" w:eastAsia="宋体" w:cs="Calibri"/>
                <w:color w:val="000000"/>
                <w:spacing w:val="-2"/>
                <w:kern w:val="1"/>
                <w:sz w:val="24"/>
                <w:szCs w:val="24"/>
                <w:lang w:val="en-US" w:eastAsia="zh-CN" w:bidi="ar-SA"/>
              </w:rPr>
            </w:pPr>
          </w:p>
          <w:p w14:paraId="3ED3C469">
            <w:pPr>
              <w:pStyle w:val="85"/>
              <w:spacing w:before="68" w:line="221" w:lineRule="auto"/>
              <w:ind w:left="597"/>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质量标准</w:t>
            </w:r>
          </w:p>
        </w:tc>
        <w:tc>
          <w:tcPr>
            <w:tcW w:w="7373" w:type="dxa"/>
            <w:gridSpan w:val="2"/>
            <w:noWrap w:val="0"/>
            <w:vAlign w:val="top"/>
          </w:tcPr>
          <w:p w14:paraId="2D5EFEA5">
            <w:pPr>
              <w:rPr>
                <w:rFonts w:ascii="Calibri" w:hAnsi="Calibri" w:eastAsia="宋体" w:cs="Calibri"/>
                <w:color w:val="000000"/>
                <w:spacing w:val="-2"/>
                <w:kern w:val="1"/>
                <w:sz w:val="24"/>
                <w:szCs w:val="24"/>
                <w:lang w:val="en-US" w:eastAsia="zh-CN" w:bidi="ar-SA"/>
              </w:rPr>
            </w:pPr>
          </w:p>
        </w:tc>
      </w:tr>
      <w:tr w14:paraId="160CC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2027" w:type="dxa"/>
            <w:noWrap w:val="0"/>
            <w:vAlign w:val="top"/>
          </w:tcPr>
          <w:p w14:paraId="1A08AFD1">
            <w:pPr>
              <w:spacing w:line="338" w:lineRule="auto"/>
              <w:rPr>
                <w:rFonts w:ascii="Calibri" w:hAnsi="Calibri" w:eastAsia="宋体" w:cs="Calibri"/>
                <w:color w:val="000000"/>
                <w:spacing w:val="-2"/>
                <w:kern w:val="1"/>
                <w:sz w:val="24"/>
                <w:szCs w:val="24"/>
                <w:lang w:val="en-US" w:eastAsia="zh-CN" w:bidi="ar-SA"/>
              </w:rPr>
            </w:pPr>
          </w:p>
          <w:p w14:paraId="6D518423">
            <w:pPr>
              <w:pStyle w:val="85"/>
              <w:spacing w:before="68" w:line="222" w:lineRule="auto"/>
              <w:ind w:left="65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备注</w:t>
            </w:r>
          </w:p>
        </w:tc>
        <w:tc>
          <w:tcPr>
            <w:tcW w:w="7373" w:type="dxa"/>
            <w:gridSpan w:val="2"/>
            <w:noWrap w:val="0"/>
            <w:vAlign w:val="top"/>
          </w:tcPr>
          <w:p w14:paraId="04C96306">
            <w:pPr>
              <w:pStyle w:val="85"/>
              <w:spacing w:before="176" w:line="468" w:lineRule="exact"/>
              <w:ind w:left="11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供应商在</w:t>
            </w:r>
            <w:r>
              <w:rPr>
                <w:rFonts w:hint="eastAsia" w:ascii="Calibri" w:hAnsi="Calibri"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文件中规定的实质性要求和条件的基础上，可做出其他有利于采</w:t>
            </w:r>
          </w:p>
          <w:p w14:paraId="589E2E76">
            <w:pPr>
              <w:pStyle w:val="85"/>
              <w:spacing w:line="219" w:lineRule="auto"/>
              <w:ind w:left="108"/>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购人的承诺。此类承诺可在本表中予以补充填写。</w:t>
            </w:r>
          </w:p>
        </w:tc>
      </w:tr>
    </w:tbl>
    <w:p w14:paraId="04FD5A07">
      <w:pPr>
        <w:spacing w:line="287" w:lineRule="auto"/>
        <w:rPr>
          <w:rFonts w:ascii="Calibri" w:hAnsi="Calibri" w:eastAsia="宋体" w:cs="Calibri"/>
          <w:color w:val="000000"/>
          <w:spacing w:val="-2"/>
          <w:kern w:val="1"/>
          <w:sz w:val="28"/>
          <w:szCs w:val="28"/>
          <w:lang w:val="en-US" w:eastAsia="zh-CN" w:bidi="ar-SA"/>
        </w:rPr>
      </w:pPr>
    </w:p>
    <w:p w14:paraId="381E21C3">
      <w:pPr>
        <w:spacing w:line="287" w:lineRule="auto"/>
        <w:rPr>
          <w:rFonts w:ascii="Calibri" w:hAnsi="Calibri" w:eastAsia="宋体" w:cs="Calibri"/>
          <w:color w:val="000000"/>
          <w:spacing w:val="-2"/>
          <w:kern w:val="1"/>
          <w:sz w:val="24"/>
          <w:szCs w:val="24"/>
          <w:lang w:val="en-US" w:eastAsia="zh-CN" w:bidi="ar-SA"/>
        </w:rPr>
      </w:pPr>
    </w:p>
    <w:p w14:paraId="23ED7F1F">
      <w:pPr>
        <w:pStyle w:val="9"/>
        <w:spacing w:before="68" w:line="221" w:lineRule="auto"/>
        <w:ind w:left="97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法定代表人或其授权代表（电子签名</w:t>
      </w:r>
      <w:r>
        <w:rPr>
          <w:rFonts w:hint="eastAsia" w:ascii="Calibri" w:hAnsi="Calibri" w:eastAsia="宋体" w:cs="Calibri"/>
          <w:color w:val="000000"/>
          <w:spacing w:val="-2"/>
          <w:kern w:val="1"/>
          <w:sz w:val="24"/>
          <w:szCs w:val="24"/>
          <w:lang w:val="en-US" w:eastAsia="zh-CN" w:bidi="ar-SA"/>
        </w:rPr>
        <w:t>或盖章</w:t>
      </w:r>
      <w:r>
        <w:rPr>
          <w:rFonts w:ascii="Calibri" w:hAnsi="Calibri" w:eastAsia="宋体" w:cs="Calibri"/>
          <w:color w:val="000000"/>
          <w:spacing w:val="-2"/>
          <w:kern w:val="1"/>
          <w:sz w:val="24"/>
          <w:szCs w:val="24"/>
          <w:lang w:val="en-US" w:eastAsia="zh-CN" w:bidi="ar-SA"/>
        </w:rPr>
        <w:t>）：</w:t>
      </w:r>
    </w:p>
    <w:p w14:paraId="66B86C06">
      <w:pPr>
        <w:spacing w:line="300" w:lineRule="auto"/>
        <w:rPr>
          <w:rFonts w:ascii="Calibri" w:hAnsi="Calibri" w:eastAsia="宋体" w:cs="Calibri"/>
          <w:color w:val="000000"/>
          <w:spacing w:val="-2"/>
          <w:kern w:val="1"/>
          <w:sz w:val="24"/>
          <w:szCs w:val="24"/>
          <w:lang w:val="en-US" w:eastAsia="zh-CN" w:bidi="ar-SA"/>
        </w:rPr>
      </w:pPr>
    </w:p>
    <w:p w14:paraId="158077E0">
      <w:pPr>
        <w:pStyle w:val="9"/>
        <w:spacing w:before="69" w:line="487" w:lineRule="exact"/>
        <w:ind w:left="973"/>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供应商名称(电子</w:t>
      </w:r>
      <w:r>
        <w:rPr>
          <w:rFonts w:hint="eastAsia" w:ascii="Calibri" w:hAnsi="Calibri" w:eastAsia="宋体" w:cs="Calibri"/>
          <w:color w:val="000000"/>
          <w:spacing w:val="-2"/>
          <w:kern w:val="1"/>
          <w:sz w:val="24"/>
          <w:szCs w:val="24"/>
          <w:lang w:val="en-US" w:eastAsia="zh-CN" w:bidi="ar-SA"/>
        </w:rPr>
        <w:t>公</w:t>
      </w:r>
      <w:r>
        <w:rPr>
          <w:rFonts w:ascii="Calibri" w:hAnsi="Calibri" w:eastAsia="宋体" w:cs="Calibri"/>
          <w:color w:val="000000"/>
          <w:spacing w:val="-2"/>
          <w:kern w:val="1"/>
          <w:sz w:val="24"/>
          <w:szCs w:val="24"/>
          <w:lang w:val="en-US" w:eastAsia="zh-CN" w:bidi="ar-SA"/>
        </w:rPr>
        <w:t>章)：</w:t>
      </w:r>
    </w:p>
    <w:p w14:paraId="365264BA">
      <w:pPr>
        <w:pStyle w:val="9"/>
        <w:spacing w:before="1" w:line="220" w:lineRule="auto"/>
        <w:ind w:left="143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日期：</w:t>
      </w:r>
    </w:p>
    <w:p w14:paraId="2ADA50CB">
      <w:pPr>
        <w:spacing w:line="220" w:lineRule="auto"/>
        <w:rPr>
          <w:rFonts w:ascii="Calibri" w:hAnsi="Calibri" w:eastAsia="宋体" w:cs="Calibri"/>
          <w:color w:val="000000"/>
          <w:spacing w:val="-2"/>
          <w:kern w:val="1"/>
          <w:sz w:val="28"/>
          <w:szCs w:val="28"/>
          <w:lang w:val="en-US" w:eastAsia="zh-CN" w:bidi="ar-SA"/>
        </w:rPr>
      </w:pPr>
    </w:p>
    <w:p w14:paraId="5769AC83">
      <w:pPr>
        <w:spacing w:line="220" w:lineRule="auto"/>
        <w:rPr>
          <w:rFonts w:ascii="Calibri" w:hAnsi="Calibri" w:eastAsia="宋体" w:cs="Calibri"/>
          <w:color w:val="000000"/>
          <w:spacing w:val="-2"/>
          <w:kern w:val="1"/>
          <w:sz w:val="28"/>
          <w:szCs w:val="28"/>
          <w:lang w:val="en-US" w:eastAsia="zh-CN" w:bidi="ar-SA"/>
        </w:rPr>
      </w:pPr>
    </w:p>
    <w:p w14:paraId="6FC8383A">
      <w:pPr>
        <w:pStyle w:val="9"/>
        <w:rPr>
          <w:rFonts w:ascii="Calibri" w:hAnsi="Calibri" w:eastAsia="宋体" w:cs="Calibri"/>
          <w:color w:val="000000"/>
          <w:spacing w:val="-2"/>
          <w:kern w:val="1"/>
          <w:sz w:val="28"/>
          <w:szCs w:val="28"/>
          <w:lang w:val="en-US" w:eastAsia="zh-CN" w:bidi="ar-SA"/>
        </w:rPr>
      </w:pPr>
    </w:p>
    <w:p w14:paraId="25217BEA">
      <w:pPr>
        <w:rPr>
          <w:lang w:val="en-US" w:eastAsia="zh-CN"/>
        </w:rPr>
      </w:pPr>
    </w:p>
    <w:p w14:paraId="2E935C52">
      <w:pPr>
        <w:pStyle w:val="9"/>
        <w:spacing w:before="101" w:line="224" w:lineRule="auto"/>
        <w:ind w:left="1621"/>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（二）、</w:t>
      </w:r>
      <w:r>
        <w:rPr>
          <w:rFonts w:hint="eastAsia" w:ascii="Calibri" w:hAnsi="Calibri" w:eastAsia="宋体" w:cs="Calibri"/>
          <w:b/>
          <w:bCs/>
          <w:color w:val="000000"/>
          <w:spacing w:val="-2"/>
          <w:kern w:val="1"/>
          <w:sz w:val="28"/>
          <w:szCs w:val="28"/>
          <w:lang w:val="en-US" w:eastAsia="zh-CN" w:bidi="ar-SA"/>
        </w:rPr>
        <w:t>标价的工程量清单。</w:t>
      </w:r>
    </w:p>
    <w:p w14:paraId="320B6D67">
      <w:pPr>
        <w:spacing w:line="290" w:lineRule="auto"/>
        <w:rPr>
          <w:rFonts w:ascii="Calibri" w:hAnsi="Calibri" w:eastAsia="宋体" w:cs="Calibri"/>
          <w:color w:val="000000"/>
          <w:spacing w:val="-2"/>
          <w:kern w:val="1"/>
          <w:sz w:val="28"/>
          <w:szCs w:val="28"/>
          <w:lang w:val="en-US" w:eastAsia="zh-CN" w:bidi="ar-SA"/>
        </w:rPr>
      </w:pPr>
    </w:p>
    <w:p w14:paraId="5979B6AF">
      <w:pPr>
        <w:pStyle w:val="9"/>
        <w:spacing w:before="78" w:line="462" w:lineRule="auto"/>
        <w:ind w:left="20" w:firstLine="480"/>
        <w:jc w:val="both"/>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供应商按照</w:t>
      </w:r>
      <w:r>
        <w:rPr>
          <w:rFonts w:hint="eastAsia" w:ascii="Calibri" w:hAnsi="Calibri" w:eastAsia="宋体" w:cs="Calibri"/>
          <w:color w:val="000000"/>
          <w:spacing w:val="-2"/>
          <w:kern w:val="1"/>
          <w:sz w:val="24"/>
          <w:szCs w:val="24"/>
          <w:lang w:val="en-US" w:eastAsia="zh-CN" w:bidi="ar-SA"/>
        </w:rPr>
        <w:t>谈判</w:t>
      </w:r>
      <w:r>
        <w:rPr>
          <w:rFonts w:ascii="Calibri" w:hAnsi="Calibri" w:eastAsia="宋体" w:cs="Calibri"/>
          <w:color w:val="000000"/>
          <w:spacing w:val="-2"/>
          <w:kern w:val="1"/>
          <w:sz w:val="24"/>
          <w:szCs w:val="24"/>
          <w:lang w:val="en-US" w:eastAsia="zh-CN" w:bidi="ar-SA"/>
        </w:rPr>
        <w:t>文件提供工程量清单自行编写报价文件（预算书），工程量清单内容应完整提供，供应商不得改变招标文件提供工程量清单中的项目编码、项目名称、项目特征描述、计量单位和工程量；不得改动规费、税金、安全文明施工费计费基础和费率；不得改动暂列金、暂估价等不可竞争的固定合价；不得改动材料、设备等暂估价单价。</w:t>
      </w:r>
    </w:p>
    <w:p w14:paraId="7D7441FE">
      <w:pPr>
        <w:pStyle w:val="9"/>
        <w:spacing w:before="78" w:line="462" w:lineRule="auto"/>
        <w:ind w:left="20" w:firstLine="480"/>
        <w:jc w:val="both"/>
        <w:rPr>
          <w:rFonts w:ascii="Calibri" w:hAnsi="Calibri" w:eastAsia="宋体" w:cs="Calibri"/>
          <w:color w:val="000000"/>
          <w:spacing w:val="-2"/>
          <w:kern w:val="1"/>
          <w:sz w:val="28"/>
          <w:szCs w:val="28"/>
          <w:lang w:val="en-US" w:eastAsia="zh-CN" w:bidi="ar-SA"/>
        </w:rPr>
      </w:pPr>
    </w:p>
    <w:p w14:paraId="6FDCA35F">
      <w:pPr>
        <w:pStyle w:val="9"/>
        <w:spacing w:before="78" w:line="462" w:lineRule="auto"/>
        <w:ind w:left="20" w:firstLine="480"/>
        <w:jc w:val="both"/>
        <w:rPr>
          <w:rFonts w:ascii="Calibri" w:hAnsi="Calibri" w:eastAsia="宋体" w:cs="Calibri"/>
          <w:color w:val="000000"/>
          <w:spacing w:val="-2"/>
          <w:kern w:val="1"/>
          <w:sz w:val="28"/>
          <w:szCs w:val="28"/>
          <w:lang w:val="en-US" w:eastAsia="zh-CN" w:bidi="ar-SA"/>
        </w:rPr>
      </w:pPr>
    </w:p>
    <w:p w14:paraId="763D037D">
      <w:pPr>
        <w:pStyle w:val="9"/>
        <w:spacing w:before="101" w:line="224" w:lineRule="auto"/>
        <w:ind w:left="3292"/>
        <w:rPr>
          <w:rFonts w:ascii="Calibri" w:hAnsi="Calibri" w:eastAsia="宋体" w:cs="Calibri"/>
          <w:b/>
          <w:bCs/>
          <w:color w:val="000000"/>
          <w:spacing w:val="-2"/>
          <w:kern w:val="1"/>
          <w:sz w:val="28"/>
          <w:szCs w:val="28"/>
          <w:lang w:val="en-US" w:eastAsia="zh-CN" w:bidi="ar-SA"/>
        </w:rPr>
      </w:pPr>
    </w:p>
    <w:p w14:paraId="0BE9BDA2">
      <w:pPr>
        <w:rPr>
          <w:rFonts w:ascii="Calibri" w:hAnsi="Calibri" w:eastAsia="宋体" w:cs="Calibri"/>
          <w:b/>
          <w:bCs/>
          <w:color w:val="000000"/>
          <w:spacing w:val="-2"/>
          <w:kern w:val="1"/>
          <w:sz w:val="28"/>
          <w:szCs w:val="28"/>
          <w:lang w:val="en-US" w:eastAsia="zh-CN" w:bidi="ar-SA"/>
        </w:rPr>
      </w:pPr>
    </w:p>
    <w:p w14:paraId="36E0B786">
      <w:pPr>
        <w:pStyle w:val="9"/>
        <w:rPr>
          <w:rFonts w:ascii="Calibri" w:hAnsi="Calibri" w:eastAsia="宋体" w:cs="Calibri"/>
          <w:b/>
          <w:bCs/>
          <w:color w:val="000000"/>
          <w:spacing w:val="-2"/>
          <w:kern w:val="1"/>
          <w:sz w:val="28"/>
          <w:szCs w:val="28"/>
          <w:lang w:val="en-US" w:eastAsia="zh-CN" w:bidi="ar-SA"/>
        </w:rPr>
      </w:pPr>
    </w:p>
    <w:p w14:paraId="4AD4CF32">
      <w:pPr>
        <w:rPr>
          <w:rFonts w:ascii="Calibri" w:hAnsi="Calibri" w:eastAsia="宋体" w:cs="Calibri"/>
          <w:b/>
          <w:bCs/>
          <w:color w:val="000000"/>
          <w:spacing w:val="-2"/>
          <w:kern w:val="1"/>
          <w:sz w:val="28"/>
          <w:szCs w:val="28"/>
          <w:lang w:val="en-US" w:eastAsia="zh-CN" w:bidi="ar-SA"/>
        </w:rPr>
      </w:pPr>
    </w:p>
    <w:p w14:paraId="5438FF12">
      <w:pPr>
        <w:pStyle w:val="9"/>
        <w:rPr>
          <w:rFonts w:ascii="Calibri" w:hAnsi="Calibri" w:eastAsia="宋体" w:cs="Calibri"/>
          <w:b/>
          <w:bCs/>
          <w:color w:val="000000"/>
          <w:spacing w:val="-2"/>
          <w:kern w:val="1"/>
          <w:sz w:val="28"/>
          <w:szCs w:val="28"/>
          <w:lang w:val="en-US" w:eastAsia="zh-CN" w:bidi="ar-SA"/>
        </w:rPr>
      </w:pPr>
    </w:p>
    <w:p w14:paraId="5C9C8257">
      <w:pPr>
        <w:rPr>
          <w:rFonts w:ascii="Calibri" w:hAnsi="Calibri" w:eastAsia="宋体" w:cs="Calibri"/>
          <w:b/>
          <w:bCs/>
          <w:color w:val="000000"/>
          <w:spacing w:val="-2"/>
          <w:kern w:val="1"/>
          <w:sz w:val="28"/>
          <w:szCs w:val="28"/>
          <w:lang w:val="en-US" w:eastAsia="zh-CN" w:bidi="ar-SA"/>
        </w:rPr>
      </w:pPr>
    </w:p>
    <w:p w14:paraId="6DEB776A">
      <w:pPr>
        <w:pStyle w:val="9"/>
        <w:rPr>
          <w:rFonts w:ascii="Calibri" w:hAnsi="Calibri" w:eastAsia="宋体" w:cs="Calibri"/>
          <w:b/>
          <w:bCs/>
          <w:color w:val="000000"/>
          <w:spacing w:val="-2"/>
          <w:kern w:val="1"/>
          <w:sz w:val="28"/>
          <w:szCs w:val="28"/>
          <w:lang w:val="en-US" w:eastAsia="zh-CN" w:bidi="ar-SA"/>
        </w:rPr>
      </w:pPr>
    </w:p>
    <w:p w14:paraId="22F00A2F">
      <w:pPr>
        <w:rPr>
          <w:rFonts w:ascii="Calibri" w:hAnsi="Calibri" w:eastAsia="宋体" w:cs="Calibri"/>
          <w:b/>
          <w:bCs/>
          <w:color w:val="000000"/>
          <w:spacing w:val="-2"/>
          <w:kern w:val="1"/>
          <w:sz w:val="28"/>
          <w:szCs w:val="28"/>
          <w:lang w:val="en-US" w:eastAsia="zh-CN" w:bidi="ar-SA"/>
        </w:rPr>
      </w:pPr>
    </w:p>
    <w:p w14:paraId="43629B67">
      <w:pPr>
        <w:pStyle w:val="9"/>
        <w:rPr>
          <w:rFonts w:ascii="Calibri" w:hAnsi="Calibri" w:eastAsia="宋体" w:cs="Calibri"/>
          <w:b/>
          <w:bCs/>
          <w:color w:val="000000"/>
          <w:spacing w:val="-2"/>
          <w:kern w:val="1"/>
          <w:sz w:val="28"/>
          <w:szCs w:val="28"/>
          <w:lang w:val="en-US" w:eastAsia="zh-CN" w:bidi="ar-SA"/>
        </w:rPr>
      </w:pPr>
    </w:p>
    <w:p w14:paraId="1B001A16">
      <w:pPr>
        <w:rPr>
          <w:rFonts w:ascii="Calibri" w:hAnsi="Calibri" w:eastAsia="宋体" w:cs="Calibri"/>
          <w:b/>
          <w:bCs/>
          <w:color w:val="000000"/>
          <w:spacing w:val="-2"/>
          <w:kern w:val="1"/>
          <w:sz w:val="28"/>
          <w:szCs w:val="28"/>
          <w:lang w:val="en-US" w:eastAsia="zh-CN" w:bidi="ar-SA"/>
        </w:rPr>
      </w:pPr>
    </w:p>
    <w:p w14:paraId="39C9EA4B">
      <w:pPr>
        <w:pStyle w:val="9"/>
        <w:rPr>
          <w:rFonts w:ascii="Calibri" w:hAnsi="Calibri" w:eastAsia="宋体" w:cs="Calibri"/>
          <w:b/>
          <w:bCs/>
          <w:color w:val="000000"/>
          <w:spacing w:val="-2"/>
          <w:kern w:val="1"/>
          <w:sz w:val="28"/>
          <w:szCs w:val="28"/>
          <w:lang w:val="en-US" w:eastAsia="zh-CN" w:bidi="ar-SA"/>
        </w:rPr>
      </w:pPr>
    </w:p>
    <w:p w14:paraId="4A488187">
      <w:pPr>
        <w:rPr>
          <w:rFonts w:ascii="Calibri" w:hAnsi="Calibri" w:eastAsia="宋体" w:cs="Calibri"/>
          <w:b/>
          <w:bCs/>
          <w:color w:val="000000"/>
          <w:spacing w:val="-2"/>
          <w:kern w:val="1"/>
          <w:sz w:val="28"/>
          <w:szCs w:val="28"/>
          <w:lang w:val="en-US" w:eastAsia="zh-CN" w:bidi="ar-SA"/>
        </w:rPr>
      </w:pPr>
    </w:p>
    <w:p w14:paraId="3073DE46">
      <w:pPr>
        <w:pStyle w:val="9"/>
        <w:rPr>
          <w:rFonts w:ascii="Calibri" w:hAnsi="Calibri" w:eastAsia="宋体" w:cs="Calibri"/>
          <w:b/>
          <w:bCs/>
          <w:color w:val="000000"/>
          <w:spacing w:val="-2"/>
          <w:kern w:val="1"/>
          <w:sz w:val="28"/>
          <w:szCs w:val="28"/>
          <w:lang w:val="en-US" w:eastAsia="zh-CN" w:bidi="ar-SA"/>
        </w:rPr>
      </w:pPr>
    </w:p>
    <w:p w14:paraId="60BEBF02">
      <w:pPr>
        <w:rPr>
          <w:rFonts w:ascii="Calibri" w:hAnsi="Calibri" w:eastAsia="宋体" w:cs="Calibri"/>
          <w:b/>
          <w:bCs/>
          <w:color w:val="000000"/>
          <w:spacing w:val="-2"/>
          <w:kern w:val="1"/>
          <w:sz w:val="28"/>
          <w:szCs w:val="28"/>
          <w:lang w:val="en-US" w:eastAsia="zh-CN" w:bidi="ar-SA"/>
        </w:rPr>
      </w:pPr>
    </w:p>
    <w:p w14:paraId="39050CA0">
      <w:pPr>
        <w:pStyle w:val="9"/>
        <w:rPr>
          <w:rFonts w:ascii="Calibri" w:hAnsi="Calibri" w:eastAsia="宋体" w:cs="Calibri"/>
          <w:b/>
          <w:bCs/>
          <w:color w:val="000000"/>
          <w:spacing w:val="-2"/>
          <w:kern w:val="1"/>
          <w:sz w:val="28"/>
          <w:szCs w:val="28"/>
          <w:lang w:val="en-US" w:eastAsia="zh-CN" w:bidi="ar-SA"/>
        </w:rPr>
      </w:pPr>
    </w:p>
    <w:p w14:paraId="1DD2CD01">
      <w:pPr>
        <w:rPr>
          <w:rFonts w:ascii="Calibri" w:hAnsi="Calibri" w:eastAsia="宋体" w:cs="Calibri"/>
          <w:b/>
          <w:bCs/>
          <w:color w:val="000000"/>
          <w:spacing w:val="-2"/>
          <w:kern w:val="1"/>
          <w:sz w:val="28"/>
          <w:szCs w:val="28"/>
          <w:lang w:val="en-US" w:eastAsia="zh-CN" w:bidi="ar-SA"/>
        </w:rPr>
      </w:pPr>
    </w:p>
    <w:p w14:paraId="4A0099E3">
      <w:pPr>
        <w:pStyle w:val="9"/>
        <w:rPr>
          <w:rFonts w:ascii="Calibri" w:hAnsi="Calibri" w:eastAsia="宋体" w:cs="Calibri"/>
          <w:b/>
          <w:bCs/>
          <w:color w:val="000000"/>
          <w:spacing w:val="-2"/>
          <w:kern w:val="1"/>
          <w:sz w:val="28"/>
          <w:szCs w:val="28"/>
          <w:lang w:val="en-US" w:eastAsia="zh-CN" w:bidi="ar-SA"/>
        </w:rPr>
      </w:pPr>
    </w:p>
    <w:p w14:paraId="77316377">
      <w:pPr>
        <w:rPr>
          <w:rFonts w:ascii="Calibri" w:hAnsi="Calibri" w:eastAsia="宋体" w:cs="Calibri"/>
          <w:b/>
          <w:bCs/>
          <w:color w:val="000000"/>
          <w:spacing w:val="-2"/>
          <w:kern w:val="1"/>
          <w:sz w:val="28"/>
          <w:szCs w:val="28"/>
          <w:lang w:val="en-US" w:eastAsia="zh-CN" w:bidi="ar-SA"/>
        </w:rPr>
      </w:pPr>
    </w:p>
    <w:p w14:paraId="31AC242E">
      <w:pPr>
        <w:pStyle w:val="9"/>
        <w:rPr>
          <w:rFonts w:ascii="Calibri" w:hAnsi="Calibri" w:eastAsia="宋体" w:cs="Calibri"/>
          <w:b/>
          <w:bCs/>
          <w:color w:val="000000"/>
          <w:spacing w:val="-2"/>
          <w:kern w:val="1"/>
          <w:sz w:val="28"/>
          <w:szCs w:val="28"/>
          <w:lang w:val="en-US" w:eastAsia="zh-CN" w:bidi="ar-SA"/>
        </w:rPr>
      </w:pPr>
    </w:p>
    <w:p w14:paraId="10368399">
      <w:pPr>
        <w:rPr>
          <w:rFonts w:ascii="Calibri" w:hAnsi="Calibri" w:eastAsia="宋体" w:cs="Calibri"/>
          <w:b/>
          <w:bCs/>
          <w:color w:val="000000"/>
          <w:spacing w:val="-2"/>
          <w:kern w:val="1"/>
          <w:sz w:val="28"/>
          <w:szCs w:val="28"/>
          <w:lang w:val="en-US" w:eastAsia="zh-CN" w:bidi="ar-SA"/>
        </w:rPr>
      </w:pPr>
    </w:p>
    <w:p w14:paraId="716F4FB4">
      <w:pPr>
        <w:pStyle w:val="9"/>
        <w:rPr>
          <w:rFonts w:ascii="Calibri" w:hAnsi="Calibri" w:eastAsia="宋体" w:cs="Calibri"/>
          <w:b/>
          <w:bCs/>
          <w:color w:val="000000"/>
          <w:spacing w:val="-2"/>
          <w:kern w:val="1"/>
          <w:sz w:val="28"/>
          <w:szCs w:val="28"/>
          <w:lang w:val="en-US" w:eastAsia="zh-CN" w:bidi="ar-SA"/>
        </w:rPr>
      </w:pPr>
    </w:p>
    <w:p w14:paraId="66257D2E">
      <w:pPr>
        <w:rPr>
          <w:rFonts w:ascii="Calibri" w:hAnsi="Calibri" w:eastAsia="宋体" w:cs="Calibri"/>
          <w:b/>
          <w:bCs/>
          <w:color w:val="000000"/>
          <w:spacing w:val="-2"/>
          <w:kern w:val="1"/>
          <w:sz w:val="28"/>
          <w:szCs w:val="28"/>
          <w:lang w:val="en-US" w:eastAsia="zh-CN" w:bidi="ar-SA"/>
        </w:rPr>
      </w:pPr>
    </w:p>
    <w:p w14:paraId="2C1E2DE1">
      <w:pPr>
        <w:pStyle w:val="9"/>
        <w:rPr>
          <w:rFonts w:ascii="Calibri" w:hAnsi="Calibri" w:eastAsia="宋体" w:cs="Calibri"/>
          <w:b/>
          <w:bCs/>
          <w:color w:val="000000"/>
          <w:spacing w:val="-2"/>
          <w:kern w:val="1"/>
          <w:sz w:val="28"/>
          <w:szCs w:val="28"/>
          <w:lang w:val="en-US" w:eastAsia="zh-CN" w:bidi="ar-SA"/>
        </w:rPr>
      </w:pPr>
    </w:p>
    <w:p w14:paraId="18EE73C1">
      <w:pPr>
        <w:rPr>
          <w:rFonts w:ascii="Calibri" w:hAnsi="Calibri" w:eastAsia="宋体" w:cs="Calibri"/>
          <w:b/>
          <w:bCs/>
          <w:color w:val="000000"/>
          <w:spacing w:val="-2"/>
          <w:kern w:val="1"/>
          <w:sz w:val="28"/>
          <w:szCs w:val="28"/>
          <w:lang w:val="en-US" w:eastAsia="zh-CN" w:bidi="ar-SA"/>
        </w:rPr>
      </w:pPr>
    </w:p>
    <w:p w14:paraId="22EF2075">
      <w:pPr>
        <w:pStyle w:val="9"/>
        <w:rPr>
          <w:rFonts w:ascii="Calibri" w:hAnsi="Calibri" w:eastAsia="宋体" w:cs="Calibri"/>
          <w:b/>
          <w:bCs/>
          <w:color w:val="000000"/>
          <w:spacing w:val="-2"/>
          <w:kern w:val="1"/>
          <w:sz w:val="28"/>
          <w:szCs w:val="28"/>
          <w:lang w:val="en-US" w:eastAsia="zh-CN" w:bidi="ar-SA"/>
        </w:rPr>
      </w:pPr>
    </w:p>
    <w:p w14:paraId="0D3D106F">
      <w:pPr>
        <w:rPr>
          <w:rFonts w:ascii="Calibri" w:hAnsi="Calibri" w:eastAsia="宋体" w:cs="Calibri"/>
          <w:b/>
          <w:bCs/>
          <w:color w:val="000000"/>
          <w:spacing w:val="-2"/>
          <w:kern w:val="1"/>
          <w:sz w:val="28"/>
          <w:szCs w:val="28"/>
          <w:lang w:val="en-US" w:eastAsia="zh-CN" w:bidi="ar-SA"/>
        </w:rPr>
      </w:pPr>
    </w:p>
    <w:p w14:paraId="33837748">
      <w:pPr>
        <w:pStyle w:val="9"/>
        <w:rPr>
          <w:rFonts w:ascii="Calibri" w:hAnsi="Calibri" w:eastAsia="宋体" w:cs="Calibri"/>
          <w:b/>
          <w:bCs/>
          <w:color w:val="000000"/>
          <w:spacing w:val="-2"/>
          <w:kern w:val="1"/>
          <w:sz w:val="28"/>
          <w:szCs w:val="28"/>
          <w:lang w:val="en-US" w:eastAsia="zh-CN" w:bidi="ar-SA"/>
        </w:rPr>
      </w:pPr>
    </w:p>
    <w:p w14:paraId="06A41DDD">
      <w:pPr>
        <w:rPr>
          <w:rFonts w:ascii="Calibri" w:hAnsi="Calibri" w:eastAsia="宋体" w:cs="Calibri"/>
          <w:b/>
          <w:bCs/>
          <w:color w:val="000000"/>
          <w:spacing w:val="-2"/>
          <w:kern w:val="1"/>
          <w:sz w:val="28"/>
          <w:szCs w:val="28"/>
          <w:lang w:val="en-US" w:eastAsia="zh-CN" w:bidi="ar-SA"/>
        </w:rPr>
      </w:pPr>
    </w:p>
    <w:p w14:paraId="57D0B0E2">
      <w:pPr>
        <w:pStyle w:val="9"/>
        <w:rPr>
          <w:rFonts w:ascii="Calibri" w:hAnsi="Calibri" w:eastAsia="宋体" w:cs="Calibri"/>
          <w:b/>
          <w:bCs/>
          <w:color w:val="000000"/>
          <w:spacing w:val="-2"/>
          <w:kern w:val="1"/>
          <w:sz w:val="28"/>
          <w:szCs w:val="28"/>
          <w:lang w:val="en-US" w:eastAsia="zh-CN" w:bidi="ar-SA"/>
        </w:rPr>
      </w:pPr>
    </w:p>
    <w:p w14:paraId="6DA6DF56">
      <w:pPr>
        <w:rPr>
          <w:rFonts w:ascii="Calibri" w:hAnsi="Calibri" w:eastAsia="宋体" w:cs="Calibri"/>
          <w:b/>
          <w:bCs/>
          <w:color w:val="000000"/>
          <w:spacing w:val="-2"/>
          <w:kern w:val="1"/>
          <w:sz w:val="28"/>
          <w:szCs w:val="28"/>
          <w:lang w:val="en-US" w:eastAsia="zh-CN" w:bidi="ar-SA"/>
        </w:rPr>
      </w:pPr>
    </w:p>
    <w:p w14:paraId="0222CF78">
      <w:pPr>
        <w:pStyle w:val="9"/>
        <w:rPr>
          <w:rFonts w:ascii="Calibri" w:hAnsi="Calibri" w:eastAsia="宋体" w:cs="Calibri"/>
          <w:b/>
          <w:bCs/>
          <w:color w:val="000000"/>
          <w:spacing w:val="-2"/>
          <w:kern w:val="1"/>
          <w:sz w:val="28"/>
          <w:szCs w:val="28"/>
          <w:lang w:val="en-US" w:eastAsia="zh-CN" w:bidi="ar-SA"/>
        </w:rPr>
      </w:pPr>
    </w:p>
    <w:p w14:paraId="0044E0D2">
      <w:pPr>
        <w:rPr>
          <w:rFonts w:ascii="Calibri" w:hAnsi="Calibri" w:eastAsia="宋体" w:cs="Calibri"/>
          <w:b/>
          <w:bCs/>
          <w:color w:val="000000"/>
          <w:spacing w:val="-2"/>
          <w:kern w:val="1"/>
          <w:sz w:val="28"/>
          <w:szCs w:val="28"/>
          <w:lang w:val="en-US" w:eastAsia="zh-CN" w:bidi="ar-SA"/>
        </w:rPr>
      </w:pPr>
    </w:p>
    <w:p w14:paraId="0B41A22A">
      <w:pPr>
        <w:pStyle w:val="9"/>
        <w:rPr>
          <w:rFonts w:ascii="Calibri" w:hAnsi="Calibri" w:eastAsia="宋体" w:cs="Calibri"/>
          <w:b/>
          <w:bCs/>
          <w:color w:val="000000"/>
          <w:spacing w:val="-2"/>
          <w:kern w:val="1"/>
          <w:sz w:val="28"/>
          <w:szCs w:val="28"/>
          <w:lang w:val="en-US" w:eastAsia="zh-CN" w:bidi="ar-SA"/>
        </w:rPr>
      </w:pPr>
    </w:p>
    <w:p w14:paraId="60EBBA4F">
      <w:pPr>
        <w:rPr>
          <w:rFonts w:ascii="Calibri" w:hAnsi="Calibri" w:eastAsia="宋体" w:cs="Calibri"/>
          <w:b/>
          <w:bCs/>
          <w:color w:val="000000"/>
          <w:spacing w:val="-2"/>
          <w:kern w:val="1"/>
          <w:sz w:val="28"/>
          <w:szCs w:val="28"/>
          <w:lang w:val="en-US" w:eastAsia="zh-CN" w:bidi="ar-SA"/>
        </w:rPr>
      </w:pPr>
    </w:p>
    <w:p w14:paraId="7EF5F41C">
      <w:pPr>
        <w:pStyle w:val="9"/>
        <w:rPr>
          <w:rFonts w:ascii="Calibri" w:hAnsi="Calibri" w:eastAsia="宋体" w:cs="Calibri"/>
          <w:b/>
          <w:bCs/>
          <w:color w:val="000000"/>
          <w:spacing w:val="-2"/>
          <w:kern w:val="1"/>
          <w:sz w:val="28"/>
          <w:szCs w:val="28"/>
          <w:lang w:val="en-US" w:eastAsia="zh-CN" w:bidi="ar-SA"/>
        </w:rPr>
      </w:pPr>
    </w:p>
    <w:p w14:paraId="17EF9729">
      <w:pPr>
        <w:rPr>
          <w:rFonts w:ascii="Calibri" w:hAnsi="Calibri" w:eastAsia="宋体" w:cs="Calibri"/>
          <w:b/>
          <w:bCs/>
          <w:color w:val="000000"/>
          <w:spacing w:val="-2"/>
          <w:kern w:val="1"/>
          <w:sz w:val="28"/>
          <w:szCs w:val="28"/>
          <w:lang w:val="en-US" w:eastAsia="zh-CN" w:bidi="ar-SA"/>
        </w:rPr>
      </w:pPr>
    </w:p>
    <w:p w14:paraId="3B4835C9">
      <w:pPr>
        <w:pStyle w:val="9"/>
        <w:rPr>
          <w:rFonts w:ascii="Calibri" w:hAnsi="Calibri" w:eastAsia="宋体" w:cs="Calibri"/>
          <w:b/>
          <w:bCs/>
          <w:color w:val="000000"/>
          <w:spacing w:val="-2"/>
          <w:kern w:val="1"/>
          <w:sz w:val="28"/>
          <w:szCs w:val="28"/>
          <w:lang w:val="en-US" w:eastAsia="zh-CN" w:bidi="ar-SA"/>
        </w:rPr>
      </w:pPr>
    </w:p>
    <w:p w14:paraId="6FA0EAF7">
      <w:pPr>
        <w:rPr>
          <w:rFonts w:ascii="Calibri" w:hAnsi="Calibri" w:eastAsia="宋体" w:cs="Calibri"/>
          <w:b/>
          <w:bCs/>
          <w:color w:val="000000"/>
          <w:spacing w:val="-2"/>
          <w:kern w:val="1"/>
          <w:sz w:val="28"/>
          <w:szCs w:val="28"/>
          <w:lang w:val="en-US" w:eastAsia="zh-CN" w:bidi="ar-SA"/>
        </w:rPr>
      </w:pPr>
    </w:p>
    <w:p w14:paraId="576674D0">
      <w:pPr>
        <w:pStyle w:val="9"/>
        <w:rPr>
          <w:lang w:val="en-US" w:eastAsia="zh-CN"/>
        </w:rPr>
      </w:pPr>
    </w:p>
    <w:p w14:paraId="3F02B546">
      <w:pPr>
        <w:rPr>
          <w:rFonts w:ascii="Calibri" w:hAnsi="Calibri" w:eastAsia="宋体" w:cs="Calibri"/>
          <w:color w:val="000000"/>
          <w:spacing w:val="-2"/>
          <w:kern w:val="1"/>
          <w:sz w:val="28"/>
          <w:szCs w:val="28"/>
          <w:lang w:val="en-US" w:eastAsia="zh-CN" w:bidi="ar-SA"/>
        </w:rPr>
      </w:pPr>
    </w:p>
    <w:p w14:paraId="3E14698D">
      <w:pPr>
        <w:spacing w:line="218" w:lineRule="auto"/>
        <w:rPr>
          <w:rFonts w:ascii="Calibri" w:hAnsi="Calibri" w:eastAsia="宋体" w:cs="Calibri"/>
          <w:color w:val="000000"/>
          <w:spacing w:val="-2"/>
          <w:kern w:val="1"/>
          <w:sz w:val="28"/>
          <w:szCs w:val="28"/>
          <w:lang w:val="en-US" w:eastAsia="zh-CN" w:bidi="ar-SA"/>
        </w:rPr>
      </w:pPr>
    </w:p>
    <w:p w14:paraId="787F3241">
      <w:pPr>
        <w:spacing w:before="101" w:line="224" w:lineRule="auto"/>
        <w:ind w:left="126"/>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十一、类似项目业绩</w:t>
      </w:r>
    </w:p>
    <w:p w14:paraId="4CA9FEC8">
      <w:pPr>
        <w:spacing w:before="248" w:line="224" w:lineRule="auto"/>
        <w:ind w:left="3326"/>
        <w:rPr>
          <w:rFonts w:ascii="Calibri" w:hAnsi="Calibri" w:eastAsia="宋体" w:cs="Calibri"/>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类似项目业绩</w:t>
      </w:r>
      <w:r>
        <w:rPr>
          <w:rFonts w:hint="eastAsia" w:ascii="Calibri" w:hAnsi="Calibri" w:cs="Calibri"/>
          <w:b/>
          <w:bCs/>
          <w:color w:val="000000"/>
          <w:spacing w:val="-2"/>
          <w:kern w:val="1"/>
          <w:sz w:val="28"/>
          <w:szCs w:val="28"/>
          <w:lang w:val="en-US" w:eastAsia="zh-CN" w:bidi="ar-SA"/>
        </w:rPr>
        <w:t>（如有）</w:t>
      </w:r>
    </w:p>
    <w:p w14:paraId="75476AE7">
      <w:pPr>
        <w:spacing w:line="332" w:lineRule="auto"/>
        <w:rPr>
          <w:rFonts w:ascii="Calibri" w:hAnsi="Calibri" w:eastAsia="宋体" w:cs="Calibri"/>
          <w:color w:val="000000"/>
          <w:spacing w:val="-2"/>
          <w:kern w:val="1"/>
          <w:sz w:val="28"/>
          <w:szCs w:val="28"/>
          <w:lang w:val="en-US" w:eastAsia="zh-CN" w:bidi="ar-SA"/>
        </w:rPr>
      </w:pPr>
    </w:p>
    <w:p w14:paraId="2900C596">
      <w:pPr>
        <w:pStyle w:val="9"/>
        <w:spacing w:before="78" w:line="476" w:lineRule="auto"/>
        <w:ind w:left="118"/>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采购项目编号：</w:t>
      </w:r>
      <w:r>
        <w:rPr>
          <w:rFonts w:hint="eastAsia" w:eastAsia="宋体" w:cs="Calibri"/>
          <w:color w:val="000000"/>
          <w:spacing w:val="-2"/>
          <w:kern w:val="1"/>
          <w:sz w:val="24"/>
          <w:szCs w:val="24"/>
          <w:lang w:val="en-US" w:eastAsia="zh-CN" w:bidi="ar-SA"/>
        </w:rPr>
        <w:t>_________________</w:t>
      </w:r>
    </w:p>
    <w:p w14:paraId="155081E3">
      <w:pPr>
        <w:pStyle w:val="9"/>
        <w:spacing w:before="78" w:line="476" w:lineRule="auto"/>
        <w:ind w:left="118"/>
        <w:rPr>
          <w:rFonts w:hint="default"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采购项目名称：</w:t>
      </w:r>
      <w:r>
        <w:rPr>
          <w:rFonts w:hint="eastAsia" w:eastAsia="宋体" w:cs="Calibri"/>
          <w:color w:val="000000"/>
          <w:spacing w:val="-2"/>
          <w:kern w:val="1"/>
          <w:sz w:val="24"/>
          <w:szCs w:val="24"/>
          <w:lang w:val="en-US" w:eastAsia="zh-CN" w:bidi="ar-SA"/>
        </w:rPr>
        <w:t>_____________________</w:t>
      </w:r>
    </w:p>
    <w:tbl>
      <w:tblPr>
        <w:tblStyle w:val="8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6"/>
        <w:gridCol w:w="5832"/>
      </w:tblGrid>
      <w:tr w14:paraId="1B14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696" w:type="dxa"/>
            <w:noWrap w:val="0"/>
            <w:vAlign w:val="top"/>
          </w:tcPr>
          <w:p w14:paraId="47F0B443">
            <w:pPr>
              <w:pStyle w:val="85"/>
              <w:spacing w:before="69" w:line="220" w:lineRule="auto"/>
              <w:ind w:left="87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项目名称</w:t>
            </w:r>
          </w:p>
        </w:tc>
        <w:tc>
          <w:tcPr>
            <w:tcW w:w="5832" w:type="dxa"/>
            <w:noWrap w:val="0"/>
            <w:vAlign w:val="top"/>
          </w:tcPr>
          <w:p w14:paraId="3D9DFC51">
            <w:pPr>
              <w:rPr>
                <w:rFonts w:ascii="Calibri" w:hAnsi="Calibri" w:eastAsia="宋体" w:cs="Calibri"/>
                <w:color w:val="000000"/>
                <w:spacing w:val="-2"/>
                <w:kern w:val="1"/>
                <w:sz w:val="24"/>
                <w:szCs w:val="24"/>
                <w:lang w:val="en-US" w:eastAsia="zh-CN" w:bidi="ar-SA"/>
              </w:rPr>
            </w:pPr>
          </w:p>
        </w:tc>
      </w:tr>
      <w:tr w14:paraId="2DB5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696" w:type="dxa"/>
            <w:noWrap w:val="0"/>
            <w:vAlign w:val="top"/>
          </w:tcPr>
          <w:p w14:paraId="799646FF">
            <w:pPr>
              <w:pStyle w:val="85"/>
              <w:spacing w:before="103" w:line="220" w:lineRule="auto"/>
              <w:ind w:left="75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项目所在地</w:t>
            </w:r>
          </w:p>
        </w:tc>
        <w:tc>
          <w:tcPr>
            <w:tcW w:w="5832" w:type="dxa"/>
            <w:noWrap w:val="0"/>
            <w:vAlign w:val="top"/>
          </w:tcPr>
          <w:p w14:paraId="0E32C432">
            <w:pPr>
              <w:rPr>
                <w:rFonts w:ascii="Calibri" w:hAnsi="Calibri" w:eastAsia="宋体" w:cs="Calibri"/>
                <w:color w:val="000000"/>
                <w:spacing w:val="-2"/>
                <w:kern w:val="1"/>
                <w:sz w:val="24"/>
                <w:szCs w:val="24"/>
                <w:lang w:val="en-US" w:eastAsia="zh-CN" w:bidi="ar-SA"/>
              </w:rPr>
            </w:pPr>
          </w:p>
        </w:tc>
      </w:tr>
      <w:tr w14:paraId="5F49D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696" w:type="dxa"/>
            <w:noWrap w:val="0"/>
            <w:vAlign w:val="top"/>
          </w:tcPr>
          <w:p w14:paraId="7E7B31DD">
            <w:pPr>
              <w:pStyle w:val="85"/>
              <w:spacing w:before="106" w:line="220" w:lineRule="auto"/>
              <w:ind w:left="75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发包人名称</w:t>
            </w:r>
          </w:p>
        </w:tc>
        <w:tc>
          <w:tcPr>
            <w:tcW w:w="5832" w:type="dxa"/>
            <w:noWrap w:val="0"/>
            <w:vAlign w:val="top"/>
          </w:tcPr>
          <w:p w14:paraId="742B7485">
            <w:pPr>
              <w:rPr>
                <w:rFonts w:ascii="Calibri" w:hAnsi="Calibri" w:eastAsia="宋体" w:cs="Calibri"/>
                <w:color w:val="000000"/>
                <w:spacing w:val="-2"/>
                <w:kern w:val="1"/>
                <w:sz w:val="24"/>
                <w:szCs w:val="24"/>
                <w:lang w:val="en-US" w:eastAsia="zh-CN" w:bidi="ar-SA"/>
              </w:rPr>
            </w:pPr>
          </w:p>
        </w:tc>
      </w:tr>
      <w:tr w14:paraId="015E8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696" w:type="dxa"/>
            <w:noWrap w:val="0"/>
            <w:vAlign w:val="top"/>
          </w:tcPr>
          <w:p w14:paraId="19809590">
            <w:pPr>
              <w:pStyle w:val="85"/>
              <w:spacing w:before="102" w:line="220" w:lineRule="auto"/>
              <w:ind w:left="75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发包人地址</w:t>
            </w:r>
          </w:p>
        </w:tc>
        <w:tc>
          <w:tcPr>
            <w:tcW w:w="5832" w:type="dxa"/>
            <w:noWrap w:val="0"/>
            <w:vAlign w:val="top"/>
          </w:tcPr>
          <w:p w14:paraId="6989B4FC">
            <w:pPr>
              <w:rPr>
                <w:rFonts w:ascii="Calibri" w:hAnsi="Calibri" w:eastAsia="宋体" w:cs="Calibri"/>
                <w:color w:val="000000"/>
                <w:spacing w:val="-2"/>
                <w:kern w:val="1"/>
                <w:sz w:val="24"/>
                <w:szCs w:val="24"/>
                <w:lang w:val="en-US" w:eastAsia="zh-CN" w:bidi="ar-SA"/>
              </w:rPr>
            </w:pPr>
          </w:p>
        </w:tc>
      </w:tr>
      <w:tr w14:paraId="2BC70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696" w:type="dxa"/>
            <w:noWrap w:val="0"/>
            <w:vAlign w:val="top"/>
          </w:tcPr>
          <w:p w14:paraId="0A40CE2C">
            <w:pPr>
              <w:pStyle w:val="85"/>
              <w:spacing w:before="114" w:line="220" w:lineRule="auto"/>
              <w:ind w:left="27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发包人联系人及电话</w:t>
            </w:r>
          </w:p>
        </w:tc>
        <w:tc>
          <w:tcPr>
            <w:tcW w:w="5832" w:type="dxa"/>
            <w:noWrap w:val="0"/>
            <w:vAlign w:val="top"/>
          </w:tcPr>
          <w:p w14:paraId="46ED6EFA">
            <w:pPr>
              <w:rPr>
                <w:rFonts w:ascii="Calibri" w:hAnsi="Calibri" w:eastAsia="宋体" w:cs="Calibri"/>
                <w:color w:val="000000"/>
                <w:spacing w:val="-2"/>
                <w:kern w:val="1"/>
                <w:sz w:val="24"/>
                <w:szCs w:val="24"/>
                <w:lang w:val="en-US" w:eastAsia="zh-CN" w:bidi="ar-SA"/>
              </w:rPr>
            </w:pPr>
          </w:p>
        </w:tc>
      </w:tr>
      <w:tr w14:paraId="6E5E2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696" w:type="dxa"/>
            <w:noWrap w:val="0"/>
            <w:vAlign w:val="top"/>
          </w:tcPr>
          <w:p w14:paraId="5A68CCDA">
            <w:pPr>
              <w:pStyle w:val="85"/>
              <w:spacing w:before="110" w:line="218" w:lineRule="auto"/>
              <w:ind w:left="87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合同价格</w:t>
            </w:r>
          </w:p>
        </w:tc>
        <w:tc>
          <w:tcPr>
            <w:tcW w:w="5832" w:type="dxa"/>
            <w:noWrap w:val="0"/>
            <w:vAlign w:val="top"/>
          </w:tcPr>
          <w:p w14:paraId="54588914">
            <w:pPr>
              <w:rPr>
                <w:rFonts w:ascii="Calibri" w:hAnsi="Calibri" w:eastAsia="宋体" w:cs="Calibri"/>
                <w:color w:val="000000"/>
                <w:spacing w:val="-2"/>
                <w:kern w:val="1"/>
                <w:sz w:val="24"/>
                <w:szCs w:val="24"/>
                <w:lang w:val="en-US" w:eastAsia="zh-CN" w:bidi="ar-SA"/>
              </w:rPr>
            </w:pPr>
          </w:p>
        </w:tc>
      </w:tr>
      <w:tr w14:paraId="6CE3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696" w:type="dxa"/>
            <w:noWrap w:val="0"/>
            <w:vAlign w:val="top"/>
          </w:tcPr>
          <w:p w14:paraId="2F00771C">
            <w:pPr>
              <w:pStyle w:val="85"/>
              <w:spacing w:before="112" w:line="220" w:lineRule="auto"/>
              <w:ind w:left="87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开工日期</w:t>
            </w:r>
          </w:p>
        </w:tc>
        <w:tc>
          <w:tcPr>
            <w:tcW w:w="5832" w:type="dxa"/>
            <w:noWrap w:val="0"/>
            <w:vAlign w:val="top"/>
          </w:tcPr>
          <w:p w14:paraId="1DCF831D">
            <w:pPr>
              <w:rPr>
                <w:rFonts w:ascii="Calibri" w:hAnsi="Calibri" w:eastAsia="宋体" w:cs="Calibri"/>
                <w:color w:val="000000"/>
                <w:spacing w:val="-2"/>
                <w:kern w:val="1"/>
                <w:sz w:val="24"/>
                <w:szCs w:val="24"/>
                <w:lang w:val="en-US" w:eastAsia="zh-CN" w:bidi="ar-SA"/>
              </w:rPr>
            </w:pPr>
          </w:p>
        </w:tc>
      </w:tr>
      <w:tr w14:paraId="3EB7D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696" w:type="dxa"/>
            <w:noWrap w:val="0"/>
            <w:vAlign w:val="top"/>
          </w:tcPr>
          <w:p w14:paraId="6361BB5C">
            <w:pPr>
              <w:pStyle w:val="85"/>
              <w:spacing w:before="102" w:line="220" w:lineRule="auto"/>
              <w:ind w:left="87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竣工日期</w:t>
            </w:r>
          </w:p>
        </w:tc>
        <w:tc>
          <w:tcPr>
            <w:tcW w:w="5832" w:type="dxa"/>
            <w:noWrap w:val="0"/>
            <w:vAlign w:val="top"/>
          </w:tcPr>
          <w:p w14:paraId="21D7224F">
            <w:pPr>
              <w:rPr>
                <w:rFonts w:ascii="Calibri" w:hAnsi="Calibri" w:eastAsia="宋体" w:cs="Calibri"/>
                <w:color w:val="000000"/>
                <w:spacing w:val="-2"/>
                <w:kern w:val="1"/>
                <w:sz w:val="24"/>
                <w:szCs w:val="24"/>
                <w:lang w:val="en-US" w:eastAsia="zh-CN" w:bidi="ar-SA"/>
              </w:rPr>
            </w:pPr>
          </w:p>
        </w:tc>
      </w:tr>
      <w:tr w14:paraId="016BA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96" w:type="dxa"/>
            <w:noWrap w:val="0"/>
            <w:vAlign w:val="top"/>
          </w:tcPr>
          <w:p w14:paraId="02B6EA55">
            <w:pPr>
              <w:pStyle w:val="85"/>
              <w:spacing w:before="110" w:line="220" w:lineRule="auto"/>
              <w:ind w:left="753"/>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承担的工作</w:t>
            </w:r>
          </w:p>
        </w:tc>
        <w:tc>
          <w:tcPr>
            <w:tcW w:w="5832" w:type="dxa"/>
            <w:noWrap w:val="0"/>
            <w:vAlign w:val="top"/>
          </w:tcPr>
          <w:p w14:paraId="0A39C43C">
            <w:pPr>
              <w:rPr>
                <w:rFonts w:ascii="Calibri" w:hAnsi="Calibri" w:eastAsia="宋体" w:cs="Calibri"/>
                <w:color w:val="000000"/>
                <w:spacing w:val="-2"/>
                <w:kern w:val="1"/>
                <w:sz w:val="24"/>
                <w:szCs w:val="24"/>
                <w:lang w:val="en-US" w:eastAsia="zh-CN" w:bidi="ar-SA"/>
              </w:rPr>
            </w:pPr>
          </w:p>
        </w:tc>
      </w:tr>
      <w:tr w14:paraId="1E3F8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696" w:type="dxa"/>
            <w:noWrap w:val="0"/>
            <w:vAlign w:val="top"/>
          </w:tcPr>
          <w:p w14:paraId="573E6256">
            <w:pPr>
              <w:pStyle w:val="85"/>
              <w:spacing w:before="109" w:line="220" w:lineRule="auto"/>
              <w:ind w:left="87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工程质量</w:t>
            </w:r>
          </w:p>
        </w:tc>
        <w:tc>
          <w:tcPr>
            <w:tcW w:w="5832" w:type="dxa"/>
            <w:noWrap w:val="0"/>
            <w:vAlign w:val="top"/>
          </w:tcPr>
          <w:p w14:paraId="1D833C09">
            <w:pPr>
              <w:rPr>
                <w:rFonts w:ascii="Calibri" w:hAnsi="Calibri" w:eastAsia="宋体" w:cs="Calibri"/>
                <w:color w:val="000000"/>
                <w:spacing w:val="-2"/>
                <w:kern w:val="1"/>
                <w:sz w:val="24"/>
                <w:szCs w:val="24"/>
                <w:lang w:val="en-US" w:eastAsia="zh-CN" w:bidi="ar-SA"/>
              </w:rPr>
            </w:pPr>
          </w:p>
        </w:tc>
      </w:tr>
      <w:tr w14:paraId="224B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696" w:type="dxa"/>
            <w:noWrap w:val="0"/>
            <w:vAlign w:val="top"/>
          </w:tcPr>
          <w:p w14:paraId="1699B49E">
            <w:pPr>
              <w:pStyle w:val="85"/>
              <w:spacing w:before="113" w:line="220" w:lineRule="auto"/>
              <w:ind w:left="75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项目负责人</w:t>
            </w:r>
          </w:p>
        </w:tc>
        <w:tc>
          <w:tcPr>
            <w:tcW w:w="5832" w:type="dxa"/>
            <w:noWrap w:val="0"/>
            <w:vAlign w:val="top"/>
          </w:tcPr>
          <w:p w14:paraId="2F8EBCF8">
            <w:pPr>
              <w:rPr>
                <w:rFonts w:ascii="Calibri" w:hAnsi="Calibri" w:eastAsia="宋体" w:cs="Calibri"/>
                <w:color w:val="000000"/>
                <w:spacing w:val="-2"/>
                <w:kern w:val="1"/>
                <w:sz w:val="24"/>
                <w:szCs w:val="24"/>
                <w:lang w:val="en-US" w:eastAsia="zh-CN" w:bidi="ar-SA"/>
              </w:rPr>
            </w:pPr>
          </w:p>
        </w:tc>
      </w:tr>
      <w:tr w14:paraId="7AA6D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696" w:type="dxa"/>
            <w:noWrap w:val="0"/>
            <w:vAlign w:val="top"/>
          </w:tcPr>
          <w:p w14:paraId="79C74484">
            <w:pPr>
              <w:pStyle w:val="85"/>
              <w:spacing w:before="107" w:line="220" w:lineRule="auto"/>
              <w:ind w:left="754"/>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技术负责人</w:t>
            </w:r>
          </w:p>
        </w:tc>
        <w:tc>
          <w:tcPr>
            <w:tcW w:w="5832" w:type="dxa"/>
            <w:noWrap w:val="0"/>
            <w:vAlign w:val="top"/>
          </w:tcPr>
          <w:p w14:paraId="12D3ADFB">
            <w:pPr>
              <w:rPr>
                <w:rFonts w:ascii="Calibri" w:hAnsi="Calibri" w:eastAsia="宋体" w:cs="Calibri"/>
                <w:color w:val="000000"/>
                <w:spacing w:val="-2"/>
                <w:kern w:val="1"/>
                <w:sz w:val="24"/>
                <w:szCs w:val="24"/>
                <w:lang w:val="en-US" w:eastAsia="zh-CN" w:bidi="ar-SA"/>
              </w:rPr>
            </w:pPr>
          </w:p>
        </w:tc>
      </w:tr>
      <w:tr w14:paraId="69392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696" w:type="dxa"/>
            <w:noWrap w:val="0"/>
            <w:vAlign w:val="top"/>
          </w:tcPr>
          <w:p w14:paraId="1175A9AD">
            <w:pPr>
              <w:pStyle w:val="85"/>
              <w:spacing w:before="76" w:line="220" w:lineRule="auto"/>
              <w:ind w:left="27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总监理工程师及电话</w:t>
            </w:r>
          </w:p>
        </w:tc>
        <w:tc>
          <w:tcPr>
            <w:tcW w:w="5832" w:type="dxa"/>
            <w:noWrap w:val="0"/>
            <w:vAlign w:val="top"/>
          </w:tcPr>
          <w:p w14:paraId="3AD83365">
            <w:pPr>
              <w:rPr>
                <w:rFonts w:ascii="Calibri" w:hAnsi="Calibri" w:eastAsia="宋体" w:cs="Calibri"/>
                <w:color w:val="000000"/>
                <w:spacing w:val="-2"/>
                <w:kern w:val="1"/>
                <w:sz w:val="24"/>
                <w:szCs w:val="24"/>
                <w:lang w:val="en-US" w:eastAsia="zh-CN" w:bidi="ar-SA"/>
              </w:rPr>
            </w:pPr>
          </w:p>
        </w:tc>
      </w:tr>
      <w:tr w14:paraId="73B16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696" w:type="dxa"/>
            <w:noWrap w:val="0"/>
            <w:vAlign w:val="top"/>
          </w:tcPr>
          <w:p w14:paraId="3BB4A096">
            <w:pPr>
              <w:pStyle w:val="85"/>
              <w:spacing w:before="113" w:line="220" w:lineRule="auto"/>
              <w:ind w:left="876"/>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项目描述</w:t>
            </w:r>
          </w:p>
        </w:tc>
        <w:tc>
          <w:tcPr>
            <w:tcW w:w="5832" w:type="dxa"/>
            <w:noWrap w:val="0"/>
            <w:vAlign w:val="top"/>
          </w:tcPr>
          <w:p w14:paraId="49687183">
            <w:pPr>
              <w:rPr>
                <w:rFonts w:ascii="Calibri" w:hAnsi="Calibri" w:eastAsia="宋体" w:cs="Calibri"/>
                <w:color w:val="000000"/>
                <w:spacing w:val="-2"/>
                <w:kern w:val="1"/>
                <w:sz w:val="24"/>
                <w:szCs w:val="24"/>
                <w:lang w:val="en-US" w:eastAsia="zh-CN" w:bidi="ar-SA"/>
              </w:rPr>
            </w:pPr>
          </w:p>
        </w:tc>
      </w:tr>
      <w:tr w14:paraId="3ABD8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2696" w:type="dxa"/>
            <w:noWrap w:val="0"/>
            <w:vAlign w:val="top"/>
          </w:tcPr>
          <w:p w14:paraId="5C2F4A7B">
            <w:pPr>
              <w:pStyle w:val="85"/>
              <w:spacing w:before="46" w:line="213" w:lineRule="auto"/>
              <w:ind w:left="1115"/>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备注</w:t>
            </w:r>
          </w:p>
        </w:tc>
        <w:tc>
          <w:tcPr>
            <w:tcW w:w="5832" w:type="dxa"/>
            <w:noWrap w:val="0"/>
            <w:vAlign w:val="top"/>
          </w:tcPr>
          <w:p w14:paraId="6505A238">
            <w:pPr>
              <w:rPr>
                <w:rFonts w:ascii="Calibri" w:hAnsi="Calibri" w:eastAsia="宋体" w:cs="Calibri"/>
                <w:color w:val="000000"/>
                <w:spacing w:val="-2"/>
                <w:kern w:val="1"/>
                <w:sz w:val="24"/>
                <w:szCs w:val="24"/>
                <w:lang w:val="en-US" w:eastAsia="zh-CN" w:bidi="ar-SA"/>
              </w:rPr>
            </w:pPr>
          </w:p>
        </w:tc>
      </w:tr>
    </w:tbl>
    <w:p w14:paraId="546818EF">
      <w:pPr>
        <w:pStyle w:val="9"/>
        <w:spacing w:before="177" w:line="220" w:lineRule="auto"/>
        <w:ind w:left="119"/>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注：1．每张表格只填写一个项目，并标明序号</w:t>
      </w:r>
      <w:r>
        <w:rPr>
          <w:rFonts w:hint="eastAsia" w:ascii="Calibri" w:hAnsi="Calibri" w:eastAsia="宋体" w:cs="Calibri"/>
          <w:color w:val="000000"/>
          <w:spacing w:val="-2"/>
          <w:kern w:val="1"/>
          <w:sz w:val="24"/>
          <w:szCs w:val="24"/>
          <w:lang w:val="en-US" w:eastAsia="zh-CN" w:bidi="ar-SA"/>
        </w:rPr>
        <w:t>（近三年类似业绩：2022年10月25日至2025年10月24日）</w:t>
      </w:r>
      <w:r>
        <w:rPr>
          <w:rFonts w:ascii="Calibri" w:hAnsi="Calibri" w:eastAsia="宋体" w:cs="Calibri"/>
          <w:color w:val="000000"/>
          <w:spacing w:val="-2"/>
          <w:kern w:val="1"/>
          <w:sz w:val="24"/>
          <w:szCs w:val="24"/>
          <w:lang w:val="en-US" w:eastAsia="zh-CN" w:bidi="ar-SA"/>
        </w:rPr>
        <w:t>。</w:t>
      </w:r>
    </w:p>
    <w:p w14:paraId="42E7CBBF">
      <w:pPr>
        <w:pStyle w:val="9"/>
        <w:numPr>
          <w:ilvl w:val="0"/>
          <w:numId w:val="0"/>
        </w:numPr>
        <w:spacing w:before="177" w:line="220" w:lineRule="auto"/>
        <w:ind w:firstLine="472" w:firstLineChars="200"/>
        <w:rPr>
          <w:rFonts w:ascii="Calibri" w:hAnsi="Calibri" w:eastAsia="宋体" w:cs="Calibri"/>
          <w:color w:val="000000"/>
          <w:spacing w:val="-2"/>
          <w:kern w:val="1"/>
          <w:sz w:val="24"/>
          <w:szCs w:val="24"/>
          <w:lang w:val="en-US" w:eastAsia="zh-CN" w:bidi="ar-SA"/>
        </w:rPr>
      </w:pPr>
      <w:r>
        <w:rPr>
          <w:rFonts w:hint="eastAsia" w:eastAsia="宋体" w:cs="Calibri"/>
          <w:color w:val="000000"/>
          <w:spacing w:val="-2"/>
          <w:kern w:val="1"/>
          <w:sz w:val="24"/>
          <w:szCs w:val="24"/>
          <w:lang w:val="en-US" w:eastAsia="zh-CN" w:bidi="ar-SA"/>
        </w:rPr>
        <w:t>2.</w:t>
      </w:r>
      <w:r>
        <w:rPr>
          <w:rFonts w:ascii="Calibri" w:hAnsi="Calibri" w:eastAsia="宋体" w:cs="Calibri"/>
          <w:color w:val="000000"/>
          <w:spacing w:val="-2"/>
          <w:kern w:val="1"/>
          <w:sz w:val="24"/>
          <w:szCs w:val="24"/>
          <w:lang w:val="en-US" w:eastAsia="zh-CN" w:bidi="ar-SA"/>
        </w:rPr>
        <w:t>本表后须附类似项目中标通知书</w:t>
      </w:r>
      <w:r>
        <w:rPr>
          <w:rFonts w:hint="eastAsia" w:eastAsia="宋体" w:cs="Calibri"/>
          <w:color w:val="000000"/>
          <w:spacing w:val="-2"/>
          <w:kern w:val="1"/>
          <w:sz w:val="24"/>
          <w:szCs w:val="24"/>
          <w:lang w:val="en-US" w:eastAsia="zh-CN" w:bidi="ar-SA"/>
        </w:rPr>
        <w:t>或</w:t>
      </w:r>
      <w:r>
        <w:rPr>
          <w:rFonts w:ascii="Calibri" w:hAnsi="Calibri" w:eastAsia="宋体" w:cs="Calibri"/>
          <w:color w:val="000000"/>
          <w:spacing w:val="-2"/>
          <w:kern w:val="1"/>
          <w:sz w:val="24"/>
          <w:szCs w:val="24"/>
          <w:lang w:val="en-US" w:eastAsia="zh-CN" w:bidi="ar-SA"/>
        </w:rPr>
        <w:t>合同扫描件并加盖电子公章（合同中须反映项目内容、甲乙双方名称、项目标的、合同金额等内容，则该业绩将不认可）。</w:t>
      </w:r>
    </w:p>
    <w:p w14:paraId="527546E1">
      <w:pPr>
        <w:pStyle w:val="9"/>
        <w:numPr>
          <w:ilvl w:val="0"/>
          <w:numId w:val="0"/>
        </w:numPr>
        <w:spacing w:before="177" w:line="220" w:lineRule="auto"/>
        <w:ind w:firstLine="472" w:firstLineChars="2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3．如近年来，供应商机构发生合法变更或重组或单位名称变更时，应提供相关部门的合法批件或其他相关证明材料来证明其所附业绩的继承性。</w:t>
      </w:r>
    </w:p>
    <w:p w14:paraId="11348DA5">
      <w:pPr>
        <w:pStyle w:val="9"/>
        <w:spacing w:before="1" w:line="219" w:lineRule="auto"/>
        <w:ind w:firstLine="3540" w:firstLineChars="1500"/>
        <w:rPr>
          <w:rFonts w:hint="default" w:ascii="Calibri" w:hAnsi="Calibri" w:eastAsia="宋体" w:cs="Calibri"/>
          <w:color w:val="000000"/>
          <w:spacing w:val="-2"/>
          <w:kern w:val="1"/>
          <w:sz w:val="24"/>
          <w:szCs w:val="24"/>
          <w:u w:val="single"/>
          <w:lang w:val="en-US" w:eastAsia="zh-CN" w:bidi="ar-SA"/>
        </w:rPr>
      </w:pPr>
      <w:r>
        <w:rPr>
          <w:rFonts w:ascii="Calibri" w:hAnsi="Calibri" w:eastAsia="宋体" w:cs="Calibri"/>
          <w:color w:val="000000"/>
          <w:spacing w:val="-2"/>
          <w:kern w:val="1"/>
          <w:sz w:val="24"/>
          <w:szCs w:val="24"/>
          <w:lang w:val="en-US" w:eastAsia="zh-CN" w:bidi="ar-SA"/>
        </w:rPr>
        <w:t>法定代表人或其授权代表（电子签名</w:t>
      </w:r>
      <w:r>
        <w:rPr>
          <w:rFonts w:hint="eastAsia" w:ascii="Calibri" w:hAnsi="Calibri" w:eastAsia="宋体" w:cs="Calibri"/>
          <w:color w:val="000000"/>
          <w:spacing w:val="-2"/>
          <w:kern w:val="1"/>
          <w:sz w:val="24"/>
          <w:szCs w:val="24"/>
          <w:lang w:val="en-US" w:eastAsia="zh-CN" w:bidi="ar-SA"/>
        </w:rPr>
        <w:t>或盖章</w:t>
      </w:r>
      <w:r>
        <w:rPr>
          <w:rFonts w:ascii="Calibri" w:hAnsi="Calibri" w:eastAsia="宋体" w:cs="Calibri"/>
          <w:color w:val="000000"/>
          <w:spacing w:val="-2"/>
          <w:kern w:val="1"/>
          <w:sz w:val="24"/>
          <w:szCs w:val="24"/>
          <w:lang w:val="en-US" w:eastAsia="zh-CN" w:bidi="ar-SA"/>
        </w:rPr>
        <w:t>）：</w:t>
      </w:r>
      <w:r>
        <w:rPr>
          <w:rFonts w:hint="eastAsia" w:eastAsia="宋体" w:cs="Calibri"/>
          <w:color w:val="000000"/>
          <w:spacing w:val="-2"/>
          <w:kern w:val="1"/>
          <w:sz w:val="24"/>
          <w:szCs w:val="24"/>
          <w:u w:val="single"/>
          <w:lang w:val="en-US" w:eastAsia="zh-CN" w:bidi="ar-SA"/>
        </w:rPr>
        <w:t xml:space="preserve">               </w:t>
      </w:r>
    </w:p>
    <w:p w14:paraId="2C0BA0FB">
      <w:pPr>
        <w:pStyle w:val="9"/>
        <w:spacing w:before="1" w:line="219" w:lineRule="auto"/>
        <w:ind w:firstLine="3540" w:firstLineChars="1500"/>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供应商</w:t>
      </w:r>
      <w:r>
        <w:rPr>
          <w:rFonts w:hint="eastAsia" w:ascii="Calibri" w:hAnsi="Calibri" w:eastAsia="宋体" w:cs="Calibri"/>
          <w:color w:val="000000"/>
          <w:spacing w:val="-2"/>
          <w:kern w:val="1"/>
          <w:sz w:val="24"/>
          <w:szCs w:val="24"/>
          <w:lang w:val="en-US" w:eastAsia="zh-CN" w:bidi="ar-SA"/>
        </w:rPr>
        <w:t>（</w:t>
      </w:r>
      <w:r>
        <w:rPr>
          <w:rFonts w:ascii="Calibri" w:hAnsi="Calibri" w:eastAsia="宋体" w:cs="Calibri"/>
          <w:color w:val="000000"/>
          <w:spacing w:val="-2"/>
          <w:kern w:val="1"/>
          <w:sz w:val="24"/>
          <w:szCs w:val="24"/>
          <w:lang w:val="en-US" w:eastAsia="zh-CN" w:bidi="ar-SA"/>
        </w:rPr>
        <w:t>电子公章</w:t>
      </w:r>
      <w:r>
        <w:rPr>
          <w:rFonts w:hint="eastAsia" w:ascii="Calibri" w:hAnsi="Calibri" w:eastAsia="宋体" w:cs="Calibri"/>
          <w:color w:val="000000"/>
          <w:spacing w:val="-2"/>
          <w:kern w:val="1"/>
          <w:sz w:val="24"/>
          <w:szCs w:val="24"/>
          <w:lang w:val="en-US" w:eastAsia="zh-CN" w:bidi="ar-SA"/>
        </w:rPr>
        <w:t>）</w:t>
      </w:r>
      <w:r>
        <w:rPr>
          <w:rFonts w:ascii="Calibri" w:hAnsi="Calibri" w:eastAsia="宋体" w:cs="Calibri"/>
          <w:color w:val="000000"/>
          <w:spacing w:val="-2"/>
          <w:kern w:val="1"/>
          <w:sz w:val="24"/>
          <w:szCs w:val="24"/>
          <w:lang w:val="en-US" w:eastAsia="zh-CN" w:bidi="ar-SA"/>
        </w:rPr>
        <w:t>：</w:t>
      </w:r>
      <w:r>
        <w:rPr>
          <w:rFonts w:hint="eastAsia" w:eastAsia="宋体" w:cs="Calibri"/>
          <w:color w:val="000000"/>
          <w:spacing w:val="-2"/>
          <w:kern w:val="1"/>
          <w:sz w:val="24"/>
          <w:szCs w:val="24"/>
          <w:u w:val="single"/>
          <w:lang w:val="en-US" w:eastAsia="zh-CN" w:bidi="ar-SA"/>
        </w:rPr>
        <w:t xml:space="preserve">               </w:t>
      </w:r>
    </w:p>
    <w:p w14:paraId="05A6366A">
      <w:pPr>
        <w:pStyle w:val="9"/>
        <w:spacing w:before="183" w:line="259" w:lineRule="auto"/>
        <w:ind w:left="3593" w:leftChars="1711" w:right="741" w:firstLine="120" w:firstLineChars="51"/>
        <w:rPr>
          <w:rFonts w:ascii="Calibri" w:hAnsi="Calibri" w:eastAsia="宋体" w:cs="Calibri"/>
          <w:color w:val="000000"/>
          <w:spacing w:val="-2"/>
          <w:kern w:val="1"/>
          <w:sz w:val="24"/>
          <w:szCs w:val="24"/>
          <w:lang w:val="en-US" w:eastAsia="zh-CN" w:bidi="ar-SA"/>
        </w:rPr>
      </w:pPr>
      <w:r>
        <w:rPr>
          <w:rFonts w:ascii="Calibri" w:hAnsi="Calibri" w:eastAsia="宋体" w:cs="Calibri"/>
          <w:color w:val="000000"/>
          <w:spacing w:val="-2"/>
          <w:kern w:val="1"/>
          <w:sz w:val="24"/>
          <w:szCs w:val="24"/>
          <w:lang w:val="en-US" w:eastAsia="zh-CN" w:bidi="ar-SA"/>
        </w:rPr>
        <w:t>日期：</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年</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月</w:t>
      </w:r>
      <w:r>
        <w:rPr>
          <w:rFonts w:hint="eastAsia" w:eastAsia="宋体" w:cs="Calibri"/>
          <w:color w:val="000000"/>
          <w:spacing w:val="-2"/>
          <w:kern w:val="1"/>
          <w:sz w:val="24"/>
          <w:szCs w:val="24"/>
          <w:u w:val="single"/>
          <w:lang w:val="en-US" w:eastAsia="zh-CN" w:bidi="ar-SA"/>
        </w:rPr>
        <w:t xml:space="preserve">     </w:t>
      </w:r>
      <w:r>
        <w:rPr>
          <w:rFonts w:ascii="Calibri" w:hAnsi="Calibri" w:eastAsia="宋体" w:cs="Calibri"/>
          <w:color w:val="000000"/>
          <w:spacing w:val="-2"/>
          <w:kern w:val="1"/>
          <w:sz w:val="24"/>
          <w:szCs w:val="24"/>
          <w:lang w:val="en-US" w:eastAsia="zh-CN" w:bidi="ar-SA"/>
        </w:rPr>
        <w:t>日</w:t>
      </w:r>
    </w:p>
    <w:p w14:paraId="5D37AF6A">
      <w:pPr>
        <w:spacing w:line="259" w:lineRule="auto"/>
        <w:rPr>
          <w:rFonts w:ascii="Calibri" w:hAnsi="Calibri" w:eastAsia="宋体" w:cs="Calibri"/>
          <w:color w:val="000000"/>
          <w:spacing w:val="-2"/>
          <w:kern w:val="1"/>
          <w:sz w:val="28"/>
          <w:szCs w:val="28"/>
          <w:lang w:val="en-US" w:eastAsia="zh-CN" w:bidi="ar-SA"/>
        </w:rPr>
        <w:sectPr>
          <w:footerReference r:id="rId11" w:type="default"/>
          <w:pgSz w:w="11907" w:h="16839"/>
          <w:pgMar w:top="1440" w:right="1800" w:bottom="1440" w:left="1800" w:header="0" w:footer="996" w:gutter="0"/>
          <w:pgNumType w:fmt="decimal"/>
          <w:cols w:space="720" w:num="1"/>
        </w:sectPr>
      </w:pPr>
    </w:p>
    <w:p w14:paraId="3FBF3C04">
      <w:pPr>
        <w:spacing w:before="101" w:line="224" w:lineRule="auto"/>
        <w:ind w:left="28"/>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十二、技术文件</w:t>
      </w:r>
    </w:p>
    <w:p w14:paraId="5FF0DE3E">
      <w:pPr>
        <w:spacing w:line="259" w:lineRule="auto"/>
        <w:rPr>
          <w:rFonts w:ascii="Calibri" w:hAnsi="Calibri" w:eastAsia="宋体" w:cs="Calibri"/>
          <w:color w:val="000000"/>
          <w:spacing w:val="-2"/>
          <w:kern w:val="1"/>
          <w:sz w:val="28"/>
          <w:szCs w:val="28"/>
          <w:lang w:val="en-US" w:eastAsia="zh-CN" w:bidi="ar-SA"/>
        </w:rPr>
      </w:pPr>
    </w:p>
    <w:p w14:paraId="1F6E20FB">
      <w:pPr>
        <w:pStyle w:val="9"/>
        <w:spacing w:before="78" w:line="220" w:lineRule="auto"/>
        <w:ind w:left="504"/>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技术部分主要包括以下内容</w:t>
      </w:r>
    </w:p>
    <w:p w14:paraId="1810442A">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（1）工程进度计划与措施</w:t>
      </w:r>
    </w:p>
    <w:p w14:paraId="06ACE90A">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（2）施工方案与技术措施；</w:t>
      </w:r>
    </w:p>
    <w:p w14:paraId="7123DB14">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（3）质量管理体系与措施；</w:t>
      </w:r>
    </w:p>
    <w:p w14:paraId="1089B458">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（4）安全管理体系与措施；</w:t>
      </w:r>
    </w:p>
    <w:p w14:paraId="236D4F05">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（5）环境保护管理体系与措施；</w:t>
      </w:r>
    </w:p>
    <w:p w14:paraId="11582C73">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（6）资源配置计划；</w:t>
      </w:r>
    </w:p>
    <w:p w14:paraId="2D87E161">
      <w:pPr>
        <w:bidi w:val="0"/>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（7）管理制度；</w:t>
      </w:r>
    </w:p>
    <w:p w14:paraId="449EFC03">
      <w:pPr>
        <w:bidi w:val="0"/>
        <w:spacing w:line="480" w:lineRule="auto"/>
        <w:rPr>
          <w:rFonts w:ascii="Calibri" w:hAnsi="Calibri" w:eastAsia="宋体" w:cs="Calibri"/>
          <w:color w:val="000000"/>
          <w:spacing w:val="-2"/>
          <w:kern w:val="1"/>
          <w:sz w:val="28"/>
          <w:szCs w:val="28"/>
          <w:lang w:val="en-US" w:eastAsia="zh-CN" w:bidi="ar-SA"/>
        </w:rPr>
        <w:sectPr>
          <w:footerReference r:id="rId12" w:type="default"/>
          <w:pgSz w:w="11907" w:h="16839"/>
          <w:pgMar w:top="1440" w:right="1800" w:bottom="1440" w:left="1800" w:header="0" w:footer="996" w:gutter="0"/>
          <w:pgNumType w:fmt="decimal"/>
          <w:cols w:space="720" w:num="1"/>
        </w:sectPr>
      </w:pPr>
      <w:r>
        <w:rPr>
          <w:rFonts w:hint="eastAsia" w:ascii="宋体" w:hAnsi="宋体" w:eastAsia="宋体" w:cs="宋体"/>
          <w:sz w:val="28"/>
          <w:szCs w:val="28"/>
          <w:lang w:val="en-US" w:eastAsia="zh-CN"/>
        </w:rPr>
        <w:t>（8）保修承诺。</w:t>
      </w:r>
    </w:p>
    <w:p w14:paraId="705F0D6F">
      <w:pPr>
        <w:spacing w:before="101" w:line="225" w:lineRule="auto"/>
        <w:ind w:left="28"/>
        <w:rPr>
          <w:rFonts w:ascii="Calibri" w:hAnsi="Calibri" w:eastAsia="宋体" w:cs="Calibri"/>
          <w:b/>
          <w:bCs/>
          <w:color w:val="000000"/>
          <w:spacing w:val="-2"/>
          <w:kern w:val="1"/>
          <w:sz w:val="28"/>
          <w:szCs w:val="28"/>
          <w:lang w:val="en-US" w:eastAsia="zh-CN" w:bidi="ar-SA"/>
        </w:rPr>
      </w:pPr>
      <w:r>
        <w:rPr>
          <w:rFonts w:ascii="Calibri" w:hAnsi="Calibri" w:eastAsia="宋体" w:cs="Calibri"/>
          <w:b/>
          <w:bCs/>
          <w:color w:val="000000"/>
          <w:spacing w:val="-2"/>
          <w:kern w:val="1"/>
          <w:sz w:val="28"/>
          <w:szCs w:val="28"/>
          <w:lang w:val="en-US" w:eastAsia="zh-CN" w:bidi="ar-SA"/>
        </w:rPr>
        <w:t>十三、其他材料</w:t>
      </w:r>
    </w:p>
    <w:p w14:paraId="2AB67398">
      <w:pPr>
        <w:pStyle w:val="9"/>
        <w:spacing w:before="207" w:line="219" w:lineRule="auto"/>
        <w:ind w:left="23"/>
        <w:rPr>
          <w:rFonts w:ascii="Calibri" w:hAnsi="Calibri" w:eastAsia="宋体" w:cs="Calibri"/>
          <w:color w:val="000000"/>
          <w:spacing w:val="-2"/>
          <w:kern w:val="1"/>
          <w:sz w:val="28"/>
          <w:szCs w:val="28"/>
          <w:lang w:val="en-US" w:eastAsia="zh-CN" w:bidi="ar-SA"/>
        </w:rPr>
      </w:pPr>
      <w:r>
        <w:rPr>
          <w:rFonts w:ascii="Calibri" w:hAnsi="Calibri" w:eastAsia="宋体" w:cs="Calibri"/>
          <w:color w:val="000000"/>
          <w:spacing w:val="-2"/>
          <w:kern w:val="1"/>
          <w:sz w:val="28"/>
          <w:szCs w:val="28"/>
          <w:lang w:val="en-US" w:eastAsia="zh-CN" w:bidi="ar-SA"/>
        </w:rPr>
        <w:t>供应商认为需要自行提供的材料。</w:t>
      </w:r>
    </w:p>
    <w:p w14:paraId="2311CBF9">
      <w:pPr>
        <w:pStyle w:val="9"/>
        <w:spacing w:before="1" w:line="216" w:lineRule="auto"/>
        <w:ind w:left="22"/>
        <w:rPr>
          <w:rFonts w:ascii="Calibri" w:hAnsi="Calibri" w:eastAsia="宋体" w:cs="Calibri"/>
          <w:color w:val="000000"/>
          <w:spacing w:val="-2"/>
          <w:kern w:val="1"/>
          <w:sz w:val="28"/>
          <w:szCs w:val="28"/>
          <w:lang w:val="en-US" w:eastAsia="zh-CN" w:bidi="ar-SA"/>
        </w:rPr>
      </w:pPr>
    </w:p>
    <w:p w14:paraId="5ED65E87">
      <w:pPr>
        <w:widowControl/>
        <w:jc w:val="center"/>
        <w:rPr>
          <w:rFonts w:hint="eastAsia" w:ascii="宋体" w:hAnsi="宋体" w:eastAsia="宋体" w:cs="宋体"/>
          <w:b/>
          <w:bCs/>
          <w:sz w:val="28"/>
          <w:szCs w:val="28"/>
          <w:lang w:eastAsia="zh-CN"/>
        </w:rPr>
      </w:pPr>
    </w:p>
    <w:sectPr>
      <w:headerReference r:id="rId13" w:type="default"/>
      <w:footerReference r:id="rId14" w:type="default"/>
      <w:pgSz w:w="11906" w:h="16838"/>
      <w:pgMar w:top="1871" w:right="1587" w:bottom="1871"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163E">
    <w:pPr>
      <w:pStyle w:val="16"/>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85EFB">
    <w:pPr>
      <w:pStyle w:val="16"/>
      <w:ind w:firstLine="360"/>
      <w:jc w:val="right"/>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8D48C21">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lAJp5xQEAAJEDAAAOAAAAAAAAAAEAIAAAAB8BAABkcnMvZTJvRG9jLnht&#10;bFBLBQYAAAAABgAGAFkBAABWBQAAAAA=&#10;">
              <v:fill on="f" focussize="0,0"/>
              <v:stroke on="f"/>
              <v:imagedata o:title=""/>
              <o:lock v:ext="edit" aspectratio="f"/>
              <v:textbox inset="0mm,0mm,0mm,0mm" style="mso-fit-shape-to-text:t;">
                <w:txbxContent>
                  <w:p w14:paraId="08D48C21">
                    <w:pPr>
                      <w:pStyle w:val="1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057F">
    <w:pPr>
      <w:spacing w:line="171" w:lineRule="auto"/>
      <w:ind w:left="40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BCDB9">
                          <w:pPr>
                            <w:pStyle w:val="16"/>
                          </w:pPr>
                          <w:r>
                            <w:fldChar w:fldCharType="begin"/>
                          </w:r>
                          <w:r>
                            <w:instrText xml:space="preserve"> PAGE  \* MERGEFORMAT </w:instrText>
                          </w:r>
                          <w:r>
                            <w:fldChar w:fldCharType="separate"/>
                          </w:r>
                          <w:r>
                            <w:t>158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AFBCDB9">
                    <w:pPr>
                      <w:pStyle w:val="16"/>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9D8A">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F7843">
                          <w:pPr>
                            <w:pStyle w:val="16"/>
                          </w:pPr>
                          <w:r>
                            <w:fldChar w:fldCharType="begin"/>
                          </w:r>
                          <w:r>
                            <w:instrText xml:space="preserve"> PAGE  \* MERGEFORMAT </w:instrText>
                          </w:r>
                          <w:r>
                            <w:fldChar w:fldCharType="separate"/>
                          </w:r>
                          <w:r>
                            <w:t>160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66F7843">
                    <w:pPr>
                      <w:pStyle w:val="1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C1BA5">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14CFE3">
                          <w:pPr>
                            <w:pStyle w:val="16"/>
                          </w:pPr>
                          <w:r>
                            <w:fldChar w:fldCharType="begin"/>
                          </w:r>
                          <w:r>
                            <w:instrText xml:space="preserve"> PAGE  \* MERGEFORMAT </w:instrText>
                          </w:r>
                          <w:r>
                            <w:fldChar w:fldCharType="separate"/>
                          </w:r>
                          <w:r>
                            <w:t>162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714CFE3">
                    <w:pPr>
                      <w:pStyle w:val="16"/>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9637">
    <w:pPr>
      <w:spacing w:line="174"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8BAC76">
                          <w:pPr>
                            <w:pStyle w:val="16"/>
                          </w:pPr>
                          <w:r>
                            <w:fldChar w:fldCharType="begin"/>
                          </w:r>
                          <w:r>
                            <w:instrText xml:space="preserve"> PAGE  \* MERGEFORMAT </w:instrText>
                          </w:r>
                          <w:r>
                            <w:fldChar w:fldCharType="separate"/>
                          </w:r>
                          <w:r>
                            <w:t>163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F8BAC76">
                    <w:pPr>
                      <w:pStyle w:val="16"/>
                    </w:pPr>
                    <w:r>
                      <w:fldChar w:fldCharType="begin"/>
                    </w:r>
                    <w:r>
                      <w:instrText xml:space="preserve"> PAGE  \* MERGEFORMAT </w:instrText>
                    </w:r>
                    <w:r>
                      <w:fldChar w:fldCharType="separate"/>
                    </w:r>
                    <w:r>
                      <w:t>163</w:t>
                    </w:r>
                    <w:r>
                      <w:fldChar w:fldCharType="end"/>
                    </w:r>
                  </w:p>
                </w:txbxContent>
              </v:textbox>
            </v:shape>
          </w:pict>
        </mc:Fallback>
      </mc:AlternateContent>
    </w:r>
    <w:r>
      <w:rPr>
        <w:rFonts w:ascii="Times New Roman" w:hAnsi="Times New Roman" w:eastAsia="Times New Roman" w:cs="Times New Roman"/>
        <w:spacing w:val="-2"/>
        <w:sz w:val="18"/>
        <w:szCs w:val="18"/>
      </w:rPr>
      <w:t>61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1E5E">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A63BE">
                          <w:pPr>
                            <w:pStyle w:val="16"/>
                          </w:pPr>
                          <w:r>
                            <w:fldChar w:fldCharType="begin"/>
                          </w:r>
                          <w:r>
                            <w:instrText xml:space="preserve"> PAGE  \* MERGEFORMAT </w:instrText>
                          </w:r>
                          <w:r>
                            <w:fldChar w:fldCharType="separate"/>
                          </w:r>
                          <w:r>
                            <w:t>197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8AA63BE">
                    <w:pPr>
                      <w:pStyle w:val="16"/>
                    </w:pPr>
                    <w:r>
                      <w:fldChar w:fldCharType="begin"/>
                    </w:r>
                    <w:r>
                      <w:instrText xml:space="preserve"> PAGE  \* MERGEFORMAT </w:instrText>
                    </w:r>
                    <w:r>
                      <w:fldChar w:fldCharType="separate"/>
                    </w:r>
                    <w:r>
                      <w:t>197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A783">
    <w:pPr>
      <w:spacing w:line="174"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CCB75B">
                          <w:pPr>
                            <w:pStyle w:val="16"/>
                          </w:pPr>
                          <w:r>
                            <w:fldChar w:fldCharType="begin"/>
                          </w:r>
                          <w:r>
                            <w:instrText xml:space="preserve"> PAGE  \* MERGEFORMAT </w:instrText>
                          </w:r>
                          <w:r>
                            <w:fldChar w:fldCharType="separate"/>
                          </w:r>
                          <w:r>
                            <w:t>198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5CCB75B">
                    <w:pPr>
                      <w:pStyle w:val="16"/>
                    </w:pPr>
                    <w:r>
                      <w:fldChar w:fldCharType="begin"/>
                    </w:r>
                    <w:r>
                      <w:instrText xml:space="preserve"> PAGE  \* MERGEFORMAT </w:instrText>
                    </w:r>
                    <w:r>
                      <w:fldChar w:fldCharType="separate"/>
                    </w:r>
                    <w:r>
                      <w:t>198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404F">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C163C2">
                          <w:pPr>
                            <w:pStyle w:val="16"/>
                          </w:pPr>
                          <w:r>
                            <w:fldChar w:fldCharType="begin"/>
                          </w:r>
                          <w:r>
                            <w:instrText xml:space="preserve"> PAGE  \* MERGEFORMAT </w:instrText>
                          </w:r>
                          <w:r>
                            <w:fldChar w:fldCharType="separate"/>
                          </w:r>
                          <w:r>
                            <w:t>- 131 -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EuSo/TTAQAApQMAAA4AAAAAAAAAAQAgAAAA&#10;IgEAAGRycy9lMm9Eb2MueG1sUEsFBgAAAAAGAAYAWQEAAGcFAAAAAA==&#10;">
              <v:fill on="f" focussize="0,0"/>
              <v:stroke on="f" weight="1.25pt"/>
              <v:imagedata o:title=""/>
              <o:lock v:ext="edit" aspectratio="f"/>
              <v:textbox inset="0mm,0mm,0mm,0mm" style="mso-fit-shape-to-text:t;">
                <w:txbxContent>
                  <w:p w14:paraId="42C163C2">
                    <w:pPr>
                      <w:pStyle w:val="16"/>
                    </w:pPr>
                    <w:r>
                      <w:fldChar w:fldCharType="begin"/>
                    </w:r>
                    <w:r>
                      <w:instrText xml:space="preserve"> PAGE  \* MERGEFORMAT </w:instrText>
                    </w:r>
                    <w:r>
                      <w:fldChar w:fldCharType="separate"/>
                    </w:r>
                    <w:r>
                      <w:t>- 131 -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B783">
    <w:pPr>
      <w:pStyle w:val="17"/>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5838">
    <w:pPr>
      <w:rPr>
        <w:kern w:val="1"/>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37AB">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4"/>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142" w:firstLine="0"/>
      </w:pPr>
      <w:rPr>
        <w:rFonts w:hint="eastAsia" w:ascii="黑体" w:hAnsi="Times New Roman" w:eastAsia="黑体"/>
        <w:b w:val="0"/>
        <w:i w:val="0"/>
        <w:color w:val="auto"/>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94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chineseCountingThousand"/>
      <w:lvlText w:val="%2、"/>
      <w:lvlJc w:val="right"/>
      <w:pPr>
        <w:ind w:left="1078" w:hanging="794"/>
      </w:pPr>
      <w:rPr>
        <w:rFonts w:hint="eastAsia"/>
        <w:b w:val="0"/>
        <w:bCs w:val="0"/>
        <w:i w:val="0"/>
        <w:iCs w:val="0"/>
        <w:caps w:val="0"/>
        <w:smallCaps w:val="0"/>
        <w:strike w:val="0"/>
        <w:dstrike w:val="0"/>
        <w:snapToGrid w:val="0"/>
        <w:vanish w:val="0"/>
        <w:color w:val="000000"/>
        <w:spacing w:val="0"/>
        <w:w w:val="0"/>
        <w:kern w:val="0"/>
        <w:position w:val="0"/>
        <w:sz w:val="21"/>
        <w:szCs w:val="21"/>
        <w:u w:val="none"/>
        <w:vertAlign w:val="baseline"/>
      </w:rPr>
    </w:lvl>
    <w:lvl w:ilvl="2" w:tentative="0">
      <w:start w:val="1"/>
      <w:numFmt w:val="decimal"/>
      <w:lvlText w:val="%3.5.1."/>
      <w:lvlJc w:val="left"/>
      <w:pPr>
        <w:ind w:left="907" w:hanging="907"/>
      </w:pPr>
      <w:rPr>
        <w:rFonts w:hint="eastAsia"/>
      </w:rPr>
    </w:lvl>
    <w:lvl w:ilvl="3" w:tentative="0">
      <w:start w:val="1"/>
      <w:numFmt w:val="decimal"/>
      <w:lvlText w:val="1.4.3.%4."/>
      <w:lvlJc w:val="left"/>
      <w:pPr>
        <w:ind w:left="1021" w:hanging="1021"/>
      </w:pPr>
      <w:rPr>
        <w:rFonts w:hint="eastAsia"/>
      </w:rPr>
    </w:lvl>
    <w:lvl w:ilvl="4" w:tentative="0">
      <w:start w:val="1"/>
      <w:numFmt w:val="decimal"/>
      <w:pStyle w:val="83"/>
      <w:isLgl/>
      <w:suff w:val="space"/>
      <w:lvlText w:val="%1.%2.%3.%4.%5 "/>
      <w:lvlJc w:val="left"/>
      <w:pPr>
        <w:ind w:left="1134" w:hanging="1134"/>
      </w:pPr>
      <w:rPr>
        <w:rFonts w:hint="eastAsia" w:cs="Times New Roman"/>
      </w:rPr>
    </w:lvl>
    <w:lvl w:ilvl="5" w:tentative="0">
      <w:start w:val="1"/>
      <w:numFmt w:val="decimal"/>
      <w:isLgl/>
      <w:suff w:val="space"/>
      <w:lvlText w:val="%1.%2.%3.%4.%5.%6 "/>
      <w:lvlJc w:val="left"/>
      <w:pPr>
        <w:ind w:left="1247" w:hanging="1247"/>
      </w:pPr>
      <w:rPr>
        <w:rFonts w:hint="eastAsia" w:cs="Times New Roman"/>
      </w:rPr>
    </w:lvl>
    <w:lvl w:ilvl="6" w:tentative="0">
      <w:start w:val="1"/>
      <w:numFmt w:val="decimal"/>
      <w:lvlRestart w:val="0"/>
      <w:isLgl/>
      <w:suff w:val="space"/>
      <w:lvlText w:val="图 %1.%7 "/>
      <w:lvlJc w:val="left"/>
      <w:rPr>
        <w:rFonts w:hint="eastAsia" w:cs="Times New Roman"/>
      </w:rPr>
    </w:lvl>
    <w:lvl w:ilvl="7" w:tentative="0">
      <w:start w:val="1"/>
      <w:numFmt w:val="decimal"/>
      <w:lvlRestart w:val="0"/>
      <w:isLgl/>
      <w:suff w:val="space"/>
      <w:lvlText w:val="表 %1.%8 "/>
      <w:lvlJc w:val="left"/>
      <w:rPr>
        <w:rFonts w:hint="eastAsia" w:cs="Times New Roman"/>
      </w:rPr>
    </w:lvl>
    <w:lvl w:ilvl="8" w:tentative="0">
      <w:start w:val="0"/>
      <w:numFmt w:val="decimal"/>
      <w:lvlText w:val=""/>
      <w:lvlJc w:val="left"/>
      <w:rPr>
        <w:rFonts w:cs="Times New Roman"/>
      </w:rPr>
    </w:lvl>
  </w:abstractNum>
  <w:abstractNum w:abstractNumId="2">
    <w:nsid w:val="63BF6FF0"/>
    <w:multiLevelType w:val="singleLevel"/>
    <w:tmpl w:val="63BF6FF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ZWM2ODI3ZmQ1ZDE5NTczY2JmNTUxOTJlYTNkNmYifQ=="/>
  </w:docVars>
  <w:rsids>
    <w:rsidRoot w:val="46F364C7"/>
    <w:rsid w:val="00051001"/>
    <w:rsid w:val="00062170"/>
    <w:rsid w:val="0008388B"/>
    <w:rsid w:val="00084D3B"/>
    <w:rsid w:val="000A17C1"/>
    <w:rsid w:val="000A2A47"/>
    <w:rsid w:val="000D6423"/>
    <w:rsid w:val="000E5AEC"/>
    <w:rsid w:val="000F3BD8"/>
    <w:rsid w:val="00101B52"/>
    <w:rsid w:val="001371F0"/>
    <w:rsid w:val="00160E08"/>
    <w:rsid w:val="0016339C"/>
    <w:rsid w:val="001834E0"/>
    <w:rsid w:val="0020219D"/>
    <w:rsid w:val="0028039D"/>
    <w:rsid w:val="002C5AA6"/>
    <w:rsid w:val="002D2946"/>
    <w:rsid w:val="002D7E46"/>
    <w:rsid w:val="002F11ED"/>
    <w:rsid w:val="003024D8"/>
    <w:rsid w:val="00316330"/>
    <w:rsid w:val="00356A27"/>
    <w:rsid w:val="00385622"/>
    <w:rsid w:val="003C338B"/>
    <w:rsid w:val="004368FF"/>
    <w:rsid w:val="00473E41"/>
    <w:rsid w:val="00485693"/>
    <w:rsid w:val="004D5647"/>
    <w:rsid w:val="00570808"/>
    <w:rsid w:val="00571876"/>
    <w:rsid w:val="00573CDD"/>
    <w:rsid w:val="005969D2"/>
    <w:rsid w:val="005A5B73"/>
    <w:rsid w:val="005B4B66"/>
    <w:rsid w:val="005B4B9E"/>
    <w:rsid w:val="005F3D52"/>
    <w:rsid w:val="006262FF"/>
    <w:rsid w:val="0066766F"/>
    <w:rsid w:val="006C5EE6"/>
    <w:rsid w:val="006D57C8"/>
    <w:rsid w:val="007D16CF"/>
    <w:rsid w:val="007E0D4E"/>
    <w:rsid w:val="007F12B1"/>
    <w:rsid w:val="008A04F1"/>
    <w:rsid w:val="008D5127"/>
    <w:rsid w:val="008F5F89"/>
    <w:rsid w:val="009203BF"/>
    <w:rsid w:val="009A3DDB"/>
    <w:rsid w:val="009A4A84"/>
    <w:rsid w:val="00A03B1F"/>
    <w:rsid w:val="00B534BC"/>
    <w:rsid w:val="00B57017"/>
    <w:rsid w:val="00B662D9"/>
    <w:rsid w:val="00B67F40"/>
    <w:rsid w:val="00B906B5"/>
    <w:rsid w:val="00B90B9F"/>
    <w:rsid w:val="00BE0C32"/>
    <w:rsid w:val="00C734B8"/>
    <w:rsid w:val="00C92B98"/>
    <w:rsid w:val="00CA580B"/>
    <w:rsid w:val="00CC1D40"/>
    <w:rsid w:val="00D576C9"/>
    <w:rsid w:val="00D616C8"/>
    <w:rsid w:val="00EA0795"/>
    <w:rsid w:val="00EF2B04"/>
    <w:rsid w:val="00F377A0"/>
    <w:rsid w:val="00FA7C83"/>
    <w:rsid w:val="010E5246"/>
    <w:rsid w:val="011D4D76"/>
    <w:rsid w:val="01630F53"/>
    <w:rsid w:val="0176597C"/>
    <w:rsid w:val="01A1683A"/>
    <w:rsid w:val="01C527FF"/>
    <w:rsid w:val="01C94B8B"/>
    <w:rsid w:val="0235774B"/>
    <w:rsid w:val="026E5D3B"/>
    <w:rsid w:val="02896D23"/>
    <w:rsid w:val="03156361"/>
    <w:rsid w:val="033A5DE0"/>
    <w:rsid w:val="03777FAC"/>
    <w:rsid w:val="03A429D4"/>
    <w:rsid w:val="03AF53E0"/>
    <w:rsid w:val="03BF0911"/>
    <w:rsid w:val="04DD5D12"/>
    <w:rsid w:val="05007BA1"/>
    <w:rsid w:val="05537AB1"/>
    <w:rsid w:val="0579374A"/>
    <w:rsid w:val="05E77F94"/>
    <w:rsid w:val="06286486"/>
    <w:rsid w:val="069D16DE"/>
    <w:rsid w:val="06B4436E"/>
    <w:rsid w:val="06E86AE6"/>
    <w:rsid w:val="073161DB"/>
    <w:rsid w:val="07C531CC"/>
    <w:rsid w:val="07DE24CD"/>
    <w:rsid w:val="07E93C4C"/>
    <w:rsid w:val="07F17208"/>
    <w:rsid w:val="08091901"/>
    <w:rsid w:val="08790168"/>
    <w:rsid w:val="08A03BB2"/>
    <w:rsid w:val="090A5A61"/>
    <w:rsid w:val="0959780A"/>
    <w:rsid w:val="097A4BB4"/>
    <w:rsid w:val="09B87DA9"/>
    <w:rsid w:val="0A1238AB"/>
    <w:rsid w:val="0A3D2B8E"/>
    <w:rsid w:val="0A627318"/>
    <w:rsid w:val="0AB05ECE"/>
    <w:rsid w:val="0AC7437E"/>
    <w:rsid w:val="0B1669F7"/>
    <w:rsid w:val="0B272E8F"/>
    <w:rsid w:val="0B2C313A"/>
    <w:rsid w:val="0B466162"/>
    <w:rsid w:val="0B630E65"/>
    <w:rsid w:val="0BB352C5"/>
    <w:rsid w:val="0BE40F62"/>
    <w:rsid w:val="0BE87E35"/>
    <w:rsid w:val="0BFC1173"/>
    <w:rsid w:val="0C301B14"/>
    <w:rsid w:val="0C786606"/>
    <w:rsid w:val="0D8256A8"/>
    <w:rsid w:val="0DBA601D"/>
    <w:rsid w:val="0DCC24D9"/>
    <w:rsid w:val="0DE7465B"/>
    <w:rsid w:val="0E1F1557"/>
    <w:rsid w:val="0E265444"/>
    <w:rsid w:val="0E7263A9"/>
    <w:rsid w:val="0EFE5203"/>
    <w:rsid w:val="0F120717"/>
    <w:rsid w:val="0F681BEB"/>
    <w:rsid w:val="0F6C6610"/>
    <w:rsid w:val="0FD21AE8"/>
    <w:rsid w:val="0FD516DF"/>
    <w:rsid w:val="0FF83141"/>
    <w:rsid w:val="10035B1C"/>
    <w:rsid w:val="1007211E"/>
    <w:rsid w:val="10350237"/>
    <w:rsid w:val="10762C64"/>
    <w:rsid w:val="108B4B31"/>
    <w:rsid w:val="10D41719"/>
    <w:rsid w:val="11960FE4"/>
    <w:rsid w:val="11C627B9"/>
    <w:rsid w:val="11E14889"/>
    <w:rsid w:val="1213600C"/>
    <w:rsid w:val="123F3C81"/>
    <w:rsid w:val="125606A2"/>
    <w:rsid w:val="126D0740"/>
    <w:rsid w:val="12766490"/>
    <w:rsid w:val="12B8398B"/>
    <w:rsid w:val="133E02C4"/>
    <w:rsid w:val="13D308CF"/>
    <w:rsid w:val="140B4870"/>
    <w:rsid w:val="142C636E"/>
    <w:rsid w:val="144F625E"/>
    <w:rsid w:val="146111C1"/>
    <w:rsid w:val="146756AF"/>
    <w:rsid w:val="14B828DA"/>
    <w:rsid w:val="14BB6070"/>
    <w:rsid w:val="15386004"/>
    <w:rsid w:val="15595A55"/>
    <w:rsid w:val="15A62093"/>
    <w:rsid w:val="15B04B8A"/>
    <w:rsid w:val="15C54CCC"/>
    <w:rsid w:val="16437993"/>
    <w:rsid w:val="16534086"/>
    <w:rsid w:val="167F089A"/>
    <w:rsid w:val="1695644C"/>
    <w:rsid w:val="16F5610D"/>
    <w:rsid w:val="17113072"/>
    <w:rsid w:val="174076D1"/>
    <w:rsid w:val="175D573C"/>
    <w:rsid w:val="17B43AA8"/>
    <w:rsid w:val="184052C7"/>
    <w:rsid w:val="188C1357"/>
    <w:rsid w:val="189F77F2"/>
    <w:rsid w:val="18AD7A85"/>
    <w:rsid w:val="18E256E2"/>
    <w:rsid w:val="193C323C"/>
    <w:rsid w:val="19516FA3"/>
    <w:rsid w:val="199240D4"/>
    <w:rsid w:val="19C938C8"/>
    <w:rsid w:val="1A352420"/>
    <w:rsid w:val="1A3E73C6"/>
    <w:rsid w:val="1A71315E"/>
    <w:rsid w:val="1AB02A55"/>
    <w:rsid w:val="1AC94917"/>
    <w:rsid w:val="1AEB54BE"/>
    <w:rsid w:val="1B2651FE"/>
    <w:rsid w:val="1B501A61"/>
    <w:rsid w:val="1BEF0B2F"/>
    <w:rsid w:val="1C2362A8"/>
    <w:rsid w:val="1CD00D31"/>
    <w:rsid w:val="1D4A6916"/>
    <w:rsid w:val="1D6507D9"/>
    <w:rsid w:val="1DC57776"/>
    <w:rsid w:val="1DCA5AAA"/>
    <w:rsid w:val="1DD90F03"/>
    <w:rsid w:val="1DDB32DF"/>
    <w:rsid w:val="1DF60118"/>
    <w:rsid w:val="1E1D208E"/>
    <w:rsid w:val="1E915A8A"/>
    <w:rsid w:val="1F4B7FF0"/>
    <w:rsid w:val="1F792DAF"/>
    <w:rsid w:val="1F914DBB"/>
    <w:rsid w:val="1F9C76EA"/>
    <w:rsid w:val="1FB00B3F"/>
    <w:rsid w:val="20051F6D"/>
    <w:rsid w:val="200E30EB"/>
    <w:rsid w:val="201C16A7"/>
    <w:rsid w:val="204C79C6"/>
    <w:rsid w:val="205D5775"/>
    <w:rsid w:val="206B48C0"/>
    <w:rsid w:val="20766B68"/>
    <w:rsid w:val="20E737C9"/>
    <w:rsid w:val="20FD6D8B"/>
    <w:rsid w:val="2119701F"/>
    <w:rsid w:val="211C2FCC"/>
    <w:rsid w:val="21326860"/>
    <w:rsid w:val="21507B40"/>
    <w:rsid w:val="21A86502"/>
    <w:rsid w:val="21C64025"/>
    <w:rsid w:val="21F162E2"/>
    <w:rsid w:val="221D7603"/>
    <w:rsid w:val="22595D24"/>
    <w:rsid w:val="229A458D"/>
    <w:rsid w:val="22B45EAC"/>
    <w:rsid w:val="23086A7B"/>
    <w:rsid w:val="230C7214"/>
    <w:rsid w:val="2316449E"/>
    <w:rsid w:val="235C6D33"/>
    <w:rsid w:val="23734BA3"/>
    <w:rsid w:val="23894AA1"/>
    <w:rsid w:val="23DA3B2F"/>
    <w:rsid w:val="241330BC"/>
    <w:rsid w:val="243E3D0B"/>
    <w:rsid w:val="247C7880"/>
    <w:rsid w:val="251D242F"/>
    <w:rsid w:val="253758C7"/>
    <w:rsid w:val="25380CA0"/>
    <w:rsid w:val="253B210F"/>
    <w:rsid w:val="254D4B3D"/>
    <w:rsid w:val="25700997"/>
    <w:rsid w:val="257827BE"/>
    <w:rsid w:val="25BF3991"/>
    <w:rsid w:val="25CD4EE1"/>
    <w:rsid w:val="25CD5AD7"/>
    <w:rsid w:val="25E92E8C"/>
    <w:rsid w:val="262F5CA4"/>
    <w:rsid w:val="266E1471"/>
    <w:rsid w:val="26A461EC"/>
    <w:rsid w:val="26A54532"/>
    <w:rsid w:val="26F575D6"/>
    <w:rsid w:val="27181D01"/>
    <w:rsid w:val="27991704"/>
    <w:rsid w:val="27A943D1"/>
    <w:rsid w:val="27DC037F"/>
    <w:rsid w:val="28246DAB"/>
    <w:rsid w:val="2830097E"/>
    <w:rsid w:val="283D7C94"/>
    <w:rsid w:val="28AB02C8"/>
    <w:rsid w:val="28C16772"/>
    <w:rsid w:val="294007BB"/>
    <w:rsid w:val="295B4EC7"/>
    <w:rsid w:val="296A3769"/>
    <w:rsid w:val="29A23485"/>
    <w:rsid w:val="29E03690"/>
    <w:rsid w:val="2A112E66"/>
    <w:rsid w:val="2A2E0BE6"/>
    <w:rsid w:val="2A971642"/>
    <w:rsid w:val="2B0F6376"/>
    <w:rsid w:val="2B1D22CA"/>
    <w:rsid w:val="2B252A91"/>
    <w:rsid w:val="2BB97D14"/>
    <w:rsid w:val="2BC404DA"/>
    <w:rsid w:val="2C9C273B"/>
    <w:rsid w:val="2D2F296B"/>
    <w:rsid w:val="2DAA331F"/>
    <w:rsid w:val="2DFE602E"/>
    <w:rsid w:val="2E3D2305"/>
    <w:rsid w:val="2E616BA4"/>
    <w:rsid w:val="2EE62680"/>
    <w:rsid w:val="2EF97F40"/>
    <w:rsid w:val="2F321DC9"/>
    <w:rsid w:val="2F4F129A"/>
    <w:rsid w:val="2F5E2297"/>
    <w:rsid w:val="2FA71273"/>
    <w:rsid w:val="2FAD0A9E"/>
    <w:rsid w:val="30276ADB"/>
    <w:rsid w:val="30AA0A45"/>
    <w:rsid w:val="310B4584"/>
    <w:rsid w:val="31272161"/>
    <w:rsid w:val="31BF7BC9"/>
    <w:rsid w:val="320F12CA"/>
    <w:rsid w:val="3271734E"/>
    <w:rsid w:val="327D0BE3"/>
    <w:rsid w:val="328468BB"/>
    <w:rsid w:val="330B03AF"/>
    <w:rsid w:val="333316F2"/>
    <w:rsid w:val="33E8399E"/>
    <w:rsid w:val="33F13559"/>
    <w:rsid w:val="3411487C"/>
    <w:rsid w:val="34226D15"/>
    <w:rsid w:val="344778C7"/>
    <w:rsid w:val="350C3926"/>
    <w:rsid w:val="352B0250"/>
    <w:rsid w:val="35B26796"/>
    <w:rsid w:val="35BE7510"/>
    <w:rsid w:val="35DF4ECF"/>
    <w:rsid w:val="35E32778"/>
    <w:rsid w:val="35F77FC0"/>
    <w:rsid w:val="36843E76"/>
    <w:rsid w:val="36A56D0C"/>
    <w:rsid w:val="36B204FD"/>
    <w:rsid w:val="36FE0747"/>
    <w:rsid w:val="372F6D3F"/>
    <w:rsid w:val="37A669FD"/>
    <w:rsid w:val="37BD5302"/>
    <w:rsid w:val="37ED3AC8"/>
    <w:rsid w:val="381274A5"/>
    <w:rsid w:val="38486C73"/>
    <w:rsid w:val="3856659D"/>
    <w:rsid w:val="38566789"/>
    <w:rsid w:val="385971DA"/>
    <w:rsid w:val="38793A92"/>
    <w:rsid w:val="38966328"/>
    <w:rsid w:val="3914531B"/>
    <w:rsid w:val="392E06DB"/>
    <w:rsid w:val="394F4851"/>
    <w:rsid w:val="395D6163"/>
    <w:rsid w:val="397F0BE7"/>
    <w:rsid w:val="3A830B2E"/>
    <w:rsid w:val="3AD84051"/>
    <w:rsid w:val="3BC526A2"/>
    <w:rsid w:val="3C236125"/>
    <w:rsid w:val="3C462C18"/>
    <w:rsid w:val="3C512802"/>
    <w:rsid w:val="3C5F68AB"/>
    <w:rsid w:val="3C6B0D35"/>
    <w:rsid w:val="3C6F4812"/>
    <w:rsid w:val="3CC372BE"/>
    <w:rsid w:val="3D734907"/>
    <w:rsid w:val="3D981E20"/>
    <w:rsid w:val="3DDC7D8B"/>
    <w:rsid w:val="3E0E185F"/>
    <w:rsid w:val="3E5C0988"/>
    <w:rsid w:val="3E945F71"/>
    <w:rsid w:val="3EFB495F"/>
    <w:rsid w:val="3F495DC3"/>
    <w:rsid w:val="3F865BC8"/>
    <w:rsid w:val="40AE6C66"/>
    <w:rsid w:val="40F623B9"/>
    <w:rsid w:val="41306BEE"/>
    <w:rsid w:val="41456556"/>
    <w:rsid w:val="415034FB"/>
    <w:rsid w:val="416A51B0"/>
    <w:rsid w:val="41E50BAA"/>
    <w:rsid w:val="4217504C"/>
    <w:rsid w:val="4228799D"/>
    <w:rsid w:val="429C7054"/>
    <w:rsid w:val="42B042C8"/>
    <w:rsid w:val="43086074"/>
    <w:rsid w:val="431E7309"/>
    <w:rsid w:val="433144FA"/>
    <w:rsid w:val="438B6434"/>
    <w:rsid w:val="43924F67"/>
    <w:rsid w:val="439A439C"/>
    <w:rsid w:val="43A14703"/>
    <w:rsid w:val="43A31E05"/>
    <w:rsid w:val="43C44769"/>
    <w:rsid w:val="43F45C54"/>
    <w:rsid w:val="43F7072E"/>
    <w:rsid w:val="44600EB5"/>
    <w:rsid w:val="449965DA"/>
    <w:rsid w:val="44BC306E"/>
    <w:rsid w:val="45713C91"/>
    <w:rsid w:val="45FB325E"/>
    <w:rsid w:val="46AF5157"/>
    <w:rsid w:val="46F364C7"/>
    <w:rsid w:val="472F0B5E"/>
    <w:rsid w:val="4757351A"/>
    <w:rsid w:val="477F0BDD"/>
    <w:rsid w:val="47B4751C"/>
    <w:rsid w:val="47B55333"/>
    <w:rsid w:val="47CF63F6"/>
    <w:rsid w:val="47E80223"/>
    <w:rsid w:val="48361286"/>
    <w:rsid w:val="483F61E8"/>
    <w:rsid w:val="48CA5D34"/>
    <w:rsid w:val="4900213D"/>
    <w:rsid w:val="491364E6"/>
    <w:rsid w:val="49B66DD4"/>
    <w:rsid w:val="49BA174B"/>
    <w:rsid w:val="49BE45E7"/>
    <w:rsid w:val="4A2D23EF"/>
    <w:rsid w:val="4A590F64"/>
    <w:rsid w:val="4AC47435"/>
    <w:rsid w:val="4AF8490A"/>
    <w:rsid w:val="4B700C5B"/>
    <w:rsid w:val="4C01502C"/>
    <w:rsid w:val="4C1B3768"/>
    <w:rsid w:val="4C5F7209"/>
    <w:rsid w:val="4CF61D24"/>
    <w:rsid w:val="4D515880"/>
    <w:rsid w:val="4D692255"/>
    <w:rsid w:val="4D6A458F"/>
    <w:rsid w:val="4D6C0FAE"/>
    <w:rsid w:val="4DC537A4"/>
    <w:rsid w:val="4E4F7D81"/>
    <w:rsid w:val="4E772300"/>
    <w:rsid w:val="4E835879"/>
    <w:rsid w:val="4EA817D5"/>
    <w:rsid w:val="4F231B40"/>
    <w:rsid w:val="4F4579AE"/>
    <w:rsid w:val="4F8A5F30"/>
    <w:rsid w:val="5009117D"/>
    <w:rsid w:val="50483F54"/>
    <w:rsid w:val="510E0CFA"/>
    <w:rsid w:val="515B7CB7"/>
    <w:rsid w:val="5347092C"/>
    <w:rsid w:val="5376727D"/>
    <w:rsid w:val="53CF4DB7"/>
    <w:rsid w:val="53F66412"/>
    <w:rsid w:val="54085F89"/>
    <w:rsid w:val="546B44AA"/>
    <w:rsid w:val="54D56E3A"/>
    <w:rsid w:val="54E53788"/>
    <w:rsid w:val="54E621D7"/>
    <w:rsid w:val="54F1359D"/>
    <w:rsid w:val="55236D3E"/>
    <w:rsid w:val="552F47B1"/>
    <w:rsid w:val="55AD6B1D"/>
    <w:rsid w:val="55AF05D2"/>
    <w:rsid w:val="55AF43B3"/>
    <w:rsid w:val="55C135BF"/>
    <w:rsid w:val="55D13557"/>
    <w:rsid w:val="56375C2E"/>
    <w:rsid w:val="56411B39"/>
    <w:rsid w:val="56727A06"/>
    <w:rsid w:val="568571B0"/>
    <w:rsid w:val="56E853B8"/>
    <w:rsid w:val="573817F8"/>
    <w:rsid w:val="58130651"/>
    <w:rsid w:val="58866916"/>
    <w:rsid w:val="593160A2"/>
    <w:rsid w:val="59483404"/>
    <w:rsid w:val="59EB4913"/>
    <w:rsid w:val="5A4545DF"/>
    <w:rsid w:val="5A89308E"/>
    <w:rsid w:val="5AE623A0"/>
    <w:rsid w:val="5BB86302"/>
    <w:rsid w:val="5BCA2953"/>
    <w:rsid w:val="5BD7333D"/>
    <w:rsid w:val="5C8A4963"/>
    <w:rsid w:val="5CC434A0"/>
    <w:rsid w:val="5CEF6EDE"/>
    <w:rsid w:val="5D254161"/>
    <w:rsid w:val="5D594DA4"/>
    <w:rsid w:val="5D8338DF"/>
    <w:rsid w:val="5E370584"/>
    <w:rsid w:val="5E6351E8"/>
    <w:rsid w:val="5E7E6D93"/>
    <w:rsid w:val="5EDA221B"/>
    <w:rsid w:val="5F27461C"/>
    <w:rsid w:val="5F394324"/>
    <w:rsid w:val="5F49114F"/>
    <w:rsid w:val="5F7851C7"/>
    <w:rsid w:val="5FCF62BD"/>
    <w:rsid w:val="5FD62A55"/>
    <w:rsid w:val="5FEF45F4"/>
    <w:rsid w:val="60BB607C"/>
    <w:rsid w:val="60BC66B4"/>
    <w:rsid w:val="60E369E7"/>
    <w:rsid w:val="61151C31"/>
    <w:rsid w:val="613100ED"/>
    <w:rsid w:val="615970D9"/>
    <w:rsid w:val="6199699C"/>
    <w:rsid w:val="61DC32F2"/>
    <w:rsid w:val="61E14C5F"/>
    <w:rsid w:val="620B4DF1"/>
    <w:rsid w:val="62145C62"/>
    <w:rsid w:val="622A5046"/>
    <w:rsid w:val="62B42798"/>
    <w:rsid w:val="632D40C5"/>
    <w:rsid w:val="635C2454"/>
    <w:rsid w:val="636B6307"/>
    <w:rsid w:val="63793840"/>
    <w:rsid w:val="641731A9"/>
    <w:rsid w:val="64265F03"/>
    <w:rsid w:val="659A2704"/>
    <w:rsid w:val="65AB702F"/>
    <w:rsid w:val="65E174B2"/>
    <w:rsid w:val="662602CC"/>
    <w:rsid w:val="663A741F"/>
    <w:rsid w:val="663B696B"/>
    <w:rsid w:val="664408C2"/>
    <w:rsid w:val="66A441C7"/>
    <w:rsid w:val="674071A8"/>
    <w:rsid w:val="677624C9"/>
    <w:rsid w:val="67FC5CBA"/>
    <w:rsid w:val="6814419E"/>
    <w:rsid w:val="685D6BD7"/>
    <w:rsid w:val="68D221B5"/>
    <w:rsid w:val="68D37194"/>
    <w:rsid w:val="69876357"/>
    <w:rsid w:val="69DA0037"/>
    <w:rsid w:val="6AB029CA"/>
    <w:rsid w:val="6ABC136F"/>
    <w:rsid w:val="6AD62431"/>
    <w:rsid w:val="6AF74F8C"/>
    <w:rsid w:val="6B4F54EA"/>
    <w:rsid w:val="6B7C3835"/>
    <w:rsid w:val="6BCD07B2"/>
    <w:rsid w:val="6BF460A5"/>
    <w:rsid w:val="6BF80185"/>
    <w:rsid w:val="6C120795"/>
    <w:rsid w:val="6C1F1C09"/>
    <w:rsid w:val="6C785DF4"/>
    <w:rsid w:val="6C7F4170"/>
    <w:rsid w:val="6D043F0E"/>
    <w:rsid w:val="6D147FA5"/>
    <w:rsid w:val="6D170A6E"/>
    <w:rsid w:val="6DCA3FC4"/>
    <w:rsid w:val="6DF56B72"/>
    <w:rsid w:val="6E1B5FD7"/>
    <w:rsid w:val="6E580E15"/>
    <w:rsid w:val="6E5871DA"/>
    <w:rsid w:val="6E6A0ABA"/>
    <w:rsid w:val="6E7234A6"/>
    <w:rsid w:val="6E8E397C"/>
    <w:rsid w:val="6EA94E3C"/>
    <w:rsid w:val="6F0F0944"/>
    <w:rsid w:val="6FD74B0A"/>
    <w:rsid w:val="6FF03A52"/>
    <w:rsid w:val="6FF90541"/>
    <w:rsid w:val="70053699"/>
    <w:rsid w:val="70225ACD"/>
    <w:rsid w:val="702552C0"/>
    <w:rsid w:val="71155816"/>
    <w:rsid w:val="71714F9D"/>
    <w:rsid w:val="718A4A21"/>
    <w:rsid w:val="719F40F5"/>
    <w:rsid w:val="71D216F8"/>
    <w:rsid w:val="71E15C2D"/>
    <w:rsid w:val="721C0443"/>
    <w:rsid w:val="72227D09"/>
    <w:rsid w:val="72CA3A26"/>
    <w:rsid w:val="72CF2BE9"/>
    <w:rsid w:val="72DC7380"/>
    <w:rsid w:val="73B07962"/>
    <w:rsid w:val="73B139FB"/>
    <w:rsid w:val="73EA1A64"/>
    <w:rsid w:val="7440059C"/>
    <w:rsid w:val="74A04393"/>
    <w:rsid w:val="74C4061D"/>
    <w:rsid w:val="74FA2C27"/>
    <w:rsid w:val="75584D80"/>
    <w:rsid w:val="75656A7A"/>
    <w:rsid w:val="757C314C"/>
    <w:rsid w:val="75DC397E"/>
    <w:rsid w:val="75EC5EA7"/>
    <w:rsid w:val="76010E26"/>
    <w:rsid w:val="76260127"/>
    <w:rsid w:val="76377AFB"/>
    <w:rsid w:val="76F16531"/>
    <w:rsid w:val="76F352B7"/>
    <w:rsid w:val="770B76E1"/>
    <w:rsid w:val="77113A71"/>
    <w:rsid w:val="7711659E"/>
    <w:rsid w:val="782845B0"/>
    <w:rsid w:val="7855586D"/>
    <w:rsid w:val="78970D25"/>
    <w:rsid w:val="78986F77"/>
    <w:rsid w:val="78E270D6"/>
    <w:rsid w:val="78F02B51"/>
    <w:rsid w:val="78F03A78"/>
    <w:rsid w:val="79157702"/>
    <w:rsid w:val="79971937"/>
    <w:rsid w:val="79B84622"/>
    <w:rsid w:val="79F006ED"/>
    <w:rsid w:val="7A052EA1"/>
    <w:rsid w:val="7A253FAE"/>
    <w:rsid w:val="7A927B04"/>
    <w:rsid w:val="7AB84753"/>
    <w:rsid w:val="7BB83A10"/>
    <w:rsid w:val="7BCB31C0"/>
    <w:rsid w:val="7C1C072C"/>
    <w:rsid w:val="7C4F5CA5"/>
    <w:rsid w:val="7C7747B3"/>
    <w:rsid w:val="7C9B0569"/>
    <w:rsid w:val="7CB92E6E"/>
    <w:rsid w:val="7CC61BD9"/>
    <w:rsid w:val="7D5207A9"/>
    <w:rsid w:val="7D700863"/>
    <w:rsid w:val="7D7654E6"/>
    <w:rsid w:val="7D9B4421"/>
    <w:rsid w:val="7DA431C5"/>
    <w:rsid w:val="7E192908"/>
    <w:rsid w:val="7E427B19"/>
    <w:rsid w:val="7E503E50"/>
    <w:rsid w:val="7F1D6B1B"/>
    <w:rsid w:val="7FFD61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rFonts w:eastAsia="黑体"/>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link w:val="94"/>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qFormat/>
    <w:uiPriority w:val="6"/>
    <w:pPr>
      <w:keepNext/>
      <w:keepLines/>
      <w:spacing w:before="280" w:after="290" w:line="374" w:lineRule="auto"/>
      <w:outlineLvl w:val="3"/>
    </w:pPr>
    <w:rPr>
      <w:rFonts w:ascii="Arial" w:hAnsi="Arial" w:eastAsia="黑体" w:cs="Arial"/>
      <w:b/>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0"/>
    </w:rPr>
  </w:style>
  <w:style w:type="paragraph" w:styleId="7">
    <w:name w:val="Normal Indent"/>
    <w:basedOn w:val="1"/>
    <w:next w:val="1"/>
    <w:qFormat/>
    <w:uiPriority w:val="0"/>
    <w:pPr>
      <w:spacing w:after="120"/>
      <w:ind w:firstLine="420"/>
    </w:pPr>
    <w:rPr>
      <w:szCs w:val="20"/>
    </w:rPr>
  </w:style>
  <w:style w:type="paragraph" w:styleId="8">
    <w:name w:val="annotation text"/>
    <w:basedOn w:val="1"/>
    <w:link w:val="78"/>
    <w:qFormat/>
    <w:uiPriority w:val="0"/>
    <w:pPr>
      <w:jc w:val="left"/>
    </w:pPr>
  </w:style>
  <w:style w:type="paragraph" w:styleId="9">
    <w:name w:val="Body Text"/>
    <w:basedOn w:val="1"/>
    <w:next w:val="1"/>
    <w:qFormat/>
    <w:uiPriority w:val="0"/>
    <w:pPr>
      <w:spacing w:line="60" w:lineRule="auto"/>
    </w:pPr>
    <w:rPr>
      <w:rFonts w:ascii="仿宋_GB2312" w:eastAsia="仿宋_GB2312"/>
      <w:sz w:val="32"/>
    </w:rPr>
  </w:style>
  <w:style w:type="paragraph" w:styleId="10">
    <w:name w:val="Body Text Indent"/>
    <w:basedOn w:val="1"/>
    <w:next w:val="1"/>
    <w:qFormat/>
    <w:uiPriority w:val="0"/>
    <w:pPr>
      <w:ind w:firstLine="720" w:firstLineChars="225"/>
    </w:pPr>
    <w:rPr>
      <w:rFonts w:ascii="仿宋_GB2312" w:eastAsia="仿宋_GB2312"/>
      <w:sz w:val="32"/>
    </w:rPr>
  </w:style>
  <w:style w:type="paragraph" w:styleId="11">
    <w:name w:val="Block Text"/>
    <w:basedOn w:val="9"/>
    <w:qFormat/>
    <w:uiPriority w:val="0"/>
    <w:pPr>
      <w:jc w:val="left"/>
    </w:pPr>
    <w:rPr>
      <w:rFonts w:ascii="Times New Roman"/>
      <w:szCs w:val="30"/>
    </w:r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rPr>
      <w:lang w:val="zh-CN"/>
    </w:rPr>
  </w:style>
  <w:style w:type="paragraph" w:styleId="15">
    <w:name w:val="Balloon Text"/>
    <w:basedOn w:val="1"/>
    <w:link w:val="80"/>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caps/>
      <w:sz w:val="20"/>
      <w:szCs w:val="20"/>
    </w:rPr>
  </w:style>
  <w:style w:type="paragraph" w:styleId="19">
    <w:name w:val="footnote text"/>
    <w:basedOn w:val="20"/>
    <w:qFormat/>
    <w:uiPriority w:val="0"/>
    <w:pPr>
      <w:snapToGrid w:val="0"/>
    </w:pPr>
    <w:rPr>
      <w:sz w:val="18"/>
    </w:rPr>
  </w:style>
  <w:style w:type="paragraph" w:customStyle="1" w:styleId="20">
    <w:name w:val="正文_1"/>
    <w:basedOn w:val="2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2"/>
    <w:basedOn w:val="22"/>
    <w:qFormat/>
    <w:uiPriority w:val="0"/>
  </w:style>
  <w:style w:type="paragraph" w:customStyle="1" w:styleId="22">
    <w:name w:val="正文_3"/>
    <w:qFormat/>
    <w:uiPriority w:val="0"/>
    <w:pPr>
      <w:widowControl w:val="0"/>
      <w:jc w:val="both"/>
    </w:pPr>
    <w:rPr>
      <w:rFonts w:ascii="Calibri" w:hAnsi="Calibri" w:eastAsia="宋体" w:cs="Times New Roman"/>
      <w:kern w:val="2"/>
      <w:sz w:val="21"/>
      <w:szCs w:val="22"/>
      <w:lang w:val="en-US" w:eastAsia="zh-CN" w:bidi="ar-SA"/>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0"/>
    <w:pPr>
      <w:widowControl/>
      <w:spacing w:before="240" w:after="60" w:line="351" w:lineRule="atLeast"/>
      <w:ind w:firstLine="419"/>
      <w:jc w:val="center"/>
      <w:textAlignment w:val="baseline"/>
      <w:outlineLvl w:val="0"/>
    </w:pPr>
    <w:rPr>
      <w:rFonts w:ascii="Cambria" w:hAnsi="Cambria"/>
      <w:b/>
      <w:bCs/>
      <w:color w:val="000000"/>
      <w:kern w:val="0"/>
      <w:sz w:val="32"/>
      <w:szCs w:val="32"/>
      <w:u w:val="none" w:color="000000"/>
    </w:rPr>
  </w:style>
  <w:style w:type="paragraph" w:styleId="25">
    <w:name w:val="annotation subject"/>
    <w:basedOn w:val="8"/>
    <w:next w:val="8"/>
    <w:link w:val="79"/>
    <w:qFormat/>
    <w:uiPriority w:val="0"/>
    <w:rPr>
      <w:b/>
      <w:bCs/>
    </w:rPr>
  </w:style>
  <w:style w:type="paragraph" w:styleId="26">
    <w:name w:val="Body Text First Indent"/>
    <w:basedOn w:val="9"/>
    <w:next w:val="1"/>
    <w:qFormat/>
    <w:uiPriority w:val="0"/>
    <w:pPr>
      <w:autoSpaceDE w:val="0"/>
      <w:autoSpaceDN w:val="0"/>
      <w:adjustRightInd w:val="0"/>
      <w:spacing w:line="312" w:lineRule="atLeast"/>
      <w:ind w:firstLine="420"/>
    </w:pPr>
    <w:rPr>
      <w:rFonts w:ascii="宋体"/>
      <w:kern w:val="0"/>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Hyperlink"/>
    <w:qFormat/>
    <w:uiPriority w:val="0"/>
    <w:rPr>
      <w:color w:val="000000"/>
      <w:u w:val="none"/>
    </w:rPr>
  </w:style>
  <w:style w:type="character" w:styleId="32">
    <w:name w:val="annotation reference"/>
    <w:qFormat/>
    <w:uiPriority w:val="0"/>
    <w:rPr>
      <w:sz w:val="21"/>
      <w:szCs w:val="21"/>
    </w:rPr>
  </w:style>
  <w:style w:type="character" w:styleId="33">
    <w:name w:val="HTML Sample"/>
    <w:unhideWhenUsed/>
    <w:qFormat/>
    <w:uiPriority w:val="99"/>
    <w:rPr>
      <w:rFonts w:ascii="宋体" w:hAnsi="宋体" w:eastAsia="宋体" w:cs="宋体"/>
    </w:rPr>
  </w:style>
  <w:style w:type="paragraph" w:customStyle="1" w:styleId="34">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35">
    <w:name w:val="Normal_0_0"/>
    <w:qFormat/>
    <w:uiPriority w:val="0"/>
    <w:pPr>
      <w:widowControl w:val="0"/>
      <w:jc w:val="both"/>
    </w:pPr>
    <w:rPr>
      <w:rFonts w:ascii="Calibri" w:hAnsi="Calibri" w:eastAsia="Times New Roman" w:cs="Times New Roman"/>
      <w:lang w:val="en-US" w:eastAsia="zh-CN" w:bidi="ar-SA"/>
    </w:rPr>
  </w:style>
  <w:style w:type="paragraph" w:customStyle="1" w:styleId="36">
    <w:name w:val="正文_0_1"/>
    <w:qFormat/>
    <w:uiPriority w:val="0"/>
    <w:pPr>
      <w:widowControl w:val="0"/>
      <w:jc w:val="both"/>
    </w:pPr>
    <w:rPr>
      <w:rFonts w:ascii="Calibri" w:hAnsi="Calibri" w:eastAsia="宋体" w:cs="Times New Roman"/>
      <w:lang w:val="en-US" w:eastAsia="zh-CN" w:bidi="ar-SA"/>
    </w:rPr>
  </w:style>
  <w:style w:type="paragraph" w:customStyle="1" w:styleId="37">
    <w:name w:val="正文_1_0"/>
    <w:basedOn w:val="38"/>
    <w:next w:val="41"/>
    <w:qFormat/>
    <w:uiPriority w:val="0"/>
    <w:rPr>
      <w:rFonts w:ascii="Times New Roman" w:hAnsi="Times New Roman"/>
      <w:szCs w:val="24"/>
    </w:rPr>
  </w:style>
  <w:style w:type="paragraph" w:customStyle="1" w:styleId="38">
    <w:name w:val="正文_1_1"/>
    <w:basedOn w:val="39"/>
    <w:qFormat/>
    <w:uiPriority w:val="0"/>
    <w:rPr>
      <w:rFonts w:ascii="Calibri" w:hAnsi="Calibri"/>
      <w:szCs w:val="22"/>
    </w:rPr>
  </w:style>
  <w:style w:type="paragraph" w:customStyle="1" w:styleId="39">
    <w:name w:val="正文_5"/>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引文目录标题_0"/>
    <w:basedOn w:val="39"/>
    <w:next w:val="39"/>
    <w:qFormat/>
    <w:uiPriority w:val="0"/>
    <w:pPr>
      <w:spacing w:before="120"/>
    </w:pPr>
    <w:rPr>
      <w:rFonts w:ascii="Arial" w:hAnsi="Arial"/>
      <w:sz w:val="24"/>
    </w:rPr>
  </w:style>
  <w:style w:type="paragraph" w:customStyle="1" w:styleId="41">
    <w:name w:val="正文首行缩进1"/>
    <w:basedOn w:val="42"/>
    <w:unhideWhenUsed/>
    <w:qFormat/>
    <w:uiPriority w:val="99"/>
    <w:pPr>
      <w:ind w:firstLine="420" w:firstLineChars="100"/>
    </w:pPr>
    <w:rPr>
      <w:szCs w:val="22"/>
    </w:rPr>
  </w:style>
  <w:style w:type="paragraph" w:customStyle="1" w:styleId="42">
    <w:name w:val="正文文本_0_0"/>
    <w:basedOn w:val="43"/>
    <w:qFormat/>
    <w:uiPriority w:val="0"/>
    <w:pPr>
      <w:spacing w:after="120"/>
    </w:pPr>
    <w:rPr>
      <w:rFonts w:ascii="Calibri" w:hAnsi="Calibri"/>
      <w:kern w:val="0"/>
      <w:sz w:val="20"/>
    </w:rPr>
  </w:style>
  <w:style w:type="paragraph" w:customStyle="1" w:styleId="4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2_0"/>
    <w:basedOn w:val="21"/>
    <w:qFormat/>
    <w:uiPriority w:val="0"/>
  </w:style>
  <w:style w:type="paragraph" w:customStyle="1" w:styleId="45">
    <w:name w:val="正文_0"/>
    <w:basedOn w:val="2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6">
    <w:name w:val="批注文字_0"/>
    <w:basedOn w:val="20"/>
    <w:unhideWhenUsed/>
    <w:qFormat/>
    <w:uiPriority w:val="99"/>
    <w:pPr>
      <w:jc w:val="left"/>
    </w:pPr>
  </w:style>
  <w:style w:type="paragraph" w:customStyle="1" w:styleId="47">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9">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文本_0"/>
    <w:basedOn w:val="38"/>
    <w:next w:val="53"/>
    <w:qFormat/>
    <w:uiPriority w:val="0"/>
    <w:pPr>
      <w:spacing w:after="120"/>
    </w:pPr>
    <w:rPr>
      <w:kern w:val="0"/>
      <w:sz w:val="20"/>
    </w:rPr>
  </w:style>
  <w:style w:type="paragraph" w:customStyle="1" w:styleId="53">
    <w:name w:val="日期_0"/>
    <w:basedOn w:val="45"/>
    <w:next w:val="45"/>
    <w:semiHidden/>
    <w:qFormat/>
    <w:uiPriority w:val="0"/>
    <w:pPr>
      <w:spacing w:before="100" w:beforeAutospacing="1" w:after="100" w:afterAutospacing="1"/>
      <w:ind w:left="100" w:leftChars="2500"/>
    </w:pPr>
    <w:rPr>
      <w:rFonts w:ascii="宋体"/>
      <w:kern w:val="0"/>
      <w:sz w:val="28"/>
      <w:szCs w:val="28"/>
    </w:rPr>
  </w:style>
  <w:style w:type="paragraph" w:customStyle="1" w:styleId="5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宁波正文"/>
    <w:basedOn w:val="1"/>
    <w:qFormat/>
    <w:uiPriority w:val="0"/>
    <w:pPr>
      <w:spacing w:line="360" w:lineRule="auto"/>
      <w:ind w:firstLine="480" w:firstLineChars="200"/>
    </w:pPr>
    <w:rPr>
      <w:rFonts w:ascii="仿宋_GB2312" w:hAnsi="Calibri" w:eastAsia="仿宋_GB2312"/>
      <w:sz w:val="24"/>
    </w:rPr>
  </w:style>
  <w:style w:type="paragraph" w:customStyle="1" w:styleId="57">
    <w:name w:val="空格"/>
    <w:basedOn w:val="1"/>
    <w:next w:val="1"/>
    <w:qFormat/>
    <w:uiPriority w:val="0"/>
    <w:pPr>
      <w:autoSpaceDE w:val="0"/>
      <w:autoSpaceDN w:val="0"/>
      <w:adjustRightInd w:val="0"/>
      <w:snapToGrid w:val="0"/>
      <w:spacing w:line="360" w:lineRule="auto"/>
      <w:ind w:firstLine="200" w:firstLineChars="200"/>
      <w:jc w:val="left"/>
    </w:pPr>
    <w:rPr>
      <w:rFonts w:ascii="Calibri" w:hAnsi="Calibri"/>
      <w:snapToGrid w:val="0"/>
      <w:kern w:val="0"/>
      <w:sz w:val="24"/>
      <w:szCs w:val="21"/>
    </w:rPr>
  </w:style>
  <w:style w:type="paragraph" w:customStyle="1" w:styleId="58">
    <w:name w:val="BodyText"/>
    <w:basedOn w:val="1"/>
    <w:next w:val="1"/>
    <w:qFormat/>
    <w:uiPriority w:val="0"/>
    <w:pPr>
      <w:spacing w:after="120"/>
    </w:pPr>
  </w:style>
  <w:style w:type="paragraph" w:customStyle="1" w:styleId="59">
    <w:name w:val="Heading #1|1"/>
    <w:basedOn w:val="1"/>
    <w:qFormat/>
    <w:uiPriority w:val="0"/>
    <w:pPr>
      <w:spacing w:after="3140"/>
      <w:jc w:val="center"/>
      <w:outlineLvl w:val="0"/>
    </w:pPr>
    <w:rPr>
      <w:rFonts w:ascii="宋体" w:cs="宋体"/>
      <w:sz w:val="50"/>
      <w:szCs w:val="50"/>
      <w:lang w:val="zh-TW" w:eastAsia="zh-TW" w:bidi="zh-TW"/>
    </w:rPr>
  </w:style>
  <w:style w:type="paragraph" w:customStyle="1" w:styleId="60">
    <w:name w:val="Body text|2"/>
    <w:basedOn w:val="1"/>
    <w:qFormat/>
    <w:uiPriority w:val="0"/>
    <w:pPr>
      <w:spacing w:after="260"/>
      <w:ind w:left="1880"/>
    </w:pPr>
    <w:rPr>
      <w:rFonts w:ascii="宋体" w:cs="宋体"/>
      <w:sz w:val="30"/>
      <w:szCs w:val="30"/>
      <w:u w:val="single"/>
      <w:lang w:val="zh-TW" w:eastAsia="zh-TW" w:bidi="zh-TW"/>
    </w:rPr>
  </w:style>
  <w:style w:type="paragraph" w:customStyle="1" w:styleId="61">
    <w:name w:val="Body text|3"/>
    <w:basedOn w:val="1"/>
    <w:qFormat/>
    <w:uiPriority w:val="0"/>
    <w:pPr>
      <w:spacing w:after="1540"/>
      <w:ind w:left="1880"/>
    </w:pPr>
    <w:rPr>
      <w:sz w:val="30"/>
      <w:szCs w:val="30"/>
      <w:u w:val="single"/>
    </w:rPr>
  </w:style>
  <w:style w:type="paragraph" w:customStyle="1" w:styleId="62">
    <w:name w:val="Body text|1"/>
    <w:basedOn w:val="1"/>
    <w:qFormat/>
    <w:uiPriority w:val="0"/>
    <w:pPr>
      <w:spacing w:line="480" w:lineRule="auto"/>
      <w:ind w:firstLine="400"/>
    </w:pPr>
    <w:rPr>
      <w:rFonts w:ascii="宋体" w:cs="宋体"/>
      <w:sz w:val="20"/>
      <w:szCs w:val="20"/>
      <w:lang w:val="zh-TW" w:eastAsia="zh-TW" w:bidi="zh-TW"/>
    </w:rPr>
  </w:style>
  <w:style w:type="paragraph" w:customStyle="1" w:styleId="63">
    <w:name w:val="Other|1"/>
    <w:basedOn w:val="1"/>
    <w:qFormat/>
    <w:uiPriority w:val="0"/>
    <w:rPr>
      <w:rFonts w:ascii="宋体" w:cs="宋体"/>
      <w:sz w:val="20"/>
      <w:szCs w:val="20"/>
      <w:lang w:val="zh-TW" w:eastAsia="zh-TW" w:bidi="zh-TW"/>
    </w:rPr>
  </w:style>
  <w:style w:type="paragraph" w:customStyle="1" w:styleId="64">
    <w:name w:val="WPSOffice手动目录 1"/>
    <w:qFormat/>
    <w:uiPriority w:val="0"/>
    <w:rPr>
      <w:rFonts w:ascii="Calibri" w:hAnsi="Calibri" w:eastAsia="宋体" w:cs="黑体"/>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Table Paragraph"/>
    <w:basedOn w:val="37"/>
    <w:qFormat/>
    <w:uiPriority w:val="0"/>
    <w:rPr>
      <w:rFonts w:ascii="宋体" w:hAnsi="宋体"/>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正文缩进_2"/>
    <w:basedOn w:val="70"/>
    <w:unhideWhenUsed/>
    <w:qFormat/>
    <w:uiPriority w:val="0"/>
    <w:pPr>
      <w:ind w:firstLine="420" w:firstLineChars="200"/>
    </w:pPr>
    <w:rPr>
      <w:rFonts w:ascii="Calibri" w:hAnsi="Calibri"/>
    </w:rPr>
  </w:style>
  <w:style w:type="paragraph" w:customStyle="1" w:styleId="70">
    <w:name w:val="正文_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页脚_2"/>
    <w:basedOn w:val="70"/>
    <w:unhideWhenUsed/>
    <w:qFormat/>
    <w:uiPriority w:val="99"/>
    <w:pPr>
      <w:tabs>
        <w:tab w:val="center" w:pos="4153"/>
        <w:tab w:val="right" w:pos="8306"/>
      </w:tabs>
      <w:snapToGrid w:val="0"/>
      <w:jc w:val="left"/>
    </w:pPr>
    <w:rPr>
      <w:rFonts w:ascii="Calibri" w:hAnsi="Calibri"/>
      <w:sz w:val="18"/>
      <w:szCs w:val="18"/>
    </w:rPr>
  </w:style>
  <w:style w:type="paragraph" w:customStyle="1" w:styleId="72">
    <w:name w:val="二级条标题"/>
    <w:basedOn w:val="73"/>
    <w:next w:val="75"/>
    <w:qFormat/>
    <w:uiPriority w:val="0"/>
    <w:pPr>
      <w:outlineLvl w:val="3"/>
    </w:pPr>
  </w:style>
  <w:style w:type="paragraph" w:customStyle="1" w:styleId="73">
    <w:name w:val="一级条标题"/>
    <w:basedOn w:val="74"/>
    <w:next w:val="75"/>
    <w:qFormat/>
    <w:uiPriority w:val="0"/>
    <w:pPr>
      <w:numPr>
        <w:ilvl w:val="1"/>
        <w:numId w:val="0"/>
      </w:numPr>
      <w:outlineLvl w:val="2"/>
    </w:pPr>
  </w:style>
  <w:style w:type="paragraph" w:customStyle="1" w:styleId="74">
    <w:name w:val="章标题"/>
    <w:next w:val="75"/>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7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表格文字"/>
    <w:basedOn w:val="1"/>
    <w:next w:val="9"/>
    <w:qFormat/>
    <w:uiPriority w:val="99"/>
    <w:pPr>
      <w:snapToGrid w:val="0"/>
      <w:spacing w:before="120"/>
    </w:pPr>
    <w:rPr>
      <w:szCs w:val="20"/>
    </w:rPr>
  </w:style>
  <w:style w:type="character" w:customStyle="1" w:styleId="77">
    <w:name w:val="bookmark-item"/>
    <w:qFormat/>
    <w:uiPriority w:val="0"/>
  </w:style>
  <w:style w:type="character" w:customStyle="1" w:styleId="78">
    <w:name w:val="批注文字 Char"/>
    <w:link w:val="8"/>
    <w:qFormat/>
    <w:uiPriority w:val="0"/>
    <w:rPr>
      <w:rFonts w:ascii="Times New Roman" w:hAnsi="Times New Roman" w:eastAsia="宋体" w:cs="Times New Roman"/>
      <w:kern w:val="2"/>
      <w:sz w:val="21"/>
      <w:szCs w:val="24"/>
    </w:rPr>
  </w:style>
  <w:style w:type="character" w:customStyle="1" w:styleId="79">
    <w:name w:val="批注主题 Char"/>
    <w:link w:val="25"/>
    <w:qFormat/>
    <w:uiPriority w:val="0"/>
    <w:rPr>
      <w:rFonts w:ascii="Times New Roman" w:hAnsi="Times New Roman" w:eastAsia="宋体" w:cs="Times New Roman"/>
      <w:b/>
      <w:bCs/>
      <w:kern w:val="2"/>
      <w:sz w:val="21"/>
      <w:szCs w:val="24"/>
    </w:rPr>
  </w:style>
  <w:style w:type="character" w:customStyle="1" w:styleId="80">
    <w:name w:val="批注框文本 Char"/>
    <w:link w:val="15"/>
    <w:qFormat/>
    <w:uiPriority w:val="0"/>
    <w:rPr>
      <w:kern w:val="2"/>
      <w:sz w:val="18"/>
      <w:szCs w:val="18"/>
    </w:rPr>
  </w:style>
  <w:style w:type="character" w:customStyle="1" w:styleId="81">
    <w:name w:val="font01"/>
    <w:qFormat/>
    <w:uiPriority w:val="0"/>
    <w:rPr>
      <w:rFonts w:hint="eastAsia" w:ascii="宋体" w:hAnsi="宋体" w:eastAsia="宋体" w:cs="宋体"/>
      <w:b/>
      <w:color w:val="002060"/>
      <w:sz w:val="24"/>
      <w:szCs w:val="24"/>
      <w:u w:val="none"/>
    </w:rPr>
  </w:style>
  <w:style w:type="table" w:customStyle="1" w:styleId="82">
    <w:name w:val="Table Normal"/>
    <w:unhideWhenUsed/>
    <w:qFormat/>
    <w:uiPriority w:val="0"/>
    <w:tblPr>
      <w:tblCellMar>
        <w:top w:w="0" w:type="dxa"/>
        <w:left w:w="0" w:type="dxa"/>
        <w:bottom w:w="0" w:type="dxa"/>
        <w:right w:w="0" w:type="dxa"/>
      </w:tblCellMar>
    </w:tblPr>
  </w:style>
  <w:style w:type="paragraph" w:customStyle="1" w:styleId="83">
    <w:name w:val="标题 5（有编号）（绿盟科技）"/>
    <w:basedOn w:val="1"/>
    <w:next w:val="84"/>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8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5">
    <w:name w:val="Table Text"/>
    <w:basedOn w:val="1"/>
    <w:semiHidden/>
    <w:qFormat/>
    <w:uiPriority w:val="0"/>
    <w:rPr>
      <w:rFonts w:ascii="宋体" w:hAnsi="宋体" w:eastAsia="宋体" w:cs="宋体"/>
      <w:sz w:val="24"/>
      <w:szCs w:val="24"/>
      <w:lang w:val="en-US" w:eastAsia="en-US" w:bidi="ar-SA"/>
    </w:rPr>
  </w:style>
  <w:style w:type="character" w:customStyle="1" w:styleId="86">
    <w:name w:val="10"/>
    <w:qFormat/>
    <w:uiPriority w:val="0"/>
    <w:rPr>
      <w:rFonts w:hint="default" w:ascii="Calibri" w:hAnsi="Calibri"/>
    </w:rPr>
  </w:style>
  <w:style w:type="paragraph" w:customStyle="1" w:styleId="87">
    <w:name w:val="正文缩进_0"/>
    <w:basedOn w:val="45"/>
    <w:semiHidden/>
    <w:qFormat/>
    <w:uiPriority w:val="0"/>
    <w:pPr>
      <w:adjustRightInd w:val="0"/>
      <w:spacing w:line="360" w:lineRule="atLeast"/>
      <w:ind w:firstLine="482"/>
      <w:textAlignment w:val="baseline"/>
    </w:pPr>
    <w:rPr>
      <w:rFonts w:ascii="Times New Roman" w:hAnsi="Times New Roman"/>
      <w:kern w:val="0"/>
      <w:sz w:val="24"/>
      <w:szCs w:val="24"/>
    </w:rPr>
  </w:style>
  <w:style w:type="paragraph" w:customStyle="1" w:styleId="8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9">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文本缩进_2"/>
    <w:basedOn w:val="89"/>
    <w:qFormat/>
    <w:uiPriority w:val="0"/>
    <w:pPr>
      <w:spacing w:line="500" w:lineRule="exact"/>
      <w:ind w:left="1588" w:leftChars="832" w:firstLine="433" w:firstLineChars="196"/>
    </w:pPr>
    <w:rPr>
      <w:kern w:val="0"/>
      <w:sz w:val="24"/>
    </w:rPr>
  </w:style>
  <w:style w:type="paragraph" w:customStyle="1" w:styleId="91">
    <w:name w:val="正文1"/>
    <w:basedOn w:val="92"/>
    <w:qFormat/>
    <w:uiPriority w:val="3"/>
    <w:pPr>
      <w:tabs>
        <w:tab w:val="left" w:pos="709"/>
      </w:tabs>
    </w:pPr>
  </w:style>
  <w:style w:type="paragraph" w:customStyle="1" w:styleId="92">
    <w:name w:val="样式1"/>
    <w:basedOn w:val="1"/>
    <w:next w:val="6"/>
    <w:qFormat/>
    <w:uiPriority w:val="3"/>
    <w:pPr>
      <w:tabs>
        <w:tab w:val="left" w:pos="709"/>
      </w:tabs>
      <w:ind w:left="709" w:hanging="709"/>
    </w:pPr>
    <w:rPr>
      <w:rFonts w:ascii="宋体" w:hAnsi="宋体" w:cs="宋体"/>
      <w:szCs w:val="21"/>
    </w:rPr>
  </w:style>
  <w:style w:type="paragraph" w:customStyle="1" w:styleId="93">
    <w:name w:val="正文_2_0_0"/>
    <w:qFormat/>
    <w:uiPriority w:val="5"/>
    <w:pPr>
      <w:widowControl w:val="0"/>
      <w:jc w:val="both"/>
    </w:pPr>
    <w:rPr>
      <w:rFonts w:ascii="Calibri" w:hAnsi="Calibri" w:eastAsia="宋体" w:cs="Calibri"/>
      <w:color w:val="000000"/>
      <w:kern w:val="1"/>
      <w:sz w:val="21"/>
      <w:szCs w:val="22"/>
      <w:lang w:val="en-US" w:eastAsia="zh-CN" w:bidi="ar-SA"/>
    </w:rPr>
  </w:style>
  <w:style w:type="character" w:customStyle="1" w:styleId="94">
    <w:name w:val="标题 3 Char"/>
    <w:link w:val="5"/>
    <w:qFormat/>
    <w:uiPriority w:val="2"/>
    <w:rPr>
      <w:rFonts w:eastAsia="黑体"/>
      <w:b/>
      <w:bCs/>
      <w:sz w:val="32"/>
      <w:szCs w:val="32"/>
    </w:rPr>
  </w:style>
  <w:style w:type="paragraph" w:customStyle="1" w:styleId="95">
    <w:name w:val="正文_1_0_0"/>
    <w:basedOn w:val="96"/>
    <w:qFormat/>
    <w:uiPriority w:val="0"/>
  </w:style>
  <w:style w:type="paragraph" w:customStyle="1" w:styleId="96">
    <w:name w:val="正文_3_1"/>
    <w:basedOn w:val="22"/>
    <w:qFormat/>
    <w:uiPriority w:val="0"/>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wmf"/><Relationship Id="rId24" Type="http://schemas.openxmlformats.org/officeDocument/2006/relationships/oleObject" Target="embeddings/oleObject5.bin"/><Relationship Id="rId23" Type="http://schemas.openxmlformats.org/officeDocument/2006/relationships/image" Target="media/image4.wmf"/><Relationship Id="rId22" Type="http://schemas.openxmlformats.org/officeDocument/2006/relationships/oleObject" Target="embeddings/oleObject4.bin"/><Relationship Id="rId21" Type="http://schemas.openxmlformats.org/officeDocument/2006/relationships/image" Target="media/image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171</Pages>
  <Words>14622</Words>
  <Characters>15702</Characters>
  <Lines>325</Lines>
  <Paragraphs>91</Paragraphs>
  <TotalTime>89</TotalTime>
  <ScaleCrop>false</ScaleCrop>
  <LinksUpToDate>false</LinksUpToDate>
  <CharactersWithSpaces>16153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2023-01-18T18:50:00Z</dcterms:created>
  <dc:creator>园子</dc:creator>
  <cp:lastModifiedBy>WineGuest</cp:lastModifiedBy>
  <cp:lastPrinted>2023-01-28T02:15:00Z</cp:lastPrinted>
  <dcterms:modified xsi:type="dcterms:W3CDTF">2026-04-30T12:30:48Z</dcterms:modified>
  <dc:title>中华人民共和国新疆出入境边防检查总站乌鲁木齐警犬训练基地犬用品采购项目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866116E71BCA44CCBFEDBEB27868E07B_13</vt:lpwstr>
  </property>
  <property fmtid="{D5CDD505-2E9C-101B-9397-08002B2CF9AE}" pid="4" name="KSOTemplateDocerSaveRecord">
    <vt:lpwstr>eyJoZGlkIjoiNGU1MWJhYTUxNDgxMjU0MDM3YmY5OWFkNDE0YWY1MTYiLCJ1c2VySWQiOiI0OTAzNDI5NzIifQ==</vt:lpwstr>
  </property>
</Properties>
</file>