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4D831">
      <w:pPr>
        <w:rPr>
          <w:rFonts w:hint="eastAsia" w:ascii="仿宋" w:hAnsi="仿宋" w:eastAsia="仿宋" w:cs="仿宋"/>
          <w:highlight w:val="none"/>
        </w:rPr>
      </w:pPr>
    </w:p>
    <w:p w14:paraId="2383A437">
      <w:pPr>
        <w:rPr>
          <w:rFonts w:hint="eastAsia" w:ascii="仿宋" w:hAnsi="仿宋" w:eastAsia="仿宋" w:cs="仿宋"/>
          <w:highlight w:val="none"/>
        </w:rPr>
      </w:pPr>
    </w:p>
    <w:p w14:paraId="0586E525">
      <w:pPr>
        <w:tabs>
          <w:tab w:val="left" w:pos="5196"/>
        </w:tabs>
        <w:jc w:val="left"/>
        <w:rPr>
          <w:rFonts w:hint="eastAsia" w:ascii="仿宋" w:hAnsi="仿宋" w:eastAsia="仿宋" w:cs="仿宋"/>
          <w:sz w:val="36"/>
          <w:szCs w:val="36"/>
          <w:highlight w:val="none"/>
          <w:lang w:eastAsia="zh-CN"/>
        </w:rPr>
      </w:pPr>
      <w:r>
        <w:rPr>
          <w:rFonts w:hint="eastAsia" w:ascii="仿宋" w:hAnsi="仿宋" w:eastAsia="仿宋" w:cs="仿宋"/>
          <w:sz w:val="36"/>
          <w:szCs w:val="36"/>
          <w:highlight w:val="none"/>
          <w:lang w:eastAsia="zh-CN"/>
        </w:rPr>
        <w:tab/>
      </w:r>
    </w:p>
    <w:p w14:paraId="36E0A253">
      <w:pPr>
        <w:jc w:val="center"/>
        <w:rPr>
          <w:rFonts w:hint="eastAsia" w:ascii="仿宋" w:hAnsi="仿宋" w:eastAsia="仿宋" w:cs="仿宋"/>
          <w:sz w:val="32"/>
          <w:szCs w:val="32"/>
          <w:highlight w:val="none"/>
        </w:rPr>
        <w:sectPr>
          <w:headerReference r:id="rId3" w:type="first"/>
          <w:footerReference r:id="rId5" w:type="firs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87" w:charSpace="0"/>
        </w:sectPr>
      </w:pPr>
      <w:r>
        <w:rPr>
          <w:rFonts w:hint="eastAsia" w:ascii="仿宋" w:hAnsi="仿宋" w:eastAsia="仿宋" w:cs="仿宋"/>
          <w:highlight w:val="none"/>
        </w:rPr>
        <w:drawing>
          <wp:anchor distT="0" distB="0" distL="114300" distR="114300" simplePos="0" relativeHeight="251667456" behindDoc="0" locked="0" layoutInCell="1" allowOverlap="1">
            <wp:simplePos x="0" y="0"/>
            <wp:positionH relativeFrom="column">
              <wp:posOffset>3133090</wp:posOffset>
            </wp:positionH>
            <wp:positionV relativeFrom="page">
              <wp:posOffset>6831965</wp:posOffset>
            </wp:positionV>
            <wp:extent cx="1417320" cy="1410970"/>
            <wp:effectExtent l="0" t="0" r="11430" b="17780"/>
            <wp:wrapNone/>
            <wp:docPr id="8" name="图片 8" descr="扫描全能王 2022-09-16 10.5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扫描全能王 2022-09-16 10.51_2"/>
                    <pic:cNvPicPr>
                      <a:picLocks noChangeAspect="1"/>
                    </pic:cNvPicPr>
                  </pic:nvPicPr>
                  <pic:blipFill>
                    <a:blip r:embed="rId10"/>
                    <a:srcRect l="22113" t="29394" r="21666" b="28715"/>
                    <a:stretch>
                      <a:fillRect/>
                    </a:stretch>
                  </pic:blipFill>
                  <pic:spPr>
                    <a:xfrm>
                      <a:off x="0" y="0"/>
                      <a:ext cx="1417320" cy="1410970"/>
                    </a:xfrm>
                    <a:prstGeom prst="rect">
                      <a:avLst/>
                    </a:prstGeom>
                  </pic:spPr>
                </pic:pic>
              </a:graphicData>
            </a:graphic>
          </wp:anchor>
        </w:drawing>
      </w:r>
      <w:r>
        <w:rPr>
          <w:rFonts w:hint="eastAsia" w:ascii="仿宋" w:hAnsi="仿宋" w:eastAsia="仿宋" w:cs="仿宋"/>
          <w:highlight w:val="none"/>
        </w:rPr>
        <mc:AlternateContent>
          <mc:Choice Requires="wps">
            <w:drawing>
              <wp:anchor distT="0" distB="0" distL="114300" distR="114300" simplePos="0" relativeHeight="251666432" behindDoc="0" locked="0" layoutInCell="1" allowOverlap="1">
                <wp:simplePos x="0" y="0"/>
                <wp:positionH relativeFrom="column">
                  <wp:posOffset>-86360</wp:posOffset>
                </wp:positionH>
                <wp:positionV relativeFrom="paragraph">
                  <wp:posOffset>4456430</wp:posOffset>
                </wp:positionV>
                <wp:extent cx="5464175" cy="3237230"/>
                <wp:effectExtent l="0" t="0" r="0" b="0"/>
                <wp:wrapNone/>
                <wp:docPr id="6" name="文本框 6"/>
                <wp:cNvGraphicFramePr/>
                <a:graphic xmlns:a="http://schemas.openxmlformats.org/drawingml/2006/main">
                  <a:graphicData uri="http://schemas.microsoft.com/office/word/2010/wordprocessingShape">
                    <wps:wsp>
                      <wps:cNvSpPr txBox="1"/>
                      <wps:spPr>
                        <a:xfrm>
                          <a:off x="0" y="0"/>
                          <a:ext cx="5464175" cy="32372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6C1E1D">
                            <w:pPr>
                              <w:jc w:val="left"/>
                            </w:pPr>
                            <w:r>
                              <w:rPr>
                                <w:rFonts w:hint="eastAsia" w:ascii="微软雅黑" w:hAnsi="微软雅黑" w:eastAsia="微软雅黑" w:cs="微软雅黑"/>
                                <w:b/>
                                <w:bCs/>
                                <w:color w:val="237085"/>
                                <w:sz w:val="32"/>
                                <w:szCs w:val="32"/>
                              </w:rPr>
                              <w:t>采购人：</w:t>
                            </w:r>
                            <w:r>
                              <w:rPr>
                                <w:rFonts w:hint="eastAsia" w:ascii="微软雅黑" w:hAnsi="微软雅黑" w:eastAsia="微软雅黑" w:cs="微软雅黑"/>
                                <w:b/>
                                <w:bCs/>
                                <w:color w:val="237085"/>
                                <w:sz w:val="32"/>
                                <w:szCs w:val="32"/>
                                <w:lang w:eastAsia="zh-CN"/>
                              </w:rPr>
                              <w:t>新疆职业大学</w:t>
                            </w:r>
                            <w:r>
                              <w:rPr>
                                <w:rFonts w:hint="eastAsia" w:ascii="微软雅黑" w:hAnsi="微软雅黑" w:eastAsia="微软雅黑" w:cs="微软雅黑"/>
                                <w:b/>
                                <w:bCs/>
                                <w:color w:val="237085"/>
                                <w:sz w:val="32"/>
                                <w:szCs w:val="32"/>
                              </w:rPr>
                              <w:t>（盖章）</w:t>
                            </w:r>
                          </w:p>
                          <w:p w14:paraId="645D3073">
                            <w:pPr>
                              <w:jc w:val="left"/>
                              <w:rPr>
                                <w:rFonts w:ascii="微软雅黑" w:hAnsi="微软雅黑" w:eastAsia="微软雅黑" w:cs="微软雅黑"/>
                                <w:b/>
                                <w:bCs/>
                                <w:color w:val="237085"/>
                                <w:sz w:val="32"/>
                                <w:szCs w:val="32"/>
                              </w:rPr>
                            </w:pPr>
                          </w:p>
                          <w:p w14:paraId="439D29F7">
                            <w:pPr>
                              <w:jc w:val="left"/>
                              <w:rPr>
                                <w:rFonts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rPr>
                              <w:t>采购代理机构：新疆世纪星工程咨询有限公司（盖章）</w:t>
                            </w:r>
                          </w:p>
                          <w:p w14:paraId="1684F67D">
                            <w:pPr>
                              <w:jc w:val="center"/>
                              <w:rPr>
                                <w:rFonts w:ascii="微软雅黑" w:hAnsi="微软雅黑" w:eastAsia="微软雅黑" w:cs="微软雅黑"/>
                                <w:b/>
                                <w:bCs/>
                                <w:color w:val="237085"/>
                                <w:sz w:val="32"/>
                                <w:szCs w:val="32"/>
                              </w:rPr>
                            </w:pPr>
                          </w:p>
                          <w:p w14:paraId="68AC6544">
                            <w:pPr>
                              <w:jc w:val="center"/>
                              <w:rPr>
                                <w:rFonts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rPr>
                              <w:t>日期：2026年</w:t>
                            </w:r>
                            <w:r>
                              <w:rPr>
                                <w:rFonts w:hint="eastAsia" w:ascii="微软雅黑" w:hAnsi="微软雅黑" w:eastAsia="微软雅黑" w:cs="微软雅黑"/>
                                <w:b/>
                                <w:bCs/>
                                <w:color w:val="237085"/>
                                <w:sz w:val="32"/>
                                <w:szCs w:val="32"/>
                                <w:lang w:val="en-US" w:eastAsia="zh-CN"/>
                              </w:rPr>
                              <w:t>04</w:t>
                            </w:r>
                            <w:r>
                              <w:rPr>
                                <w:rFonts w:hint="eastAsia" w:ascii="微软雅黑" w:hAnsi="微软雅黑" w:eastAsia="微软雅黑" w:cs="微软雅黑"/>
                                <w:b/>
                                <w:bCs/>
                                <w:color w:val="237085"/>
                                <w:sz w:val="32"/>
                                <w:szCs w:val="32"/>
                              </w:rPr>
                              <w:t>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pt;margin-top:350.9pt;height:254.9pt;width:430.25pt;z-index:251666432;mso-width-relative:page;mso-height-relative:page;" filled="f" stroked="f" coordsize="21600,21600" o:gfxdata="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xIHQ5dwAAAAMAQAADwAAAAAAAAABACAAAAAiAAAA&#10;ZHJzL2Rvd25yZXYueG1sUEsBAhQAFAAAAAgAh07iQLaQHtc8AgAAZwQAAA4AAAAAAAAAAQAgAAAA&#10;KwEAAGRycy9lMm9Eb2MueG1sUEsFBgAAAAAGAAYAWQEAANkFAAAAAA==&#10;">
                <v:fill on="f" focussize="0,0"/>
                <v:stroke on="f" weight="0.5pt"/>
                <v:imagedata o:title=""/>
                <o:lock v:ext="edit" aspectratio="f"/>
                <v:textbox>
                  <w:txbxContent>
                    <w:p w14:paraId="686C1E1D">
                      <w:pPr>
                        <w:jc w:val="left"/>
                      </w:pPr>
                      <w:r>
                        <w:rPr>
                          <w:rFonts w:hint="eastAsia" w:ascii="微软雅黑" w:hAnsi="微软雅黑" w:eastAsia="微软雅黑" w:cs="微软雅黑"/>
                          <w:b/>
                          <w:bCs/>
                          <w:color w:val="237085"/>
                          <w:sz w:val="32"/>
                          <w:szCs w:val="32"/>
                        </w:rPr>
                        <w:t>采购人：</w:t>
                      </w:r>
                      <w:r>
                        <w:rPr>
                          <w:rFonts w:hint="eastAsia" w:ascii="微软雅黑" w:hAnsi="微软雅黑" w:eastAsia="微软雅黑" w:cs="微软雅黑"/>
                          <w:b/>
                          <w:bCs/>
                          <w:color w:val="237085"/>
                          <w:sz w:val="32"/>
                          <w:szCs w:val="32"/>
                          <w:lang w:eastAsia="zh-CN"/>
                        </w:rPr>
                        <w:t>新疆职业大学</w:t>
                      </w:r>
                      <w:r>
                        <w:rPr>
                          <w:rFonts w:hint="eastAsia" w:ascii="微软雅黑" w:hAnsi="微软雅黑" w:eastAsia="微软雅黑" w:cs="微软雅黑"/>
                          <w:b/>
                          <w:bCs/>
                          <w:color w:val="237085"/>
                          <w:sz w:val="32"/>
                          <w:szCs w:val="32"/>
                        </w:rPr>
                        <w:t>（盖章）</w:t>
                      </w:r>
                    </w:p>
                    <w:p w14:paraId="645D3073">
                      <w:pPr>
                        <w:jc w:val="left"/>
                        <w:rPr>
                          <w:rFonts w:ascii="微软雅黑" w:hAnsi="微软雅黑" w:eastAsia="微软雅黑" w:cs="微软雅黑"/>
                          <w:b/>
                          <w:bCs/>
                          <w:color w:val="237085"/>
                          <w:sz w:val="32"/>
                          <w:szCs w:val="32"/>
                        </w:rPr>
                      </w:pPr>
                    </w:p>
                    <w:p w14:paraId="439D29F7">
                      <w:pPr>
                        <w:jc w:val="left"/>
                        <w:rPr>
                          <w:rFonts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rPr>
                        <w:t>采购代理机构：新疆世纪星工程咨询有限公司（盖章）</w:t>
                      </w:r>
                    </w:p>
                    <w:p w14:paraId="1684F67D">
                      <w:pPr>
                        <w:jc w:val="center"/>
                        <w:rPr>
                          <w:rFonts w:ascii="微软雅黑" w:hAnsi="微软雅黑" w:eastAsia="微软雅黑" w:cs="微软雅黑"/>
                          <w:b/>
                          <w:bCs/>
                          <w:color w:val="237085"/>
                          <w:sz w:val="32"/>
                          <w:szCs w:val="32"/>
                        </w:rPr>
                      </w:pPr>
                    </w:p>
                    <w:p w14:paraId="68AC6544">
                      <w:pPr>
                        <w:jc w:val="center"/>
                        <w:rPr>
                          <w:rFonts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rPr>
                        <w:t>日期：2026年</w:t>
                      </w:r>
                      <w:r>
                        <w:rPr>
                          <w:rFonts w:hint="eastAsia" w:ascii="微软雅黑" w:hAnsi="微软雅黑" w:eastAsia="微软雅黑" w:cs="微软雅黑"/>
                          <w:b/>
                          <w:bCs/>
                          <w:color w:val="237085"/>
                          <w:sz w:val="32"/>
                          <w:szCs w:val="32"/>
                          <w:lang w:val="en-US" w:eastAsia="zh-CN"/>
                        </w:rPr>
                        <w:t>04</w:t>
                      </w:r>
                      <w:r>
                        <w:rPr>
                          <w:rFonts w:hint="eastAsia" w:ascii="微软雅黑" w:hAnsi="微软雅黑" w:eastAsia="微软雅黑" w:cs="微软雅黑"/>
                          <w:b/>
                          <w:bCs/>
                          <w:color w:val="237085"/>
                          <w:sz w:val="32"/>
                          <w:szCs w:val="32"/>
                        </w:rPr>
                        <w:t>月</w:t>
                      </w:r>
                    </w:p>
                  </w:txbxContent>
                </v:textbox>
              </v:shape>
            </w:pict>
          </mc:Fallback>
        </mc:AlternateContent>
      </w:r>
      <w:r>
        <w:rPr>
          <w:rFonts w:hint="eastAsia" w:ascii="仿宋" w:hAnsi="仿宋" w:eastAsia="仿宋" w:cs="仿宋"/>
          <w:sz w:val="21"/>
          <w:highlight w:val="none"/>
        </w:rPr>
        <mc:AlternateContent>
          <mc:Choice Requires="wps">
            <w:drawing>
              <wp:anchor distT="0" distB="0" distL="114300" distR="114300" simplePos="0" relativeHeight="251665408" behindDoc="0" locked="0" layoutInCell="1" allowOverlap="1">
                <wp:simplePos x="0" y="0"/>
                <wp:positionH relativeFrom="column">
                  <wp:posOffset>1325880</wp:posOffset>
                </wp:positionH>
                <wp:positionV relativeFrom="paragraph">
                  <wp:posOffset>3195320</wp:posOffset>
                </wp:positionV>
                <wp:extent cx="2648585" cy="99695"/>
                <wp:effectExtent l="0" t="0" r="18415" b="14605"/>
                <wp:wrapNone/>
                <wp:docPr id="3" name="矩形 3"/>
                <wp:cNvGraphicFramePr/>
                <a:graphic xmlns:a="http://schemas.openxmlformats.org/drawingml/2006/main">
                  <a:graphicData uri="http://schemas.microsoft.com/office/word/2010/wordprocessingShape">
                    <wps:wsp>
                      <wps:cNvSpPr/>
                      <wps:spPr>
                        <a:xfrm>
                          <a:off x="0" y="0"/>
                          <a:ext cx="2648585" cy="99695"/>
                        </a:xfrm>
                        <a:prstGeom prst="rect">
                          <a:avLst/>
                        </a:prstGeom>
                        <a:solidFill>
                          <a:srgbClr val="2E93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4.4pt;margin-top:251.6pt;height:7.85pt;width:208.55pt;z-index:251665408;v-text-anchor:middle;mso-width-relative:page;mso-height-relative:page;" fillcolor="#2E93B0" filled="t" stroked="f" coordsize="21600,21600" o:gfxdata="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jSgl9tkAAAALAQAADwAAAAAAAAABACAAAAAiAAAAZHJzL2Rvd25y&#10;ZXYueG1sUEsBAhQAFAAAAAgAh07iQLWhYHFvAgAAygQAAA4AAAAAAAAAAQAgAAAAKAEAAGRycy9l&#10;Mm9Eb2MueG1sUEsFBgAAAAAGAAYAWQEAAAkGAAAAAA==&#10;">
                <v:fill on="t" focussize="0,0"/>
                <v:stroke on="f" weight="1pt" miterlimit="8" joinstyle="miter"/>
                <v:imagedata o:title=""/>
                <o:lock v:ext="edit" aspectratio="f"/>
              </v:rect>
            </w:pict>
          </mc:Fallback>
        </mc:AlternateContent>
      </w:r>
      <w:r>
        <w:rPr>
          <w:rFonts w:hint="eastAsia" w:ascii="仿宋" w:hAnsi="仿宋" w:eastAsia="仿宋" w:cs="仿宋"/>
          <w:sz w:val="21"/>
          <w:highlight w:val="none"/>
        </w:rPr>
        <mc:AlternateContent>
          <mc:Choice Requires="wps">
            <w:drawing>
              <wp:anchor distT="0" distB="0" distL="114300" distR="114300" simplePos="0" relativeHeight="251663360" behindDoc="0" locked="0" layoutInCell="1" allowOverlap="1">
                <wp:simplePos x="0" y="0"/>
                <wp:positionH relativeFrom="column">
                  <wp:posOffset>-1172845</wp:posOffset>
                </wp:positionH>
                <wp:positionV relativeFrom="paragraph">
                  <wp:posOffset>-247650</wp:posOffset>
                </wp:positionV>
                <wp:extent cx="7621270" cy="1615440"/>
                <wp:effectExtent l="0" t="0" r="0" b="0"/>
                <wp:wrapNone/>
                <wp:docPr id="9" name="文本框 9"/>
                <wp:cNvGraphicFramePr/>
                <a:graphic xmlns:a="http://schemas.openxmlformats.org/drawingml/2006/main">
                  <a:graphicData uri="http://schemas.microsoft.com/office/word/2010/wordprocessingShape">
                    <wps:wsp>
                      <wps:cNvSpPr txBox="1"/>
                      <wps:spPr>
                        <a:xfrm>
                          <a:off x="0" y="0"/>
                          <a:ext cx="7621270" cy="16154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39944F">
                            <w:pPr>
                              <w:jc w:val="center"/>
                              <w:rPr>
                                <w:rFonts w:hint="eastAsia" w:ascii="微软雅黑" w:hAnsi="微软雅黑" w:eastAsia="微软雅黑" w:cs="微软雅黑"/>
                                <w:b/>
                                <w:bCs/>
                                <w:color w:val="237085"/>
                                <w:sz w:val="44"/>
                                <w:szCs w:val="44"/>
                                <w:highlight w:val="none"/>
                                <w:lang w:val="en-US" w:eastAsia="zh-CN"/>
                              </w:rPr>
                            </w:pPr>
                            <w:r>
                              <w:rPr>
                                <w:rFonts w:hint="eastAsia" w:ascii="微软雅黑" w:hAnsi="微软雅黑" w:eastAsia="微软雅黑" w:cs="微软雅黑"/>
                                <w:b/>
                                <w:bCs/>
                                <w:color w:val="237085"/>
                                <w:sz w:val="44"/>
                                <w:szCs w:val="44"/>
                                <w:highlight w:val="none"/>
                                <w:lang w:val="en-US" w:eastAsia="zh-CN"/>
                              </w:rPr>
                              <w:t>新疆职业大学职工生日蛋糕供应服务采购项目（二次）</w:t>
                            </w:r>
                          </w:p>
                          <w:p w14:paraId="1F100C54">
                            <w:pPr>
                              <w:jc w:val="center"/>
                              <w:rPr>
                                <w:rFonts w:hint="default" w:ascii="微软雅黑" w:hAnsi="微软雅黑" w:eastAsia="微软雅黑" w:cs="微软雅黑"/>
                                <w:b/>
                                <w:bCs/>
                                <w:color w:val="237085"/>
                                <w:sz w:val="28"/>
                                <w:szCs w:val="28"/>
                                <w:highlight w:val="none"/>
                                <w:lang w:val="en-US" w:eastAsia="zh-CN"/>
                              </w:rPr>
                            </w:pPr>
                            <w:r>
                              <w:rPr>
                                <w:rFonts w:hint="eastAsia" w:ascii="微软雅黑" w:hAnsi="微软雅黑" w:eastAsia="微软雅黑" w:cs="微软雅黑"/>
                                <w:b/>
                                <w:bCs/>
                                <w:color w:val="237085"/>
                                <w:sz w:val="28"/>
                                <w:szCs w:val="28"/>
                                <w:highlight w:val="none"/>
                                <w:lang w:val="en-US" w:eastAsia="zh-CN"/>
                              </w:rPr>
                              <w:t>（项目编号：SJX-2026-192-02）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2.35pt;margin-top:-19.5pt;height:127.2pt;width:600.1pt;z-index:251663360;mso-width-relative:page;mso-height-relative:page;" filled="f" stroked="f" coordsize="21600,21600" o:gfxdata="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P4fZmbdAAAADQEAAA8AAAAAAAAAAQAgAAAAIgAA&#10;AGRycy9kb3ducmV2LnhtbFBLAQIUABQAAAAIAIdO4kChs09/PAIAAGcEAAAOAAAAAAAAAAEAIAAA&#10;ACwBAABkcnMvZTJvRG9jLnhtbFBLBQYAAAAABgAGAFkBAADaBQAAAAA=&#10;">
                <v:fill on="f" focussize="0,0"/>
                <v:stroke on="f" weight="0.5pt"/>
                <v:imagedata o:title=""/>
                <o:lock v:ext="edit" aspectratio="f"/>
                <v:textbox>
                  <w:txbxContent>
                    <w:p w14:paraId="4939944F">
                      <w:pPr>
                        <w:jc w:val="center"/>
                        <w:rPr>
                          <w:rFonts w:hint="eastAsia" w:ascii="微软雅黑" w:hAnsi="微软雅黑" w:eastAsia="微软雅黑" w:cs="微软雅黑"/>
                          <w:b/>
                          <w:bCs/>
                          <w:color w:val="237085"/>
                          <w:sz w:val="44"/>
                          <w:szCs w:val="44"/>
                          <w:highlight w:val="none"/>
                          <w:lang w:val="en-US" w:eastAsia="zh-CN"/>
                        </w:rPr>
                      </w:pPr>
                      <w:r>
                        <w:rPr>
                          <w:rFonts w:hint="eastAsia" w:ascii="微软雅黑" w:hAnsi="微软雅黑" w:eastAsia="微软雅黑" w:cs="微软雅黑"/>
                          <w:b/>
                          <w:bCs/>
                          <w:color w:val="237085"/>
                          <w:sz w:val="44"/>
                          <w:szCs w:val="44"/>
                          <w:highlight w:val="none"/>
                          <w:lang w:val="en-US" w:eastAsia="zh-CN"/>
                        </w:rPr>
                        <w:t>新疆职业大学职工生日蛋糕供应服务采购项目（二次）</w:t>
                      </w:r>
                    </w:p>
                    <w:p w14:paraId="1F100C54">
                      <w:pPr>
                        <w:jc w:val="center"/>
                        <w:rPr>
                          <w:rFonts w:hint="default" w:ascii="微软雅黑" w:hAnsi="微软雅黑" w:eastAsia="微软雅黑" w:cs="微软雅黑"/>
                          <w:b/>
                          <w:bCs/>
                          <w:color w:val="237085"/>
                          <w:sz w:val="28"/>
                          <w:szCs w:val="28"/>
                          <w:highlight w:val="none"/>
                          <w:lang w:val="en-US" w:eastAsia="zh-CN"/>
                        </w:rPr>
                      </w:pPr>
                      <w:r>
                        <w:rPr>
                          <w:rFonts w:hint="eastAsia" w:ascii="微软雅黑" w:hAnsi="微软雅黑" w:eastAsia="微软雅黑" w:cs="微软雅黑"/>
                          <w:b/>
                          <w:bCs/>
                          <w:color w:val="237085"/>
                          <w:sz w:val="28"/>
                          <w:szCs w:val="28"/>
                          <w:highlight w:val="none"/>
                          <w:lang w:val="en-US" w:eastAsia="zh-CN"/>
                        </w:rPr>
                        <w:t>（项目编号：SJX-2026-192-02）</w:t>
                      </w:r>
                    </w:p>
                  </w:txbxContent>
                </v:textbox>
              </v:shape>
            </w:pict>
          </mc:Fallback>
        </mc:AlternateContent>
      </w:r>
      <w:r>
        <w:rPr>
          <w:rFonts w:hint="eastAsia" w:ascii="仿宋" w:hAnsi="仿宋" w:eastAsia="仿宋" w:cs="仿宋"/>
          <w:sz w:val="21"/>
          <w:highlight w:val="none"/>
        </w:rPr>
        <mc:AlternateContent>
          <mc:Choice Requires="wps">
            <w:drawing>
              <wp:anchor distT="0" distB="0" distL="114300" distR="114300" simplePos="0" relativeHeight="251664384" behindDoc="0" locked="0" layoutInCell="1" allowOverlap="1">
                <wp:simplePos x="0" y="0"/>
                <wp:positionH relativeFrom="column">
                  <wp:posOffset>-889635</wp:posOffset>
                </wp:positionH>
                <wp:positionV relativeFrom="paragraph">
                  <wp:posOffset>2136775</wp:posOffset>
                </wp:positionV>
                <wp:extent cx="7130415" cy="98488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7130415" cy="9848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D00B64">
                            <w:pPr>
                              <w:pStyle w:val="30"/>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bookmarkStart w:id="89" w:name="OLE_LINK2"/>
                            <w:r>
                              <w:rPr>
                                <w:rFonts w:hint="eastAsia" w:ascii="微软雅黑" w:hAnsi="微软雅黑" w:eastAsia="微软雅黑" w:cs="微软雅黑"/>
                                <w:b/>
                                <w:bCs/>
                                <w:color w:val="2E93B0"/>
                                <w:sz w:val="72"/>
                                <w:szCs w:val="72"/>
                                <w:lang w:val="en-US" w:eastAsia="zh-CN"/>
                              </w:rPr>
                              <w:t>竞争性磋商采购文件</w:t>
                            </w:r>
                            <w:bookmarkEnd w:id="89"/>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05pt;margin-top:168.25pt;height:77.55pt;width:561.45pt;z-index:251664384;mso-width-relative:page;mso-height-relative:page;" filled="f" stroked="f" coordsize="21600,21600" o:gfxdata="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rE2bL3QAAAAwBAAAPAAAAAAAAAAEAIAAAACIA&#10;AABkcnMvZG93bnJldi54bWxQSwECFAAUAAAACACHTuJARb/aFT0CAABoBAAADgAAAAAAAAABACAA&#10;AAAsAQAAZHJzL2Uyb0RvYy54bWxQSwUGAAAAAAYABgBZAQAA2wUAAAAA&#10;">
                <v:fill on="f" focussize="0,0"/>
                <v:stroke on="f" weight="0.5pt"/>
                <v:imagedata o:title=""/>
                <o:lock v:ext="edit" aspectratio="f"/>
                <v:textbox>
                  <w:txbxContent>
                    <w:p w14:paraId="25D00B64">
                      <w:pPr>
                        <w:pStyle w:val="30"/>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bookmarkStart w:id="89" w:name="OLE_LINK2"/>
                      <w:r>
                        <w:rPr>
                          <w:rFonts w:hint="eastAsia" w:ascii="微软雅黑" w:hAnsi="微软雅黑" w:eastAsia="微软雅黑" w:cs="微软雅黑"/>
                          <w:b/>
                          <w:bCs/>
                          <w:color w:val="2E93B0"/>
                          <w:sz w:val="72"/>
                          <w:szCs w:val="72"/>
                          <w:lang w:val="en-US" w:eastAsia="zh-CN"/>
                        </w:rPr>
                        <w:t>竞争性磋商采购文件</w:t>
                      </w:r>
                      <w:bookmarkEnd w:id="89"/>
                    </w:p>
                  </w:txbxContent>
                </v:textbox>
              </v:shape>
            </w:pict>
          </mc:Fallback>
        </mc:AlternateContent>
      </w:r>
      <w:r>
        <w:rPr>
          <w:rFonts w:hint="eastAsia" w:ascii="仿宋" w:hAnsi="仿宋" w:eastAsia="仿宋" w:cs="仿宋"/>
          <w:highlight w:val="none"/>
        </w:rPr>
        <w:drawing>
          <wp:anchor distT="0" distB="0" distL="114300" distR="114300" simplePos="0" relativeHeight="251662336" behindDoc="1" locked="0" layoutInCell="1" allowOverlap="1">
            <wp:simplePos x="0" y="0"/>
            <wp:positionH relativeFrom="column">
              <wp:posOffset>-1240155</wp:posOffset>
            </wp:positionH>
            <wp:positionV relativeFrom="paragraph">
              <wp:posOffset>-1894205</wp:posOffset>
            </wp:positionV>
            <wp:extent cx="7769225" cy="10739755"/>
            <wp:effectExtent l="0" t="0" r="3175" b="444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7769225" cy="10739755"/>
                    </a:xfrm>
                    <a:prstGeom prst="rect">
                      <a:avLst/>
                    </a:prstGeom>
                    <a:noFill/>
                    <a:ln>
                      <a:noFill/>
                    </a:ln>
                  </pic:spPr>
                </pic:pic>
              </a:graphicData>
            </a:graphic>
          </wp:anchor>
        </w:drawing>
      </w:r>
    </w:p>
    <w:p w14:paraId="5A3CE50D">
      <w:pPr>
        <w:jc w:val="cente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目 录</w:t>
      </w:r>
    </w:p>
    <w:p w14:paraId="4C8FB56A">
      <w:pPr>
        <w:jc w:val="both"/>
        <w:rPr>
          <w:rFonts w:hint="eastAsia" w:ascii="仿宋" w:hAnsi="仿宋" w:eastAsia="仿宋" w:cs="仿宋"/>
          <w:sz w:val="24"/>
          <w:szCs w:val="24"/>
          <w:highlight w:val="none"/>
          <w:lang w:val="en-US" w:eastAsia="zh-CN"/>
        </w:rPr>
      </w:pPr>
    </w:p>
    <w:sdt>
      <w:sdtPr>
        <w:rPr>
          <w:rFonts w:hint="eastAsia" w:ascii="仿宋" w:hAnsi="仿宋" w:eastAsia="仿宋" w:cs="仿宋"/>
          <w:kern w:val="2"/>
          <w:sz w:val="21"/>
          <w:szCs w:val="24"/>
          <w:highlight w:val="none"/>
          <w:lang w:val="en-US" w:eastAsia="zh-CN" w:bidi="ar-SA"/>
        </w:rPr>
        <w:id w:val="147458556"/>
        <w15:color w:val="DBDBDB"/>
        <w:docPartObj>
          <w:docPartGallery w:val="Table of Contents"/>
          <w:docPartUnique/>
        </w:docPartObj>
      </w:sdtPr>
      <w:sdtEndPr>
        <w:rPr>
          <w:rFonts w:hint="eastAsia" w:ascii="仿宋" w:hAnsi="仿宋" w:eastAsia="仿宋" w:cs="仿宋"/>
          <w:b/>
          <w:kern w:val="2"/>
          <w:sz w:val="21"/>
          <w:szCs w:val="24"/>
          <w:highlight w:val="none"/>
          <w:lang w:val="en-US" w:eastAsia="zh-CN" w:bidi="ar-SA"/>
        </w:rPr>
      </w:sdtEndPr>
      <w:sdtContent>
        <w:p w14:paraId="39EAF30A">
          <w:pPr>
            <w:jc w:val="both"/>
            <w:rPr>
              <w:rFonts w:hint="eastAsia" w:ascii="仿宋" w:hAnsi="仿宋" w:eastAsia="仿宋" w:cs="仿宋"/>
              <w:b/>
              <w:kern w:val="2"/>
              <w:sz w:val="24"/>
              <w:szCs w:val="24"/>
              <w:highlight w:val="none"/>
              <w:lang w:val="en-US" w:eastAsia="zh-CN" w:bidi="ar-SA"/>
            </w:rPr>
          </w:pPr>
          <w:r>
            <w:rPr>
              <w:rFonts w:hint="eastAsia" w:ascii="仿宋" w:hAnsi="仿宋" w:eastAsia="仿宋" w:cs="仿宋"/>
              <w:sz w:val="24"/>
              <w:szCs w:val="24"/>
              <w:highlight w:val="none"/>
              <w:lang w:val="en-US" w:eastAsia="zh-CN"/>
            </w:rPr>
            <w:fldChar w:fldCharType="begin"/>
          </w:r>
          <w:r>
            <w:rPr>
              <w:rFonts w:hint="eastAsia" w:ascii="仿宋" w:hAnsi="仿宋" w:eastAsia="仿宋" w:cs="仿宋"/>
              <w:sz w:val="24"/>
              <w:szCs w:val="24"/>
              <w:highlight w:val="none"/>
              <w:lang w:val="en-US" w:eastAsia="zh-CN"/>
            </w:rPr>
            <w:instrText xml:space="preserve">TOC \o "1-2" \h \u </w:instrText>
          </w:r>
          <w:r>
            <w:rPr>
              <w:rFonts w:hint="eastAsia" w:ascii="仿宋" w:hAnsi="仿宋" w:eastAsia="仿宋" w:cs="仿宋"/>
              <w:sz w:val="24"/>
              <w:szCs w:val="24"/>
              <w:highlight w:val="none"/>
              <w:lang w:val="en-US" w:eastAsia="zh-CN"/>
            </w:rPr>
            <w:fldChar w:fldCharType="separate"/>
          </w:r>
        </w:p>
        <w:p w14:paraId="4B0D2E2F">
          <w:pPr>
            <w:pStyle w:val="23"/>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_Toc24832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szCs w:val="32"/>
              <w:highlight w:val="none"/>
            </w:rPr>
            <w:t xml:space="preserve">第一章 </w:t>
          </w:r>
          <w:r>
            <w:rPr>
              <w:rFonts w:hint="eastAsia" w:ascii="仿宋" w:hAnsi="仿宋" w:eastAsia="仿宋" w:cs="仿宋"/>
              <w:szCs w:val="32"/>
              <w:highlight w:val="none"/>
              <w:lang w:val="en-US" w:eastAsia="zh-CN"/>
            </w:rPr>
            <w:t>竞争性磋商</w:t>
          </w:r>
          <w:r>
            <w:rPr>
              <w:rFonts w:hint="eastAsia" w:ascii="仿宋" w:hAnsi="仿宋" w:eastAsia="仿宋" w:cs="仿宋"/>
              <w:szCs w:val="32"/>
              <w:highlight w:val="none"/>
            </w:rPr>
            <w:t>公告</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_Toc24832 \h </w:instrText>
          </w:r>
          <w:r>
            <w:rPr>
              <w:rFonts w:hint="eastAsia" w:ascii="仿宋" w:hAnsi="仿宋" w:eastAsia="仿宋" w:cs="仿宋"/>
              <w:highlight w:val="none"/>
            </w:rPr>
            <w:fldChar w:fldCharType="separate"/>
          </w:r>
          <w:r>
            <w:rPr>
              <w:rFonts w:hint="eastAsia" w:ascii="仿宋" w:hAnsi="仿宋" w:eastAsia="仿宋" w:cs="仿宋"/>
              <w:highlight w:val="none"/>
            </w:rPr>
            <w:t>3</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7E60B881">
          <w:pPr>
            <w:pStyle w:val="27"/>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_Toc15783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24"/>
              <w:highlight w:val="none"/>
            </w:rPr>
            <w:t>一、 项目基本情况</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_Toc15783 \h </w:instrText>
          </w:r>
          <w:r>
            <w:rPr>
              <w:rFonts w:hint="eastAsia" w:ascii="仿宋" w:hAnsi="仿宋" w:eastAsia="仿宋" w:cs="仿宋"/>
              <w:highlight w:val="none"/>
            </w:rPr>
            <w:fldChar w:fldCharType="separate"/>
          </w:r>
          <w:r>
            <w:rPr>
              <w:rFonts w:hint="eastAsia" w:ascii="仿宋" w:hAnsi="仿宋" w:eastAsia="仿宋" w:cs="仿宋"/>
              <w:highlight w:val="none"/>
            </w:rPr>
            <w:t>3</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496CE354">
          <w:pPr>
            <w:pStyle w:val="27"/>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_Toc22187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24"/>
              <w:highlight w:val="none"/>
            </w:rPr>
            <w:t>二、 申请人的资格要求：</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_Toc22187 \h </w:instrText>
          </w:r>
          <w:r>
            <w:rPr>
              <w:rFonts w:hint="eastAsia" w:ascii="仿宋" w:hAnsi="仿宋" w:eastAsia="仿宋" w:cs="仿宋"/>
              <w:highlight w:val="none"/>
            </w:rPr>
            <w:fldChar w:fldCharType="separate"/>
          </w:r>
          <w:r>
            <w:rPr>
              <w:rFonts w:hint="eastAsia" w:ascii="仿宋" w:hAnsi="仿宋" w:eastAsia="仿宋" w:cs="仿宋"/>
              <w:highlight w:val="none"/>
            </w:rPr>
            <w:t>3</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77135A98">
          <w:pPr>
            <w:pStyle w:val="27"/>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_Toc24234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24"/>
              <w:highlight w:val="none"/>
              <w:lang w:val="en-US" w:eastAsia="zh-CN"/>
            </w:rPr>
            <w:t>三、 获取采购文件</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_Toc24234 \h </w:instrText>
          </w:r>
          <w:r>
            <w:rPr>
              <w:rFonts w:hint="eastAsia" w:ascii="仿宋" w:hAnsi="仿宋" w:eastAsia="仿宋" w:cs="仿宋"/>
              <w:highlight w:val="none"/>
            </w:rPr>
            <w:fldChar w:fldCharType="separate"/>
          </w:r>
          <w:r>
            <w:rPr>
              <w:rFonts w:hint="eastAsia" w:ascii="仿宋" w:hAnsi="仿宋" w:eastAsia="仿宋" w:cs="仿宋"/>
              <w:highlight w:val="none"/>
            </w:rPr>
            <w:t>3</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3F6C8278">
          <w:pPr>
            <w:pStyle w:val="27"/>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_Toc28094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24"/>
              <w:highlight w:val="none"/>
              <w:lang w:val="en-US" w:eastAsia="zh-CN"/>
            </w:rPr>
            <w:t>四、 响应文件提交</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_Toc28094 \h </w:instrText>
          </w:r>
          <w:r>
            <w:rPr>
              <w:rFonts w:hint="eastAsia" w:ascii="仿宋" w:hAnsi="仿宋" w:eastAsia="仿宋" w:cs="仿宋"/>
              <w:highlight w:val="none"/>
            </w:rPr>
            <w:fldChar w:fldCharType="separate"/>
          </w:r>
          <w:r>
            <w:rPr>
              <w:rFonts w:hint="eastAsia" w:ascii="仿宋" w:hAnsi="仿宋" w:eastAsia="仿宋" w:cs="仿宋"/>
              <w:highlight w:val="none"/>
            </w:rPr>
            <w:t>4</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462A7597">
          <w:pPr>
            <w:pStyle w:val="27"/>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_Toc10942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24"/>
              <w:highlight w:val="none"/>
            </w:rPr>
            <w:t xml:space="preserve">五、 </w:t>
          </w:r>
          <w:r>
            <w:rPr>
              <w:rFonts w:hint="eastAsia" w:ascii="仿宋" w:hAnsi="仿宋" w:eastAsia="仿宋" w:cs="仿宋"/>
              <w:bCs/>
              <w:szCs w:val="24"/>
              <w:highlight w:val="none"/>
              <w:lang w:val="en-US" w:eastAsia="zh-CN"/>
            </w:rPr>
            <w:t>响应文件开启</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_Toc10942 \h </w:instrText>
          </w:r>
          <w:r>
            <w:rPr>
              <w:rFonts w:hint="eastAsia" w:ascii="仿宋" w:hAnsi="仿宋" w:eastAsia="仿宋" w:cs="仿宋"/>
              <w:highlight w:val="none"/>
            </w:rPr>
            <w:fldChar w:fldCharType="separate"/>
          </w:r>
          <w:r>
            <w:rPr>
              <w:rFonts w:hint="eastAsia" w:ascii="仿宋" w:hAnsi="仿宋" w:eastAsia="仿宋" w:cs="仿宋"/>
              <w:highlight w:val="none"/>
            </w:rPr>
            <w:t>4</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3707E329">
          <w:pPr>
            <w:pStyle w:val="27"/>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_Toc22200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24"/>
              <w:highlight w:val="none"/>
              <w:lang w:val="en-US" w:eastAsia="zh-CN"/>
            </w:rPr>
            <w:t>六、 公告期限</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_Toc22200 \h </w:instrText>
          </w:r>
          <w:r>
            <w:rPr>
              <w:rFonts w:hint="eastAsia" w:ascii="仿宋" w:hAnsi="仿宋" w:eastAsia="仿宋" w:cs="仿宋"/>
              <w:highlight w:val="none"/>
            </w:rPr>
            <w:fldChar w:fldCharType="separate"/>
          </w:r>
          <w:r>
            <w:rPr>
              <w:rFonts w:hint="eastAsia" w:ascii="仿宋" w:hAnsi="仿宋" w:eastAsia="仿宋" w:cs="仿宋"/>
              <w:highlight w:val="none"/>
            </w:rPr>
            <w:t>4</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53461256">
          <w:pPr>
            <w:pStyle w:val="27"/>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_Toc1229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24"/>
              <w:highlight w:val="none"/>
              <w:lang w:val="en-US" w:eastAsia="zh-CN"/>
            </w:rPr>
            <w:t>七、 其他补充事宜</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_Toc1229 \h </w:instrText>
          </w:r>
          <w:r>
            <w:rPr>
              <w:rFonts w:hint="eastAsia" w:ascii="仿宋" w:hAnsi="仿宋" w:eastAsia="仿宋" w:cs="仿宋"/>
              <w:highlight w:val="none"/>
            </w:rPr>
            <w:fldChar w:fldCharType="separate"/>
          </w:r>
          <w:r>
            <w:rPr>
              <w:rFonts w:hint="eastAsia" w:ascii="仿宋" w:hAnsi="仿宋" w:eastAsia="仿宋" w:cs="仿宋"/>
              <w:highlight w:val="none"/>
            </w:rPr>
            <w:t>4</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3C9FAAE3">
          <w:pPr>
            <w:pStyle w:val="27"/>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_Toc5047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24"/>
              <w:highlight w:val="none"/>
            </w:rPr>
            <w:t>八、 对本次采购提出询问，请按以下方式联系</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_Toc5047 \h </w:instrText>
          </w:r>
          <w:r>
            <w:rPr>
              <w:rFonts w:hint="eastAsia" w:ascii="仿宋" w:hAnsi="仿宋" w:eastAsia="仿宋" w:cs="仿宋"/>
              <w:highlight w:val="none"/>
            </w:rPr>
            <w:fldChar w:fldCharType="separate"/>
          </w:r>
          <w:r>
            <w:rPr>
              <w:rFonts w:hint="eastAsia" w:ascii="仿宋" w:hAnsi="仿宋" w:eastAsia="仿宋" w:cs="仿宋"/>
              <w:highlight w:val="none"/>
            </w:rPr>
            <w:t>4</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266440BE">
          <w:pPr>
            <w:pStyle w:val="23"/>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_Toc19946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szCs w:val="32"/>
              <w:highlight w:val="none"/>
              <w:lang w:val="en-US" w:eastAsia="zh-CN"/>
            </w:rPr>
            <w:t>第二章 供应商须知前附表</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_Toc19946 \h </w:instrText>
          </w:r>
          <w:r>
            <w:rPr>
              <w:rFonts w:hint="eastAsia" w:ascii="仿宋" w:hAnsi="仿宋" w:eastAsia="仿宋" w:cs="仿宋"/>
              <w:highlight w:val="none"/>
            </w:rPr>
            <w:fldChar w:fldCharType="separate"/>
          </w:r>
          <w:r>
            <w:rPr>
              <w:rFonts w:hint="eastAsia" w:ascii="仿宋" w:hAnsi="仿宋" w:eastAsia="仿宋" w:cs="仿宋"/>
              <w:highlight w:val="none"/>
            </w:rPr>
            <w:t>6</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0836A884">
          <w:pPr>
            <w:pStyle w:val="23"/>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_Toc4905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szCs w:val="32"/>
              <w:highlight w:val="none"/>
              <w:lang w:val="en-US" w:eastAsia="zh-CN"/>
            </w:rPr>
            <w:t>第三章 供应商须知</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_Toc4905 \h </w:instrText>
          </w:r>
          <w:r>
            <w:rPr>
              <w:rFonts w:hint="eastAsia" w:ascii="仿宋" w:hAnsi="仿宋" w:eastAsia="仿宋" w:cs="仿宋"/>
              <w:highlight w:val="none"/>
            </w:rPr>
            <w:fldChar w:fldCharType="separate"/>
          </w:r>
          <w:r>
            <w:rPr>
              <w:rFonts w:hint="eastAsia" w:ascii="仿宋" w:hAnsi="仿宋" w:eastAsia="仿宋" w:cs="仿宋"/>
              <w:highlight w:val="none"/>
            </w:rPr>
            <w:t>12</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161AC9D0">
          <w:pPr>
            <w:pStyle w:val="27"/>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_Toc11730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24"/>
              <w:highlight w:val="none"/>
            </w:rPr>
            <w:t>一、 说 明</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_Toc11730 \h </w:instrText>
          </w:r>
          <w:r>
            <w:rPr>
              <w:rFonts w:hint="eastAsia" w:ascii="仿宋" w:hAnsi="仿宋" w:eastAsia="仿宋" w:cs="仿宋"/>
              <w:highlight w:val="none"/>
            </w:rPr>
            <w:fldChar w:fldCharType="separate"/>
          </w:r>
          <w:r>
            <w:rPr>
              <w:rFonts w:hint="eastAsia" w:ascii="仿宋" w:hAnsi="仿宋" w:eastAsia="仿宋" w:cs="仿宋"/>
              <w:highlight w:val="none"/>
            </w:rPr>
            <w:t>12</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35399F5C">
          <w:pPr>
            <w:pStyle w:val="27"/>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_Toc3286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24"/>
              <w:highlight w:val="none"/>
              <w:lang w:val="en-US" w:eastAsia="zh-CN"/>
            </w:rPr>
            <w:t>二、 采购文件</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_Toc3286 \h </w:instrText>
          </w:r>
          <w:r>
            <w:rPr>
              <w:rFonts w:hint="eastAsia" w:ascii="仿宋" w:hAnsi="仿宋" w:eastAsia="仿宋" w:cs="仿宋"/>
              <w:highlight w:val="none"/>
            </w:rPr>
            <w:fldChar w:fldCharType="separate"/>
          </w:r>
          <w:r>
            <w:rPr>
              <w:rFonts w:hint="eastAsia" w:ascii="仿宋" w:hAnsi="仿宋" w:eastAsia="仿宋" w:cs="仿宋"/>
              <w:highlight w:val="none"/>
            </w:rPr>
            <w:t>17</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02F605AF">
          <w:pPr>
            <w:pStyle w:val="27"/>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_Toc22592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24"/>
              <w:highlight w:val="none"/>
              <w:lang w:val="en-US" w:eastAsia="zh-CN"/>
            </w:rPr>
            <w:t>三、 响应文件的编制</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_Toc22592 \h </w:instrText>
          </w:r>
          <w:r>
            <w:rPr>
              <w:rFonts w:hint="eastAsia" w:ascii="仿宋" w:hAnsi="仿宋" w:eastAsia="仿宋" w:cs="仿宋"/>
              <w:highlight w:val="none"/>
            </w:rPr>
            <w:fldChar w:fldCharType="separate"/>
          </w:r>
          <w:r>
            <w:rPr>
              <w:rFonts w:hint="eastAsia" w:ascii="仿宋" w:hAnsi="仿宋" w:eastAsia="仿宋" w:cs="仿宋"/>
              <w:highlight w:val="none"/>
            </w:rPr>
            <w:t>19</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639D1A2D">
          <w:pPr>
            <w:pStyle w:val="27"/>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_Toc7253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24"/>
              <w:highlight w:val="none"/>
              <w:lang w:val="en-US" w:eastAsia="zh-CN"/>
            </w:rPr>
            <w:t>四、 响应文件的提交</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_Toc7253 \h </w:instrText>
          </w:r>
          <w:r>
            <w:rPr>
              <w:rFonts w:hint="eastAsia" w:ascii="仿宋" w:hAnsi="仿宋" w:eastAsia="仿宋" w:cs="仿宋"/>
              <w:highlight w:val="none"/>
            </w:rPr>
            <w:fldChar w:fldCharType="separate"/>
          </w:r>
          <w:r>
            <w:rPr>
              <w:rFonts w:hint="eastAsia" w:ascii="仿宋" w:hAnsi="仿宋" w:eastAsia="仿宋" w:cs="仿宋"/>
              <w:highlight w:val="none"/>
            </w:rPr>
            <w:t>22</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14485641">
          <w:pPr>
            <w:pStyle w:val="27"/>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_Toc32267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24"/>
              <w:highlight w:val="none"/>
              <w:lang w:val="en-US" w:eastAsia="zh-CN"/>
            </w:rPr>
            <w:t>五、 开标及评标</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_Toc32267 \h </w:instrText>
          </w:r>
          <w:r>
            <w:rPr>
              <w:rFonts w:hint="eastAsia" w:ascii="仿宋" w:hAnsi="仿宋" w:eastAsia="仿宋" w:cs="仿宋"/>
              <w:highlight w:val="none"/>
            </w:rPr>
            <w:fldChar w:fldCharType="separate"/>
          </w:r>
          <w:r>
            <w:rPr>
              <w:rFonts w:hint="eastAsia" w:ascii="仿宋" w:hAnsi="仿宋" w:eastAsia="仿宋" w:cs="仿宋"/>
              <w:highlight w:val="none"/>
            </w:rPr>
            <w:t>22</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626F1EF0">
          <w:pPr>
            <w:pStyle w:val="27"/>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_Toc11319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24"/>
              <w:highlight w:val="none"/>
              <w:lang w:val="en-US" w:eastAsia="zh-CN"/>
            </w:rPr>
            <w:t>六、 确定成交</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_Toc11319 \h </w:instrText>
          </w:r>
          <w:r>
            <w:rPr>
              <w:rFonts w:hint="eastAsia" w:ascii="仿宋" w:hAnsi="仿宋" w:eastAsia="仿宋" w:cs="仿宋"/>
              <w:highlight w:val="none"/>
            </w:rPr>
            <w:fldChar w:fldCharType="separate"/>
          </w:r>
          <w:r>
            <w:rPr>
              <w:rFonts w:hint="eastAsia" w:ascii="仿宋" w:hAnsi="仿宋" w:eastAsia="仿宋" w:cs="仿宋"/>
              <w:highlight w:val="none"/>
            </w:rPr>
            <w:t>24</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7734CAA9">
          <w:pPr>
            <w:pStyle w:val="23"/>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_Toc20533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szCs w:val="32"/>
              <w:highlight w:val="none"/>
              <w:lang w:val="en-US" w:eastAsia="zh-CN"/>
            </w:rPr>
            <w:t>第四章 政府采购合同</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_Toc20533 \h </w:instrText>
          </w:r>
          <w:r>
            <w:rPr>
              <w:rFonts w:hint="eastAsia" w:ascii="仿宋" w:hAnsi="仿宋" w:eastAsia="仿宋" w:cs="仿宋"/>
              <w:highlight w:val="none"/>
            </w:rPr>
            <w:fldChar w:fldCharType="separate"/>
          </w:r>
          <w:r>
            <w:rPr>
              <w:rFonts w:hint="eastAsia" w:ascii="仿宋" w:hAnsi="仿宋" w:eastAsia="仿宋" w:cs="仿宋"/>
              <w:highlight w:val="none"/>
            </w:rPr>
            <w:t>28</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106ADCFA">
          <w:pPr>
            <w:pStyle w:val="23"/>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_Toc8038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szCs w:val="32"/>
              <w:highlight w:val="none"/>
              <w:lang w:val="en-US" w:eastAsia="zh-CN"/>
            </w:rPr>
            <w:t>第五章 采购需求</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_Toc8038 \h </w:instrText>
          </w:r>
          <w:r>
            <w:rPr>
              <w:rFonts w:hint="eastAsia" w:ascii="仿宋" w:hAnsi="仿宋" w:eastAsia="仿宋" w:cs="仿宋"/>
              <w:highlight w:val="none"/>
            </w:rPr>
            <w:fldChar w:fldCharType="separate"/>
          </w:r>
          <w:r>
            <w:rPr>
              <w:rFonts w:hint="eastAsia" w:ascii="仿宋" w:hAnsi="仿宋" w:eastAsia="仿宋" w:cs="仿宋"/>
              <w:highlight w:val="none"/>
            </w:rPr>
            <w:t>34</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0BA7EDA9">
          <w:pPr>
            <w:pStyle w:val="23"/>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_Toc27718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szCs w:val="32"/>
              <w:highlight w:val="none"/>
              <w:lang w:val="en-US" w:eastAsia="zh-CN"/>
            </w:rPr>
            <w:t>第六章 评标程序、评标方法和评标标准</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_Toc27718 \h </w:instrText>
          </w:r>
          <w:r>
            <w:rPr>
              <w:rFonts w:hint="eastAsia" w:ascii="仿宋" w:hAnsi="仿宋" w:eastAsia="仿宋" w:cs="仿宋"/>
              <w:highlight w:val="none"/>
            </w:rPr>
            <w:fldChar w:fldCharType="separate"/>
          </w:r>
          <w:r>
            <w:rPr>
              <w:rFonts w:hint="eastAsia" w:ascii="仿宋" w:hAnsi="仿宋" w:eastAsia="仿宋" w:cs="仿宋"/>
              <w:highlight w:val="none"/>
            </w:rPr>
            <w:t>36</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5236FA23">
          <w:pPr>
            <w:pStyle w:val="27"/>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_Toc21122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24"/>
              <w:highlight w:val="none"/>
              <w:lang w:val="en-US" w:eastAsia="zh-CN"/>
            </w:rPr>
            <w:t>1. 评标方法</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_Toc21122 \h </w:instrText>
          </w:r>
          <w:r>
            <w:rPr>
              <w:rFonts w:hint="eastAsia" w:ascii="仿宋" w:hAnsi="仿宋" w:eastAsia="仿宋" w:cs="仿宋"/>
              <w:highlight w:val="none"/>
            </w:rPr>
            <w:fldChar w:fldCharType="separate"/>
          </w:r>
          <w:r>
            <w:rPr>
              <w:rFonts w:hint="eastAsia" w:ascii="仿宋" w:hAnsi="仿宋" w:eastAsia="仿宋" w:cs="仿宋"/>
              <w:highlight w:val="none"/>
            </w:rPr>
            <w:t>36</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02FA5988">
          <w:pPr>
            <w:pStyle w:val="27"/>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_Toc1193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24"/>
              <w:highlight w:val="none"/>
              <w:lang w:val="en-US" w:eastAsia="zh-CN"/>
            </w:rPr>
            <w:t>2. 评标原则</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_Toc1193 \h </w:instrText>
          </w:r>
          <w:r>
            <w:rPr>
              <w:rFonts w:hint="eastAsia" w:ascii="仿宋" w:hAnsi="仿宋" w:eastAsia="仿宋" w:cs="仿宋"/>
              <w:highlight w:val="none"/>
            </w:rPr>
            <w:fldChar w:fldCharType="separate"/>
          </w:r>
          <w:r>
            <w:rPr>
              <w:rFonts w:hint="eastAsia" w:ascii="仿宋" w:hAnsi="仿宋" w:eastAsia="仿宋" w:cs="仿宋"/>
              <w:highlight w:val="none"/>
            </w:rPr>
            <w:t>36</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5B26F700">
          <w:pPr>
            <w:pStyle w:val="27"/>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_Toc7505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24"/>
              <w:highlight w:val="none"/>
              <w:lang w:val="en-US" w:eastAsia="zh-CN"/>
            </w:rPr>
            <w:t>3. 资格审查</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_Toc7505 \h </w:instrText>
          </w:r>
          <w:r>
            <w:rPr>
              <w:rFonts w:hint="eastAsia" w:ascii="仿宋" w:hAnsi="仿宋" w:eastAsia="仿宋" w:cs="仿宋"/>
              <w:highlight w:val="none"/>
            </w:rPr>
            <w:fldChar w:fldCharType="separate"/>
          </w:r>
          <w:r>
            <w:rPr>
              <w:rFonts w:hint="eastAsia" w:ascii="仿宋" w:hAnsi="仿宋" w:eastAsia="仿宋" w:cs="仿宋"/>
              <w:highlight w:val="none"/>
            </w:rPr>
            <w:t>36</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09EA69D6">
          <w:pPr>
            <w:pStyle w:val="27"/>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_Toc27889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highlight w:val="none"/>
              <w:lang w:val="en-US" w:eastAsia="zh-CN"/>
            </w:rPr>
            <w:t xml:space="preserve">4. </w:t>
          </w:r>
          <w:r>
            <w:rPr>
              <w:rFonts w:hint="eastAsia" w:ascii="仿宋" w:hAnsi="仿宋" w:eastAsia="仿宋" w:cs="仿宋"/>
              <w:bCs/>
              <w:szCs w:val="24"/>
              <w:highlight w:val="none"/>
              <w:lang w:val="en-US" w:eastAsia="zh-CN"/>
            </w:rPr>
            <w:t>符合性审查</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_Toc27889 \h </w:instrText>
          </w:r>
          <w:r>
            <w:rPr>
              <w:rFonts w:hint="eastAsia" w:ascii="仿宋" w:hAnsi="仿宋" w:eastAsia="仿宋" w:cs="仿宋"/>
              <w:highlight w:val="none"/>
            </w:rPr>
            <w:fldChar w:fldCharType="separate"/>
          </w:r>
          <w:r>
            <w:rPr>
              <w:rFonts w:hint="eastAsia" w:ascii="仿宋" w:hAnsi="仿宋" w:eastAsia="仿宋" w:cs="仿宋"/>
              <w:highlight w:val="none"/>
            </w:rPr>
            <w:t>39</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15310291">
          <w:pPr>
            <w:pStyle w:val="27"/>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_Toc31864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24"/>
              <w:highlight w:val="none"/>
              <w:lang w:val="en-US" w:eastAsia="zh-CN"/>
            </w:rPr>
            <w:t>5. 响应文件澄清</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_Toc31864 \h </w:instrText>
          </w:r>
          <w:r>
            <w:rPr>
              <w:rFonts w:hint="eastAsia" w:ascii="仿宋" w:hAnsi="仿宋" w:eastAsia="仿宋" w:cs="仿宋"/>
              <w:highlight w:val="none"/>
            </w:rPr>
            <w:fldChar w:fldCharType="separate"/>
          </w:r>
          <w:r>
            <w:rPr>
              <w:rFonts w:hint="eastAsia" w:ascii="仿宋" w:hAnsi="仿宋" w:eastAsia="仿宋" w:cs="仿宋"/>
              <w:highlight w:val="none"/>
            </w:rPr>
            <w:t>40</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1B7CDFF0">
          <w:pPr>
            <w:pStyle w:val="27"/>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_Toc12580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szCs w:val="24"/>
              <w:highlight w:val="none"/>
              <w:lang w:val="en-US" w:eastAsia="zh-CN"/>
            </w:rPr>
            <w:t xml:space="preserve">7. </w:t>
          </w:r>
          <w:r>
            <w:rPr>
              <w:rFonts w:hint="eastAsia" w:ascii="仿宋" w:hAnsi="仿宋" w:eastAsia="仿宋" w:cs="仿宋"/>
              <w:bCs/>
              <w:szCs w:val="24"/>
              <w:highlight w:val="none"/>
              <w:lang w:val="en-US" w:eastAsia="zh-CN"/>
            </w:rPr>
            <w:t>磋商</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_Toc12580 \h </w:instrText>
          </w:r>
          <w:r>
            <w:rPr>
              <w:rFonts w:hint="eastAsia" w:ascii="仿宋" w:hAnsi="仿宋" w:eastAsia="仿宋" w:cs="仿宋"/>
              <w:highlight w:val="none"/>
            </w:rPr>
            <w:fldChar w:fldCharType="separate"/>
          </w:r>
          <w:r>
            <w:rPr>
              <w:rFonts w:hint="eastAsia" w:ascii="仿宋" w:hAnsi="仿宋" w:eastAsia="仿宋" w:cs="仿宋"/>
              <w:highlight w:val="none"/>
            </w:rPr>
            <w:t>41</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2949A64B">
          <w:pPr>
            <w:pStyle w:val="27"/>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_Toc3596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24"/>
              <w:highlight w:val="none"/>
              <w:lang w:val="en-US" w:eastAsia="zh-CN"/>
            </w:rPr>
            <w:t>8. 最后报价</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_Toc3596 \h </w:instrText>
          </w:r>
          <w:r>
            <w:rPr>
              <w:rFonts w:hint="eastAsia" w:ascii="仿宋" w:hAnsi="仿宋" w:eastAsia="仿宋" w:cs="仿宋"/>
              <w:highlight w:val="none"/>
            </w:rPr>
            <w:fldChar w:fldCharType="separate"/>
          </w:r>
          <w:r>
            <w:rPr>
              <w:rFonts w:hint="eastAsia" w:ascii="仿宋" w:hAnsi="仿宋" w:eastAsia="仿宋" w:cs="仿宋"/>
              <w:highlight w:val="none"/>
            </w:rPr>
            <w:t>41</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33F138EB">
          <w:pPr>
            <w:pStyle w:val="27"/>
            <w:tabs>
              <w:tab w:val="right" w:leader="dot" w:pos="8306"/>
            </w:tabs>
            <w:rPr>
              <w:rFonts w:hint="eastAsia" w:ascii="仿宋" w:hAnsi="仿宋" w:eastAsia="仿宋" w:cs="仿宋"/>
              <w:highlight w:val="none"/>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_Toc22657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24"/>
              <w:highlight w:val="none"/>
              <w:lang w:val="en-US" w:eastAsia="zh-CN"/>
            </w:rPr>
            <w:t>9. 详细评审</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_Toc22657 \h </w:instrText>
          </w:r>
          <w:r>
            <w:rPr>
              <w:rFonts w:hint="eastAsia" w:ascii="仿宋" w:hAnsi="仿宋" w:eastAsia="仿宋" w:cs="仿宋"/>
              <w:highlight w:val="none"/>
            </w:rPr>
            <w:fldChar w:fldCharType="separate"/>
          </w:r>
          <w:r>
            <w:rPr>
              <w:rFonts w:hint="eastAsia" w:ascii="仿宋" w:hAnsi="仿宋" w:eastAsia="仿宋" w:cs="仿宋"/>
              <w:highlight w:val="none"/>
            </w:rPr>
            <w:t>41</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p>
        <w:p w14:paraId="5ED26390">
          <w:pPr>
            <w:pStyle w:val="23"/>
            <w:tabs>
              <w:tab w:val="right" w:leader="dot" w:pos="8306"/>
            </w:tabs>
            <w:rPr>
              <w:rFonts w:hint="eastAsia" w:ascii="仿宋" w:hAnsi="仿宋" w:eastAsia="仿宋" w:cs="仿宋"/>
              <w:sz w:val="24"/>
              <w:szCs w:val="24"/>
              <w:highlight w:val="none"/>
              <w:lang w:val="en-US" w:eastAsia="zh-CN"/>
            </w:rPr>
          </w:pPr>
          <w:r>
            <w:rPr>
              <w:rFonts w:hint="eastAsia" w:ascii="仿宋" w:hAnsi="仿宋" w:eastAsia="仿宋" w:cs="仿宋"/>
              <w:szCs w:val="24"/>
              <w:highlight w:val="none"/>
              <w:lang w:val="en-US" w:eastAsia="zh-CN"/>
            </w:rPr>
            <w:fldChar w:fldCharType="begin"/>
          </w:r>
          <w:r>
            <w:rPr>
              <w:rFonts w:hint="eastAsia" w:ascii="仿宋" w:hAnsi="仿宋" w:eastAsia="仿宋" w:cs="仿宋"/>
              <w:szCs w:val="24"/>
              <w:highlight w:val="none"/>
              <w:lang w:val="en-US" w:eastAsia="zh-CN"/>
            </w:rPr>
            <w:instrText xml:space="preserve"> HYPERLINK \l _Toc8139 </w:instrText>
          </w:r>
          <w:r>
            <w:rPr>
              <w:rFonts w:hint="eastAsia" w:ascii="仿宋" w:hAnsi="仿宋" w:eastAsia="仿宋" w:cs="仿宋"/>
              <w:szCs w:val="24"/>
              <w:highlight w:val="none"/>
              <w:lang w:val="en-US" w:eastAsia="zh-CN"/>
            </w:rPr>
            <w:fldChar w:fldCharType="separate"/>
          </w:r>
          <w:r>
            <w:rPr>
              <w:rFonts w:hint="eastAsia" w:ascii="仿宋" w:hAnsi="仿宋" w:eastAsia="仿宋" w:cs="仿宋"/>
              <w:bCs/>
              <w:szCs w:val="32"/>
              <w:highlight w:val="none"/>
              <w:lang w:val="en-US" w:eastAsia="zh-CN"/>
            </w:rPr>
            <w:t>第七章 响应文件格式</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_Toc8139 \h </w:instrText>
          </w:r>
          <w:r>
            <w:rPr>
              <w:rFonts w:hint="eastAsia" w:ascii="仿宋" w:hAnsi="仿宋" w:eastAsia="仿宋" w:cs="仿宋"/>
              <w:highlight w:val="none"/>
            </w:rPr>
            <w:fldChar w:fldCharType="separate"/>
          </w:r>
          <w:r>
            <w:rPr>
              <w:rFonts w:hint="eastAsia" w:ascii="仿宋" w:hAnsi="仿宋" w:eastAsia="仿宋" w:cs="仿宋"/>
              <w:highlight w:val="none"/>
            </w:rPr>
            <w:t>47</w:t>
          </w:r>
          <w:r>
            <w:rPr>
              <w:rFonts w:hint="eastAsia" w:ascii="仿宋" w:hAnsi="仿宋" w:eastAsia="仿宋" w:cs="仿宋"/>
              <w:highlight w:val="none"/>
            </w:rPr>
            <w:fldChar w:fldCharType="end"/>
          </w:r>
          <w:r>
            <w:rPr>
              <w:rFonts w:hint="eastAsia" w:ascii="仿宋" w:hAnsi="仿宋" w:eastAsia="仿宋" w:cs="仿宋"/>
              <w:szCs w:val="24"/>
              <w:highlight w:val="none"/>
              <w:lang w:val="en-US" w:eastAsia="zh-CN"/>
            </w:rPr>
            <w:fldChar w:fldCharType="end"/>
          </w:r>
          <w:r>
            <w:rPr>
              <w:rFonts w:hint="eastAsia" w:ascii="仿宋" w:hAnsi="仿宋" w:eastAsia="仿宋" w:cs="仿宋"/>
              <w:b/>
              <w:szCs w:val="24"/>
              <w:highlight w:val="none"/>
              <w:lang w:val="en-US" w:eastAsia="zh-CN"/>
            </w:rPr>
            <w:fldChar w:fldCharType="end"/>
          </w:r>
        </w:p>
      </w:sdtContent>
    </w:sdt>
    <w:p w14:paraId="7CD60939">
      <w:pPr>
        <w:pStyle w:val="2"/>
        <w:numPr>
          <w:ilvl w:val="0"/>
          <w:numId w:val="1"/>
        </w:numPr>
        <w:bidi w:val="0"/>
        <w:jc w:val="center"/>
        <w:rPr>
          <w:rFonts w:hint="eastAsia" w:ascii="仿宋" w:hAnsi="仿宋" w:eastAsia="仿宋" w:cs="仿宋"/>
          <w:sz w:val="32"/>
          <w:szCs w:val="32"/>
          <w:highlight w:val="none"/>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87" w:charSpace="0"/>
        </w:sectPr>
      </w:pPr>
    </w:p>
    <w:p w14:paraId="4848B6E7">
      <w:pPr>
        <w:pStyle w:val="2"/>
        <w:numPr>
          <w:ilvl w:val="0"/>
          <w:numId w:val="1"/>
        </w:numPr>
        <w:bidi w:val="0"/>
        <w:jc w:val="center"/>
        <w:rPr>
          <w:rFonts w:hint="eastAsia" w:ascii="仿宋" w:hAnsi="仿宋" w:eastAsia="仿宋" w:cs="仿宋"/>
          <w:sz w:val="32"/>
          <w:szCs w:val="32"/>
          <w:highlight w:val="none"/>
        </w:rPr>
      </w:pPr>
      <w:bookmarkStart w:id="0" w:name="_Toc24832"/>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公告</w:t>
      </w:r>
      <w:bookmarkEnd w:id="0"/>
    </w:p>
    <w:p w14:paraId="181C367A">
      <w:pPr>
        <w:keepNext w:val="0"/>
        <w:keepLines w:val="0"/>
        <w:pageBreakBefore w:val="0"/>
        <w:widowControl w:val="0"/>
        <w:numPr>
          <w:ilvl w:val="0"/>
          <w:numId w:val="2"/>
        </w:numPr>
        <w:kinsoku/>
        <w:wordWrap/>
        <w:overflowPunct/>
        <w:topLinePunct w:val="0"/>
        <w:autoSpaceDE/>
        <w:autoSpaceDN/>
        <w:bidi w:val="0"/>
        <w:adjustRightInd/>
        <w:snapToGrid/>
        <w:spacing w:line="420" w:lineRule="atLeast"/>
        <w:jc w:val="both"/>
        <w:textAlignment w:val="auto"/>
        <w:outlineLvl w:val="1"/>
        <w:rPr>
          <w:rFonts w:hint="eastAsia" w:ascii="仿宋" w:hAnsi="仿宋" w:eastAsia="仿宋" w:cs="仿宋"/>
          <w:b/>
          <w:bCs/>
          <w:sz w:val="24"/>
          <w:szCs w:val="24"/>
          <w:highlight w:val="none"/>
        </w:rPr>
      </w:pPr>
      <w:bookmarkStart w:id="1" w:name="_Toc15783"/>
      <w:r>
        <w:rPr>
          <w:rFonts w:hint="eastAsia" w:ascii="仿宋" w:hAnsi="仿宋" w:eastAsia="仿宋" w:cs="仿宋"/>
          <w:b/>
          <w:bCs/>
          <w:sz w:val="24"/>
          <w:szCs w:val="24"/>
          <w:highlight w:val="none"/>
        </w:rPr>
        <w:t>项目基本情况</w:t>
      </w:r>
      <w:bookmarkEnd w:id="1"/>
    </w:p>
    <w:p w14:paraId="424EC569">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项目编号：</w:t>
      </w:r>
      <w:r>
        <w:rPr>
          <w:rFonts w:hint="eastAsia" w:ascii="仿宋" w:hAnsi="仿宋" w:eastAsia="仿宋" w:cs="仿宋"/>
          <w:sz w:val="24"/>
          <w:szCs w:val="24"/>
          <w:highlight w:val="none"/>
          <w:lang w:eastAsia="zh-CN"/>
        </w:rPr>
        <w:t>SJX-2026-192-02</w:t>
      </w:r>
    </w:p>
    <w:p w14:paraId="4BFB08C2">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lang w:val="en-US" w:eastAsia="zh-CN"/>
        </w:rPr>
        <w:t>新疆职业大学职工生日蛋糕供应服务采购项目（二次）</w:t>
      </w:r>
    </w:p>
    <w:p w14:paraId="05003D7E">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采购方式：</w:t>
      </w:r>
      <w:r>
        <w:rPr>
          <w:rFonts w:hint="eastAsia" w:ascii="仿宋" w:hAnsi="仿宋" w:eastAsia="仿宋" w:cs="仿宋"/>
          <w:sz w:val="24"/>
          <w:szCs w:val="24"/>
          <w:highlight w:val="none"/>
          <w:lang w:val="en-US" w:eastAsia="zh-CN"/>
        </w:rPr>
        <w:t>竞争性磋商</w:t>
      </w:r>
    </w:p>
    <w:p w14:paraId="7595917F">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预算金额（元）：</w:t>
      </w:r>
      <w:r>
        <w:rPr>
          <w:rFonts w:hint="eastAsia" w:ascii="仿宋" w:hAnsi="仿宋" w:eastAsia="仿宋" w:cs="仿宋"/>
          <w:sz w:val="24"/>
          <w:szCs w:val="24"/>
          <w:highlight w:val="none"/>
          <w:lang w:val="en-US" w:eastAsia="zh-CN"/>
        </w:rPr>
        <w:t>154500</w:t>
      </w:r>
    </w:p>
    <w:p w14:paraId="025769DD">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最高限价（元）：</w:t>
      </w:r>
      <w:r>
        <w:rPr>
          <w:rFonts w:hint="eastAsia" w:ascii="仿宋" w:hAnsi="仿宋" w:eastAsia="仿宋" w:cs="仿宋"/>
          <w:sz w:val="24"/>
          <w:szCs w:val="24"/>
          <w:highlight w:val="none"/>
          <w:lang w:val="en-US" w:eastAsia="zh-CN"/>
        </w:rPr>
        <w:t>154500</w:t>
      </w:r>
    </w:p>
    <w:p w14:paraId="63718241">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采购需求：</w:t>
      </w:r>
    </w:p>
    <w:p w14:paraId="757E585E">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w:t>
      </w:r>
    </w:p>
    <w:p w14:paraId="6F83CC8B">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标项名称</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新疆职业大学职工生日蛋糕供应服务采购项目（二次）</w:t>
      </w:r>
    </w:p>
    <w:p w14:paraId="2966C73F">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数量</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1批</w:t>
      </w:r>
    </w:p>
    <w:p w14:paraId="4A9758F0">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预算金额（元）</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154500</w:t>
      </w:r>
    </w:p>
    <w:p w14:paraId="245B837C">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简要规格描述或项目基本概况介绍、用途：</w:t>
      </w:r>
      <w:r>
        <w:rPr>
          <w:rFonts w:hint="eastAsia" w:ascii="仿宋" w:hAnsi="仿宋" w:eastAsia="仿宋" w:cs="仿宋"/>
          <w:b w:val="0"/>
          <w:bCs w:val="0"/>
          <w:color w:val="auto"/>
          <w:sz w:val="24"/>
          <w:szCs w:val="24"/>
          <w:highlight w:val="none"/>
          <w:lang w:val="en-US" w:eastAsia="zh-CN"/>
        </w:rPr>
        <w:t>为</w:t>
      </w:r>
      <w:r>
        <w:rPr>
          <w:rFonts w:hint="eastAsia" w:ascii="仿宋" w:hAnsi="仿宋" w:eastAsia="仿宋" w:cs="仿宋"/>
          <w:b w:val="0"/>
          <w:bCs w:val="0"/>
          <w:color w:val="auto"/>
          <w:sz w:val="24"/>
          <w:szCs w:val="24"/>
          <w:highlight w:val="none"/>
        </w:rPr>
        <w:t>新疆职业大学</w:t>
      </w:r>
      <w:r>
        <w:rPr>
          <w:rFonts w:hint="eastAsia" w:ascii="仿宋" w:hAnsi="仿宋" w:eastAsia="仿宋" w:cs="仿宋"/>
          <w:b w:val="0"/>
          <w:bCs w:val="0"/>
          <w:color w:val="auto"/>
          <w:sz w:val="24"/>
          <w:szCs w:val="24"/>
          <w:highlight w:val="none"/>
          <w:lang w:val="en-US" w:eastAsia="zh-CN"/>
        </w:rPr>
        <w:t>离退休教职工515人，发放价值300元的生日蛋糕券</w:t>
      </w:r>
      <w:r>
        <w:rPr>
          <w:rFonts w:hint="eastAsia" w:ascii="仿宋" w:hAnsi="仿宋" w:eastAsia="仿宋" w:cs="仿宋"/>
          <w:b w:val="0"/>
          <w:bCs w:val="0"/>
          <w:color w:val="auto"/>
          <w:sz w:val="24"/>
          <w:szCs w:val="24"/>
          <w:highlight w:val="none"/>
        </w:rPr>
        <w:t>，具体详见采购需求。</w:t>
      </w:r>
    </w:p>
    <w:p w14:paraId="54ED003B">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备注：</w:t>
      </w:r>
      <w:r>
        <w:rPr>
          <w:rFonts w:hint="eastAsia" w:ascii="仿宋" w:hAnsi="仿宋" w:eastAsia="仿宋" w:cs="仿宋"/>
          <w:sz w:val="24"/>
          <w:szCs w:val="24"/>
          <w:highlight w:val="none"/>
          <w:lang w:val="en-US" w:eastAsia="zh-CN"/>
        </w:rPr>
        <w:t>/</w:t>
      </w:r>
    </w:p>
    <w:p w14:paraId="498995C6">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合同履约期限：</w:t>
      </w:r>
      <w:r>
        <w:rPr>
          <w:rFonts w:hint="eastAsia" w:ascii="仿宋" w:hAnsi="仿宋" w:eastAsia="仿宋" w:cs="仿宋"/>
          <w:sz w:val="24"/>
          <w:szCs w:val="24"/>
          <w:highlight w:val="none"/>
          <w:lang w:val="en-US" w:eastAsia="zh-CN"/>
        </w:rPr>
        <w:t>自合同签订之日起7个工作日内完成2026年蛋糕券。</w:t>
      </w:r>
    </w:p>
    <w:p w14:paraId="6D3F9B1D">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本项目（否）接受联合体投标。</w:t>
      </w:r>
    </w:p>
    <w:p w14:paraId="02B7B2C5">
      <w:pPr>
        <w:keepNext w:val="0"/>
        <w:keepLines w:val="0"/>
        <w:pageBreakBefore w:val="0"/>
        <w:widowControl w:val="0"/>
        <w:numPr>
          <w:ilvl w:val="0"/>
          <w:numId w:val="2"/>
        </w:numPr>
        <w:kinsoku/>
        <w:wordWrap/>
        <w:overflowPunct/>
        <w:topLinePunct w:val="0"/>
        <w:autoSpaceDE/>
        <w:autoSpaceDN/>
        <w:bidi w:val="0"/>
        <w:adjustRightInd/>
        <w:snapToGrid/>
        <w:spacing w:line="420" w:lineRule="atLeast"/>
        <w:ind w:left="0" w:leftChars="0" w:firstLine="0" w:firstLineChars="0"/>
        <w:jc w:val="both"/>
        <w:textAlignment w:val="auto"/>
        <w:outlineLvl w:val="1"/>
        <w:rPr>
          <w:rFonts w:hint="eastAsia" w:ascii="仿宋" w:hAnsi="仿宋" w:eastAsia="仿宋" w:cs="仿宋"/>
          <w:b/>
          <w:bCs/>
          <w:sz w:val="24"/>
          <w:szCs w:val="24"/>
          <w:highlight w:val="none"/>
        </w:rPr>
      </w:pPr>
      <w:bookmarkStart w:id="2" w:name="_Toc22187"/>
      <w:r>
        <w:rPr>
          <w:rFonts w:hint="eastAsia" w:ascii="仿宋" w:hAnsi="仿宋" w:eastAsia="仿宋" w:cs="仿宋"/>
          <w:b/>
          <w:bCs/>
          <w:sz w:val="24"/>
          <w:szCs w:val="24"/>
          <w:highlight w:val="none"/>
        </w:rPr>
        <w:t>申请人的资格要求：</w:t>
      </w:r>
      <w:bookmarkEnd w:id="2"/>
    </w:p>
    <w:p w14:paraId="70C9F7FB">
      <w:pPr>
        <w:keepNext w:val="0"/>
        <w:keepLines w:val="0"/>
        <w:pageBreakBefore w:val="0"/>
        <w:widowControl w:val="0"/>
        <w:numPr>
          <w:ilvl w:val="0"/>
          <w:numId w:val="0"/>
        </w:numPr>
        <w:kinsoku/>
        <w:wordWrap/>
        <w:overflowPunct/>
        <w:topLinePunct w:val="0"/>
        <w:autoSpaceDE/>
        <w:autoSpaceDN/>
        <w:bidi w:val="0"/>
        <w:adjustRightInd/>
        <w:snapToGrid/>
        <w:spacing w:line="420" w:lineRule="atLeas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1.满足《中华人民共和国政府采购法》第二十二条规定；</w:t>
      </w:r>
    </w:p>
    <w:p w14:paraId="721E57D0">
      <w:pPr>
        <w:keepNext w:val="0"/>
        <w:keepLines w:val="0"/>
        <w:pageBreakBefore w:val="0"/>
        <w:widowControl w:val="0"/>
        <w:numPr>
          <w:ilvl w:val="0"/>
          <w:numId w:val="0"/>
        </w:numPr>
        <w:kinsoku/>
        <w:wordWrap/>
        <w:overflowPunct/>
        <w:topLinePunct w:val="0"/>
        <w:autoSpaceDE/>
        <w:autoSpaceDN/>
        <w:bidi w:val="0"/>
        <w:adjustRightInd/>
        <w:snapToGrid/>
        <w:spacing w:line="420" w:lineRule="atLeas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2.落实政府采购政策需满足的资格要求：</w:t>
      </w:r>
      <w:r>
        <w:rPr>
          <w:rFonts w:hint="eastAsia" w:ascii="仿宋" w:hAnsi="仿宋" w:eastAsia="仿宋" w:cs="仿宋"/>
          <w:sz w:val="24"/>
          <w:highlight w:val="none"/>
        </w:rPr>
        <w:t>本项目为专门面向</w:t>
      </w:r>
      <w:r>
        <w:rPr>
          <w:rFonts w:hint="eastAsia" w:ascii="仿宋" w:hAnsi="仿宋" w:eastAsia="仿宋" w:cs="仿宋"/>
          <w:sz w:val="24"/>
          <w:highlight w:val="none"/>
          <w:lang w:val="en-US" w:eastAsia="zh-CN"/>
        </w:rPr>
        <w:t>中小</w:t>
      </w:r>
      <w:r>
        <w:rPr>
          <w:rFonts w:hint="eastAsia" w:ascii="仿宋" w:hAnsi="仿宋" w:eastAsia="仿宋" w:cs="仿宋"/>
          <w:sz w:val="24"/>
          <w:highlight w:val="none"/>
        </w:rPr>
        <w:t>企业采购，提供服务的承接商应符合《政府采购促进中小企业发展管理办法》(财库〔2020〕46号) 第四条规定的情形，且应当提供《政府采购促进中小企业发展管理办法》(财库〔2020〕46号)规定的《中小企业声明函》。</w:t>
      </w:r>
    </w:p>
    <w:p w14:paraId="2371CAC1">
      <w:pPr>
        <w:keepNext w:val="0"/>
        <w:keepLines w:val="0"/>
        <w:pageBreakBefore w:val="0"/>
        <w:widowControl w:val="0"/>
        <w:numPr>
          <w:ilvl w:val="0"/>
          <w:numId w:val="0"/>
        </w:numPr>
        <w:kinsoku/>
        <w:wordWrap/>
        <w:overflowPunct/>
        <w:topLinePunct w:val="0"/>
        <w:autoSpaceDE/>
        <w:autoSpaceDN/>
        <w:bidi w:val="0"/>
        <w:adjustRightInd/>
        <w:snapToGrid/>
        <w:spacing w:line="420" w:lineRule="atLeas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3.本项目的特定资格要求：</w:t>
      </w:r>
    </w:p>
    <w:p w14:paraId="6070DF1B">
      <w:pPr>
        <w:keepNext w:val="0"/>
        <w:keepLines w:val="0"/>
        <w:pageBreakBefore w:val="0"/>
        <w:widowControl w:val="0"/>
        <w:kinsoku/>
        <w:wordWrap/>
        <w:overflowPunct/>
        <w:topLinePunct w:val="0"/>
        <w:autoSpaceDE/>
        <w:autoSpaceDN/>
        <w:bidi w:val="0"/>
        <w:adjustRightInd/>
        <w:snapToGrid/>
        <w:spacing w:line="420" w:lineRule="atLeas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4D8CE7B3">
      <w:pPr>
        <w:keepNext w:val="0"/>
        <w:keepLines w:val="0"/>
        <w:pageBreakBefore w:val="0"/>
        <w:widowControl w:val="0"/>
        <w:numPr>
          <w:ilvl w:val="0"/>
          <w:numId w:val="0"/>
        </w:numPr>
        <w:kinsoku/>
        <w:wordWrap/>
        <w:overflowPunct/>
        <w:topLinePunct w:val="0"/>
        <w:autoSpaceDE/>
        <w:autoSpaceDN/>
        <w:bidi w:val="0"/>
        <w:adjustRightInd/>
        <w:snapToGrid/>
        <w:spacing w:line="420" w:lineRule="atLeas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（2）单位负责人为同一人或者存在直接控股、管理关系的不同供应商，不得同时参加本采购项目投标（响应）。</w:t>
      </w:r>
    </w:p>
    <w:p w14:paraId="49E0E363">
      <w:pPr>
        <w:keepNext w:val="0"/>
        <w:keepLines w:val="0"/>
        <w:pageBreakBefore w:val="0"/>
        <w:widowControl w:val="0"/>
        <w:numPr>
          <w:ilvl w:val="0"/>
          <w:numId w:val="2"/>
        </w:numPr>
        <w:kinsoku/>
        <w:wordWrap/>
        <w:overflowPunct/>
        <w:topLinePunct w:val="0"/>
        <w:autoSpaceDE/>
        <w:autoSpaceDN/>
        <w:bidi w:val="0"/>
        <w:adjustRightInd/>
        <w:snapToGrid/>
        <w:spacing w:line="420" w:lineRule="atLeast"/>
        <w:ind w:left="0" w:leftChars="0" w:firstLine="0" w:firstLineChars="0"/>
        <w:jc w:val="both"/>
        <w:textAlignment w:val="auto"/>
        <w:outlineLvl w:val="1"/>
        <w:rPr>
          <w:rFonts w:hint="eastAsia" w:ascii="仿宋" w:hAnsi="仿宋" w:eastAsia="仿宋" w:cs="仿宋"/>
          <w:b/>
          <w:bCs/>
          <w:sz w:val="24"/>
          <w:szCs w:val="24"/>
          <w:highlight w:val="none"/>
          <w:lang w:val="en-US" w:eastAsia="zh-CN"/>
        </w:rPr>
      </w:pPr>
      <w:bookmarkStart w:id="3" w:name="_Toc24234"/>
      <w:r>
        <w:rPr>
          <w:rFonts w:hint="eastAsia" w:ascii="仿宋" w:hAnsi="仿宋" w:eastAsia="仿宋" w:cs="仿宋"/>
          <w:b/>
          <w:bCs/>
          <w:sz w:val="24"/>
          <w:szCs w:val="24"/>
          <w:highlight w:val="none"/>
          <w:lang w:val="en-US" w:eastAsia="zh-CN"/>
        </w:rPr>
        <w:t>获取采购文件</w:t>
      </w:r>
      <w:bookmarkEnd w:id="3"/>
    </w:p>
    <w:p w14:paraId="234E8D61">
      <w:pPr>
        <w:keepNext w:val="0"/>
        <w:keepLines w:val="0"/>
        <w:pageBreakBefore w:val="0"/>
        <w:widowControl w:val="0"/>
        <w:numPr>
          <w:ilvl w:val="0"/>
          <w:numId w:val="0"/>
        </w:numPr>
        <w:kinsoku/>
        <w:wordWrap/>
        <w:overflowPunct/>
        <w:topLinePunct w:val="0"/>
        <w:autoSpaceDE/>
        <w:autoSpaceDN/>
        <w:bidi w:val="0"/>
        <w:adjustRightInd/>
        <w:snapToGrid/>
        <w:spacing w:line="420" w:lineRule="atLeas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时间：2026年04月30日至2026年05月12日，每天上午00:00至14:00，下午14:00至23:59（北京时间，法定节假日除外）</w:t>
      </w:r>
    </w:p>
    <w:p w14:paraId="04320536">
      <w:pPr>
        <w:keepNext w:val="0"/>
        <w:keepLines w:val="0"/>
        <w:pageBreakBefore w:val="0"/>
        <w:widowControl w:val="0"/>
        <w:numPr>
          <w:ilvl w:val="0"/>
          <w:numId w:val="0"/>
        </w:numPr>
        <w:kinsoku/>
        <w:wordWrap/>
        <w:overflowPunct/>
        <w:topLinePunct w:val="0"/>
        <w:autoSpaceDE/>
        <w:autoSpaceDN/>
        <w:bidi w:val="0"/>
        <w:adjustRightInd/>
        <w:snapToGrid/>
        <w:spacing w:line="420" w:lineRule="atLeas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地点：政采云平台（https://www.zcygov.cn/）</w:t>
      </w:r>
    </w:p>
    <w:p w14:paraId="6721FA48">
      <w:pPr>
        <w:keepNext w:val="0"/>
        <w:keepLines w:val="0"/>
        <w:pageBreakBefore w:val="0"/>
        <w:widowControl w:val="0"/>
        <w:numPr>
          <w:ilvl w:val="0"/>
          <w:numId w:val="0"/>
        </w:numPr>
        <w:kinsoku/>
        <w:wordWrap/>
        <w:overflowPunct/>
        <w:topLinePunct w:val="0"/>
        <w:autoSpaceDE/>
        <w:autoSpaceDN/>
        <w:bidi w:val="0"/>
        <w:adjustRightInd/>
        <w:snapToGrid/>
        <w:spacing w:line="420" w:lineRule="atLeas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方式：供应商登录政采云平台https://www.zcygov.cn/在线申请获取采购文件（进入“项目采购”应用，在获取采购文件菜单中选择项目，申请获取采购文件）本次招标不提供纸质版采购文件。</w:t>
      </w:r>
    </w:p>
    <w:p w14:paraId="72CEC041">
      <w:pPr>
        <w:keepNext w:val="0"/>
        <w:keepLines w:val="0"/>
        <w:pageBreakBefore w:val="0"/>
        <w:widowControl w:val="0"/>
        <w:numPr>
          <w:ilvl w:val="0"/>
          <w:numId w:val="0"/>
        </w:numPr>
        <w:kinsoku/>
        <w:wordWrap/>
        <w:overflowPunct/>
        <w:topLinePunct w:val="0"/>
        <w:autoSpaceDE/>
        <w:autoSpaceDN/>
        <w:bidi w:val="0"/>
        <w:adjustRightInd/>
        <w:snapToGrid/>
        <w:spacing w:line="420" w:lineRule="atLeast"/>
        <w:ind w:leftChars="0"/>
        <w:jc w:val="both"/>
        <w:textAlignment w:val="auto"/>
        <w:rPr>
          <w:rFonts w:hint="eastAsia" w:ascii="仿宋" w:hAnsi="仿宋" w:eastAsia="仿宋" w:cs="仿宋"/>
          <w:b/>
          <w:bCs/>
          <w:sz w:val="24"/>
          <w:szCs w:val="24"/>
          <w:highlight w:val="none"/>
        </w:rPr>
      </w:pPr>
      <w:r>
        <w:rPr>
          <w:rFonts w:hint="eastAsia" w:ascii="仿宋" w:hAnsi="仿宋" w:eastAsia="仿宋" w:cs="仿宋"/>
          <w:b w:val="0"/>
          <w:bCs w:val="0"/>
          <w:sz w:val="24"/>
          <w:szCs w:val="24"/>
          <w:highlight w:val="none"/>
          <w:lang w:val="en-US" w:eastAsia="zh-CN"/>
        </w:rPr>
        <w:t xml:space="preserve">售价（元）：0元 </w:t>
      </w:r>
    </w:p>
    <w:p w14:paraId="6C97C824">
      <w:pPr>
        <w:keepNext w:val="0"/>
        <w:keepLines w:val="0"/>
        <w:pageBreakBefore w:val="0"/>
        <w:widowControl w:val="0"/>
        <w:numPr>
          <w:ilvl w:val="0"/>
          <w:numId w:val="2"/>
        </w:numPr>
        <w:kinsoku/>
        <w:wordWrap/>
        <w:overflowPunct/>
        <w:topLinePunct w:val="0"/>
        <w:autoSpaceDE/>
        <w:autoSpaceDN/>
        <w:bidi w:val="0"/>
        <w:adjustRightInd/>
        <w:snapToGrid/>
        <w:spacing w:line="420" w:lineRule="atLeast"/>
        <w:ind w:left="0" w:leftChars="0" w:firstLine="0" w:firstLineChars="0"/>
        <w:jc w:val="both"/>
        <w:textAlignment w:val="auto"/>
        <w:outlineLvl w:val="1"/>
        <w:rPr>
          <w:rFonts w:hint="eastAsia" w:ascii="仿宋" w:hAnsi="仿宋" w:eastAsia="仿宋" w:cs="仿宋"/>
          <w:b/>
          <w:bCs/>
          <w:sz w:val="24"/>
          <w:szCs w:val="24"/>
          <w:highlight w:val="none"/>
        </w:rPr>
      </w:pPr>
      <w:bookmarkStart w:id="4" w:name="_Toc28094"/>
      <w:r>
        <w:rPr>
          <w:rFonts w:hint="eastAsia" w:ascii="仿宋" w:hAnsi="仿宋" w:eastAsia="仿宋" w:cs="仿宋"/>
          <w:b/>
          <w:bCs/>
          <w:sz w:val="24"/>
          <w:szCs w:val="24"/>
          <w:highlight w:val="none"/>
          <w:lang w:val="en-US" w:eastAsia="zh-CN"/>
        </w:rPr>
        <w:t>响应文件提交</w:t>
      </w:r>
      <w:bookmarkEnd w:id="4"/>
      <w:r>
        <w:rPr>
          <w:rFonts w:hint="eastAsia" w:ascii="仿宋" w:hAnsi="仿宋" w:eastAsia="仿宋" w:cs="仿宋"/>
          <w:b/>
          <w:bCs/>
          <w:sz w:val="24"/>
          <w:szCs w:val="24"/>
          <w:highlight w:val="none"/>
          <w:lang w:val="en-US" w:eastAsia="zh-CN"/>
        </w:rPr>
        <w:t xml:space="preserve"> </w:t>
      </w:r>
    </w:p>
    <w:p w14:paraId="0EF5026F">
      <w:pPr>
        <w:keepNext w:val="0"/>
        <w:keepLines w:val="0"/>
        <w:pageBreakBefore w:val="0"/>
        <w:widowControl w:val="0"/>
        <w:numPr>
          <w:ilvl w:val="0"/>
          <w:numId w:val="0"/>
        </w:numPr>
        <w:kinsoku/>
        <w:wordWrap/>
        <w:overflowPunct/>
        <w:topLinePunct w:val="0"/>
        <w:autoSpaceDE/>
        <w:autoSpaceDN/>
        <w:bidi w:val="0"/>
        <w:adjustRightInd/>
        <w:snapToGrid/>
        <w:spacing w:line="420" w:lineRule="atLeas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截止时间：2026年05月14日 11:00（北京时间）</w:t>
      </w:r>
    </w:p>
    <w:p w14:paraId="2D2BDDA2">
      <w:pPr>
        <w:keepNext w:val="0"/>
        <w:keepLines w:val="0"/>
        <w:pageBreakBefore w:val="0"/>
        <w:widowControl w:val="0"/>
        <w:numPr>
          <w:ilvl w:val="0"/>
          <w:numId w:val="0"/>
        </w:numPr>
        <w:kinsoku/>
        <w:wordWrap/>
        <w:overflowPunct/>
        <w:topLinePunct w:val="0"/>
        <w:autoSpaceDE/>
        <w:autoSpaceDN/>
        <w:bidi w:val="0"/>
        <w:adjustRightInd/>
        <w:snapToGrid/>
        <w:spacing w:line="420" w:lineRule="atLeast"/>
        <w:ind w:leftChars="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地    点：政采云平台（https://www.zcygov.cn/），本项目采用不见面开标，加密的电子投标文件在投标截止时间前在政采云平台上传。</w:t>
      </w:r>
    </w:p>
    <w:p w14:paraId="6C89EFCE">
      <w:pPr>
        <w:keepNext w:val="0"/>
        <w:keepLines w:val="0"/>
        <w:pageBreakBefore w:val="0"/>
        <w:widowControl w:val="0"/>
        <w:numPr>
          <w:ilvl w:val="0"/>
          <w:numId w:val="2"/>
        </w:numPr>
        <w:kinsoku/>
        <w:wordWrap/>
        <w:overflowPunct/>
        <w:topLinePunct w:val="0"/>
        <w:autoSpaceDE/>
        <w:autoSpaceDN/>
        <w:bidi w:val="0"/>
        <w:adjustRightInd/>
        <w:snapToGrid/>
        <w:spacing w:line="420" w:lineRule="atLeast"/>
        <w:ind w:left="0" w:leftChars="0" w:firstLine="0" w:firstLineChars="0"/>
        <w:jc w:val="both"/>
        <w:textAlignment w:val="auto"/>
        <w:outlineLvl w:val="1"/>
        <w:rPr>
          <w:rFonts w:hint="eastAsia" w:ascii="仿宋" w:hAnsi="仿宋" w:eastAsia="仿宋" w:cs="仿宋"/>
          <w:b/>
          <w:bCs/>
          <w:sz w:val="24"/>
          <w:szCs w:val="24"/>
          <w:highlight w:val="none"/>
        </w:rPr>
      </w:pPr>
      <w:bookmarkStart w:id="5" w:name="_Toc10942"/>
      <w:r>
        <w:rPr>
          <w:rFonts w:hint="eastAsia" w:ascii="仿宋" w:hAnsi="仿宋" w:eastAsia="仿宋" w:cs="仿宋"/>
          <w:b/>
          <w:bCs/>
          <w:sz w:val="24"/>
          <w:szCs w:val="24"/>
          <w:highlight w:val="none"/>
          <w:lang w:val="en-US" w:eastAsia="zh-CN"/>
        </w:rPr>
        <w:t>响应文件开启</w:t>
      </w:r>
      <w:bookmarkEnd w:id="5"/>
    </w:p>
    <w:p w14:paraId="43E22951">
      <w:pPr>
        <w:keepNext w:val="0"/>
        <w:keepLines w:val="0"/>
        <w:pageBreakBefore w:val="0"/>
        <w:widowControl w:val="0"/>
        <w:numPr>
          <w:ilvl w:val="0"/>
          <w:numId w:val="0"/>
        </w:numPr>
        <w:kinsoku/>
        <w:wordWrap/>
        <w:overflowPunct/>
        <w:topLinePunct w:val="0"/>
        <w:autoSpaceDE/>
        <w:autoSpaceDN/>
        <w:bidi w:val="0"/>
        <w:adjustRightInd/>
        <w:snapToGrid/>
        <w:spacing w:line="420" w:lineRule="atLeas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开标时间：2026年05月14日 11:00（北京时间）</w:t>
      </w:r>
    </w:p>
    <w:p w14:paraId="51341108">
      <w:pPr>
        <w:keepNext w:val="0"/>
        <w:keepLines w:val="0"/>
        <w:pageBreakBefore w:val="0"/>
        <w:widowControl w:val="0"/>
        <w:numPr>
          <w:ilvl w:val="0"/>
          <w:numId w:val="0"/>
        </w:numPr>
        <w:kinsoku/>
        <w:wordWrap/>
        <w:overflowPunct/>
        <w:topLinePunct w:val="0"/>
        <w:autoSpaceDE/>
        <w:autoSpaceDN/>
        <w:bidi w:val="0"/>
        <w:adjustRightInd/>
        <w:snapToGrid/>
        <w:spacing w:line="420" w:lineRule="atLeast"/>
        <w:ind w:leftChars="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开标地点：政采云平台（https://www.zcygov.cn/）不见面开标系统</w:t>
      </w:r>
    </w:p>
    <w:p w14:paraId="261A7616">
      <w:pPr>
        <w:keepNext w:val="0"/>
        <w:keepLines w:val="0"/>
        <w:pageBreakBefore w:val="0"/>
        <w:widowControl w:val="0"/>
        <w:numPr>
          <w:ilvl w:val="0"/>
          <w:numId w:val="2"/>
        </w:numPr>
        <w:kinsoku/>
        <w:wordWrap/>
        <w:overflowPunct/>
        <w:topLinePunct w:val="0"/>
        <w:autoSpaceDE/>
        <w:autoSpaceDN/>
        <w:bidi w:val="0"/>
        <w:adjustRightInd/>
        <w:snapToGrid/>
        <w:spacing w:line="420" w:lineRule="atLeast"/>
        <w:ind w:left="0" w:leftChars="0" w:firstLine="0" w:firstLineChars="0"/>
        <w:jc w:val="both"/>
        <w:textAlignment w:val="auto"/>
        <w:outlineLvl w:val="1"/>
        <w:rPr>
          <w:rFonts w:hint="eastAsia" w:ascii="仿宋" w:hAnsi="仿宋" w:eastAsia="仿宋" w:cs="仿宋"/>
          <w:b/>
          <w:bCs/>
          <w:sz w:val="24"/>
          <w:szCs w:val="24"/>
          <w:highlight w:val="none"/>
        </w:rPr>
      </w:pPr>
      <w:bookmarkStart w:id="6" w:name="_Toc22200"/>
      <w:r>
        <w:rPr>
          <w:rFonts w:hint="eastAsia" w:ascii="仿宋" w:hAnsi="仿宋" w:eastAsia="仿宋" w:cs="仿宋"/>
          <w:b/>
          <w:bCs/>
          <w:sz w:val="24"/>
          <w:szCs w:val="24"/>
          <w:highlight w:val="none"/>
          <w:lang w:val="en-US" w:eastAsia="zh-CN"/>
        </w:rPr>
        <w:t>公告期限</w:t>
      </w:r>
      <w:bookmarkEnd w:id="6"/>
      <w:r>
        <w:rPr>
          <w:rFonts w:hint="eastAsia" w:ascii="仿宋" w:hAnsi="仿宋" w:eastAsia="仿宋" w:cs="仿宋"/>
          <w:b/>
          <w:bCs/>
          <w:sz w:val="24"/>
          <w:szCs w:val="24"/>
          <w:highlight w:val="none"/>
          <w:lang w:val="en-US" w:eastAsia="zh-CN"/>
        </w:rPr>
        <w:t xml:space="preserve"> </w:t>
      </w:r>
    </w:p>
    <w:p w14:paraId="13C80925">
      <w:pPr>
        <w:keepNext w:val="0"/>
        <w:keepLines w:val="0"/>
        <w:pageBreakBefore w:val="0"/>
        <w:widowControl w:val="0"/>
        <w:numPr>
          <w:ilvl w:val="0"/>
          <w:numId w:val="0"/>
        </w:numPr>
        <w:kinsoku/>
        <w:wordWrap/>
        <w:overflowPunct/>
        <w:topLinePunct w:val="0"/>
        <w:autoSpaceDE/>
        <w:autoSpaceDN/>
        <w:bidi w:val="0"/>
        <w:adjustRightInd/>
        <w:snapToGrid/>
        <w:spacing w:line="420" w:lineRule="atLeast"/>
        <w:ind w:leftChars="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自本公告发布之日起</w:t>
      </w:r>
      <w:r>
        <w:rPr>
          <w:rFonts w:hint="eastAsia" w:ascii="仿宋" w:hAnsi="仿宋" w:eastAsia="仿宋" w:cs="仿宋"/>
          <w:b w:val="0"/>
          <w:bCs w:val="0"/>
          <w:sz w:val="24"/>
          <w:szCs w:val="24"/>
          <w:highlight w:val="none"/>
          <w:lang w:val="en-US" w:eastAsia="zh-CN"/>
        </w:rPr>
        <w:t>3</w:t>
      </w:r>
      <w:r>
        <w:rPr>
          <w:rFonts w:hint="eastAsia" w:ascii="仿宋" w:hAnsi="仿宋" w:eastAsia="仿宋" w:cs="仿宋"/>
          <w:b w:val="0"/>
          <w:bCs w:val="0"/>
          <w:sz w:val="24"/>
          <w:szCs w:val="24"/>
          <w:highlight w:val="none"/>
        </w:rPr>
        <w:t>个工作日。</w:t>
      </w:r>
    </w:p>
    <w:p w14:paraId="51D9DCF0">
      <w:pPr>
        <w:keepNext w:val="0"/>
        <w:keepLines w:val="0"/>
        <w:pageBreakBefore w:val="0"/>
        <w:widowControl w:val="0"/>
        <w:numPr>
          <w:ilvl w:val="0"/>
          <w:numId w:val="2"/>
        </w:numPr>
        <w:kinsoku/>
        <w:wordWrap/>
        <w:overflowPunct/>
        <w:topLinePunct w:val="0"/>
        <w:autoSpaceDE/>
        <w:autoSpaceDN/>
        <w:bidi w:val="0"/>
        <w:adjustRightInd/>
        <w:snapToGrid/>
        <w:spacing w:line="420" w:lineRule="atLeast"/>
        <w:ind w:left="0" w:leftChars="0" w:firstLine="0" w:firstLineChars="0"/>
        <w:jc w:val="both"/>
        <w:textAlignment w:val="auto"/>
        <w:outlineLvl w:val="1"/>
        <w:rPr>
          <w:rFonts w:hint="eastAsia" w:ascii="仿宋" w:hAnsi="仿宋" w:eastAsia="仿宋" w:cs="仿宋"/>
          <w:b/>
          <w:bCs/>
          <w:sz w:val="24"/>
          <w:szCs w:val="24"/>
          <w:highlight w:val="none"/>
        </w:rPr>
      </w:pPr>
      <w:bookmarkStart w:id="7" w:name="_Toc1229"/>
      <w:r>
        <w:rPr>
          <w:rFonts w:hint="eastAsia" w:ascii="仿宋" w:hAnsi="仿宋" w:eastAsia="仿宋" w:cs="仿宋"/>
          <w:b/>
          <w:bCs/>
          <w:sz w:val="24"/>
          <w:szCs w:val="24"/>
          <w:highlight w:val="none"/>
          <w:lang w:val="en-US" w:eastAsia="zh-CN"/>
        </w:rPr>
        <w:t>其他补充事宜</w:t>
      </w:r>
      <w:bookmarkEnd w:id="7"/>
      <w:r>
        <w:rPr>
          <w:rFonts w:hint="eastAsia" w:ascii="仿宋" w:hAnsi="仿宋" w:eastAsia="仿宋" w:cs="仿宋"/>
          <w:b/>
          <w:bCs/>
          <w:sz w:val="24"/>
          <w:szCs w:val="24"/>
          <w:highlight w:val="none"/>
          <w:lang w:val="en-US" w:eastAsia="zh-CN"/>
        </w:rPr>
        <w:t xml:space="preserve"> </w:t>
      </w:r>
    </w:p>
    <w:p w14:paraId="65F7B71C">
      <w:pPr>
        <w:keepNext w:val="0"/>
        <w:keepLines w:val="0"/>
        <w:pageBreakBefore w:val="0"/>
        <w:widowControl w:val="0"/>
        <w:numPr>
          <w:ilvl w:val="0"/>
          <w:numId w:val="0"/>
        </w:numPr>
        <w:kinsoku/>
        <w:wordWrap/>
        <w:overflowPunct/>
        <w:topLinePunct w:val="0"/>
        <w:autoSpaceDE/>
        <w:autoSpaceDN/>
        <w:bidi w:val="0"/>
        <w:adjustRightInd/>
        <w:snapToGrid/>
        <w:spacing w:line="420" w:lineRule="atLeast"/>
        <w:ind w:leftChars="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1、关于本项目所有公告、公示在</w:t>
      </w:r>
      <w:r>
        <w:rPr>
          <w:rFonts w:hint="eastAsia" w:ascii="仿宋" w:hAnsi="仿宋" w:eastAsia="仿宋" w:cs="仿宋"/>
          <w:b/>
          <w:bCs/>
          <w:sz w:val="24"/>
          <w:szCs w:val="24"/>
          <w:highlight w:val="none"/>
        </w:rPr>
        <w:t>新疆政府采购网</w:t>
      </w:r>
      <w:r>
        <w:rPr>
          <w:rFonts w:hint="eastAsia" w:ascii="仿宋" w:hAnsi="仿宋" w:eastAsia="仿宋" w:cs="仿宋"/>
          <w:sz w:val="24"/>
          <w:szCs w:val="24"/>
          <w:highlight w:val="none"/>
        </w:rPr>
        <w:t>（http://www.ccgp-xinjiang.gov.cn）</w:t>
      </w:r>
      <w:r>
        <w:rPr>
          <w:rFonts w:hint="eastAsia" w:ascii="仿宋" w:hAnsi="仿宋" w:eastAsia="仿宋" w:cs="仿宋"/>
          <w:b w:val="0"/>
          <w:bCs w:val="0"/>
          <w:sz w:val="24"/>
          <w:szCs w:val="24"/>
          <w:highlight w:val="none"/>
        </w:rPr>
        <w:t>发布。</w:t>
      </w:r>
    </w:p>
    <w:p w14:paraId="644F7F9C">
      <w:pPr>
        <w:keepNext w:val="0"/>
        <w:keepLines w:val="0"/>
        <w:pageBreakBefore w:val="0"/>
        <w:widowControl w:val="0"/>
        <w:numPr>
          <w:ilvl w:val="0"/>
          <w:numId w:val="0"/>
        </w:numPr>
        <w:kinsoku/>
        <w:wordWrap/>
        <w:overflowPunct/>
        <w:topLinePunct w:val="0"/>
        <w:autoSpaceDE/>
        <w:autoSpaceDN/>
        <w:bidi w:val="0"/>
        <w:adjustRightInd/>
        <w:snapToGrid/>
        <w:spacing w:line="420" w:lineRule="atLeast"/>
        <w:ind w:leftChars="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2、请</w:t>
      </w:r>
      <w:r>
        <w:rPr>
          <w:rFonts w:hint="eastAsia" w:ascii="仿宋" w:hAnsi="仿宋" w:eastAsia="仿宋" w:cs="仿宋"/>
          <w:b w:val="0"/>
          <w:bCs w:val="0"/>
          <w:sz w:val="24"/>
          <w:szCs w:val="24"/>
          <w:highlight w:val="none"/>
          <w:lang w:eastAsia="zh-CN"/>
        </w:rPr>
        <w:t>磋商供应商</w:t>
      </w:r>
      <w:r>
        <w:rPr>
          <w:rFonts w:hint="eastAsia" w:ascii="仿宋" w:hAnsi="仿宋" w:eastAsia="仿宋" w:cs="仿宋"/>
          <w:b w:val="0"/>
          <w:bCs w:val="0"/>
          <w:sz w:val="24"/>
          <w:szCs w:val="24"/>
          <w:highlight w:val="none"/>
        </w:rPr>
        <w:t>随时关注本项目的澄清、答疑、变更事项。</w:t>
      </w:r>
    </w:p>
    <w:p w14:paraId="6F2DDA08">
      <w:pPr>
        <w:keepNext w:val="0"/>
        <w:keepLines w:val="0"/>
        <w:pageBreakBefore w:val="0"/>
        <w:widowControl w:val="0"/>
        <w:numPr>
          <w:ilvl w:val="0"/>
          <w:numId w:val="0"/>
        </w:numPr>
        <w:kinsoku/>
        <w:wordWrap/>
        <w:overflowPunct/>
        <w:topLinePunct w:val="0"/>
        <w:autoSpaceDE/>
        <w:autoSpaceDN/>
        <w:bidi w:val="0"/>
        <w:adjustRightInd/>
        <w:snapToGrid/>
        <w:spacing w:line="420" w:lineRule="atLeast"/>
        <w:ind w:leftChars="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3、本项目实行电子招投标，</w:t>
      </w:r>
      <w:r>
        <w:rPr>
          <w:rFonts w:hint="eastAsia" w:ascii="仿宋" w:hAnsi="仿宋" w:eastAsia="仿宋" w:cs="仿宋"/>
          <w:b w:val="0"/>
          <w:bCs w:val="0"/>
          <w:sz w:val="24"/>
          <w:szCs w:val="24"/>
          <w:highlight w:val="none"/>
          <w:lang w:eastAsia="zh-CN"/>
        </w:rPr>
        <w:t>供应商</w:t>
      </w:r>
      <w:r>
        <w:rPr>
          <w:rFonts w:hint="eastAsia" w:ascii="仿宋" w:hAnsi="仿宋" w:eastAsia="仿宋" w:cs="仿宋"/>
          <w:b w:val="0"/>
          <w:bCs w:val="0"/>
          <w:sz w:val="24"/>
          <w:szCs w:val="24"/>
          <w:highlight w:val="none"/>
        </w:rPr>
        <w:t>须登录政采云平台申请获取</w:t>
      </w:r>
      <w:r>
        <w:rPr>
          <w:rFonts w:hint="eastAsia" w:ascii="仿宋" w:hAnsi="仿宋" w:eastAsia="仿宋" w:cs="仿宋"/>
          <w:b w:val="0"/>
          <w:bCs w:val="0"/>
          <w:sz w:val="24"/>
          <w:szCs w:val="24"/>
          <w:highlight w:val="none"/>
          <w:lang w:eastAsia="zh-CN"/>
        </w:rPr>
        <w:t>采购文件</w:t>
      </w:r>
      <w:r>
        <w:rPr>
          <w:rFonts w:hint="eastAsia" w:ascii="仿宋" w:hAnsi="仿宋" w:eastAsia="仿宋" w:cs="仿宋"/>
          <w:b w:val="0"/>
          <w:bCs w:val="0"/>
          <w:sz w:val="24"/>
          <w:szCs w:val="24"/>
          <w:highlight w:val="none"/>
        </w:rPr>
        <w:t>，并通过政采云电子投标客户端制作响应文件，同时自行承担与投标有关的一切费用。</w:t>
      </w:r>
    </w:p>
    <w:p w14:paraId="4670BD97">
      <w:pPr>
        <w:keepNext w:val="0"/>
        <w:keepLines w:val="0"/>
        <w:pageBreakBefore w:val="0"/>
        <w:widowControl w:val="0"/>
        <w:numPr>
          <w:ilvl w:val="0"/>
          <w:numId w:val="0"/>
        </w:numPr>
        <w:kinsoku/>
        <w:wordWrap/>
        <w:overflowPunct/>
        <w:topLinePunct w:val="0"/>
        <w:autoSpaceDE/>
        <w:autoSpaceDN/>
        <w:bidi w:val="0"/>
        <w:adjustRightInd/>
        <w:snapToGrid/>
        <w:spacing w:line="420" w:lineRule="atLeast"/>
        <w:ind w:leftChars="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4、各</w:t>
      </w:r>
      <w:r>
        <w:rPr>
          <w:rFonts w:hint="eastAsia" w:ascii="仿宋" w:hAnsi="仿宋" w:eastAsia="仿宋" w:cs="仿宋"/>
          <w:b w:val="0"/>
          <w:bCs w:val="0"/>
          <w:sz w:val="24"/>
          <w:szCs w:val="24"/>
          <w:highlight w:val="none"/>
          <w:lang w:eastAsia="zh-CN"/>
        </w:rPr>
        <w:t>供应商</w:t>
      </w:r>
      <w:r>
        <w:rPr>
          <w:rFonts w:hint="eastAsia" w:ascii="仿宋" w:hAnsi="仿宋" w:eastAsia="仿宋" w:cs="仿宋"/>
          <w:b w:val="0"/>
          <w:bCs w:val="0"/>
          <w:sz w:val="24"/>
          <w:szCs w:val="24"/>
          <w:highlight w:val="none"/>
        </w:rPr>
        <w:t>应在开标前确保成为新疆政府采购网正式注册入库</w:t>
      </w:r>
      <w:r>
        <w:rPr>
          <w:rFonts w:hint="eastAsia" w:ascii="仿宋" w:hAnsi="仿宋" w:eastAsia="仿宋" w:cs="仿宋"/>
          <w:b w:val="0"/>
          <w:bCs w:val="0"/>
          <w:sz w:val="24"/>
          <w:szCs w:val="24"/>
          <w:highlight w:val="none"/>
          <w:lang w:eastAsia="zh-CN"/>
        </w:rPr>
        <w:t>供应商</w:t>
      </w:r>
      <w:r>
        <w:rPr>
          <w:rFonts w:hint="eastAsia" w:ascii="仿宋" w:hAnsi="仿宋" w:eastAsia="仿宋" w:cs="仿宋"/>
          <w:b w:val="0"/>
          <w:bCs w:val="0"/>
          <w:sz w:val="24"/>
          <w:szCs w:val="24"/>
          <w:highlight w:val="none"/>
        </w:rPr>
        <w:t>，并完成CA数字证书申领。因未注册入库、未办理CA数字证书等原因造成无法投标或投标失败等后果由</w:t>
      </w:r>
      <w:r>
        <w:rPr>
          <w:rFonts w:hint="eastAsia" w:ascii="仿宋" w:hAnsi="仿宋" w:eastAsia="仿宋" w:cs="仿宋"/>
          <w:b w:val="0"/>
          <w:bCs w:val="0"/>
          <w:sz w:val="24"/>
          <w:szCs w:val="24"/>
          <w:highlight w:val="none"/>
          <w:lang w:eastAsia="zh-CN"/>
        </w:rPr>
        <w:t>供应商</w:t>
      </w:r>
      <w:r>
        <w:rPr>
          <w:rFonts w:hint="eastAsia" w:ascii="仿宋" w:hAnsi="仿宋" w:eastAsia="仿宋" w:cs="仿宋"/>
          <w:b w:val="0"/>
          <w:bCs w:val="0"/>
          <w:sz w:val="24"/>
          <w:szCs w:val="24"/>
          <w:highlight w:val="none"/>
        </w:rPr>
        <w:t>自行承担。</w:t>
      </w:r>
    </w:p>
    <w:p w14:paraId="6B9DFAC1">
      <w:pPr>
        <w:keepNext w:val="0"/>
        <w:keepLines w:val="0"/>
        <w:pageBreakBefore w:val="0"/>
        <w:widowControl w:val="0"/>
        <w:numPr>
          <w:ilvl w:val="0"/>
          <w:numId w:val="0"/>
        </w:numPr>
        <w:kinsoku/>
        <w:wordWrap/>
        <w:overflowPunct/>
        <w:topLinePunct w:val="0"/>
        <w:autoSpaceDE/>
        <w:autoSpaceDN/>
        <w:bidi w:val="0"/>
        <w:adjustRightInd/>
        <w:snapToGrid/>
        <w:spacing w:line="420" w:lineRule="atLeast"/>
        <w:ind w:leftChars="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5、有意向参与电子开评标的</w:t>
      </w:r>
      <w:r>
        <w:rPr>
          <w:rFonts w:hint="eastAsia" w:ascii="仿宋" w:hAnsi="仿宋" w:eastAsia="仿宋" w:cs="仿宋"/>
          <w:b w:val="0"/>
          <w:bCs w:val="0"/>
          <w:sz w:val="24"/>
          <w:szCs w:val="24"/>
          <w:highlight w:val="none"/>
          <w:lang w:eastAsia="zh-CN"/>
        </w:rPr>
        <w:t>供应商</w:t>
      </w:r>
      <w:r>
        <w:rPr>
          <w:rFonts w:hint="eastAsia" w:ascii="仿宋" w:hAnsi="仿宋" w:eastAsia="仿宋" w:cs="仿宋"/>
          <w:b w:val="0"/>
          <w:bCs w:val="0"/>
          <w:sz w:val="24"/>
          <w:szCs w:val="24"/>
          <w:highlight w:val="none"/>
        </w:rPr>
        <w:t>，可访问新疆数字证书认证中心官方网站（https://www.xjca.com.cn/）或下载“新疆政务通”APP自行进行申领。如需咨询，请联系新疆CA服务热线0991-2819290。</w:t>
      </w:r>
    </w:p>
    <w:p w14:paraId="1F220C61">
      <w:pPr>
        <w:keepNext w:val="0"/>
        <w:keepLines w:val="0"/>
        <w:pageBreakBefore w:val="0"/>
        <w:widowControl w:val="0"/>
        <w:numPr>
          <w:ilvl w:val="0"/>
          <w:numId w:val="2"/>
        </w:numPr>
        <w:kinsoku/>
        <w:wordWrap/>
        <w:overflowPunct/>
        <w:topLinePunct w:val="0"/>
        <w:autoSpaceDE/>
        <w:autoSpaceDN/>
        <w:bidi w:val="0"/>
        <w:adjustRightInd/>
        <w:snapToGrid/>
        <w:spacing w:line="420" w:lineRule="atLeast"/>
        <w:ind w:left="0" w:leftChars="0" w:firstLine="0" w:firstLineChars="0"/>
        <w:jc w:val="both"/>
        <w:textAlignment w:val="auto"/>
        <w:outlineLvl w:val="1"/>
        <w:rPr>
          <w:rFonts w:hint="eastAsia" w:ascii="仿宋" w:hAnsi="仿宋" w:eastAsia="仿宋" w:cs="仿宋"/>
          <w:b/>
          <w:bCs/>
          <w:sz w:val="24"/>
          <w:szCs w:val="24"/>
          <w:highlight w:val="none"/>
        </w:rPr>
      </w:pPr>
      <w:bookmarkStart w:id="8" w:name="_Toc5047"/>
      <w:r>
        <w:rPr>
          <w:rFonts w:hint="eastAsia" w:ascii="仿宋" w:hAnsi="仿宋" w:eastAsia="仿宋" w:cs="仿宋"/>
          <w:b/>
          <w:bCs/>
          <w:sz w:val="24"/>
          <w:szCs w:val="24"/>
          <w:highlight w:val="none"/>
        </w:rPr>
        <w:t>对本次采购提出询问，请按以下方式联系</w:t>
      </w:r>
      <w:bookmarkEnd w:id="8"/>
    </w:p>
    <w:p w14:paraId="623CB5D9">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1.采购人信息</w:t>
      </w:r>
    </w:p>
    <w:p w14:paraId="05C1782C">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名 称：</w:t>
      </w:r>
      <w:r>
        <w:rPr>
          <w:rFonts w:hint="eastAsia" w:ascii="仿宋" w:hAnsi="仿宋" w:eastAsia="仿宋" w:cs="仿宋"/>
          <w:sz w:val="24"/>
          <w:szCs w:val="24"/>
          <w:highlight w:val="none"/>
          <w:lang w:eastAsia="zh-CN"/>
        </w:rPr>
        <w:t>新疆职业大学</w:t>
      </w:r>
    </w:p>
    <w:p w14:paraId="04950947">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地 址：</w:t>
      </w:r>
      <w:r>
        <w:rPr>
          <w:rFonts w:hint="eastAsia" w:ascii="仿宋" w:hAnsi="仿宋" w:eastAsia="仿宋" w:cs="仿宋"/>
          <w:sz w:val="24"/>
          <w:highlight w:val="none"/>
        </w:rPr>
        <w:t>新疆乌鲁木齐市达坂城区文达路1号</w:t>
      </w:r>
    </w:p>
    <w:p w14:paraId="1F3CF64E">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联系人：克老师</w:t>
      </w:r>
    </w:p>
    <w:p w14:paraId="52961526">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联系方式：</w:t>
      </w:r>
      <w:r>
        <w:rPr>
          <w:rFonts w:hint="eastAsia" w:ascii="仿宋" w:hAnsi="仿宋" w:eastAsia="仿宋" w:cs="仿宋"/>
          <w:sz w:val="24"/>
          <w:szCs w:val="24"/>
          <w:highlight w:val="none"/>
          <w:lang w:val="en-US" w:eastAsia="zh-CN"/>
        </w:rPr>
        <w:t>0991-3785321</w:t>
      </w:r>
    </w:p>
    <w:p w14:paraId="66DC5CCF">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2.采购代理机构信息</w:t>
      </w:r>
    </w:p>
    <w:p w14:paraId="733E80EE">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名 称：新疆世纪星工程咨询有限公司</w:t>
      </w:r>
    </w:p>
    <w:p w14:paraId="6B3E116F">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地 址：乌鲁木齐经济技术开发区二期黄山街一品九点阳光德港大厦B座20楼</w:t>
      </w:r>
    </w:p>
    <w:p w14:paraId="7A7477AB">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联系方式：0991-3678303</w:t>
      </w:r>
    </w:p>
    <w:p w14:paraId="4FA7E2A0">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3.项目联系方式</w:t>
      </w:r>
    </w:p>
    <w:p w14:paraId="487969BC">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项目联系人：</w:t>
      </w:r>
      <w:r>
        <w:rPr>
          <w:rFonts w:hint="eastAsia" w:ascii="仿宋" w:hAnsi="仿宋" w:eastAsia="仿宋" w:cs="仿宋"/>
          <w:sz w:val="24"/>
          <w:highlight w:val="none"/>
        </w:rPr>
        <w:t>李春雪、马莉、李航、龚凡</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范艳娥</w:t>
      </w:r>
    </w:p>
    <w:p w14:paraId="260FB4A9">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电 话：0991-3678303</w:t>
      </w:r>
    </w:p>
    <w:p w14:paraId="134EB955">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rPr>
      </w:pPr>
    </w:p>
    <w:p w14:paraId="677A2E8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p>
    <w:p w14:paraId="358711B8">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br w:type="page"/>
      </w:r>
    </w:p>
    <w:p w14:paraId="3D25A85C">
      <w:pPr>
        <w:pStyle w:val="2"/>
        <w:numPr>
          <w:ilvl w:val="0"/>
          <w:numId w:val="3"/>
        </w:numPr>
        <w:bidi w:val="0"/>
        <w:jc w:val="center"/>
        <w:rPr>
          <w:rFonts w:hint="eastAsia" w:ascii="仿宋" w:hAnsi="仿宋" w:eastAsia="仿宋" w:cs="仿宋"/>
          <w:sz w:val="32"/>
          <w:szCs w:val="32"/>
          <w:highlight w:val="none"/>
          <w:lang w:val="en-US" w:eastAsia="zh-CN"/>
        </w:rPr>
      </w:pPr>
      <w:bookmarkStart w:id="9" w:name="_Toc19946"/>
      <w:r>
        <w:rPr>
          <w:rFonts w:hint="eastAsia" w:ascii="仿宋" w:hAnsi="仿宋" w:eastAsia="仿宋" w:cs="仿宋"/>
          <w:sz w:val="32"/>
          <w:szCs w:val="32"/>
          <w:highlight w:val="none"/>
          <w:lang w:val="en-US" w:eastAsia="zh-CN"/>
        </w:rPr>
        <w:t>供应商须知前附表</w:t>
      </w:r>
      <w:bookmarkEnd w:id="9"/>
    </w:p>
    <w:tbl>
      <w:tblPr>
        <w:tblStyle w:val="32"/>
        <w:tblW w:w="5000" w:type="pct"/>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978"/>
        <w:gridCol w:w="7544"/>
      </w:tblGrid>
      <w:tr w14:paraId="1C96974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574" w:type="pct"/>
            <w:tcBorders>
              <w:tl2br w:val="nil"/>
              <w:tr2bl w:val="nil"/>
            </w:tcBorders>
            <w:vAlign w:val="center"/>
          </w:tcPr>
          <w:p w14:paraId="54D25E75">
            <w:pPr>
              <w:keepNext w:val="0"/>
              <w:keepLines w:val="0"/>
              <w:pageBreakBefore w:val="0"/>
              <w:widowControl w:val="0"/>
              <w:kinsoku/>
              <w:wordWrap/>
              <w:overflowPunct/>
              <w:topLinePunct w:val="0"/>
              <w:autoSpaceDE/>
              <w:autoSpaceDN/>
              <w:bidi w:val="0"/>
              <w:adjustRightInd/>
              <w:snapToGrid/>
              <w:spacing w:line="420" w:lineRule="atLeast"/>
              <w:jc w:val="center"/>
              <w:textAlignment w:val="auto"/>
              <w:rPr>
                <w:rFonts w:hint="eastAsia" w:ascii="仿宋" w:hAnsi="仿宋" w:eastAsia="仿宋" w:cs="仿宋"/>
                <w:b/>
                <w:bCs/>
                <w:sz w:val="24"/>
                <w:szCs w:val="24"/>
                <w:highlight w:val="none"/>
                <w:vertAlign w:val="baseline"/>
              </w:rPr>
            </w:pPr>
            <w:r>
              <w:rPr>
                <w:rFonts w:hint="eastAsia" w:ascii="仿宋" w:hAnsi="仿宋" w:eastAsia="仿宋" w:cs="仿宋"/>
                <w:b/>
                <w:bCs/>
                <w:sz w:val="24"/>
                <w:szCs w:val="24"/>
                <w:highlight w:val="none"/>
                <w:vertAlign w:val="baseline"/>
                <w:lang w:val="en-US" w:eastAsia="zh-CN"/>
              </w:rPr>
              <w:t>条款号</w:t>
            </w:r>
          </w:p>
        </w:tc>
        <w:tc>
          <w:tcPr>
            <w:tcW w:w="4425" w:type="pct"/>
            <w:tcBorders>
              <w:tl2br w:val="nil"/>
              <w:tr2bl w:val="nil"/>
            </w:tcBorders>
          </w:tcPr>
          <w:p w14:paraId="08177BAE">
            <w:pPr>
              <w:keepNext w:val="0"/>
              <w:keepLines w:val="0"/>
              <w:pageBreakBefore w:val="0"/>
              <w:widowControl w:val="0"/>
              <w:kinsoku/>
              <w:wordWrap/>
              <w:overflowPunct/>
              <w:topLinePunct w:val="0"/>
              <w:autoSpaceDE/>
              <w:autoSpaceDN/>
              <w:bidi w:val="0"/>
              <w:adjustRightInd/>
              <w:snapToGrid/>
              <w:spacing w:line="420" w:lineRule="atLeast"/>
              <w:jc w:val="center"/>
              <w:textAlignment w:val="auto"/>
              <w:rPr>
                <w:rFonts w:hint="eastAsia" w:ascii="仿宋" w:hAnsi="仿宋" w:eastAsia="仿宋" w:cs="仿宋"/>
                <w:b/>
                <w:bCs/>
                <w:sz w:val="24"/>
                <w:szCs w:val="24"/>
                <w:highlight w:val="none"/>
                <w:vertAlign w:val="baseline"/>
              </w:rPr>
            </w:pPr>
            <w:r>
              <w:rPr>
                <w:rFonts w:hint="eastAsia" w:ascii="仿宋" w:hAnsi="仿宋" w:eastAsia="仿宋" w:cs="仿宋"/>
                <w:b/>
                <w:bCs/>
                <w:sz w:val="24"/>
                <w:szCs w:val="24"/>
                <w:highlight w:val="none"/>
                <w:vertAlign w:val="baseline"/>
                <w:lang w:val="en-US" w:eastAsia="zh-CN"/>
              </w:rPr>
              <w:t>内容</w:t>
            </w:r>
          </w:p>
        </w:tc>
      </w:tr>
      <w:tr w14:paraId="445DCF5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574" w:type="pct"/>
            <w:tcBorders>
              <w:tl2br w:val="nil"/>
              <w:tr2bl w:val="nil"/>
            </w:tcBorders>
            <w:vAlign w:val="center"/>
          </w:tcPr>
          <w:p w14:paraId="44C340F8">
            <w:pPr>
              <w:keepNext w:val="0"/>
              <w:keepLines w:val="0"/>
              <w:pageBreakBefore w:val="0"/>
              <w:widowControl w:val="0"/>
              <w:kinsoku/>
              <w:wordWrap/>
              <w:overflowPunct/>
              <w:topLinePunct w:val="0"/>
              <w:autoSpaceDE/>
              <w:autoSpaceDN/>
              <w:bidi w:val="0"/>
              <w:adjustRightInd/>
              <w:snapToGrid/>
              <w:spacing w:line="420" w:lineRule="atLeas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1.1</w:t>
            </w:r>
          </w:p>
        </w:tc>
        <w:tc>
          <w:tcPr>
            <w:tcW w:w="4425" w:type="pct"/>
            <w:tcBorders>
              <w:tl2br w:val="nil"/>
              <w:tr2bl w:val="nil"/>
            </w:tcBorders>
            <w:vAlign w:val="center"/>
          </w:tcPr>
          <w:p w14:paraId="205C2194">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vertAlign w:val="baseline"/>
                <w:lang w:val="en-US" w:eastAsia="zh-CN"/>
              </w:rPr>
              <w:t>采购人：</w:t>
            </w:r>
            <w:r>
              <w:rPr>
                <w:rFonts w:hint="eastAsia" w:ascii="仿宋" w:hAnsi="仿宋" w:eastAsia="仿宋" w:cs="仿宋"/>
                <w:sz w:val="24"/>
                <w:szCs w:val="24"/>
                <w:highlight w:val="none"/>
                <w:lang w:eastAsia="zh-CN"/>
              </w:rPr>
              <w:t>新疆职业大学</w:t>
            </w:r>
          </w:p>
          <w:p w14:paraId="58189576">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地 址：</w:t>
            </w:r>
            <w:r>
              <w:rPr>
                <w:rFonts w:hint="eastAsia" w:ascii="仿宋" w:hAnsi="仿宋" w:eastAsia="仿宋" w:cs="仿宋"/>
                <w:sz w:val="24"/>
                <w:highlight w:val="none"/>
              </w:rPr>
              <w:t>新疆乌鲁木齐市达坂城区文达路1号</w:t>
            </w:r>
          </w:p>
          <w:p w14:paraId="5CA3B241">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联系人：克老师</w:t>
            </w:r>
          </w:p>
          <w:p w14:paraId="3C8D8BB6">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联系方式：</w:t>
            </w:r>
            <w:r>
              <w:rPr>
                <w:rFonts w:hint="eastAsia" w:ascii="仿宋" w:hAnsi="仿宋" w:eastAsia="仿宋" w:cs="仿宋"/>
                <w:sz w:val="24"/>
                <w:szCs w:val="24"/>
                <w:highlight w:val="none"/>
                <w:lang w:val="en-US" w:eastAsia="zh-CN"/>
              </w:rPr>
              <w:t>0991-3785321</w:t>
            </w:r>
          </w:p>
        </w:tc>
      </w:tr>
      <w:tr w14:paraId="35E3E98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574" w:type="pct"/>
            <w:tcBorders>
              <w:tl2br w:val="nil"/>
              <w:tr2bl w:val="nil"/>
            </w:tcBorders>
            <w:vAlign w:val="center"/>
          </w:tcPr>
          <w:p w14:paraId="7E9DD6CD">
            <w:pPr>
              <w:keepNext w:val="0"/>
              <w:keepLines w:val="0"/>
              <w:pageBreakBefore w:val="0"/>
              <w:widowControl w:val="0"/>
              <w:kinsoku/>
              <w:wordWrap/>
              <w:overflowPunct/>
              <w:topLinePunct w:val="0"/>
              <w:autoSpaceDE/>
              <w:autoSpaceDN/>
              <w:bidi w:val="0"/>
              <w:adjustRightInd/>
              <w:snapToGrid/>
              <w:spacing w:line="420" w:lineRule="atLeas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1.2</w:t>
            </w:r>
          </w:p>
        </w:tc>
        <w:tc>
          <w:tcPr>
            <w:tcW w:w="4425" w:type="pct"/>
            <w:tcBorders>
              <w:tl2br w:val="nil"/>
              <w:tr2bl w:val="nil"/>
            </w:tcBorders>
            <w:vAlign w:val="center"/>
          </w:tcPr>
          <w:p w14:paraId="4C31AB91">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 xml:space="preserve">采购代理机构：新疆世纪星工程咨询有限公司 </w:t>
            </w:r>
          </w:p>
          <w:p w14:paraId="7AEAE884">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 xml:space="preserve">地址：乌鲁木齐经济技术开发区二期黄山街一品九点阳光德港大厦B座20楼 </w:t>
            </w:r>
          </w:p>
          <w:p w14:paraId="0F3260D8">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rPr>
              <w:t>业务联系人：</w:t>
            </w:r>
            <w:r>
              <w:rPr>
                <w:rFonts w:hint="eastAsia" w:ascii="仿宋" w:hAnsi="仿宋" w:eastAsia="仿宋" w:cs="仿宋"/>
                <w:sz w:val="24"/>
                <w:highlight w:val="none"/>
              </w:rPr>
              <w:t>李春雪、马莉、李航、龚凡</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范艳娥</w:t>
            </w:r>
            <w:r>
              <w:rPr>
                <w:rFonts w:hint="eastAsia" w:ascii="仿宋" w:hAnsi="仿宋" w:eastAsia="仿宋" w:cs="仿宋"/>
                <w:sz w:val="24"/>
                <w:szCs w:val="24"/>
                <w:highlight w:val="none"/>
                <w:vertAlign w:val="baseline"/>
              </w:rPr>
              <w:t xml:space="preserve">      </w:t>
            </w:r>
            <w:r>
              <w:rPr>
                <w:rFonts w:hint="eastAsia" w:ascii="仿宋" w:hAnsi="仿宋" w:eastAsia="仿宋" w:cs="仿宋"/>
                <w:sz w:val="24"/>
                <w:szCs w:val="24"/>
                <w:highlight w:val="none"/>
                <w:vertAlign w:val="baseline"/>
                <w:lang w:val="en-US" w:eastAsia="zh-CN"/>
              </w:rPr>
              <w:t xml:space="preserve">  </w:t>
            </w:r>
          </w:p>
          <w:p w14:paraId="2DB00C91">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 xml:space="preserve">电话：0991-3678303 </w:t>
            </w:r>
          </w:p>
          <w:p w14:paraId="7DB203EA">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rPr>
              <w:t>电子邮箱：</w:t>
            </w:r>
            <w:r>
              <w:rPr>
                <w:rFonts w:hint="eastAsia" w:ascii="仿宋" w:hAnsi="仿宋" w:eastAsia="仿宋" w:cs="仿宋"/>
                <w:sz w:val="24"/>
                <w:szCs w:val="24"/>
                <w:highlight w:val="none"/>
                <w:vertAlign w:val="baseline"/>
                <w:lang w:val="en-US" w:eastAsia="zh-CN"/>
              </w:rPr>
              <w:t>1484134741@qq.com</w:t>
            </w:r>
          </w:p>
        </w:tc>
      </w:tr>
      <w:tr w14:paraId="64855DF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574" w:type="pct"/>
            <w:tcBorders>
              <w:tl2br w:val="nil"/>
              <w:tr2bl w:val="nil"/>
            </w:tcBorders>
            <w:vAlign w:val="center"/>
          </w:tcPr>
          <w:p w14:paraId="4EDC82B0">
            <w:pPr>
              <w:keepNext w:val="0"/>
              <w:keepLines w:val="0"/>
              <w:pageBreakBefore w:val="0"/>
              <w:widowControl w:val="0"/>
              <w:kinsoku/>
              <w:wordWrap/>
              <w:overflowPunct/>
              <w:topLinePunct w:val="0"/>
              <w:autoSpaceDE/>
              <w:autoSpaceDN/>
              <w:bidi w:val="0"/>
              <w:adjustRightInd/>
              <w:snapToGrid/>
              <w:spacing w:line="420" w:lineRule="atLeas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1.3.3</w:t>
            </w:r>
          </w:p>
        </w:tc>
        <w:tc>
          <w:tcPr>
            <w:tcW w:w="4425" w:type="pct"/>
            <w:tcBorders>
              <w:tl2br w:val="nil"/>
              <w:tr2bl w:val="nil"/>
            </w:tcBorders>
            <w:vAlign w:val="center"/>
          </w:tcPr>
          <w:p w14:paraId="484E3B4E">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b/>
                <w:bCs/>
                <w:sz w:val="24"/>
                <w:szCs w:val="24"/>
                <w:highlight w:val="none"/>
                <w:vertAlign w:val="baseline"/>
              </w:rPr>
            </w:pPr>
            <w:r>
              <w:rPr>
                <w:rFonts w:hint="eastAsia" w:ascii="仿宋" w:hAnsi="仿宋" w:eastAsia="仿宋" w:cs="仿宋"/>
                <w:b/>
                <w:bCs/>
                <w:sz w:val="24"/>
                <w:szCs w:val="24"/>
                <w:highlight w:val="none"/>
                <w:vertAlign w:val="baseline"/>
              </w:rPr>
              <w:t>合格</w:t>
            </w:r>
            <w:r>
              <w:rPr>
                <w:rFonts w:hint="eastAsia" w:ascii="仿宋" w:hAnsi="仿宋" w:eastAsia="仿宋" w:cs="仿宋"/>
                <w:b/>
                <w:bCs/>
                <w:sz w:val="24"/>
                <w:szCs w:val="24"/>
                <w:highlight w:val="none"/>
                <w:vertAlign w:val="baseline"/>
                <w:lang w:val="en-US" w:eastAsia="zh-CN"/>
              </w:rPr>
              <w:t>供应商</w:t>
            </w:r>
            <w:r>
              <w:rPr>
                <w:rFonts w:hint="eastAsia" w:ascii="仿宋" w:hAnsi="仿宋" w:eastAsia="仿宋" w:cs="仿宋"/>
                <w:b/>
                <w:bCs/>
                <w:sz w:val="24"/>
                <w:szCs w:val="24"/>
                <w:highlight w:val="none"/>
                <w:vertAlign w:val="baseline"/>
              </w:rPr>
              <w:t>的其他资格要求：</w:t>
            </w:r>
          </w:p>
          <w:p w14:paraId="7E18DC44">
            <w:pPr>
              <w:keepNext w:val="0"/>
              <w:keepLines w:val="0"/>
              <w:pageBreakBefore w:val="0"/>
              <w:widowControl w:val="0"/>
              <w:kinsoku/>
              <w:wordWrap/>
              <w:overflowPunct/>
              <w:topLinePunct w:val="0"/>
              <w:autoSpaceDE/>
              <w:autoSpaceDN/>
              <w:bidi w:val="0"/>
              <w:adjustRightInd/>
              <w:snapToGrid/>
              <w:spacing w:line="420" w:lineRule="atLeas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35F6408B">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sz w:val="24"/>
                <w:szCs w:val="24"/>
                <w:highlight w:val="none"/>
              </w:rPr>
            </w:pPr>
            <w:r>
              <w:rPr>
                <w:rFonts w:hint="eastAsia" w:ascii="仿宋" w:hAnsi="仿宋" w:eastAsia="仿宋" w:cs="仿宋"/>
                <w:b w:val="0"/>
                <w:bCs w:val="0"/>
                <w:sz w:val="24"/>
                <w:szCs w:val="24"/>
                <w:highlight w:val="none"/>
                <w:lang w:val="en-US" w:eastAsia="zh-CN"/>
              </w:rPr>
              <w:t>（2）单位负责人为同一人或者存在直接控股、管理关系的不同供应商，不得同时参加本采购项目投标（响应）。</w:t>
            </w:r>
          </w:p>
        </w:tc>
      </w:tr>
      <w:tr w14:paraId="19A1317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574" w:type="pct"/>
            <w:tcBorders>
              <w:tl2br w:val="nil"/>
              <w:tr2bl w:val="nil"/>
            </w:tcBorders>
            <w:vAlign w:val="center"/>
          </w:tcPr>
          <w:p w14:paraId="488DE357">
            <w:pPr>
              <w:keepNext w:val="0"/>
              <w:keepLines w:val="0"/>
              <w:pageBreakBefore w:val="0"/>
              <w:widowControl w:val="0"/>
              <w:kinsoku/>
              <w:wordWrap/>
              <w:overflowPunct/>
              <w:topLinePunct w:val="0"/>
              <w:autoSpaceDE/>
              <w:autoSpaceDN/>
              <w:bidi w:val="0"/>
              <w:adjustRightInd/>
              <w:snapToGrid/>
              <w:spacing w:line="420" w:lineRule="atLeas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1.4</w:t>
            </w:r>
          </w:p>
        </w:tc>
        <w:tc>
          <w:tcPr>
            <w:tcW w:w="4425" w:type="pct"/>
            <w:tcBorders>
              <w:tl2br w:val="nil"/>
              <w:tr2bl w:val="nil"/>
            </w:tcBorders>
            <w:vAlign w:val="center"/>
          </w:tcPr>
          <w:p w14:paraId="1E53992D">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是否允许采购进口产品：否</w:t>
            </w:r>
          </w:p>
          <w:p w14:paraId="53937FAE">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vertAlign w:val="baseline"/>
              </w:rPr>
              <w:t>进口产品按照财政部文件《政府采购进口产品管理办法》(财库〔2007〕119号)、财政部文件《关于政府采购进口产品管理有关问题的通知》（财办库[2008]248 号）认定，整机设备内元器件不作限制。</w:t>
            </w:r>
          </w:p>
        </w:tc>
      </w:tr>
      <w:tr w14:paraId="66DF55B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574" w:type="pct"/>
            <w:tcBorders>
              <w:tl2br w:val="nil"/>
              <w:tr2bl w:val="nil"/>
            </w:tcBorders>
            <w:vAlign w:val="center"/>
          </w:tcPr>
          <w:p w14:paraId="3B82A337">
            <w:pPr>
              <w:keepNext w:val="0"/>
              <w:keepLines w:val="0"/>
              <w:pageBreakBefore w:val="0"/>
              <w:widowControl w:val="0"/>
              <w:kinsoku/>
              <w:wordWrap/>
              <w:overflowPunct/>
              <w:topLinePunct w:val="0"/>
              <w:autoSpaceDE/>
              <w:autoSpaceDN/>
              <w:bidi w:val="0"/>
              <w:adjustRightInd/>
              <w:snapToGrid/>
              <w:spacing w:line="420" w:lineRule="atLeas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1.5.1</w:t>
            </w:r>
          </w:p>
        </w:tc>
        <w:tc>
          <w:tcPr>
            <w:tcW w:w="4425" w:type="pct"/>
            <w:tcBorders>
              <w:tl2br w:val="nil"/>
              <w:tr2bl w:val="nil"/>
            </w:tcBorders>
            <w:vAlign w:val="center"/>
          </w:tcPr>
          <w:p w14:paraId="1773A262">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本项目采购标的对应的中小企业划分标准所属行业：</w:t>
            </w:r>
          </w:p>
          <w:p w14:paraId="5CDFE2D3">
            <w:pPr>
              <w:pStyle w:val="12"/>
              <w:keepNext w:val="0"/>
              <w:keepLines w:val="0"/>
              <w:pageBreakBefore w:val="0"/>
              <w:widowControl w:val="0"/>
              <w:kinsoku/>
              <w:wordWrap/>
              <w:overflowPunct/>
              <w:topLinePunct w:val="0"/>
              <w:bidi w:val="0"/>
              <w:snapToGrid/>
              <w:spacing w:line="420" w:lineRule="atLeast"/>
              <w:ind w:left="0" w:leftChars="0"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根据工业和信息化部、国家统计局、国家发展 和改革委员会、财政部《关于印发中小企业划型标准规定的通知》 （工信部联企业〔2011〕300 号）</w:t>
            </w:r>
          </w:p>
          <w:p w14:paraId="4275FCF3">
            <w:pPr>
              <w:pStyle w:val="12"/>
              <w:keepNext w:val="0"/>
              <w:keepLines w:val="0"/>
              <w:pageBreakBefore w:val="0"/>
              <w:widowControl w:val="0"/>
              <w:kinsoku/>
              <w:wordWrap/>
              <w:overflowPunct/>
              <w:topLinePunct w:val="0"/>
              <w:bidi w:val="0"/>
              <w:snapToGrid/>
              <w:spacing w:line="420" w:lineRule="atLeast"/>
              <w:ind w:left="0" w:leftChars="0" w:firstLine="0" w:firstLineChars="0"/>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u w:val="single"/>
              </w:rPr>
              <w:t>采购标的</w:t>
            </w:r>
            <w:r>
              <w:rPr>
                <w:rFonts w:hint="eastAsia" w:ascii="仿宋" w:hAnsi="仿宋" w:eastAsia="仿宋" w:cs="仿宋"/>
                <w:b/>
                <w:bCs/>
                <w:sz w:val="24"/>
                <w:szCs w:val="24"/>
                <w:highlight w:val="none"/>
                <w:u w:val="single"/>
                <w:lang w:eastAsia="zh-CN"/>
              </w:rPr>
              <w:t>（新疆职业大学职工生日蛋糕供应服务采购项目（二次））</w:t>
            </w:r>
            <w:r>
              <w:rPr>
                <w:rFonts w:hint="eastAsia" w:ascii="仿宋" w:hAnsi="仿宋" w:eastAsia="仿宋" w:cs="仿宋"/>
                <w:b/>
                <w:bCs/>
                <w:sz w:val="24"/>
                <w:szCs w:val="24"/>
                <w:highlight w:val="none"/>
                <w:u w:val="single"/>
              </w:rPr>
              <w:t>按照</w:t>
            </w:r>
            <w:r>
              <w:rPr>
                <w:rFonts w:hint="eastAsia" w:ascii="仿宋" w:hAnsi="仿宋" w:eastAsia="仿宋" w:cs="仿宋"/>
                <w:b/>
                <w:bCs/>
                <w:sz w:val="24"/>
                <w:szCs w:val="24"/>
                <w:highlight w:val="none"/>
                <w:u w:val="single"/>
                <w:lang w:val="en-US" w:eastAsia="zh-CN"/>
              </w:rPr>
              <w:t>（批发业）</w:t>
            </w:r>
            <w:r>
              <w:rPr>
                <w:rFonts w:hint="eastAsia" w:ascii="仿宋" w:hAnsi="仿宋" w:eastAsia="仿宋" w:cs="仿宋"/>
                <w:b/>
                <w:bCs/>
                <w:sz w:val="24"/>
                <w:szCs w:val="24"/>
                <w:highlight w:val="none"/>
                <w:u w:val="single"/>
              </w:rPr>
              <w:t>行业认定企业类型标准。</w:t>
            </w:r>
          </w:p>
        </w:tc>
      </w:tr>
      <w:tr w14:paraId="6ED58B4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574" w:type="pct"/>
            <w:tcBorders>
              <w:tl2br w:val="nil"/>
              <w:tr2bl w:val="nil"/>
            </w:tcBorders>
            <w:vAlign w:val="center"/>
          </w:tcPr>
          <w:p w14:paraId="3EEA81F8">
            <w:pPr>
              <w:keepNext w:val="0"/>
              <w:keepLines w:val="0"/>
              <w:pageBreakBefore w:val="0"/>
              <w:widowControl w:val="0"/>
              <w:kinsoku/>
              <w:wordWrap/>
              <w:overflowPunct/>
              <w:topLinePunct w:val="0"/>
              <w:autoSpaceDE/>
              <w:autoSpaceDN/>
              <w:bidi w:val="0"/>
              <w:adjustRightInd/>
              <w:snapToGrid/>
              <w:spacing w:line="420" w:lineRule="atLeas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1.5.2</w:t>
            </w:r>
          </w:p>
        </w:tc>
        <w:tc>
          <w:tcPr>
            <w:tcW w:w="4425" w:type="pct"/>
            <w:tcBorders>
              <w:tl2br w:val="nil"/>
              <w:tr2bl w:val="nil"/>
            </w:tcBorders>
            <w:vAlign w:val="center"/>
          </w:tcPr>
          <w:p w14:paraId="2FB7C5C2">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本项目面向中小企业采购预留份额、措施及比例：</w:t>
            </w:r>
          </w:p>
          <w:p w14:paraId="6412808B">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□本项目不专门面向中小企业预留采购份额。</w:t>
            </w:r>
          </w:p>
          <w:p w14:paraId="5D1E0375">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☑本项目专门面向</w:t>
            </w:r>
            <w:r>
              <w:rPr>
                <w:rFonts w:hint="eastAsia" w:ascii="仿宋" w:hAnsi="仿宋" w:eastAsia="仿宋" w:cs="仿宋"/>
                <w:b/>
                <w:bCs/>
                <w:sz w:val="24"/>
                <w:szCs w:val="24"/>
                <w:highlight w:val="none"/>
                <w:vertAlign w:val="baseline"/>
                <w:lang w:val="en-US" w:eastAsia="zh-CN"/>
              </w:rPr>
              <w:t>☑中小□小微企业</w:t>
            </w:r>
            <w:r>
              <w:rPr>
                <w:rFonts w:hint="eastAsia" w:ascii="仿宋" w:hAnsi="仿宋" w:eastAsia="仿宋" w:cs="仿宋"/>
                <w:sz w:val="24"/>
                <w:szCs w:val="24"/>
                <w:highlight w:val="none"/>
                <w:vertAlign w:val="baseline"/>
                <w:lang w:val="en-US" w:eastAsia="zh-CN"/>
              </w:rPr>
              <w:t xml:space="preserve"> 采购。即: 提供的服务全部由符合政策要求的</w:t>
            </w:r>
            <w:r>
              <w:rPr>
                <w:rFonts w:hint="eastAsia" w:ascii="仿宋" w:hAnsi="仿宋" w:eastAsia="仿宋" w:cs="仿宋"/>
                <w:b/>
                <w:bCs/>
                <w:sz w:val="24"/>
                <w:szCs w:val="24"/>
                <w:highlight w:val="none"/>
                <w:vertAlign w:val="baseline"/>
                <w:lang w:val="en-US" w:eastAsia="zh-CN"/>
              </w:rPr>
              <w:t>☑中小□小微</w:t>
            </w:r>
            <w:r>
              <w:rPr>
                <w:rFonts w:hint="eastAsia" w:ascii="仿宋" w:hAnsi="仿宋" w:eastAsia="仿宋" w:cs="仿宋"/>
                <w:sz w:val="24"/>
                <w:szCs w:val="24"/>
                <w:highlight w:val="none"/>
                <w:vertAlign w:val="baseline"/>
                <w:lang w:val="en-US" w:eastAsia="zh-CN"/>
              </w:rPr>
              <w:t>企业承接。</w:t>
            </w:r>
          </w:p>
          <w:p w14:paraId="1573E56C">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□本项目预留部分采购项目预算专门面向中小企业采购。对于预留份额，提供的货物由符合政策要求的中小企业制造、服务(或工程) 由符合政策要求的中小企业承接。预留份额通过以下措施进行:</w:t>
            </w:r>
            <w:r>
              <w:rPr>
                <w:rFonts w:hint="eastAsia" w:ascii="仿宋" w:hAnsi="仿宋" w:eastAsia="仿宋" w:cs="仿宋"/>
                <w:b/>
                <w:bCs/>
                <w:sz w:val="24"/>
                <w:szCs w:val="24"/>
                <w:highlight w:val="none"/>
                <w:u w:val="single"/>
                <w:vertAlign w:val="baseline"/>
                <w:lang w:val="en-US" w:eastAsia="zh-CN"/>
              </w:rPr>
              <w:t>要求获得采购合同的供应商将本采购项目预算金额的至少   %分包给一家或者多家中小企业，其中预留给小微企业的比例至少   %，须提供《拟分包情况说明》，监狱和戒毒企业、残疾人福利性单位视同小型、微型企业（格式详见采购文件）。</w:t>
            </w:r>
          </w:p>
        </w:tc>
      </w:tr>
      <w:tr w14:paraId="6F5077B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037" w:type="dxa"/>
            <w:tcBorders>
              <w:tl2br w:val="nil"/>
              <w:tr2bl w:val="nil"/>
            </w:tcBorders>
            <w:vAlign w:val="center"/>
          </w:tcPr>
          <w:p w14:paraId="4FE8594F">
            <w:pPr>
              <w:keepNext w:val="0"/>
              <w:keepLines w:val="0"/>
              <w:pageBreakBefore w:val="0"/>
              <w:widowControl w:val="0"/>
              <w:kinsoku/>
              <w:wordWrap/>
              <w:overflowPunct/>
              <w:topLinePunct w:val="0"/>
              <w:autoSpaceDE/>
              <w:autoSpaceDN/>
              <w:bidi w:val="0"/>
              <w:adjustRightInd/>
              <w:snapToGrid/>
              <w:spacing w:line="420" w:lineRule="atLeas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1.11</w:t>
            </w:r>
          </w:p>
        </w:tc>
        <w:tc>
          <w:tcPr>
            <w:tcW w:w="7999" w:type="dxa"/>
            <w:tcBorders>
              <w:tl2br w:val="nil"/>
              <w:tr2bl w:val="nil"/>
            </w:tcBorders>
            <w:vAlign w:val="center"/>
          </w:tcPr>
          <w:p w14:paraId="70430057">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本项目是否适用本国产品价格评审优惠政策：</w:t>
            </w:r>
          </w:p>
          <w:p w14:paraId="37BA8D43">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□本项目适用支持本国产品标准</w:t>
            </w:r>
          </w:p>
          <w:p w14:paraId="79993102">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☑本项目不适用</w:t>
            </w:r>
          </w:p>
          <w:p w14:paraId="305F3858">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说明：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tc>
      </w:tr>
      <w:tr w14:paraId="188A4D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574" w:type="pct"/>
            <w:tcBorders>
              <w:tl2br w:val="nil"/>
              <w:tr2bl w:val="nil"/>
            </w:tcBorders>
            <w:vAlign w:val="center"/>
          </w:tcPr>
          <w:p w14:paraId="34111A09">
            <w:pPr>
              <w:keepNext w:val="0"/>
              <w:keepLines w:val="0"/>
              <w:pageBreakBefore w:val="0"/>
              <w:widowControl w:val="0"/>
              <w:kinsoku/>
              <w:wordWrap/>
              <w:overflowPunct/>
              <w:topLinePunct w:val="0"/>
              <w:autoSpaceDE/>
              <w:autoSpaceDN/>
              <w:bidi w:val="0"/>
              <w:adjustRightInd/>
              <w:snapToGrid/>
              <w:spacing w:line="420" w:lineRule="atLeas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1.12</w:t>
            </w:r>
          </w:p>
        </w:tc>
        <w:tc>
          <w:tcPr>
            <w:tcW w:w="4425" w:type="pct"/>
            <w:tcBorders>
              <w:tl2br w:val="nil"/>
              <w:tr2bl w:val="nil"/>
            </w:tcBorders>
            <w:vAlign w:val="center"/>
          </w:tcPr>
          <w:p w14:paraId="165DF11F">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是否允许联合体参加</w:t>
            </w:r>
            <w:r>
              <w:rPr>
                <w:rFonts w:hint="eastAsia" w:ascii="仿宋" w:hAnsi="仿宋" w:eastAsia="仿宋" w:cs="仿宋"/>
                <w:sz w:val="24"/>
                <w:szCs w:val="24"/>
                <w:highlight w:val="none"/>
                <w:vertAlign w:val="baseline"/>
                <w:lang w:eastAsia="zh-CN"/>
              </w:rPr>
              <w:t>磋商</w:t>
            </w:r>
            <w:r>
              <w:rPr>
                <w:rFonts w:hint="eastAsia" w:ascii="仿宋" w:hAnsi="仿宋" w:eastAsia="仿宋" w:cs="仿宋"/>
                <w:sz w:val="24"/>
                <w:szCs w:val="24"/>
                <w:highlight w:val="none"/>
                <w:vertAlign w:val="baseline"/>
              </w:rPr>
              <w:t>：否</w:t>
            </w:r>
          </w:p>
          <w:p w14:paraId="65C4898C">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联合体的其他资格要求：无</w:t>
            </w:r>
          </w:p>
        </w:tc>
      </w:tr>
      <w:tr w14:paraId="452F052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574" w:type="pct"/>
            <w:tcBorders>
              <w:tl2br w:val="nil"/>
              <w:tr2bl w:val="nil"/>
            </w:tcBorders>
            <w:vAlign w:val="center"/>
          </w:tcPr>
          <w:p w14:paraId="7340086F">
            <w:pPr>
              <w:keepNext w:val="0"/>
              <w:keepLines w:val="0"/>
              <w:pageBreakBefore w:val="0"/>
              <w:widowControl w:val="0"/>
              <w:kinsoku/>
              <w:wordWrap/>
              <w:overflowPunct/>
              <w:topLinePunct w:val="0"/>
              <w:autoSpaceDE/>
              <w:autoSpaceDN/>
              <w:bidi w:val="0"/>
              <w:adjustRightInd/>
              <w:snapToGrid/>
              <w:spacing w:line="420" w:lineRule="atLeas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2.2</w:t>
            </w:r>
          </w:p>
        </w:tc>
        <w:tc>
          <w:tcPr>
            <w:tcW w:w="4425" w:type="pct"/>
            <w:tcBorders>
              <w:tl2br w:val="nil"/>
              <w:tr2bl w:val="nil"/>
            </w:tcBorders>
            <w:vAlign w:val="center"/>
          </w:tcPr>
          <w:p w14:paraId="3E9E1748">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项目预算金额：15.45万元</w:t>
            </w:r>
          </w:p>
          <w:p w14:paraId="2222EEC5">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sz w:val="24"/>
                <w:szCs w:val="24"/>
                <w:highlight w:val="none"/>
                <w:vertAlign w:val="baseline"/>
              </w:rPr>
            </w:pPr>
            <w:r>
              <w:rPr>
                <w:rFonts w:hint="eastAsia" w:ascii="仿宋" w:hAnsi="仿宋" w:eastAsia="仿宋" w:cs="仿宋"/>
                <w:b/>
                <w:bCs/>
                <w:sz w:val="24"/>
                <w:szCs w:val="24"/>
                <w:highlight w:val="none"/>
                <w:vertAlign w:val="baseline"/>
                <w:lang w:val="en-US" w:eastAsia="zh-CN"/>
              </w:rPr>
              <w:t>最高限价：15.45万元</w:t>
            </w:r>
          </w:p>
        </w:tc>
      </w:tr>
      <w:tr w14:paraId="6B02B39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574" w:type="pct"/>
            <w:tcBorders>
              <w:tl2br w:val="nil"/>
              <w:tr2bl w:val="nil"/>
            </w:tcBorders>
            <w:vAlign w:val="center"/>
          </w:tcPr>
          <w:p w14:paraId="490447C9">
            <w:pPr>
              <w:keepNext w:val="0"/>
              <w:keepLines w:val="0"/>
              <w:pageBreakBefore w:val="0"/>
              <w:widowControl w:val="0"/>
              <w:kinsoku/>
              <w:wordWrap/>
              <w:overflowPunct/>
              <w:topLinePunct w:val="0"/>
              <w:autoSpaceDE/>
              <w:autoSpaceDN/>
              <w:bidi w:val="0"/>
              <w:adjustRightInd/>
              <w:snapToGrid/>
              <w:spacing w:line="420" w:lineRule="atLeas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5.4</w:t>
            </w:r>
          </w:p>
        </w:tc>
        <w:tc>
          <w:tcPr>
            <w:tcW w:w="4425" w:type="pct"/>
            <w:tcBorders>
              <w:tl2br w:val="nil"/>
              <w:tr2bl w:val="nil"/>
            </w:tcBorders>
            <w:vAlign w:val="center"/>
          </w:tcPr>
          <w:p w14:paraId="21E17601">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 xml:space="preserve">是否组织现场考察或者召开答疑会：否 </w:t>
            </w:r>
          </w:p>
          <w:p w14:paraId="14E65D82">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组织现场考察或者召开答疑会相关要求：/</w:t>
            </w:r>
          </w:p>
        </w:tc>
      </w:tr>
      <w:tr w14:paraId="3DE1D52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574" w:type="pct"/>
            <w:tcBorders>
              <w:tl2br w:val="nil"/>
              <w:tr2bl w:val="nil"/>
            </w:tcBorders>
            <w:vAlign w:val="center"/>
          </w:tcPr>
          <w:p w14:paraId="6C0B0BD1">
            <w:pPr>
              <w:keepNext w:val="0"/>
              <w:keepLines w:val="0"/>
              <w:pageBreakBefore w:val="0"/>
              <w:widowControl w:val="0"/>
              <w:kinsoku/>
              <w:wordWrap/>
              <w:overflowPunct/>
              <w:topLinePunct w:val="0"/>
              <w:autoSpaceDE/>
              <w:autoSpaceDN/>
              <w:bidi w:val="0"/>
              <w:adjustRightInd/>
              <w:snapToGrid/>
              <w:spacing w:line="420" w:lineRule="atLeas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 xml:space="preserve">6.1 </w:t>
            </w:r>
          </w:p>
        </w:tc>
        <w:tc>
          <w:tcPr>
            <w:tcW w:w="4425" w:type="pct"/>
            <w:tcBorders>
              <w:tl2br w:val="nil"/>
              <w:tr2bl w:val="nil"/>
            </w:tcBorders>
            <w:vAlign w:val="center"/>
          </w:tcPr>
          <w:p w14:paraId="2875303D">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是否需要提供样品：</w:t>
            </w:r>
            <w:r>
              <w:rPr>
                <w:rFonts w:hint="eastAsia" w:ascii="仿宋" w:hAnsi="仿宋" w:eastAsia="仿宋" w:cs="仿宋"/>
                <w:sz w:val="24"/>
                <w:szCs w:val="24"/>
                <w:highlight w:val="none"/>
                <w:vertAlign w:val="baseline"/>
                <w:lang w:val="en-US" w:eastAsia="zh-CN"/>
              </w:rPr>
              <w:t>否</w:t>
            </w:r>
            <w:r>
              <w:rPr>
                <w:rFonts w:hint="eastAsia" w:ascii="仿宋" w:hAnsi="仿宋" w:eastAsia="仿宋" w:cs="仿宋"/>
                <w:sz w:val="24"/>
                <w:szCs w:val="24"/>
                <w:highlight w:val="none"/>
                <w:vertAlign w:val="baseline"/>
              </w:rPr>
              <w:t xml:space="preserve"> </w:t>
            </w:r>
          </w:p>
        </w:tc>
      </w:tr>
      <w:tr w14:paraId="40B2715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574" w:type="pct"/>
            <w:tcBorders>
              <w:tl2br w:val="nil"/>
              <w:tr2bl w:val="nil"/>
            </w:tcBorders>
            <w:vAlign w:val="center"/>
          </w:tcPr>
          <w:p w14:paraId="5ACF1AC4">
            <w:pPr>
              <w:keepNext w:val="0"/>
              <w:keepLines w:val="0"/>
              <w:pageBreakBefore w:val="0"/>
              <w:widowControl w:val="0"/>
              <w:kinsoku/>
              <w:wordWrap/>
              <w:overflowPunct/>
              <w:topLinePunct w:val="0"/>
              <w:autoSpaceDE/>
              <w:autoSpaceDN/>
              <w:bidi w:val="0"/>
              <w:adjustRightInd/>
              <w:snapToGrid/>
              <w:spacing w:line="420" w:lineRule="atLeas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 xml:space="preserve">8.1 </w:t>
            </w:r>
          </w:p>
        </w:tc>
        <w:tc>
          <w:tcPr>
            <w:tcW w:w="4425" w:type="pct"/>
            <w:tcBorders>
              <w:tl2br w:val="nil"/>
              <w:tr2bl w:val="nil"/>
            </w:tcBorders>
            <w:vAlign w:val="center"/>
          </w:tcPr>
          <w:p w14:paraId="608074C6">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如</w:t>
            </w:r>
            <w:r>
              <w:rPr>
                <w:rFonts w:hint="eastAsia" w:ascii="仿宋" w:hAnsi="仿宋" w:eastAsia="仿宋" w:cs="仿宋"/>
                <w:sz w:val="24"/>
                <w:szCs w:val="24"/>
                <w:highlight w:val="none"/>
                <w:vertAlign w:val="baseline"/>
                <w:lang w:val="en-US" w:eastAsia="zh-CN"/>
              </w:rPr>
              <w:t>供应商</w:t>
            </w:r>
            <w:r>
              <w:rPr>
                <w:rFonts w:hint="eastAsia" w:ascii="仿宋" w:hAnsi="仿宋" w:eastAsia="仿宋" w:cs="仿宋"/>
                <w:sz w:val="24"/>
                <w:szCs w:val="24"/>
                <w:highlight w:val="none"/>
                <w:vertAlign w:val="baseline"/>
              </w:rPr>
              <w:t>对</w:t>
            </w:r>
            <w:r>
              <w:rPr>
                <w:rFonts w:hint="eastAsia" w:ascii="仿宋" w:hAnsi="仿宋" w:eastAsia="仿宋" w:cs="仿宋"/>
                <w:b/>
                <w:bCs/>
                <w:sz w:val="24"/>
                <w:szCs w:val="24"/>
                <w:highlight w:val="none"/>
                <w:vertAlign w:val="baseline"/>
              </w:rPr>
              <w:t>多</w:t>
            </w:r>
            <w:r>
              <w:rPr>
                <w:rFonts w:hint="eastAsia" w:ascii="仿宋" w:hAnsi="仿宋" w:eastAsia="仿宋" w:cs="仿宋"/>
                <w:sz w:val="24"/>
                <w:szCs w:val="24"/>
                <w:highlight w:val="none"/>
                <w:vertAlign w:val="baseline"/>
              </w:rPr>
              <w:t>个包进行</w:t>
            </w:r>
            <w:r>
              <w:rPr>
                <w:rFonts w:hint="eastAsia" w:ascii="仿宋" w:hAnsi="仿宋" w:eastAsia="仿宋" w:cs="仿宋"/>
                <w:sz w:val="24"/>
                <w:szCs w:val="24"/>
                <w:highlight w:val="none"/>
                <w:vertAlign w:val="baseline"/>
                <w:lang w:val="en-US" w:eastAsia="zh-CN"/>
              </w:rPr>
              <w:t>磋商响应</w:t>
            </w:r>
            <w:r>
              <w:rPr>
                <w:rFonts w:hint="eastAsia" w:ascii="仿宋" w:hAnsi="仿宋" w:eastAsia="仿宋" w:cs="仿宋"/>
                <w:sz w:val="24"/>
                <w:szCs w:val="24"/>
                <w:highlight w:val="none"/>
                <w:vertAlign w:val="baseline"/>
              </w:rPr>
              <w:t>，可以</w:t>
            </w:r>
            <w:r>
              <w:rPr>
                <w:rFonts w:hint="eastAsia" w:ascii="仿宋" w:hAnsi="仿宋" w:eastAsia="仿宋" w:cs="仿宋"/>
                <w:sz w:val="24"/>
                <w:szCs w:val="24"/>
                <w:highlight w:val="none"/>
                <w:vertAlign w:val="baseline"/>
                <w:lang w:val="en-US" w:eastAsia="zh-CN"/>
              </w:rPr>
              <w:t>成交</w:t>
            </w:r>
            <w:r>
              <w:rPr>
                <w:rFonts w:hint="eastAsia" w:ascii="仿宋" w:hAnsi="仿宋" w:eastAsia="仿宋" w:cs="仿宋"/>
                <w:b/>
                <w:bCs/>
                <w:sz w:val="24"/>
                <w:szCs w:val="24"/>
                <w:highlight w:val="none"/>
                <w:u w:val="single"/>
                <w:vertAlign w:val="baseline"/>
              </w:rPr>
              <w:t>多</w:t>
            </w:r>
            <w:r>
              <w:rPr>
                <w:rFonts w:hint="eastAsia" w:ascii="仿宋" w:hAnsi="仿宋" w:eastAsia="仿宋" w:cs="仿宋"/>
                <w:sz w:val="24"/>
                <w:szCs w:val="24"/>
                <w:highlight w:val="none"/>
                <w:vertAlign w:val="baseline"/>
              </w:rPr>
              <w:t>包（本项目不适用）</w:t>
            </w:r>
          </w:p>
        </w:tc>
      </w:tr>
      <w:tr w14:paraId="55C32AB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574" w:type="pct"/>
            <w:tcBorders>
              <w:tl2br w:val="nil"/>
              <w:tr2bl w:val="nil"/>
            </w:tcBorders>
            <w:vAlign w:val="center"/>
          </w:tcPr>
          <w:p w14:paraId="09629C28">
            <w:pPr>
              <w:keepNext w:val="0"/>
              <w:keepLines w:val="0"/>
              <w:pageBreakBefore w:val="0"/>
              <w:widowControl w:val="0"/>
              <w:kinsoku/>
              <w:wordWrap/>
              <w:overflowPunct/>
              <w:topLinePunct w:val="0"/>
              <w:autoSpaceDE/>
              <w:autoSpaceDN/>
              <w:bidi w:val="0"/>
              <w:adjustRightInd/>
              <w:snapToGrid/>
              <w:spacing w:line="420" w:lineRule="atLeas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11</w:t>
            </w:r>
          </w:p>
        </w:tc>
        <w:tc>
          <w:tcPr>
            <w:tcW w:w="4425" w:type="pct"/>
            <w:tcBorders>
              <w:tl2br w:val="nil"/>
              <w:tr2bl w:val="nil"/>
            </w:tcBorders>
            <w:vAlign w:val="center"/>
          </w:tcPr>
          <w:p w14:paraId="7115419C">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保证金形式：支票、汇票、本票、网上银行支付或者金融机构、担保机构出具的保函等政府采购法律法规中要求的非现金形式</w:t>
            </w:r>
          </w:p>
          <w:p w14:paraId="24BA8773">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保证金数额：</w:t>
            </w:r>
            <w:r>
              <w:rPr>
                <w:rFonts w:hint="eastAsia" w:ascii="仿宋" w:hAnsi="仿宋" w:eastAsia="仿宋" w:cs="仿宋"/>
                <w:sz w:val="24"/>
                <w:szCs w:val="24"/>
                <w:highlight w:val="none"/>
                <w:vertAlign w:val="baseline"/>
                <w:lang w:val="en-US" w:eastAsia="zh-CN"/>
              </w:rPr>
              <w:t>人民币</w:t>
            </w:r>
            <w:r>
              <w:rPr>
                <w:rFonts w:hint="eastAsia" w:ascii="仿宋" w:hAnsi="仿宋" w:eastAsia="仿宋" w:cs="仿宋"/>
                <w:b/>
                <w:bCs/>
                <w:sz w:val="24"/>
                <w:szCs w:val="24"/>
                <w:highlight w:val="none"/>
                <w:vertAlign w:val="baseline"/>
                <w:lang w:val="en-US" w:eastAsia="zh-CN"/>
              </w:rPr>
              <w:t>3090</w:t>
            </w:r>
            <w:r>
              <w:rPr>
                <w:rFonts w:hint="eastAsia" w:ascii="仿宋" w:hAnsi="仿宋" w:eastAsia="仿宋" w:cs="仿宋"/>
                <w:b/>
                <w:bCs/>
                <w:sz w:val="24"/>
                <w:szCs w:val="24"/>
                <w:highlight w:val="none"/>
                <w:vertAlign w:val="baseline"/>
              </w:rPr>
              <w:t>元</w:t>
            </w:r>
            <w:r>
              <w:rPr>
                <w:rFonts w:hint="eastAsia" w:ascii="仿宋" w:hAnsi="仿宋" w:eastAsia="仿宋" w:cs="仿宋"/>
                <w:sz w:val="24"/>
                <w:szCs w:val="24"/>
                <w:highlight w:val="none"/>
                <w:vertAlign w:val="baseline"/>
              </w:rPr>
              <w:t xml:space="preserve"> </w:t>
            </w:r>
          </w:p>
          <w:p w14:paraId="3A767CA1">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b/>
                <w:bCs/>
                <w:sz w:val="24"/>
                <w:szCs w:val="24"/>
                <w:highlight w:val="none"/>
                <w:vertAlign w:val="baseline"/>
              </w:rPr>
            </w:pPr>
            <w:r>
              <w:rPr>
                <w:rFonts w:hint="eastAsia" w:ascii="仿宋" w:hAnsi="仿宋" w:eastAsia="仿宋" w:cs="仿宋"/>
                <w:b/>
                <w:bCs/>
                <w:sz w:val="24"/>
                <w:szCs w:val="24"/>
                <w:highlight w:val="none"/>
                <w:vertAlign w:val="baseline"/>
              </w:rPr>
              <w:t>投标保证金递交方式：</w:t>
            </w:r>
          </w:p>
          <w:p w14:paraId="45E66852">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保证金收款人：新疆世纪星工程咨询有限公司</w:t>
            </w:r>
          </w:p>
          <w:p w14:paraId="0ABAD658">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保证金收款账号：512090100100073085</w:t>
            </w:r>
          </w:p>
          <w:p w14:paraId="6CE5958E">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保证收款银行及行号: 兴业银行乌鲁木齐分行营业部309881002010</w:t>
            </w:r>
          </w:p>
          <w:p w14:paraId="34137206">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投标保证金到账（保函提交）截止时间同投标截止时间。</w:t>
            </w:r>
          </w:p>
          <w:p w14:paraId="3B165AAC">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以支票、汇票、本票、网上银行支付等形式提交投标保证金的，应在投标截止时间前到账；</w:t>
            </w:r>
          </w:p>
          <w:p w14:paraId="5B995D57">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sz w:val="24"/>
                <w:szCs w:val="24"/>
                <w:highlight w:val="none"/>
                <w:vertAlign w:val="baseline"/>
              </w:rPr>
            </w:pPr>
            <w:r>
              <w:rPr>
                <w:rFonts w:hint="eastAsia" w:ascii="仿宋" w:hAnsi="仿宋" w:eastAsia="仿宋" w:cs="仿宋"/>
                <w:b/>
                <w:bCs/>
                <w:sz w:val="24"/>
                <w:szCs w:val="24"/>
                <w:highlight w:val="none"/>
                <w:vertAlign w:val="baseline"/>
              </w:rPr>
              <w:t>投标保函提交方式：</w:t>
            </w:r>
            <w:r>
              <w:rPr>
                <w:rFonts w:hint="eastAsia" w:ascii="仿宋" w:hAnsi="仿宋" w:eastAsia="仿宋" w:cs="仿宋"/>
                <w:sz w:val="24"/>
                <w:szCs w:val="24"/>
                <w:highlight w:val="none"/>
                <w:vertAlign w:val="baseline"/>
                <w:lang w:eastAsia="zh-CN"/>
              </w:rPr>
              <w:t>供应商</w:t>
            </w:r>
            <w:r>
              <w:rPr>
                <w:rFonts w:hint="eastAsia" w:ascii="仿宋" w:hAnsi="仿宋" w:eastAsia="仿宋" w:cs="仿宋"/>
                <w:sz w:val="24"/>
                <w:szCs w:val="24"/>
                <w:highlight w:val="none"/>
                <w:vertAlign w:val="baseline"/>
              </w:rPr>
              <w:t>可通过"政采云平台金融服务中心"(https://jinrong.zcygov.cn/)，申请办理投标电子保函，开标时采购人或代理机构通过政采云平台保函系统进行查询，保函信息以查询结果为准，未查询到的电子保函评审时将按无效投标（响应）处理。</w:t>
            </w:r>
          </w:p>
          <w:p w14:paraId="7CDD83EC">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由于到账时间晚于投标截止时间的，或者票据错误、印鉴不清等原因导致不能到账的，其投标无效。</w:t>
            </w:r>
          </w:p>
          <w:p w14:paraId="288B6C5E">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投标保证金（投标保函）有效期与投标有效期一致。</w:t>
            </w:r>
          </w:p>
          <w:p w14:paraId="01AAEDFA">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注意事项：</w:t>
            </w:r>
            <w:r>
              <w:rPr>
                <w:rFonts w:hint="eastAsia" w:ascii="仿宋" w:hAnsi="仿宋" w:eastAsia="仿宋" w:cs="仿宋"/>
                <w:sz w:val="24"/>
                <w:szCs w:val="24"/>
                <w:highlight w:val="none"/>
                <w:vertAlign w:val="baseline"/>
                <w:lang w:eastAsia="zh-CN"/>
              </w:rPr>
              <w:t>供应商</w:t>
            </w:r>
            <w:r>
              <w:rPr>
                <w:rFonts w:hint="eastAsia" w:ascii="仿宋" w:hAnsi="仿宋" w:eastAsia="仿宋" w:cs="仿宋"/>
                <w:sz w:val="24"/>
                <w:szCs w:val="24"/>
                <w:highlight w:val="none"/>
                <w:vertAlign w:val="baseline"/>
              </w:rPr>
              <w:t>通过线下方式缴纳保证金（转账、支票、汇票、本票、纸质保函）的，需准备缴纳凭证的扫描件作为核验凭证；通过电子保函形式缴纳保证金的，如遇开标或评标现场无法拉取电子保函信息时，可提供电子保函及购买凭证作为核验凭证。</w:t>
            </w:r>
          </w:p>
        </w:tc>
      </w:tr>
      <w:tr w14:paraId="21A270A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574" w:type="pct"/>
            <w:tcBorders>
              <w:tl2br w:val="nil"/>
              <w:tr2bl w:val="nil"/>
            </w:tcBorders>
            <w:vAlign w:val="center"/>
          </w:tcPr>
          <w:p w14:paraId="4304AD04">
            <w:pPr>
              <w:keepNext w:val="0"/>
              <w:keepLines w:val="0"/>
              <w:pageBreakBefore w:val="0"/>
              <w:widowControl w:val="0"/>
              <w:kinsoku/>
              <w:wordWrap/>
              <w:overflowPunct/>
              <w:topLinePunct w:val="0"/>
              <w:autoSpaceDE/>
              <w:autoSpaceDN/>
              <w:bidi w:val="0"/>
              <w:adjustRightInd/>
              <w:snapToGrid/>
              <w:spacing w:line="420" w:lineRule="atLeas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12.1</w:t>
            </w:r>
          </w:p>
        </w:tc>
        <w:tc>
          <w:tcPr>
            <w:tcW w:w="4425" w:type="pct"/>
            <w:tcBorders>
              <w:tl2br w:val="nil"/>
              <w:tr2bl w:val="nil"/>
            </w:tcBorders>
            <w:vAlign w:val="center"/>
          </w:tcPr>
          <w:p w14:paraId="45658F11">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b/>
                <w:bCs/>
                <w:sz w:val="24"/>
                <w:szCs w:val="24"/>
                <w:highlight w:val="none"/>
                <w:vertAlign w:val="baseline"/>
              </w:rPr>
            </w:pPr>
            <w:r>
              <w:rPr>
                <w:rFonts w:hint="eastAsia" w:ascii="仿宋" w:hAnsi="仿宋" w:eastAsia="仿宋" w:cs="仿宋"/>
                <w:b w:val="0"/>
                <w:bCs w:val="0"/>
                <w:sz w:val="24"/>
                <w:szCs w:val="24"/>
                <w:highlight w:val="none"/>
                <w:vertAlign w:val="baseline"/>
                <w:lang w:val="en-US" w:eastAsia="zh-CN"/>
              </w:rPr>
              <w:t>响应文件</w:t>
            </w:r>
            <w:r>
              <w:rPr>
                <w:rFonts w:hint="eastAsia" w:ascii="仿宋" w:hAnsi="仿宋" w:eastAsia="仿宋" w:cs="仿宋"/>
                <w:b w:val="0"/>
                <w:bCs w:val="0"/>
                <w:sz w:val="24"/>
                <w:szCs w:val="24"/>
                <w:highlight w:val="none"/>
                <w:vertAlign w:val="baseline"/>
              </w:rPr>
              <w:t>有效期：从提交投标（响应）文件的截止之日起90日历天</w:t>
            </w:r>
          </w:p>
        </w:tc>
      </w:tr>
      <w:tr w14:paraId="2CF967F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574" w:type="pct"/>
            <w:tcBorders>
              <w:tl2br w:val="nil"/>
              <w:tr2bl w:val="nil"/>
            </w:tcBorders>
            <w:vAlign w:val="center"/>
          </w:tcPr>
          <w:p w14:paraId="1D749A5B">
            <w:pPr>
              <w:keepNext w:val="0"/>
              <w:keepLines w:val="0"/>
              <w:pageBreakBefore w:val="0"/>
              <w:widowControl w:val="0"/>
              <w:kinsoku/>
              <w:wordWrap/>
              <w:overflowPunct/>
              <w:topLinePunct w:val="0"/>
              <w:autoSpaceDE/>
              <w:autoSpaceDN/>
              <w:bidi w:val="0"/>
              <w:adjustRightInd/>
              <w:snapToGrid/>
              <w:spacing w:line="420" w:lineRule="atLeas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14.1</w:t>
            </w:r>
          </w:p>
        </w:tc>
        <w:tc>
          <w:tcPr>
            <w:tcW w:w="4425" w:type="pct"/>
            <w:tcBorders>
              <w:tl2br w:val="nil"/>
              <w:tr2bl w:val="nil"/>
            </w:tcBorders>
            <w:vAlign w:val="center"/>
          </w:tcPr>
          <w:p w14:paraId="3417355C">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响应截止时间：2026年05月14日 11:00（北京时间）</w:t>
            </w:r>
          </w:p>
          <w:p w14:paraId="0095F218">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vertAlign w:val="baseline"/>
                <w:lang w:val="en-US" w:eastAsia="zh-CN"/>
              </w:rPr>
              <w:t>供应商需在响应截止时间前，将加密投标（响应）文件上传至</w:t>
            </w:r>
            <w:r>
              <w:rPr>
                <w:rFonts w:hint="eastAsia" w:ascii="仿宋" w:hAnsi="仿宋" w:eastAsia="仿宋" w:cs="仿宋"/>
                <w:b/>
                <w:bCs/>
                <w:sz w:val="24"/>
                <w:szCs w:val="24"/>
                <w:highlight w:val="none"/>
                <w:u w:val="single"/>
                <w:vertAlign w:val="baseline"/>
                <w:lang w:val="en-US" w:eastAsia="zh-CN"/>
              </w:rPr>
              <w:t>政采云平台（https://www.zcygov.cn/）</w:t>
            </w:r>
            <w:r>
              <w:rPr>
                <w:rFonts w:hint="eastAsia" w:ascii="仿宋" w:hAnsi="仿宋" w:eastAsia="仿宋" w:cs="仿宋"/>
                <w:b/>
                <w:bCs/>
                <w:sz w:val="24"/>
                <w:szCs w:val="24"/>
                <w:highlight w:val="none"/>
                <w:vertAlign w:val="baseline"/>
                <w:lang w:val="en-US" w:eastAsia="zh-CN"/>
              </w:rPr>
              <w:t>项目采购系统中，逾期上传或错误方式投递送达将导致投标（响应）无效。</w:t>
            </w:r>
          </w:p>
        </w:tc>
      </w:tr>
      <w:tr w14:paraId="2247CE3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574" w:type="pct"/>
            <w:tcBorders>
              <w:tl2br w:val="nil"/>
              <w:tr2bl w:val="nil"/>
            </w:tcBorders>
            <w:vAlign w:val="center"/>
          </w:tcPr>
          <w:p w14:paraId="5BCA9E3C">
            <w:pPr>
              <w:keepNext w:val="0"/>
              <w:keepLines w:val="0"/>
              <w:pageBreakBefore w:val="0"/>
              <w:widowControl w:val="0"/>
              <w:kinsoku/>
              <w:wordWrap/>
              <w:overflowPunct/>
              <w:topLinePunct w:val="0"/>
              <w:autoSpaceDE/>
              <w:autoSpaceDN/>
              <w:bidi w:val="0"/>
              <w:adjustRightInd/>
              <w:snapToGrid/>
              <w:spacing w:line="420" w:lineRule="atLeas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15.1</w:t>
            </w:r>
          </w:p>
        </w:tc>
        <w:tc>
          <w:tcPr>
            <w:tcW w:w="4425" w:type="pct"/>
            <w:tcBorders>
              <w:tl2br w:val="nil"/>
              <w:tr2bl w:val="nil"/>
            </w:tcBorders>
            <w:vAlign w:val="center"/>
          </w:tcPr>
          <w:p w14:paraId="074C790C">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 xml:space="preserve">开标时间：同响应截止时间 </w:t>
            </w:r>
          </w:p>
          <w:p w14:paraId="7854D60E">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开标地点：政采云平台（https://www.zcygov.cn/）不见面开标系统</w:t>
            </w:r>
          </w:p>
        </w:tc>
      </w:tr>
      <w:tr w14:paraId="448A2B8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86" w:hRule="atLeast"/>
        </w:trPr>
        <w:tc>
          <w:tcPr>
            <w:tcW w:w="574" w:type="pct"/>
            <w:tcBorders>
              <w:bottom w:val="single" w:color="auto" w:sz="8" w:space="0"/>
            </w:tcBorders>
            <w:vAlign w:val="center"/>
          </w:tcPr>
          <w:p w14:paraId="1F56FCD3">
            <w:pPr>
              <w:keepNext w:val="0"/>
              <w:keepLines w:val="0"/>
              <w:pageBreakBefore w:val="0"/>
              <w:widowControl w:val="0"/>
              <w:kinsoku/>
              <w:wordWrap/>
              <w:overflowPunct/>
              <w:topLinePunct w:val="0"/>
              <w:autoSpaceDE/>
              <w:autoSpaceDN/>
              <w:bidi w:val="0"/>
              <w:adjustRightInd/>
              <w:snapToGrid/>
              <w:spacing w:line="420" w:lineRule="atLeas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19.1</w:t>
            </w:r>
          </w:p>
        </w:tc>
        <w:tc>
          <w:tcPr>
            <w:tcW w:w="4425" w:type="pct"/>
            <w:tcBorders>
              <w:bottom w:val="single" w:color="auto" w:sz="8" w:space="0"/>
            </w:tcBorders>
            <w:vAlign w:val="center"/>
          </w:tcPr>
          <w:p w14:paraId="184E377A">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 xml:space="preserve">采购人是否委托评标委员会直接确定成交人：否 </w:t>
            </w:r>
          </w:p>
        </w:tc>
      </w:tr>
      <w:tr w14:paraId="5CC4CD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82" w:hRule="atLeast"/>
        </w:trPr>
        <w:tc>
          <w:tcPr>
            <w:tcW w:w="574" w:type="pct"/>
            <w:tcBorders>
              <w:top w:val="single" w:color="auto" w:sz="8" w:space="0"/>
              <w:tl2br w:val="nil"/>
              <w:tr2bl w:val="nil"/>
            </w:tcBorders>
            <w:vAlign w:val="center"/>
          </w:tcPr>
          <w:p w14:paraId="7C2AEAB3">
            <w:pPr>
              <w:keepNext w:val="0"/>
              <w:keepLines w:val="0"/>
              <w:pageBreakBefore w:val="0"/>
              <w:widowControl w:val="0"/>
              <w:kinsoku/>
              <w:wordWrap/>
              <w:overflowPunct/>
              <w:topLinePunct w:val="0"/>
              <w:autoSpaceDE/>
              <w:autoSpaceDN/>
              <w:bidi w:val="0"/>
              <w:adjustRightInd/>
              <w:snapToGrid/>
              <w:spacing w:line="420" w:lineRule="atLeas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22.4</w:t>
            </w:r>
          </w:p>
        </w:tc>
        <w:tc>
          <w:tcPr>
            <w:tcW w:w="4425" w:type="pct"/>
            <w:tcBorders>
              <w:top w:val="single" w:color="auto" w:sz="8" w:space="0"/>
              <w:tl2br w:val="nil"/>
              <w:tr2bl w:val="nil"/>
            </w:tcBorders>
            <w:vAlign w:val="center"/>
          </w:tcPr>
          <w:p w14:paraId="669E75BF">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项目是否允许分包：</w:t>
            </w:r>
          </w:p>
          <w:p w14:paraId="71A7E444">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☑不允许</w:t>
            </w:r>
          </w:p>
          <w:p w14:paraId="6D3F9FEA">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□允许，具体要求：</w:t>
            </w:r>
          </w:p>
          <w:p w14:paraId="72565994">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（1）可以分包履行的具体内容：</w:t>
            </w:r>
            <w:r>
              <w:rPr>
                <w:rFonts w:hint="eastAsia" w:ascii="仿宋" w:hAnsi="仿宋" w:eastAsia="仿宋" w:cs="仿宋"/>
                <w:b w:val="0"/>
                <w:bCs w:val="0"/>
                <w:sz w:val="24"/>
                <w:szCs w:val="24"/>
                <w:highlight w:val="none"/>
                <w:u w:val="single"/>
                <w:vertAlign w:val="baseline"/>
                <w:lang w:val="en-US" w:eastAsia="zh-CN"/>
              </w:rPr>
              <w:t xml:space="preserve">          </w:t>
            </w:r>
            <w:r>
              <w:rPr>
                <w:rFonts w:hint="eastAsia" w:ascii="仿宋" w:hAnsi="仿宋" w:eastAsia="仿宋" w:cs="仿宋"/>
                <w:b w:val="0"/>
                <w:bCs w:val="0"/>
                <w:sz w:val="24"/>
                <w:szCs w:val="24"/>
                <w:highlight w:val="none"/>
                <w:vertAlign w:val="baseline"/>
                <w:lang w:val="en-US" w:eastAsia="zh-CN"/>
              </w:rPr>
              <w:t>；</w:t>
            </w:r>
          </w:p>
          <w:p w14:paraId="7BC2DD31">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（2）允许分包的金额或者比例：</w:t>
            </w:r>
            <w:r>
              <w:rPr>
                <w:rFonts w:hint="eastAsia" w:ascii="仿宋" w:hAnsi="仿宋" w:eastAsia="仿宋" w:cs="仿宋"/>
                <w:b w:val="0"/>
                <w:bCs w:val="0"/>
                <w:sz w:val="24"/>
                <w:szCs w:val="24"/>
                <w:highlight w:val="none"/>
                <w:u w:val="single"/>
                <w:vertAlign w:val="baseline"/>
                <w:lang w:val="en-US" w:eastAsia="zh-CN"/>
              </w:rPr>
              <w:t xml:space="preserve">          </w:t>
            </w:r>
            <w:r>
              <w:rPr>
                <w:rFonts w:hint="eastAsia" w:ascii="仿宋" w:hAnsi="仿宋" w:eastAsia="仿宋" w:cs="仿宋"/>
                <w:b w:val="0"/>
                <w:bCs w:val="0"/>
                <w:sz w:val="24"/>
                <w:szCs w:val="24"/>
                <w:highlight w:val="none"/>
                <w:vertAlign w:val="baseline"/>
                <w:lang w:val="en-US" w:eastAsia="zh-CN"/>
              </w:rPr>
              <w:t>；</w:t>
            </w:r>
          </w:p>
          <w:p w14:paraId="6814F932">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（3）其他要求：</w:t>
            </w:r>
            <w:r>
              <w:rPr>
                <w:rFonts w:hint="eastAsia" w:ascii="仿宋" w:hAnsi="仿宋" w:eastAsia="仿宋" w:cs="仿宋"/>
                <w:b w:val="0"/>
                <w:bCs w:val="0"/>
                <w:sz w:val="24"/>
                <w:szCs w:val="24"/>
                <w:highlight w:val="none"/>
                <w:u w:val="single"/>
                <w:vertAlign w:val="baseline"/>
                <w:lang w:val="en-US" w:eastAsia="zh-CN"/>
              </w:rPr>
              <w:t xml:space="preserve">              </w:t>
            </w:r>
            <w:r>
              <w:rPr>
                <w:rFonts w:hint="eastAsia" w:ascii="仿宋" w:hAnsi="仿宋" w:eastAsia="仿宋" w:cs="仿宋"/>
                <w:b w:val="0"/>
                <w:bCs w:val="0"/>
                <w:sz w:val="24"/>
                <w:szCs w:val="24"/>
                <w:highlight w:val="none"/>
                <w:vertAlign w:val="baseline"/>
                <w:lang w:val="en-US" w:eastAsia="zh-CN"/>
              </w:rPr>
              <w:t>。</w:t>
            </w:r>
          </w:p>
        </w:tc>
      </w:tr>
      <w:tr w14:paraId="0576A48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574" w:type="pct"/>
            <w:tcBorders>
              <w:tl2br w:val="nil"/>
              <w:tr2bl w:val="nil"/>
            </w:tcBorders>
            <w:vAlign w:val="center"/>
          </w:tcPr>
          <w:p w14:paraId="15236ED4">
            <w:pPr>
              <w:keepNext w:val="0"/>
              <w:keepLines w:val="0"/>
              <w:pageBreakBefore w:val="0"/>
              <w:widowControl w:val="0"/>
              <w:kinsoku/>
              <w:wordWrap/>
              <w:overflowPunct/>
              <w:topLinePunct w:val="0"/>
              <w:autoSpaceDE/>
              <w:autoSpaceDN/>
              <w:bidi w:val="0"/>
              <w:adjustRightInd/>
              <w:snapToGrid/>
              <w:spacing w:line="420" w:lineRule="atLeas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23.1</w:t>
            </w:r>
          </w:p>
        </w:tc>
        <w:tc>
          <w:tcPr>
            <w:tcW w:w="4425" w:type="pct"/>
            <w:tcBorders>
              <w:tl2br w:val="nil"/>
              <w:tr2bl w:val="nil"/>
            </w:tcBorders>
            <w:vAlign w:val="center"/>
          </w:tcPr>
          <w:p w14:paraId="229FD06B">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本项目不要求履约保证金</w:t>
            </w:r>
          </w:p>
        </w:tc>
      </w:tr>
      <w:tr w14:paraId="1782C7D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66" w:hRule="atLeast"/>
        </w:trPr>
        <w:tc>
          <w:tcPr>
            <w:tcW w:w="574" w:type="pct"/>
            <w:tcBorders>
              <w:bottom w:val="single" w:color="auto" w:sz="8" w:space="0"/>
            </w:tcBorders>
            <w:vAlign w:val="center"/>
          </w:tcPr>
          <w:p w14:paraId="1B4A691D">
            <w:pPr>
              <w:keepNext w:val="0"/>
              <w:keepLines w:val="0"/>
              <w:pageBreakBefore w:val="0"/>
              <w:widowControl w:val="0"/>
              <w:kinsoku/>
              <w:wordWrap/>
              <w:overflowPunct/>
              <w:topLinePunct w:val="0"/>
              <w:autoSpaceDE/>
              <w:autoSpaceDN/>
              <w:bidi w:val="0"/>
              <w:adjustRightInd/>
              <w:snapToGrid/>
              <w:spacing w:line="420" w:lineRule="atLeas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24.1</w:t>
            </w:r>
          </w:p>
        </w:tc>
        <w:tc>
          <w:tcPr>
            <w:tcW w:w="4425" w:type="pct"/>
            <w:tcBorders>
              <w:bottom w:val="single" w:color="auto" w:sz="8" w:space="0"/>
            </w:tcBorders>
            <w:vAlign w:val="center"/>
          </w:tcPr>
          <w:p w14:paraId="35A17123">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 xml:space="preserve">是否由成交人缴纳招标代理费：是 </w:t>
            </w:r>
          </w:p>
          <w:p w14:paraId="3E3F3078">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招标代理费：以成交通知书中的中标金额作为采购代理服务费的计算基数。按照采购文件第三章投标须知24.2条收费标准规定</w:t>
            </w:r>
            <w:r>
              <w:rPr>
                <w:rFonts w:hint="eastAsia" w:ascii="仿宋" w:hAnsi="仿宋" w:eastAsia="仿宋" w:cs="仿宋"/>
                <w:b w:val="0"/>
                <w:bCs w:val="0"/>
                <w:sz w:val="24"/>
                <w:szCs w:val="24"/>
                <w:highlight w:val="none"/>
                <w:u w:val="single"/>
                <w:vertAlign w:val="baseline"/>
                <w:lang w:val="en-US" w:eastAsia="zh-CN"/>
              </w:rPr>
              <w:t>“服务类”计费，参照原国家计委计价格【2002】1980号文下浮50%的计算方法收取。</w:t>
            </w:r>
            <w:r>
              <w:rPr>
                <w:rFonts w:hint="eastAsia" w:ascii="仿宋" w:hAnsi="仿宋" w:eastAsia="仿宋" w:cs="仿宋"/>
                <w:b w:val="0"/>
                <w:bCs w:val="0"/>
                <w:sz w:val="24"/>
                <w:szCs w:val="24"/>
                <w:highlight w:val="none"/>
                <w:vertAlign w:val="baseline"/>
                <w:lang w:val="en-US" w:eastAsia="zh-CN"/>
              </w:rPr>
              <w:t xml:space="preserve">  </w:t>
            </w:r>
          </w:p>
          <w:p w14:paraId="50096FA9">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 xml:space="preserve">支付形式：支票、电汇等形式 </w:t>
            </w:r>
          </w:p>
          <w:p w14:paraId="091AAE57">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支付时间：在成交人领取成交通知书时，由成交人向采购代理机构一次性支付全部招标代理服务费</w:t>
            </w:r>
          </w:p>
          <w:p w14:paraId="1C4CDD54">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招标代理服务费账户：</w:t>
            </w:r>
          </w:p>
          <w:p w14:paraId="17096F31">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单位全称：新疆世纪星工程咨询有限公司</w:t>
            </w:r>
          </w:p>
          <w:p w14:paraId="3613D38B">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开 户 行：交通银行股份有限公司乌鲁木齐卫星路支行</w:t>
            </w:r>
          </w:p>
          <w:p w14:paraId="51A5E07C">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帐    号：651651056018800020157</w:t>
            </w:r>
          </w:p>
          <w:p w14:paraId="342F3CC8">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行    号：301881000569</w:t>
            </w:r>
          </w:p>
        </w:tc>
      </w:tr>
      <w:tr w14:paraId="55F28AD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9" w:hRule="atLeast"/>
        </w:trPr>
        <w:tc>
          <w:tcPr>
            <w:tcW w:w="574" w:type="pct"/>
            <w:tcBorders>
              <w:top w:val="single" w:color="auto" w:sz="8" w:space="0"/>
              <w:tl2br w:val="nil"/>
              <w:tr2bl w:val="nil"/>
            </w:tcBorders>
            <w:vAlign w:val="center"/>
          </w:tcPr>
          <w:p w14:paraId="7178604B">
            <w:pPr>
              <w:keepNext w:val="0"/>
              <w:keepLines w:val="0"/>
              <w:pageBreakBefore w:val="0"/>
              <w:widowControl w:val="0"/>
              <w:kinsoku/>
              <w:wordWrap/>
              <w:overflowPunct/>
              <w:topLinePunct w:val="0"/>
              <w:autoSpaceDE/>
              <w:autoSpaceDN/>
              <w:bidi w:val="0"/>
              <w:adjustRightInd/>
              <w:snapToGrid/>
              <w:spacing w:line="420" w:lineRule="atLeas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25</w:t>
            </w:r>
          </w:p>
        </w:tc>
        <w:tc>
          <w:tcPr>
            <w:tcW w:w="4425" w:type="pct"/>
            <w:tcBorders>
              <w:top w:val="single" w:color="auto" w:sz="8" w:space="0"/>
              <w:tl2br w:val="nil"/>
              <w:tr2bl w:val="nil"/>
            </w:tcBorders>
            <w:vAlign w:val="center"/>
          </w:tcPr>
          <w:p w14:paraId="4B94DCB7">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接收询问和质疑的联系方式：</w:t>
            </w:r>
          </w:p>
          <w:p w14:paraId="7B14DF82">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1、询问</w:t>
            </w:r>
          </w:p>
          <w:p w14:paraId="6B487C27">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联系部门、联系电话、通讯地址：见第一章《采购公告》中的采购代理机构信息和项目联系方式。</w:t>
            </w:r>
          </w:p>
          <w:p w14:paraId="5088D9CF">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2、质疑</w:t>
            </w:r>
          </w:p>
          <w:p w14:paraId="6A2F02DD">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联系部门：新疆世纪星工程咨询有限公司招标部</w:t>
            </w:r>
          </w:p>
          <w:p w14:paraId="0FC4FA69">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联系人、联系电话：李春雪、李航     0991-3678303</w:t>
            </w:r>
          </w:p>
          <w:p w14:paraId="386B4E75">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通讯地址：乌鲁木齐经济技术开发区二期黄山街一品九点阳光德港大厦B座20楼</w:t>
            </w:r>
          </w:p>
          <w:p w14:paraId="580A0ED7">
            <w:pPr>
              <w:keepNext w:val="0"/>
              <w:keepLines w:val="0"/>
              <w:pageBreakBefore w:val="0"/>
              <w:widowControl w:val="0"/>
              <w:kinsoku/>
              <w:wordWrap/>
              <w:overflowPunct/>
              <w:topLinePunct w:val="0"/>
              <w:bidi w:val="0"/>
              <w:snapToGrid/>
              <w:spacing w:line="420" w:lineRule="atLeast"/>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其他要求：质疑书、授权委托书及报名成功截图PDF扫描件发送至代理机构邮箱，以上资料原件邮寄或送至代理机构。</w:t>
            </w:r>
          </w:p>
          <w:p w14:paraId="1078B9E5">
            <w:pPr>
              <w:keepNext w:val="0"/>
              <w:keepLines w:val="0"/>
              <w:pageBreakBefore w:val="0"/>
              <w:widowControl w:val="0"/>
              <w:kinsoku/>
              <w:wordWrap/>
              <w:overflowPunct/>
              <w:topLinePunct w:val="0"/>
              <w:bidi w:val="0"/>
              <w:snapToGrid/>
              <w:spacing w:line="420" w:lineRule="atLeast"/>
              <w:textAlignment w:val="auto"/>
              <w:rPr>
                <w:rFonts w:hint="eastAsia" w:ascii="仿宋" w:hAnsi="仿宋" w:eastAsia="仿宋" w:cs="仿宋"/>
                <w:sz w:val="24"/>
                <w:highlight w:val="none"/>
              </w:rPr>
            </w:pPr>
            <w:r>
              <w:rPr>
                <w:rFonts w:hint="eastAsia" w:ascii="仿宋" w:hAnsi="仿宋" w:eastAsia="仿宋" w:cs="仿宋"/>
                <w:sz w:val="24"/>
                <w:highlight w:val="none"/>
              </w:rPr>
              <w:t xml:space="preserve">3、针对同一采购程序环节的质疑次数： </w:t>
            </w:r>
          </w:p>
          <w:p w14:paraId="76022CD8">
            <w:pPr>
              <w:keepNext w:val="0"/>
              <w:keepLines w:val="0"/>
              <w:pageBreakBefore w:val="0"/>
              <w:widowControl w:val="0"/>
              <w:kinsoku/>
              <w:wordWrap/>
              <w:overflowPunct/>
              <w:topLinePunct w:val="0"/>
              <w:bidi w:val="0"/>
              <w:snapToGrid/>
              <w:spacing w:line="420" w:lineRule="atLeast"/>
              <w:textAlignment w:val="auto"/>
              <w:rPr>
                <w:rFonts w:hint="eastAsia" w:ascii="仿宋" w:hAnsi="仿宋" w:eastAsia="仿宋" w:cs="仿宋"/>
                <w:sz w:val="24"/>
                <w:highlight w:val="none"/>
              </w:rPr>
            </w:pPr>
            <w:r>
              <w:rPr>
                <w:rFonts w:hint="eastAsia" w:ascii="仿宋" w:hAnsi="仿宋" w:eastAsia="仿宋" w:cs="仿宋"/>
                <w:sz w:val="24"/>
                <w:highlight w:val="none"/>
                <w:lang w:val="en-US" w:eastAsia="zh-CN"/>
              </w:rPr>
              <w:t>☑</w:t>
            </w:r>
            <w:r>
              <w:rPr>
                <w:rFonts w:hint="eastAsia" w:ascii="仿宋" w:hAnsi="仿宋" w:eastAsia="仿宋" w:cs="仿宋"/>
                <w:sz w:val="24"/>
                <w:highlight w:val="none"/>
              </w:rPr>
              <w:t>一次性提出</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多次提出</w:t>
            </w:r>
          </w:p>
          <w:p w14:paraId="168EE520">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sz w:val="24"/>
                <w:highlight w:val="none"/>
              </w:rPr>
              <w:t>注：</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在法定质疑期内一次性提出针对同一采购程序环节的质疑，本项目不接受</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多次/反复质疑。</w:t>
            </w:r>
          </w:p>
        </w:tc>
      </w:tr>
      <w:tr w14:paraId="036145B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43" w:hRule="atLeast"/>
        </w:trPr>
        <w:tc>
          <w:tcPr>
            <w:tcW w:w="5000" w:type="pct"/>
            <w:gridSpan w:val="2"/>
            <w:tcBorders>
              <w:top w:val="single" w:color="auto" w:sz="4" w:space="0"/>
              <w:bottom w:val="single" w:color="auto" w:sz="4" w:space="0"/>
              <w:tl2br w:val="nil"/>
              <w:tr2bl w:val="nil"/>
            </w:tcBorders>
            <w:vAlign w:val="center"/>
          </w:tcPr>
          <w:p w14:paraId="217F3436">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适用于本供应商须知的额外增加的变动：</w:t>
            </w:r>
          </w:p>
        </w:tc>
      </w:tr>
      <w:tr w14:paraId="3634488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47" w:hRule="atLeast"/>
        </w:trPr>
        <w:tc>
          <w:tcPr>
            <w:tcW w:w="5000" w:type="pct"/>
            <w:gridSpan w:val="2"/>
            <w:tcBorders>
              <w:top w:val="single" w:color="auto" w:sz="4" w:space="0"/>
              <w:bottom w:val="single" w:color="auto" w:sz="4" w:space="0"/>
              <w:tl2br w:val="nil"/>
              <w:tr2bl w:val="nil"/>
            </w:tcBorders>
            <w:vAlign w:val="center"/>
          </w:tcPr>
          <w:p w14:paraId="7B2E7BED">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评标方法：综合评分法</w:t>
            </w:r>
          </w:p>
        </w:tc>
      </w:tr>
      <w:tr w14:paraId="13539A6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5000" w:type="pct"/>
            <w:gridSpan w:val="2"/>
            <w:tcBorders>
              <w:top w:val="single" w:color="auto" w:sz="4" w:space="0"/>
              <w:bottom w:val="single" w:color="auto" w:sz="4" w:space="0"/>
              <w:tl2br w:val="nil"/>
              <w:tr2bl w:val="nil"/>
            </w:tcBorders>
            <w:vAlign w:val="center"/>
          </w:tcPr>
          <w:p w14:paraId="6C03C4E8">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项目属性：服务</w:t>
            </w:r>
          </w:p>
        </w:tc>
      </w:tr>
      <w:tr w14:paraId="3FBF930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944" w:hRule="atLeast"/>
        </w:trPr>
        <w:tc>
          <w:tcPr>
            <w:tcW w:w="5000" w:type="pct"/>
            <w:gridSpan w:val="2"/>
            <w:tcBorders>
              <w:tl2br w:val="nil"/>
              <w:tr2bl w:val="nil"/>
            </w:tcBorders>
            <w:vAlign w:val="center"/>
          </w:tcPr>
          <w:p w14:paraId="6AC8875B">
            <w:pPr>
              <w:pStyle w:val="30"/>
              <w:keepNext w:val="0"/>
              <w:keepLines w:val="0"/>
              <w:pageBreakBefore w:val="0"/>
              <w:widowControl w:val="0"/>
              <w:kinsoku/>
              <w:wordWrap/>
              <w:overflowPunct/>
              <w:topLinePunct w:val="0"/>
              <w:autoSpaceDE/>
              <w:autoSpaceDN/>
              <w:bidi w:val="0"/>
              <w:adjustRightInd/>
              <w:snapToGrid/>
              <w:spacing w:after="0" w:line="420" w:lineRule="atLeas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适用于本供应商须知的额外增加的变动：</w:t>
            </w:r>
          </w:p>
          <w:p w14:paraId="26013B66">
            <w:pPr>
              <w:pStyle w:val="30"/>
              <w:keepNext w:val="0"/>
              <w:keepLines w:val="0"/>
              <w:pageBreakBefore w:val="0"/>
              <w:widowControl w:val="0"/>
              <w:kinsoku/>
              <w:wordWrap/>
              <w:overflowPunct/>
              <w:topLinePunct w:val="0"/>
              <w:autoSpaceDE/>
              <w:autoSpaceDN/>
              <w:bidi w:val="0"/>
              <w:adjustRightInd/>
              <w:snapToGrid/>
              <w:spacing w:after="0" w:line="420" w:lineRule="atLeas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1、关于本项目所有公告、公示在</w:t>
            </w:r>
            <w:r>
              <w:rPr>
                <w:rFonts w:hint="eastAsia" w:ascii="仿宋" w:hAnsi="仿宋" w:eastAsia="仿宋" w:cs="仿宋"/>
                <w:b/>
                <w:bCs/>
                <w:sz w:val="24"/>
                <w:szCs w:val="24"/>
                <w:highlight w:val="none"/>
                <w:lang w:val="en-US" w:eastAsia="zh-CN"/>
              </w:rPr>
              <w:t>新疆政府采购网（http://www.ccgp-xinjiang.gov.cn）</w:t>
            </w:r>
            <w:r>
              <w:rPr>
                <w:rFonts w:hint="eastAsia" w:ascii="仿宋" w:hAnsi="仿宋" w:eastAsia="仿宋" w:cs="仿宋"/>
                <w:sz w:val="24"/>
                <w:szCs w:val="24"/>
                <w:highlight w:val="none"/>
                <w:lang w:val="en-US" w:eastAsia="zh-CN"/>
              </w:rPr>
              <w:t>发布。</w:t>
            </w:r>
          </w:p>
          <w:p w14:paraId="233FA5F5">
            <w:pPr>
              <w:pStyle w:val="30"/>
              <w:keepNext w:val="0"/>
              <w:keepLines w:val="0"/>
              <w:pageBreakBefore w:val="0"/>
              <w:widowControl w:val="0"/>
              <w:kinsoku/>
              <w:wordWrap/>
              <w:overflowPunct/>
              <w:topLinePunct w:val="0"/>
              <w:autoSpaceDE/>
              <w:autoSpaceDN/>
              <w:bidi w:val="0"/>
              <w:adjustRightInd/>
              <w:snapToGrid/>
              <w:spacing w:after="0" w:line="420" w:lineRule="atLeas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2、请投标单位随时关注本项目的澄清、答疑、变更事项。</w:t>
            </w:r>
          </w:p>
          <w:p w14:paraId="615CE84A">
            <w:pPr>
              <w:pStyle w:val="30"/>
              <w:keepNext w:val="0"/>
              <w:keepLines w:val="0"/>
              <w:pageBreakBefore w:val="0"/>
              <w:widowControl w:val="0"/>
              <w:kinsoku/>
              <w:wordWrap/>
              <w:overflowPunct/>
              <w:topLinePunct w:val="0"/>
              <w:autoSpaceDE/>
              <w:autoSpaceDN/>
              <w:bidi w:val="0"/>
              <w:adjustRightInd/>
              <w:snapToGrid/>
              <w:spacing w:after="0" w:line="420" w:lineRule="atLeas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3、本项目实行电子招投标，供应商须登录政采云平台申请获取采购文件，并通过政采云电子投标客户端制作投标（响应）文件，同时自行承担与投标有关的一切费用。</w:t>
            </w:r>
          </w:p>
          <w:p w14:paraId="7956BB95">
            <w:pPr>
              <w:pStyle w:val="30"/>
              <w:keepNext w:val="0"/>
              <w:keepLines w:val="0"/>
              <w:pageBreakBefore w:val="0"/>
              <w:widowControl w:val="0"/>
              <w:kinsoku/>
              <w:wordWrap/>
              <w:overflowPunct/>
              <w:topLinePunct w:val="0"/>
              <w:autoSpaceDE/>
              <w:autoSpaceDN/>
              <w:bidi w:val="0"/>
              <w:adjustRightInd/>
              <w:snapToGrid/>
              <w:spacing w:after="0" w:line="420" w:lineRule="atLeas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4、各供应商应在开标前确保成为新疆政府采购网正式注册入库供应商，并完成CA数字证书申领。因未注册入库、未办理CA数字证书等原因造成无法投标或投标失败等后果由供应商自行承担。</w:t>
            </w:r>
          </w:p>
          <w:p w14:paraId="5B284C36">
            <w:pPr>
              <w:pStyle w:val="30"/>
              <w:keepNext w:val="0"/>
              <w:keepLines w:val="0"/>
              <w:pageBreakBefore w:val="0"/>
              <w:widowControl w:val="0"/>
              <w:kinsoku/>
              <w:wordWrap/>
              <w:overflowPunct/>
              <w:topLinePunct w:val="0"/>
              <w:autoSpaceDE/>
              <w:autoSpaceDN/>
              <w:bidi w:val="0"/>
              <w:adjustRightInd/>
              <w:snapToGrid/>
              <w:spacing w:after="0" w:line="420" w:lineRule="atLeas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5、有意向参与本项目的供应商，可访问新疆数字证书认证中心官方网站（https://www.xjca.com.cn/）或下载“新疆政务通”APP自行进行申领CA锁。如需咨询，请联系新疆CA服务热线0991-2819290。</w:t>
            </w:r>
          </w:p>
          <w:p w14:paraId="0E1A316A">
            <w:pPr>
              <w:pStyle w:val="30"/>
              <w:keepNext w:val="0"/>
              <w:keepLines w:val="0"/>
              <w:pageBreakBefore w:val="0"/>
              <w:widowControl w:val="0"/>
              <w:kinsoku/>
              <w:wordWrap/>
              <w:overflowPunct/>
              <w:topLinePunct w:val="0"/>
              <w:autoSpaceDE/>
              <w:autoSpaceDN/>
              <w:bidi w:val="0"/>
              <w:adjustRightInd/>
              <w:snapToGrid/>
              <w:spacing w:after="0" w:line="420" w:lineRule="atLeas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供应商可前往新疆政府采购网（http://www.ccgp-xinjiang.gov.cn）下载专区，下载政采云电子投标客户端，安装完成后，可通过账号密码或CA登录客户端进行投标（响应）文件制作。在使用政采云电子投标客户端时，如有问题可拨打政采云客户服务热线进行咨询。</w:t>
            </w:r>
          </w:p>
          <w:p w14:paraId="3BA0BB6D">
            <w:pPr>
              <w:pStyle w:val="30"/>
              <w:keepNext w:val="0"/>
              <w:keepLines w:val="0"/>
              <w:pageBreakBefore w:val="0"/>
              <w:widowControl w:val="0"/>
              <w:kinsoku/>
              <w:wordWrap/>
              <w:overflowPunct/>
              <w:topLinePunct w:val="0"/>
              <w:autoSpaceDE/>
              <w:autoSpaceDN/>
              <w:bidi w:val="0"/>
              <w:adjustRightInd/>
              <w:snapToGrid/>
              <w:spacing w:after="0" w:line="420" w:lineRule="atLeas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eastAsia" w:ascii="仿宋" w:hAnsi="仿宋" w:eastAsia="仿宋" w:cs="仿宋"/>
                <w:b/>
                <w:bCs/>
                <w:sz w:val="24"/>
                <w:szCs w:val="24"/>
                <w:highlight w:val="none"/>
                <w:lang w:val="en-US" w:eastAsia="zh-CN"/>
              </w:rPr>
              <w:t>本项目采用不见面开标，供应商须在投标截止时间前通过CA在政采云平台上传加密的电子投标（响应）文件。</w:t>
            </w:r>
            <w:r>
              <w:rPr>
                <w:rFonts w:hint="eastAsia" w:ascii="仿宋" w:hAnsi="仿宋" w:eastAsia="仿宋" w:cs="仿宋"/>
                <w:sz w:val="24"/>
                <w:szCs w:val="24"/>
                <w:highlight w:val="none"/>
                <w:lang w:val="en-US" w:eastAsia="zh-CN"/>
              </w:rPr>
              <w:t>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191A9F40">
            <w:pPr>
              <w:pStyle w:val="30"/>
              <w:keepNext w:val="0"/>
              <w:keepLines w:val="0"/>
              <w:pageBreakBefore w:val="0"/>
              <w:widowControl w:val="0"/>
              <w:kinsoku/>
              <w:wordWrap/>
              <w:overflowPunct/>
              <w:topLinePunct w:val="0"/>
              <w:autoSpaceDE/>
              <w:autoSpaceDN/>
              <w:bidi w:val="0"/>
              <w:adjustRightInd/>
              <w:snapToGrid/>
              <w:spacing w:after="0" w:line="420" w:lineRule="atLeas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8、供应商在开标前须提前配置好电脑浏览器（建议使用360浏览器或谷歌浏览器），开标时请使用制作加密电子投标（响应）文件的CA锁进行解密及报价确认。</w:t>
            </w:r>
            <w:r>
              <w:rPr>
                <w:rFonts w:hint="eastAsia" w:ascii="仿宋" w:hAnsi="仿宋" w:eastAsia="仿宋" w:cs="仿宋"/>
                <w:b/>
                <w:bCs/>
                <w:sz w:val="24"/>
                <w:szCs w:val="24"/>
                <w:highlight w:val="none"/>
                <w:lang w:val="en-US" w:eastAsia="zh-CN"/>
              </w:rPr>
              <w:t>本项目投标（响应）文件解密时间定为30分钟，如供应商因自身原因导致在规定的时间未能成功解密的视为放弃投标（响应）。</w:t>
            </w:r>
          </w:p>
          <w:p w14:paraId="7CFCA1C9">
            <w:pPr>
              <w:pStyle w:val="30"/>
              <w:keepNext w:val="0"/>
              <w:keepLines w:val="0"/>
              <w:pageBreakBefore w:val="0"/>
              <w:widowControl w:val="0"/>
              <w:kinsoku/>
              <w:wordWrap/>
              <w:overflowPunct/>
              <w:topLinePunct w:val="0"/>
              <w:autoSpaceDE/>
              <w:autoSpaceDN/>
              <w:bidi w:val="0"/>
              <w:adjustRightInd/>
              <w:snapToGrid/>
              <w:spacing w:after="0" w:line="420" w:lineRule="atLeas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9、政采云投标客户端中上传电子投标（响应）文件为三部分，分别为资格文件、报价文件、商务技术文件。供应商除分别按要求分别上传文件外，建议商务技术文件部分上传整本投标（响应）文件（包含资格部分、报价部分、商务技术部分）。</w:t>
            </w:r>
          </w:p>
          <w:p w14:paraId="4ED335F8">
            <w:pPr>
              <w:pStyle w:val="30"/>
              <w:keepNext w:val="0"/>
              <w:keepLines w:val="0"/>
              <w:pageBreakBefore w:val="0"/>
              <w:widowControl w:val="0"/>
              <w:kinsoku/>
              <w:wordWrap/>
              <w:overflowPunct/>
              <w:topLinePunct w:val="0"/>
              <w:autoSpaceDE/>
              <w:autoSpaceDN/>
              <w:bidi w:val="0"/>
              <w:adjustRightInd/>
              <w:snapToGrid/>
              <w:spacing w:after="0" w:line="420" w:lineRule="atLeast"/>
              <w:ind w:left="0" w:leftChars="0" w:firstLine="0" w:firstLineChars="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10、评审过程中会通过政采云平台将需要澄清、说明或补正的内容以询标函的形式发送给供应商，供应商应登录政采云平台并保持在线状态，以便及时接收可能发出的询标函，并在询标函载明的时间内回复，若供应商未及时回复，视为放弃澄清。</w:t>
            </w:r>
          </w:p>
          <w:p w14:paraId="17BFD330">
            <w:pPr>
              <w:pStyle w:val="30"/>
              <w:keepNext w:val="0"/>
              <w:keepLines w:val="0"/>
              <w:pageBreakBefore w:val="0"/>
              <w:widowControl w:val="0"/>
              <w:kinsoku/>
              <w:wordWrap/>
              <w:overflowPunct/>
              <w:topLinePunct w:val="0"/>
              <w:autoSpaceDE/>
              <w:autoSpaceDN/>
              <w:bidi w:val="0"/>
              <w:adjustRightInd/>
              <w:snapToGrid/>
              <w:spacing w:after="0" w:line="420" w:lineRule="atLeas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11、本须知前附表是对供应商须知正文部分对应条款的补充、细化，供应商阅读时应与正文部分一并阅读，供应商须知前附表与正文部分不一致处，应以供应商须知前附表为准。 </w:t>
            </w:r>
          </w:p>
          <w:p w14:paraId="55DFC9F8">
            <w:pPr>
              <w:pStyle w:val="30"/>
              <w:keepNext w:val="0"/>
              <w:keepLines w:val="0"/>
              <w:pageBreakBefore w:val="0"/>
              <w:widowControl w:val="0"/>
              <w:kinsoku/>
              <w:wordWrap/>
              <w:overflowPunct/>
              <w:topLinePunct w:val="0"/>
              <w:autoSpaceDE/>
              <w:autoSpaceDN/>
              <w:bidi w:val="0"/>
              <w:adjustRightInd/>
              <w:snapToGrid/>
              <w:spacing w:after="0" w:line="420" w:lineRule="atLeas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12、“☑”符号表示本采购文件选定的内容；“□”符号表示本采购文件未选定的内容；空格中的“/”表示没有具体内容。供应商投标（响应）时请按“☑符号”选定的内容和要求参加投标（响应）。</w:t>
            </w:r>
          </w:p>
          <w:p w14:paraId="6480D8FD">
            <w:pPr>
              <w:pStyle w:val="30"/>
              <w:keepNext w:val="0"/>
              <w:keepLines w:val="0"/>
              <w:pageBreakBefore w:val="0"/>
              <w:widowControl w:val="0"/>
              <w:kinsoku/>
              <w:wordWrap/>
              <w:overflowPunct/>
              <w:topLinePunct w:val="0"/>
              <w:autoSpaceDE/>
              <w:autoSpaceDN/>
              <w:bidi w:val="0"/>
              <w:adjustRightInd/>
              <w:snapToGrid/>
              <w:spacing w:after="0" w:line="420" w:lineRule="atLeas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13、与合同履行有关条款中注明的“甲方”、“买方”，在招标投标阶段按“采购人、招标人”理解；注明的“乙方”、“卖方”，按“供应商、投标人”理解。</w:t>
            </w:r>
          </w:p>
          <w:p w14:paraId="4041CB42">
            <w:pPr>
              <w:pStyle w:val="30"/>
              <w:keepNext w:val="0"/>
              <w:keepLines w:val="0"/>
              <w:pageBreakBefore w:val="0"/>
              <w:widowControl w:val="0"/>
              <w:kinsoku/>
              <w:wordWrap/>
              <w:overflowPunct/>
              <w:topLinePunct w:val="0"/>
              <w:autoSpaceDE/>
              <w:autoSpaceDN/>
              <w:bidi w:val="0"/>
              <w:adjustRightInd/>
              <w:snapToGrid/>
              <w:spacing w:after="0" w:line="420" w:lineRule="atLeas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14、供应商必须认真阅读采购文件中所有的事项、格式、条款和采购需求等。供应商没有按照采购文件要求提交全部资料，或者投标（响应）文件没有对采购文件在各方面都做出实质性响应的可能导致其投标（响应）无效或被拒绝。</w:t>
            </w:r>
          </w:p>
          <w:p w14:paraId="1A4E45E2">
            <w:pPr>
              <w:pStyle w:val="30"/>
              <w:keepNext w:val="0"/>
              <w:keepLines w:val="0"/>
              <w:pageBreakBefore w:val="0"/>
              <w:widowControl w:val="0"/>
              <w:kinsoku/>
              <w:wordWrap/>
              <w:overflowPunct/>
              <w:topLinePunct w:val="0"/>
              <w:autoSpaceDE/>
              <w:autoSpaceDN/>
              <w:bidi w:val="0"/>
              <w:adjustRightInd/>
              <w:snapToGrid/>
              <w:spacing w:after="0" w:line="420" w:lineRule="atLeas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15、</w:t>
            </w:r>
            <w:r>
              <w:rPr>
                <w:rFonts w:hint="eastAsia" w:ascii="仿宋" w:hAnsi="仿宋" w:eastAsia="仿宋" w:cs="仿宋"/>
                <w:b/>
                <w:bCs/>
                <w:sz w:val="24"/>
                <w:szCs w:val="24"/>
                <w:highlight w:val="none"/>
                <w:lang w:val="en-US" w:eastAsia="zh-CN"/>
              </w:rPr>
              <w:t>报价形式：</w:t>
            </w:r>
            <w:r>
              <w:rPr>
                <w:rFonts w:hint="eastAsia" w:ascii="仿宋" w:hAnsi="仿宋" w:eastAsia="仿宋" w:cs="仿宋"/>
                <w:b/>
                <w:bCs/>
                <w:color w:val="000000"/>
                <w:kern w:val="0"/>
                <w:sz w:val="24"/>
                <w:szCs w:val="24"/>
                <w:highlight w:val="none"/>
              </w:rPr>
              <w:t>折扣</w:t>
            </w:r>
            <w:r>
              <w:rPr>
                <w:rFonts w:hint="eastAsia" w:ascii="仿宋" w:hAnsi="仿宋" w:eastAsia="仿宋" w:cs="仿宋"/>
                <w:b/>
                <w:bCs/>
                <w:color w:val="000000"/>
                <w:kern w:val="0"/>
                <w:sz w:val="24"/>
                <w:szCs w:val="24"/>
                <w:highlight w:val="none"/>
                <w:lang w:val="en-US" w:eastAsia="zh-CN"/>
              </w:rPr>
              <w:t>率。发放的蛋糕卡面值300元，但各供应商需提供优惠折扣；例折扣率为95%，即面值300元蛋糕卡券实际可在店面购买316元商品（300/95%=316）；折扣率为90%，即面值300元蛋糕卡券实际可在店面购买333元商品（300/90%=333）、折扣率为85%，即面值300元蛋糕卡券实际可在店面购买353元商品（300/85%=353）。（金额四舍五入）不得设定使用限制。</w:t>
            </w:r>
          </w:p>
        </w:tc>
      </w:tr>
    </w:tbl>
    <w:p w14:paraId="7BF68410">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br w:type="page"/>
      </w:r>
    </w:p>
    <w:p w14:paraId="3889D3C1">
      <w:pPr>
        <w:pStyle w:val="2"/>
        <w:numPr>
          <w:ilvl w:val="0"/>
          <w:numId w:val="4"/>
        </w:numPr>
        <w:bidi w:val="0"/>
        <w:jc w:val="center"/>
        <w:rPr>
          <w:rFonts w:hint="eastAsia" w:ascii="仿宋" w:hAnsi="仿宋" w:eastAsia="仿宋" w:cs="仿宋"/>
          <w:sz w:val="32"/>
          <w:szCs w:val="32"/>
          <w:highlight w:val="none"/>
          <w:lang w:val="en-US" w:eastAsia="zh-CN"/>
        </w:rPr>
      </w:pPr>
      <w:bookmarkStart w:id="10" w:name="_Toc4905"/>
      <w:r>
        <w:rPr>
          <w:rFonts w:hint="eastAsia" w:ascii="仿宋" w:hAnsi="仿宋" w:eastAsia="仿宋" w:cs="仿宋"/>
          <w:sz w:val="32"/>
          <w:szCs w:val="32"/>
          <w:highlight w:val="none"/>
          <w:lang w:val="en-US" w:eastAsia="zh-CN"/>
        </w:rPr>
        <w:t>供应商须知</w:t>
      </w:r>
      <w:bookmarkEnd w:id="10"/>
    </w:p>
    <w:p w14:paraId="163F8D66">
      <w:pPr>
        <w:keepNext w:val="0"/>
        <w:keepLines w:val="0"/>
        <w:pageBreakBefore w:val="0"/>
        <w:widowControl w:val="0"/>
        <w:numPr>
          <w:ilvl w:val="0"/>
          <w:numId w:val="5"/>
        </w:numPr>
        <w:kinsoku/>
        <w:wordWrap/>
        <w:overflowPunct/>
        <w:topLinePunct w:val="0"/>
        <w:autoSpaceDE/>
        <w:autoSpaceDN/>
        <w:bidi w:val="0"/>
        <w:adjustRightInd/>
        <w:snapToGrid/>
        <w:spacing w:line="420" w:lineRule="exact"/>
        <w:jc w:val="center"/>
        <w:textAlignment w:val="auto"/>
        <w:outlineLvl w:val="1"/>
        <w:rPr>
          <w:rFonts w:hint="eastAsia" w:ascii="仿宋" w:hAnsi="仿宋" w:eastAsia="仿宋" w:cs="仿宋"/>
          <w:b/>
          <w:bCs/>
          <w:sz w:val="24"/>
          <w:szCs w:val="24"/>
          <w:highlight w:val="none"/>
        </w:rPr>
      </w:pPr>
      <w:bookmarkStart w:id="11" w:name="_Toc11730"/>
      <w:r>
        <w:rPr>
          <w:rFonts w:hint="eastAsia" w:ascii="仿宋" w:hAnsi="仿宋" w:eastAsia="仿宋" w:cs="仿宋"/>
          <w:b/>
          <w:bCs/>
          <w:sz w:val="24"/>
          <w:szCs w:val="24"/>
          <w:highlight w:val="none"/>
        </w:rPr>
        <w:t>说 明</w:t>
      </w:r>
      <w:bookmarkEnd w:id="11"/>
    </w:p>
    <w:p w14:paraId="255B88CA">
      <w:pPr>
        <w:keepNext w:val="0"/>
        <w:keepLines w:val="0"/>
        <w:pageBreakBefore w:val="0"/>
        <w:widowControl w:val="0"/>
        <w:numPr>
          <w:ilvl w:val="0"/>
          <w:numId w:val="6"/>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采购人、采购代理机构及供应商</w:t>
      </w:r>
    </w:p>
    <w:p w14:paraId="793A0918">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采购人：见投标须知前附表，是采购活动当事人之一，负责项目整体规划、技术方案可行性论证及项目实施，作为合同采购方（使用方），承担质疑答复、合同履行、项目验收与评价等义务。</w:t>
      </w:r>
    </w:p>
    <w:p w14:paraId="5A675A31">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采购代理机构：本次采购的代理机构为新疆世纪星工程咨询有限公司，负责本次采购活动的组织实施，依法编制和发布采购文件，并依据法律法规及采购文件规定对相关内容进行解释。</w:t>
      </w:r>
    </w:p>
    <w:p w14:paraId="171F9271">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供应商（也称“投标人”、“申请人”、“乙方”）：指向采购人提供货物、工程或者服务的法人、其他组织或者自然人。</w:t>
      </w:r>
    </w:p>
    <w:p w14:paraId="582A572D">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供应商须满足以下条件：</w:t>
      </w:r>
    </w:p>
    <w:p w14:paraId="0022B3D9">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具备《中华人民共和国政府采购法》第二十二条关于供应商条件的规定，遵守国家、本项目采购人本级和上级财政部门政府采购的有关规定。</w:t>
      </w:r>
    </w:p>
    <w:p w14:paraId="1310D5F1">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以采购文件规定的方式获得了本项目的采购文件。</w:t>
      </w:r>
    </w:p>
    <w:p w14:paraId="65C50809">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符合</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中规定的其他资格要求。</w:t>
      </w:r>
    </w:p>
    <w:p w14:paraId="0DF0ABC9">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如经财政主管部门批准可以采购进口产品，将在供应商须知前附表中写明。但供应商应保证所投产品可履行合法报通关手续进入中国关境内。若</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中未写明允许采购进口产品，如供应商所投产品为进口产品，其响应文件将作为</w:t>
      </w:r>
      <w:r>
        <w:rPr>
          <w:rFonts w:hint="eastAsia" w:ascii="仿宋" w:hAnsi="仿宋" w:eastAsia="仿宋" w:cs="仿宋"/>
          <w:b/>
          <w:bCs/>
          <w:sz w:val="24"/>
          <w:szCs w:val="24"/>
          <w:highlight w:val="none"/>
          <w:lang w:val="en-US" w:eastAsia="zh-CN"/>
        </w:rPr>
        <w:t>无效响应</w:t>
      </w:r>
      <w:r>
        <w:rPr>
          <w:rFonts w:hint="eastAsia" w:ascii="仿宋" w:hAnsi="仿宋" w:eastAsia="仿宋" w:cs="仿宋"/>
          <w:b w:val="0"/>
          <w:bCs w:val="0"/>
          <w:sz w:val="24"/>
          <w:szCs w:val="24"/>
          <w:highlight w:val="none"/>
          <w:lang w:val="en-US" w:eastAsia="zh-CN"/>
        </w:rPr>
        <w:t xml:space="preserve">被拒绝。 </w:t>
      </w:r>
    </w:p>
    <w:p w14:paraId="1147C0FD">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中小企业、监狱企业及残疾人福利性单位。</w:t>
      </w:r>
    </w:p>
    <w:p w14:paraId="05294811">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采购标的对应的中小企业划分标准所属行业见</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w:t>
      </w:r>
    </w:p>
    <w:p w14:paraId="51B3DAA4">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若</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中写明专门面向中小企业采购的，如供应商所提供的货物为非中小企业制造或提供的服务、工程为非中小企业承接，其响应文件将被认定为</w:t>
      </w:r>
      <w:r>
        <w:rPr>
          <w:rFonts w:hint="eastAsia" w:ascii="仿宋" w:hAnsi="仿宋" w:eastAsia="仿宋" w:cs="仿宋"/>
          <w:b/>
          <w:bCs/>
          <w:sz w:val="24"/>
          <w:szCs w:val="24"/>
          <w:highlight w:val="none"/>
          <w:lang w:val="en-US" w:eastAsia="zh-CN"/>
        </w:rPr>
        <w:t>无效响应</w:t>
      </w:r>
      <w:r>
        <w:rPr>
          <w:rFonts w:hint="eastAsia" w:ascii="仿宋" w:hAnsi="仿宋" w:eastAsia="仿宋" w:cs="仿宋"/>
          <w:b w:val="0"/>
          <w:bCs w:val="0"/>
          <w:sz w:val="24"/>
          <w:szCs w:val="24"/>
          <w:highlight w:val="none"/>
          <w:lang w:val="en-US" w:eastAsia="zh-CN"/>
        </w:rPr>
        <w:t>。本项目是否面向中小企业采购预留份额、措施及比例见</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，未达到上述比例的响应文件将被认定为</w:t>
      </w:r>
      <w:r>
        <w:rPr>
          <w:rFonts w:hint="eastAsia" w:ascii="仿宋" w:hAnsi="仿宋" w:eastAsia="仿宋" w:cs="仿宋"/>
          <w:b/>
          <w:bCs/>
          <w:sz w:val="24"/>
          <w:szCs w:val="24"/>
          <w:highlight w:val="none"/>
          <w:lang w:val="en-US" w:eastAsia="zh-CN"/>
        </w:rPr>
        <w:t>无效响应</w:t>
      </w:r>
      <w:r>
        <w:rPr>
          <w:rFonts w:hint="eastAsia" w:ascii="仿宋" w:hAnsi="仿宋" w:eastAsia="仿宋" w:cs="仿宋"/>
          <w:b w:val="0"/>
          <w:bCs w:val="0"/>
          <w:sz w:val="24"/>
          <w:szCs w:val="24"/>
          <w:highlight w:val="none"/>
          <w:lang w:val="en-US" w:eastAsia="zh-CN"/>
        </w:rPr>
        <w:t>。承接企业如为监狱企业或残疾人福利性单位的，视同为小型、微型企业。</w:t>
      </w:r>
    </w:p>
    <w:p w14:paraId="4BDE672B">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 号）、《关于印发中小企业划型标准规定的通知》（工信部联企业〔2011〕300 号）、《国务院关于进一步促进中小企业发展的若干意见》（国发〔2009〕36 号）。</w:t>
      </w:r>
    </w:p>
    <w:p w14:paraId="4D42BBCE">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 供应商提供的货物、工程或者服务符合下列情形的，享受中小企业扶持政策：</w:t>
      </w:r>
    </w:p>
    <w:p w14:paraId="485BED68">
      <w:pPr>
        <w:keepNext w:val="0"/>
        <w:keepLines w:val="0"/>
        <w:pageBreakBefore w:val="0"/>
        <w:widowControl w:val="0"/>
        <w:numPr>
          <w:ilvl w:val="0"/>
          <w:numId w:val="8"/>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在货物采购项目中，货物由中小企业制造，即货物由中小企业生产且使用该中小企业商号或者注册商标；</w:t>
      </w:r>
    </w:p>
    <w:p w14:paraId="5B06F65F">
      <w:pPr>
        <w:keepNext w:val="0"/>
        <w:keepLines w:val="0"/>
        <w:pageBreakBefore w:val="0"/>
        <w:widowControl w:val="0"/>
        <w:numPr>
          <w:ilvl w:val="0"/>
          <w:numId w:val="8"/>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在工程采购项目中，工程由中小企业承建，即工程施工单位为中小企业；</w:t>
      </w:r>
    </w:p>
    <w:p w14:paraId="7A0B58EC">
      <w:pPr>
        <w:keepNext w:val="0"/>
        <w:keepLines w:val="0"/>
        <w:pageBreakBefore w:val="0"/>
        <w:widowControl w:val="0"/>
        <w:numPr>
          <w:ilvl w:val="0"/>
          <w:numId w:val="8"/>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在服务采购项目中，服务由中小企业承接，即提供服务的人员为中小企业依照《中华人民共和国劳动合同法》订立劳动合同的从业人员。 </w:t>
      </w:r>
    </w:p>
    <w:p w14:paraId="43A35ECA">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在货物采购项目中，供应商提供的货物既有中小企业制造货物，也有大型企业制造货物的，不享受中小企业扶持政策。 </w:t>
      </w:r>
    </w:p>
    <w:p w14:paraId="42481E90">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以联合体形式参加政府采购活动，联合体各方均为中小企业的，联合体视同中小企业。其中，联合体各方均为小微企业的，联合体视同小微企业。</w:t>
      </w:r>
    </w:p>
    <w:p w14:paraId="29458ADD">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48F8CD61">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享受政府采购支持政策的残疾人福利性单位根据《关于促进残疾人就业政府采购政策的通知》（财库〔2017〕141号）应当同时满足以下条件： </w:t>
      </w:r>
    </w:p>
    <w:p w14:paraId="4097D432">
      <w:pPr>
        <w:keepNext w:val="0"/>
        <w:keepLines w:val="0"/>
        <w:pageBreakBefore w:val="0"/>
        <w:widowControl w:val="0"/>
        <w:numPr>
          <w:ilvl w:val="0"/>
          <w:numId w:val="9"/>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安置的残疾人占本单位在职职工人数的比例不低于25%（含25%），并且安置的残疾人人数不少于10人（含10人）； </w:t>
      </w:r>
    </w:p>
    <w:p w14:paraId="6113CE21">
      <w:pPr>
        <w:keepNext w:val="0"/>
        <w:keepLines w:val="0"/>
        <w:pageBreakBefore w:val="0"/>
        <w:widowControl w:val="0"/>
        <w:numPr>
          <w:ilvl w:val="0"/>
          <w:numId w:val="9"/>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依法与安置的每位残疾人签订了一年以上（含一年）的劳动合同或服务协议；</w:t>
      </w:r>
    </w:p>
    <w:p w14:paraId="7D89510F">
      <w:pPr>
        <w:keepNext w:val="0"/>
        <w:keepLines w:val="0"/>
        <w:pageBreakBefore w:val="0"/>
        <w:widowControl w:val="0"/>
        <w:numPr>
          <w:ilvl w:val="0"/>
          <w:numId w:val="9"/>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为安置的每位残疾人按月足额缴纳了基本养老保险、基本医疗保险、失业保险、工伤保险和生育保险等社会保险费；</w:t>
      </w:r>
    </w:p>
    <w:p w14:paraId="134FD788">
      <w:pPr>
        <w:keepNext w:val="0"/>
        <w:keepLines w:val="0"/>
        <w:pageBreakBefore w:val="0"/>
        <w:widowControl w:val="0"/>
        <w:numPr>
          <w:ilvl w:val="0"/>
          <w:numId w:val="9"/>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通过银行等金融机构向安置的每位残疾人，按月支付了不低于单位所在区县适用的经省级人民政府批准的月最低工资标准的工资；</w:t>
      </w:r>
    </w:p>
    <w:p w14:paraId="0F891F10">
      <w:pPr>
        <w:keepNext w:val="0"/>
        <w:keepLines w:val="0"/>
        <w:pageBreakBefore w:val="0"/>
        <w:widowControl w:val="0"/>
        <w:numPr>
          <w:ilvl w:val="0"/>
          <w:numId w:val="9"/>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提供本单位制造的货物、承担的工程或者服务，或者提供其他残疾人福利性单位制造的货物（不包括使用非残疾人福利性单位注册商标的货物）。</w:t>
      </w:r>
    </w:p>
    <w:p w14:paraId="6F2012FC">
      <w:pPr>
        <w:keepNext w:val="0"/>
        <w:keepLines w:val="0"/>
        <w:pageBreakBefore w:val="0"/>
        <w:widowControl w:val="0"/>
        <w:numPr>
          <w:ilvl w:val="0"/>
          <w:numId w:val="9"/>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0F82298">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享受中小企业扶持政策获得政府采购合同的，小微企业不得将合同分包给大中型企业，中型企业不得将合同分包给大型企业。</w:t>
      </w:r>
    </w:p>
    <w:p w14:paraId="3DA51EF4">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政府采购节能产品、环境标志产品</w:t>
      </w:r>
    </w:p>
    <w:p w14:paraId="665DF0C1">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B10AB69">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 </w:t>
      </w:r>
    </w:p>
    <w:p w14:paraId="51D4D4DE">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如本项目采购产品属于实施政府强制采购品目清单范围的节能产品，则供应商所报产品必须获得国家确定的认证机构出具的、处于有效期之内的节能产品认证证书，否则为</w:t>
      </w:r>
      <w:r>
        <w:rPr>
          <w:rFonts w:hint="eastAsia" w:ascii="仿宋" w:hAnsi="仿宋" w:eastAsia="仿宋" w:cs="仿宋"/>
          <w:b/>
          <w:bCs/>
          <w:sz w:val="24"/>
          <w:szCs w:val="24"/>
          <w:highlight w:val="none"/>
          <w:lang w:val="en-US" w:eastAsia="zh-CN"/>
        </w:rPr>
        <w:t>无效响应</w:t>
      </w:r>
      <w:r>
        <w:rPr>
          <w:rFonts w:hint="eastAsia" w:ascii="仿宋" w:hAnsi="仿宋" w:eastAsia="仿宋" w:cs="仿宋"/>
          <w:b w:val="0"/>
          <w:bCs w:val="0"/>
          <w:sz w:val="24"/>
          <w:szCs w:val="24"/>
          <w:highlight w:val="none"/>
          <w:lang w:val="en-US" w:eastAsia="zh-CN"/>
        </w:rPr>
        <w:t>；</w:t>
      </w:r>
    </w:p>
    <w:p w14:paraId="69409E17">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非政府强制采购的节能产品或环境标志产品，依据品目清单和认证证书实施政府优先采购。优先采购的具体规定见第六章《评标程序、评标方法和评标标准》（如涉及）。</w:t>
      </w:r>
    </w:p>
    <w:p w14:paraId="4EE17C46">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支持乡村产业振兴管理（如涉及）</w:t>
      </w:r>
    </w:p>
    <w:p w14:paraId="64240917">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为落实《关于运用政府采购政策支持乡村产业振兴的通知》（财库〔2021〕19 号）有关要求，做好支持脱贫攻坚工作，本项目采购活动中对于支持乡村振兴管理的相关要求见第五章《采购需求》（如涉及）。</w:t>
      </w:r>
    </w:p>
    <w:p w14:paraId="4D91EF58">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 正版软件（如涉及）</w:t>
      </w:r>
    </w:p>
    <w:p w14:paraId="65B261AC">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15629.11/1102）并通过国家产品认证的产品。其中，国家有特殊信息安全要求的项目必须采购认证产品，否则为</w:t>
      </w:r>
      <w:r>
        <w:rPr>
          <w:rFonts w:hint="eastAsia" w:ascii="仿宋" w:hAnsi="仿宋" w:eastAsia="仿宋" w:cs="仿宋"/>
          <w:b/>
          <w:bCs/>
          <w:sz w:val="24"/>
          <w:szCs w:val="24"/>
          <w:highlight w:val="none"/>
          <w:lang w:val="en-US" w:eastAsia="zh-CN"/>
        </w:rPr>
        <w:t>无效响应</w:t>
      </w:r>
      <w:r>
        <w:rPr>
          <w:rFonts w:hint="eastAsia" w:ascii="仿宋" w:hAnsi="仿宋" w:eastAsia="仿宋" w:cs="仿宋"/>
          <w:b w:val="0"/>
          <w:bCs w:val="0"/>
          <w:sz w:val="24"/>
          <w:szCs w:val="24"/>
          <w:highlight w:val="none"/>
          <w:lang w:val="en-US" w:eastAsia="zh-CN"/>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3B6C4213">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0A4FEDA8">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供应商信用记录</w:t>
      </w:r>
    </w:p>
    <w:p w14:paraId="21C5DDA9">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依据《财政部关于在政府采购活动中查询及使用信用记录有关问题的通知》（财库〔2016〕125号），采购人、采购代理机构应当通过“信用中国”网站（www.creditchina.gov.cn）、中国政府采购网（www.ccgp.gov.cn）等渠道查询相关主体信用记录，对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响应文件将被认定为无效响应。两个以上的自然人、法人或者其他组织组成一个联合体，以一个供应商的身份共同参加政府采购活动的，应当对所有联合体成员进行信用记录查询，联合体成员存在不良信用记录的，视同联合体存在不良信用记录，其响应文件将被认定为</w:t>
      </w:r>
      <w:r>
        <w:rPr>
          <w:rFonts w:hint="eastAsia" w:ascii="仿宋" w:hAnsi="仿宋" w:eastAsia="仿宋" w:cs="仿宋"/>
          <w:b/>
          <w:bCs/>
          <w:sz w:val="24"/>
          <w:szCs w:val="24"/>
          <w:highlight w:val="none"/>
          <w:lang w:val="en-US" w:eastAsia="zh-CN"/>
        </w:rPr>
        <w:t>无效响应</w:t>
      </w:r>
      <w:r>
        <w:rPr>
          <w:rFonts w:hint="eastAsia" w:ascii="仿宋" w:hAnsi="仿宋" w:eastAsia="仿宋" w:cs="仿宋"/>
          <w:b w:val="0"/>
          <w:bCs w:val="0"/>
          <w:sz w:val="24"/>
          <w:szCs w:val="24"/>
          <w:highlight w:val="none"/>
          <w:lang w:val="en-US" w:eastAsia="zh-CN"/>
        </w:rPr>
        <w:t>。</w:t>
      </w:r>
    </w:p>
    <w:p w14:paraId="15DF34C8">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网络安全专用产品（如涉及）</w:t>
      </w:r>
    </w:p>
    <w:p w14:paraId="7A703FEC">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03C5DC67">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支持本国产品</w:t>
      </w:r>
    </w:p>
    <w:p w14:paraId="0C289AB3">
      <w:pPr>
        <w:keepNext w:val="0"/>
        <w:keepLines w:val="0"/>
        <w:pageBreakBefore w:val="0"/>
        <w:widowControl w:val="0"/>
        <w:numPr>
          <w:ilvl w:val="2"/>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标准。本项目是否适用本国产品价格评审优惠政策</w:t>
      </w:r>
      <w:r>
        <w:rPr>
          <w:rFonts w:hint="eastAsia" w:ascii="仿宋" w:hAnsi="仿宋" w:eastAsia="仿宋" w:cs="仿宋"/>
          <w:b w:val="0"/>
          <w:bCs w:val="0"/>
          <w:kern w:val="2"/>
          <w:sz w:val="24"/>
          <w:szCs w:val="24"/>
          <w:highlight w:val="none"/>
          <w:u w:val="single"/>
          <w:lang w:val="en-US" w:eastAsia="zh-CN" w:bidi="ar-SA"/>
        </w:rPr>
        <w:t>见供应商须知前附表</w:t>
      </w:r>
      <w:r>
        <w:rPr>
          <w:rFonts w:hint="eastAsia" w:ascii="仿宋" w:hAnsi="仿宋" w:eastAsia="仿宋" w:cs="仿宋"/>
          <w:b w:val="0"/>
          <w:bCs w:val="0"/>
          <w:sz w:val="24"/>
          <w:szCs w:val="24"/>
          <w:highlight w:val="none"/>
          <w:u w:val="single"/>
          <w:lang w:val="en-US" w:eastAsia="zh-CN"/>
        </w:rPr>
        <w:t>。</w:t>
      </w:r>
    </w:p>
    <w:p w14:paraId="3A1FEB1F">
      <w:pPr>
        <w:keepNext w:val="0"/>
        <w:keepLines w:val="0"/>
        <w:pageBreakBefore w:val="0"/>
        <w:widowControl w:val="0"/>
        <w:numPr>
          <w:ilvl w:val="2"/>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若适用本国产品价格评审优惠政策的，供应商对其提供的产品出具《关于符合本国产品标准的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77C63653">
      <w:pPr>
        <w:keepNext w:val="0"/>
        <w:keepLines w:val="0"/>
        <w:pageBreakBefore w:val="0"/>
        <w:widowControl w:val="0"/>
        <w:numPr>
          <w:ilvl w:val="2"/>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highlight w:val="none"/>
          <w:lang w:val="en-US" w:eastAsia="zh-CN"/>
        </w:rPr>
      </w:pPr>
      <w:r>
        <w:rPr>
          <w:rFonts w:hint="eastAsia" w:ascii="仿宋" w:hAnsi="仿宋" w:eastAsia="仿宋" w:cs="仿宋"/>
          <w:b w:val="0"/>
          <w:bCs w:val="0"/>
          <w:kern w:val="2"/>
          <w:sz w:val="24"/>
          <w:szCs w:val="24"/>
          <w:highlight w:val="none"/>
          <w:lang w:val="en-US" w:eastAsia="zh-CN" w:bidi="ar-SA"/>
        </w:rPr>
        <w:t>采购人、采购代理机构应当随中标、成交结果同时公告中标、成交供应商提供的《关于符合本国产品标准的声明函》或有关证明文件。</w:t>
      </w:r>
    </w:p>
    <w:p w14:paraId="3EDBB313">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中允许联合体投标，对联合体规定如下：</w:t>
      </w:r>
    </w:p>
    <w:p w14:paraId="57E5AAF1">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两个以上供应商可以组成一个联合体，以一个供应商的身份参加采购活动。</w:t>
      </w:r>
    </w:p>
    <w:p w14:paraId="24C31431">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联合体各方均应符合《中华人民共和国政府采购法》第二十二条规定的条件，遵守国家、本项目采购人本级和上级财政部门政府采购的有关规定。</w:t>
      </w:r>
    </w:p>
    <w:p w14:paraId="5532BD94">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采购人根据采购项目对供应商的特殊要求，联合体中至少应当有一方符合相关规定。</w:t>
      </w:r>
    </w:p>
    <w:p w14:paraId="5EEDE4E9">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联合体各方应签订联合体协议，明确约定联合体各方承担的工作和相应的责任，并将联合体连同响应文件一并提交采购人或采购代理机构。</w:t>
      </w:r>
    </w:p>
    <w:p w14:paraId="66F50BE5">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大中型企业、自然人、法人或者其他组织与小型、微型企业组成联合体共同参加采购活动，共同联合体协议中应写明小型、微型企业的协议合同金额占到联合体协议报价总金额的比例。联合体各方均为中小企业的，联合体视同中小企业。其中，联合体各方均为小微企业的，联合体视同小微企业。</w:t>
      </w:r>
    </w:p>
    <w:p w14:paraId="052B9123">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联合体中有同类资质的供应商按照联合体分工承担相同工作的，按照资质等级较低的供应商确定资质等级。</w:t>
      </w:r>
    </w:p>
    <w:p w14:paraId="1E380F9A">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对联合体投标的其他资格要求见</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w:t>
      </w:r>
    </w:p>
    <w:p w14:paraId="5696EE89">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b w:val="0"/>
          <w:bCs w:val="0"/>
          <w:sz w:val="24"/>
          <w:szCs w:val="24"/>
          <w:highlight w:val="none"/>
          <w:lang w:val="en-US" w:eastAsia="zh-CN"/>
        </w:rPr>
        <w:t>单位负责人为同一人或者存在直接控股、管理关系的不同供应商，其响应文件将被认定为</w:t>
      </w:r>
      <w:r>
        <w:rPr>
          <w:rFonts w:hint="eastAsia" w:ascii="仿宋" w:hAnsi="仿宋" w:eastAsia="仿宋" w:cs="仿宋"/>
          <w:b/>
          <w:bCs/>
          <w:sz w:val="24"/>
          <w:szCs w:val="24"/>
          <w:highlight w:val="none"/>
          <w:lang w:val="en-US" w:eastAsia="zh-CN"/>
        </w:rPr>
        <w:t>无效响应</w:t>
      </w:r>
      <w:r>
        <w:rPr>
          <w:rFonts w:hint="eastAsia" w:ascii="仿宋" w:hAnsi="仿宋" w:eastAsia="仿宋" w:cs="仿宋"/>
          <w:b w:val="0"/>
          <w:bCs w:val="0"/>
          <w:sz w:val="24"/>
          <w:szCs w:val="24"/>
          <w:highlight w:val="none"/>
          <w:lang w:val="en-US" w:eastAsia="zh-CN"/>
        </w:rPr>
        <w:t xml:space="preserve">。 </w:t>
      </w:r>
    </w:p>
    <w:p w14:paraId="6CED1549">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b w:val="0"/>
          <w:bCs w:val="0"/>
          <w:sz w:val="24"/>
          <w:szCs w:val="24"/>
          <w:highlight w:val="none"/>
          <w:lang w:val="en-US" w:eastAsia="zh-CN"/>
        </w:rPr>
        <w:t>为本项目提供整体设计、规范编制或者项目管理、监理、检测等服务的供应商，其响应文件将被认定为</w:t>
      </w:r>
      <w:r>
        <w:rPr>
          <w:rFonts w:hint="eastAsia" w:ascii="仿宋" w:hAnsi="仿宋" w:eastAsia="仿宋" w:cs="仿宋"/>
          <w:b/>
          <w:bCs/>
          <w:sz w:val="24"/>
          <w:szCs w:val="24"/>
          <w:highlight w:val="none"/>
          <w:lang w:val="en-US" w:eastAsia="zh-CN"/>
        </w:rPr>
        <w:t>无效响应</w:t>
      </w:r>
      <w:r>
        <w:rPr>
          <w:rFonts w:hint="eastAsia" w:ascii="仿宋" w:hAnsi="仿宋" w:eastAsia="仿宋" w:cs="仿宋"/>
          <w:b w:val="0"/>
          <w:bCs w:val="0"/>
          <w:sz w:val="24"/>
          <w:szCs w:val="24"/>
          <w:highlight w:val="none"/>
          <w:lang w:val="en-US" w:eastAsia="zh-CN"/>
        </w:rPr>
        <w:t>。</w:t>
      </w:r>
    </w:p>
    <w:p w14:paraId="0D096D16">
      <w:pPr>
        <w:keepNext w:val="0"/>
        <w:keepLines w:val="0"/>
        <w:pageBreakBefore w:val="0"/>
        <w:widowControl w:val="0"/>
        <w:numPr>
          <w:ilvl w:val="0"/>
          <w:numId w:val="10"/>
        </w:numPr>
        <w:kinsoku/>
        <w:wordWrap/>
        <w:overflowPunct/>
        <w:topLinePunct w:val="0"/>
        <w:autoSpaceDE/>
        <w:autoSpaceDN/>
        <w:bidi w:val="0"/>
        <w:adjustRightInd/>
        <w:snapToGrid/>
        <w:spacing w:line="420" w:lineRule="exact"/>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资金来源 </w:t>
      </w:r>
    </w:p>
    <w:p w14:paraId="4EBB75D1">
      <w:pPr>
        <w:keepNext w:val="0"/>
        <w:keepLines w:val="0"/>
        <w:pageBreakBefore w:val="0"/>
        <w:widowControl w:val="0"/>
        <w:numPr>
          <w:ilvl w:val="1"/>
          <w:numId w:val="10"/>
        </w:numPr>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本项目的采购人已获得足以支付本次采购活动后所签订的合同项下的资金（包括财政性资金和本项目采购中无法与财政性资金分割的非财政性资金）。 </w:t>
      </w:r>
    </w:p>
    <w:p w14:paraId="12728232">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项目预算金额和最高限价见</w:t>
      </w:r>
      <w:r>
        <w:rPr>
          <w:rFonts w:hint="eastAsia" w:ascii="仿宋" w:hAnsi="仿宋" w:eastAsia="仿宋" w:cs="仿宋"/>
          <w:sz w:val="24"/>
          <w:szCs w:val="24"/>
          <w:highlight w:val="none"/>
          <w:u w:val="single"/>
          <w:lang w:val="en-US" w:eastAsia="zh-CN"/>
        </w:rPr>
        <w:t>供应商须知前附表</w:t>
      </w:r>
      <w:r>
        <w:rPr>
          <w:rFonts w:hint="eastAsia" w:ascii="仿宋" w:hAnsi="仿宋" w:eastAsia="仿宋" w:cs="仿宋"/>
          <w:sz w:val="24"/>
          <w:szCs w:val="24"/>
          <w:highlight w:val="none"/>
          <w:lang w:val="en-US" w:eastAsia="zh-CN"/>
        </w:rPr>
        <w:t>。</w:t>
      </w:r>
    </w:p>
    <w:p w14:paraId="767C0FB3">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供应商最后报价超过采购文件规定的预算金额或者最高限价的，其响应文件将被认定为</w:t>
      </w:r>
      <w:r>
        <w:rPr>
          <w:rFonts w:hint="eastAsia" w:ascii="仿宋" w:hAnsi="仿宋" w:eastAsia="仿宋" w:cs="仿宋"/>
          <w:b/>
          <w:bCs/>
          <w:sz w:val="24"/>
          <w:szCs w:val="24"/>
          <w:highlight w:val="none"/>
          <w:lang w:val="en-US" w:eastAsia="zh-CN"/>
        </w:rPr>
        <w:t>无效响应</w:t>
      </w:r>
      <w:r>
        <w:rPr>
          <w:rFonts w:hint="eastAsia" w:ascii="仿宋" w:hAnsi="仿宋" w:eastAsia="仿宋" w:cs="仿宋"/>
          <w:sz w:val="24"/>
          <w:szCs w:val="24"/>
          <w:highlight w:val="none"/>
          <w:lang w:val="en-US" w:eastAsia="zh-CN"/>
        </w:rPr>
        <w:t>。</w:t>
      </w:r>
    </w:p>
    <w:p w14:paraId="7ADC4A84">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费用</w:t>
      </w:r>
    </w:p>
    <w:p w14:paraId="1E9F7676">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供应商应自行承担所有与准备和参加采购活动有关的费用，无论结果如何，采购人或采购代理机构在任何情况下均无承担这些费用的义务和责任。</w:t>
      </w:r>
    </w:p>
    <w:p w14:paraId="4E607718">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适用法律</w:t>
      </w:r>
    </w:p>
    <w:p w14:paraId="4F8ED223">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项目采购人、采购代理机构、供应商、评审专家的相关行为均受《中华人民共和国政府采购法》、《中华人民共和国政府采购法实施条例》、《政府采购竞争性磋商采购方式管理暂行办法》（财库〔2014〕214号）及本项目本级和上级财政部门政府采购有关规定的约束，其权利受到上述法律法规的保护。</w:t>
      </w:r>
    </w:p>
    <w:p w14:paraId="6FDEF986">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sz w:val="24"/>
          <w:szCs w:val="24"/>
          <w:highlight w:val="none"/>
          <w:lang w:val="en-US" w:eastAsia="zh-CN"/>
        </w:rPr>
      </w:pPr>
    </w:p>
    <w:p w14:paraId="11536397">
      <w:pPr>
        <w:keepNext w:val="0"/>
        <w:keepLines w:val="0"/>
        <w:pageBreakBefore w:val="0"/>
        <w:widowControl w:val="0"/>
        <w:numPr>
          <w:ilvl w:val="0"/>
          <w:numId w:val="5"/>
        </w:numPr>
        <w:kinsoku/>
        <w:wordWrap/>
        <w:overflowPunct/>
        <w:topLinePunct w:val="0"/>
        <w:autoSpaceDE/>
        <w:autoSpaceDN/>
        <w:bidi w:val="0"/>
        <w:adjustRightInd/>
        <w:snapToGrid/>
        <w:spacing w:line="420" w:lineRule="exact"/>
        <w:ind w:left="0" w:leftChars="0" w:firstLine="0" w:firstLineChars="0"/>
        <w:jc w:val="center"/>
        <w:textAlignment w:val="auto"/>
        <w:outlineLvl w:val="1"/>
        <w:rPr>
          <w:rFonts w:hint="eastAsia" w:ascii="仿宋" w:hAnsi="仿宋" w:eastAsia="仿宋" w:cs="仿宋"/>
          <w:b/>
          <w:bCs/>
          <w:sz w:val="24"/>
          <w:szCs w:val="24"/>
          <w:highlight w:val="none"/>
          <w:lang w:val="en-US" w:eastAsia="zh-CN"/>
        </w:rPr>
      </w:pPr>
      <w:bookmarkStart w:id="12" w:name="_Toc3286"/>
      <w:r>
        <w:rPr>
          <w:rFonts w:hint="eastAsia" w:ascii="仿宋" w:hAnsi="仿宋" w:eastAsia="仿宋" w:cs="仿宋"/>
          <w:b/>
          <w:bCs/>
          <w:sz w:val="24"/>
          <w:szCs w:val="24"/>
          <w:highlight w:val="none"/>
          <w:lang w:val="en-US" w:eastAsia="zh-CN"/>
        </w:rPr>
        <w:t>采购文件</w:t>
      </w:r>
      <w:bookmarkEnd w:id="12"/>
    </w:p>
    <w:p w14:paraId="10AE47C1">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采购文件构成</w:t>
      </w:r>
    </w:p>
    <w:p w14:paraId="52503EDE">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采购文件包括以下部分：</w:t>
      </w:r>
    </w:p>
    <w:p w14:paraId="2B06B69E">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第一章 竞争性磋商公告 </w:t>
      </w:r>
    </w:p>
    <w:p w14:paraId="18678FB2">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第二章 供应商须知前附表 </w:t>
      </w:r>
    </w:p>
    <w:p w14:paraId="270069D4">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第三章 供应商须知</w:t>
      </w:r>
    </w:p>
    <w:p w14:paraId="357666CF">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第四章 政府采购合同 </w:t>
      </w:r>
    </w:p>
    <w:p w14:paraId="2DD99A5F">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第五章 采购需求 </w:t>
      </w:r>
    </w:p>
    <w:p w14:paraId="321C74C7">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第六章 评标程序、评标方法和评标标准</w:t>
      </w:r>
    </w:p>
    <w:p w14:paraId="4A0F36E3">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第七章 响应文件格式   </w:t>
      </w:r>
    </w:p>
    <w:p w14:paraId="55A12360">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供应商应认真阅读采购文件的全部内容。供应商应按照采购文件要求提交响应文件并保证所提供的全部资料的真实性，并对采购文件做出实质性响应，否则其响应文件将被认定为</w:t>
      </w:r>
      <w:r>
        <w:rPr>
          <w:rFonts w:hint="eastAsia" w:ascii="仿宋" w:hAnsi="仿宋" w:eastAsia="仿宋" w:cs="仿宋"/>
          <w:b/>
          <w:bCs/>
          <w:sz w:val="24"/>
          <w:szCs w:val="24"/>
          <w:highlight w:val="none"/>
          <w:lang w:val="en-US" w:eastAsia="zh-CN"/>
        </w:rPr>
        <w:t>响应无效。</w:t>
      </w:r>
    </w:p>
    <w:p w14:paraId="5A006B7B">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采购文件中有不一致的，有澄清的部分以最终的澄清更正内容为准；未澄清的，以供应商须知前附表为准；供应商须知前附表不涉及的内容，以编排在后的最后描述为准。</w:t>
      </w:r>
    </w:p>
    <w:p w14:paraId="0F0B451E">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现场考察或者答疑会及相关事项见</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w:t>
      </w:r>
    </w:p>
    <w:p w14:paraId="4C000D8C">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采购人在踏勘现场中介绍的资料和数据等，只是为了使供应商能够利用采购人现有的资料。采购人对供应商由此而作出的推论、解释和结论概不负责。</w:t>
      </w:r>
    </w:p>
    <w:p w14:paraId="525322D2">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供应商自行承担踏勘现场发生的责任、风险和自身费用。</w:t>
      </w:r>
    </w:p>
    <w:p w14:paraId="0BD0B441">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样品（演示）</w:t>
      </w:r>
    </w:p>
    <w:p w14:paraId="24E0E431">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如需提供样品（演示），对样品（演示）相关要求</w:t>
      </w:r>
      <w:r>
        <w:rPr>
          <w:rFonts w:hint="eastAsia" w:ascii="仿宋" w:hAnsi="仿宋" w:eastAsia="仿宋" w:cs="仿宋"/>
          <w:b w:val="0"/>
          <w:bCs w:val="0"/>
          <w:sz w:val="24"/>
          <w:szCs w:val="24"/>
          <w:highlight w:val="none"/>
          <w:u w:val="single"/>
          <w:lang w:val="en-US" w:eastAsia="zh-CN"/>
        </w:rPr>
        <w:t>见供应商须知前附表</w:t>
      </w:r>
      <w:r>
        <w:rPr>
          <w:rFonts w:hint="eastAsia" w:ascii="仿宋" w:hAnsi="仿宋" w:eastAsia="仿宋" w:cs="仿宋"/>
          <w:b w:val="0"/>
          <w:bCs w:val="0"/>
          <w:sz w:val="24"/>
          <w:szCs w:val="24"/>
          <w:highlight w:val="none"/>
          <w:lang w:val="en-US" w:eastAsia="zh-CN"/>
        </w:rPr>
        <w:t>，对样品（演示）的评审方法及评审标准见采购文件第六章《评标程序、评标方法和评标标准》。</w:t>
      </w:r>
    </w:p>
    <w:p w14:paraId="69887F68">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采购文件规定供应商提交样品的，样品属于投标（响应）文件的组成部分。样品的生产、运输、安装、保全等一切费用由供应商自理。</w:t>
      </w:r>
    </w:p>
    <w:p w14:paraId="0663AD91">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响应截止时间前，供应商应将样品送达至指定地点。若需要现场演示的，供应商应提前做好演示准备（包括演示设备）。</w:t>
      </w:r>
    </w:p>
    <w:p w14:paraId="2A8EE039">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结果公告发布后，成交供应商的样品由采购人封存，作为履约验收的依据之一。未成交供应商在接到采购代理机构通知后，应按规定时间尽快自行取回样品，否则视同供应商不再认领，代理机构有权进行处理。</w:t>
      </w:r>
    </w:p>
    <w:p w14:paraId="58E70F83">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采购人组织现场考察的，所有供应商应按《供应商须知前附表》规定的时间、地点前往参加现场考察活动。供应商如不参加，其风险由供应商自行承担，采购人不承担任何责任。</w:t>
      </w:r>
    </w:p>
    <w:p w14:paraId="75F0501A">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在现场考察中口头介绍的情况，除采购人事后形成书面记录、并以更正公告的形式发布、构成采购文件的组成部分以外，其他内容仅供投标人在编制投标（响应）文件时参考，采购人不对投标人据此作出的判断和决策负责。</w:t>
      </w:r>
    </w:p>
    <w:p w14:paraId="1607F570">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供应商现场考察发生的费用由其自理。</w:t>
      </w:r>
    </w:p>
    <w:p w14:paraId="011614DA">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对采购文件的澄清或修改</w:t>
      </w:r>
    </w:p>
    <w:p w14:paraId="72EAD5E1">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或采购代理机构对已发出的采购文件进行必要澄清或者修改的，将在原公告发布媒体（网站）上发布更正公告（通知），因供应商未及时登陆媒体（网站）查看导致通知未及时收到通知的，采购人或采购代理机构不承担责任。</w:t>
      </w:r>
    </w:p>
    <w:p w14:paraId="0938A1F8">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更正公告及其所发布的内容或信息（包括但不限于：采购文件的澄清或修改、现场考察或答疑会的有关事宜等）作为采购文件的组成部分，对供应商具有约束力。一经在指定媒体上发布后，更正公告将作为通知所有采购文件收受人的书面形式。</w:t>
      </w:r>
    </w:p>
    <w:p w14:paraId="231F5261">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澄清或者修改的内容为采购文件的组成部分，并对所有获取采购文件的供应商具有约束力。澄清或者修改的内容可能影响采购文件编制的，将在投标截止时间至少 5 日前发布；不足 5 日的，将顺延提交响应文件的截止时间和开标时间。</w:t>
      </w:r>
    </w:p>
    <w:p w14:paraId="7AAC5C6F">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为了保证对采购文件的澄清和修改满足法律的时限要求，任何要求对采购文件进行澄清的供应商，均应在投标截止期 5 日前，以书面形式将澄清要求通知采购人或采购代理机构。</w:t>
      </w:r>
    </w:p>
    <w:p w14:paraId="7752C33D">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如更正公告有重新发布电子采购文件的，供应商应登录电子招投标平台下载最新发布的电子采购文件制作响应文件。</w:t>
      </w:r>
    </w:p>
    <w:p w14:paraId="086C90FA">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供应商在规定的时间内未对采购文件提出疑问、质疑或要求澄清的，将视其为无异议。对采购文件中描述有歧义或前后不一致的地方，磋商小组有权进行评判，但对同一条款的评判应适用于每个供应商。</w:t>
      </w:r>
    </w:p>
    <w:p w14:paraId="2D2A457A">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p>
    <w:p w14:paraId="092546CC">
      <w:pPr>
        <w:keepNext w:val="0"/>
        <w:keepLines w:val="0"/>
        <w:pageBreakBefore w:val="0"/>
        <w:widowControl w:val="0"/>
        <w:numPr>
          <w:ilvl w:val="0"/>
          <w:numId w:val="5"/>
        </w:numPr>
        <w:kinsoku/>
        <w:wordWrap/>
        <w:overflowPunct/>
        <w:topLinePunct w:val="0"/>
        <w:autoSpaceDE/>
        <w:autoSpaceDN/>
        <w:bidi w:val="0"/>
        <w:adjustRightInd/>
        <w:snapToGrid/>
        <w:spacing w:line="420" w:lineRule="exact"/>
        <w:ind w:left="0" w:leftChars="0" w:firstLine="0" w:firstLineChars="0"/>
        <w:jc w:val="center"/>
        <w:textAlignment w:val="auto"/>
        <w:outlineLvl w:val="1"/>
        <w:rPr>
          <w:rFonts w:hint="eastAsia" w:ascii="仿宋" w:hAnsi="仿宋" w:eastAsia="仿宋" w:cs="仿宋"/>
          <w:b/>
          <w:bCs/>
          <w:sz w:val="24"/>
          <w:szCs w:val="24"/>
          <w:highlight w:val="none"/>
          <w:lang w:val="en-US" w:eastAsia="zh-CN"/>
        </w:rPr>
      </w:pPr>
      <w:bookmarkStart w:id="13" w:name="_Toc22592"/>
      <w:r>
        <w:rPr>
          <w:rFonts w:hint="eastAsia" w:ascii="仿宋" w:hAnsi="仿宋" w:eastAsia="仿宋" w:cs="仿宋"/>
          <w:b/>
          <w:bCs/>
          <w:sz w:val="24"/>
          <w:szCs w:val="24"/>
          <w:highlight w:val="none"/>
          <w:lang w:val="en-US" w:eastAsia="zh-CN"/>
        </w:rPr>
        <w:t>响应文件的编制</w:t>
      </w:r>
      <w:bookmarkEnd w:id="13"/>
    </w:p>
    <w:p w14:paraId="5E1D8D9D">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响应范围、响应文件中计量单位的使用及磋商语言</w:t>
      </w:r>
    </w:p>
    <w:p w14:paraId="1C576222">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供应商可对采购文件中一个或几个包（标项）进行响应，除非在</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 xml:space="preserve">中另有规定。 </w:t>
      </w:r>
    </w:p>
    <w:p w14:paraId="2DBC5249">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供应商应当对所投采购包（标项）对应第五章《采购需求》所列的全部内容进行响应，如仅响应采购包（标项）中的部分内容，其该包（标项）响应文件将被认定为</w:t>
      </w:r>
      <w:r>
        <w:rPr>
          <w:rFonts w:hint="eastAsia" w:ascii="仿宋" w:hAnsi="仿宋" w:eastAsia="仿宋" w:cs="仿宋"/>
          <w:b/>
          <w:bCs/>
          <w:sz w:val="24"/>
          <w:szCs w:val="24"/>
          <w:highlight w:val="none"/>
          <w:lang w:val="en-US" w:eastAsia="zh-CN"/>
        </w:rPr>
        <w:t>响应无效</w:t>
      </w:r>
      <w:r>
        <w:rPr>
          <w:rFonts w:hint="eastAsia" w:ascii="仿宋" w:hAnsi="仿宋" w:eastAsia="仿宋" w:cs="仿宋"/>
          <w:b w:val="0"/>
          <w:bCs w:val="0"/>
          <w:sz w:val="24"/>
          <w:szCs w:val="24"/>
          <w:highlight w:val="none"/>
          <w:lang w:val="en-US" w:eastAsia="zh-CN"/>
        </w:rPr>
        <w:t>。</w:t>
      </w:r>
    </w:p>
    <w:p w14:paraId="0883E6DF">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无论采购文件中是否要求，供应商所投货物或服务或工程均应符合国家强制性标准。</w:t>
      </w:r>
    </w:p>
    <w:p w14:paraId="0C8D30CB">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除采购文件有特殊要求外，本项目磋商所使用的计量单位，应采用中华人民共和国法定计量单位。</w:t>
      </w:r>
    </w:p>
    <w:p w14:paraId="21FC36B0">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2D2AC53C">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响应文件构成</w:t>
      </w:r>
    </w:p>
    <w:p w14:paraId="0BDF6ECD">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供应商应当按照采购文件的要求编制响应文件。响应文件应由资格证明文件、报价文件、商务和技术文件四部分构成。响应文件的部分格式要求，见第七章《响应文件格式》。</w:t>
      </w:r>
    </w:p>
    <w:p w14:paraId="47303FA7">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第五章《采购需求》及第六章《评标程序、评标方法和评标标准》中涉及的证明文件。</w:t>
      </w:r>
    </w:p>
    <w:p w14:paraId="429DA444">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对照第五章《采购需求》，说明所提供货物或服务或工程已对第五章《采购需求》做出了响应，或申明与第五章《采购需求》的偏差和例外。如第五章《采购需求》中要求提供证明文件的，供应商应当按具体要求提供证明文件。</w:t>
      </w:r>
    </w:p>
    <w:p w14:paraId="4B77FE59">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供应商认为应附的其他材料。</w:t>
      </w:r>
    </w:p>
    <w:p w14:paraId="2851FAC7">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上述文件应按照采购文件的规定签署和盖公章或经公章授权的其他单位章（以下统称公章）。采用公章授权方式的，应当在投标文件中附公章授权书（格式自定）。使用电子签名和电子印章的（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采购文件要求在响应文件指定位置进行签名（含电子签名）和盖章（含电子印章），对允许采用手写签名的文件，应在纸质文件手写签名后，提供文件的彩色扫描电子文档进行后续操作。</w:t>
      </w:r>
    </w:p>
    <w:p w14:paraId="7B339BAF">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响应报价</w:t>
      </w:r>
    </w:p>
    <w:p w14:paraId="19424EA4">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供应商所提供的货物和服务均应以人民币报价，除在采购文件另有规定外（如：报折扣、报优惠率等）。</w:t>
      </w:r>
    </w:p>
    <w:p w14:paraId="529B30F4">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的报价应当包括满足本次采购文件全部采购需求所应提供的全部内容所发生的一切费用和税费，采购人将不再支付报价以外的任何费用。采购需求中有特殊规定的，从其规定。供应商的响应报价应遵守《中华人民共和国价格法》。同时，根据《中华人民共和国政府采购法》及相关配套法律、法规的规定，为保证公平竞争，如供应商有赠与行为的，将导致其</w:t>
      </w:r>
      <w:r>
        <w:rPr>
          <w:rFonts w:hint="eastAsia" w:ascii="仿宋" w:hAnsi="仿宋" w:eastAsia="仿宋" w:cs="仿宋"/>
          <w:b/>
          <w:bCs/>
          <w:sz w:val="24"/>
          <w:szCs w:val="24"/>
          <w:highlight w:val="none"/>
          <w:lang w:val="en-US" w:eastAsia="zh-CN"/>
        </w:rPr>
        <w:t>响应文件被拒绝</w:t>
      </w:r>
      <w:r>
        <w:rPr>
          <w:rFonts w:hint="eastAsia" w:ascii="仿宋" w:hAnsi="仿宋" w:eastAsia="仿宋" w:cs="仿宋"/>
          <w:b w:val="0"/>
          <w:bCs w:val="0"/>
          <w:sz w:val="24"/>
          <w:szCs w:val="24"/>
          <w:highlight w:val="none"/>
          <w:lang w:val="en-US" w:eastAsia="zh-CN"/>
        </w:rPr>
        <w:t>。</w:t>
      </w:r>
    </w:p>
    <w:p w14:paraId="08029EBC">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供应商所报的各分项响应单价在合同履行过程中是固定不变的，不得以任何理由予以变更。任何包含价格调整要求的响应，将被认定为其</w:t>
      </w:r>
      <w:r>
        <w:rPr>
          <w:rFonts w:hint="eastAsia" w:ascii="仿宋" w:hAnsi="仿宋" w:eastAsia="仿宋" w:cs="仿宋"/>
          <w:b/>
          <w:bCs/>
          <w:sz w:val="24"/>
          <w:szCs w:val="24"/>
          <w:highlight w:val="none"/>
          <w:lang w:val="en-US" w:eastAsia="zh-CN"/>
        </w:rPr>
        <w:t>响应文件无效</w:t>
      </w:r>
      <w:r>
        <w:rPr>
          <w:rFonts w:hint="eastAsia" w:ascii="仿宋" w:hAnsi="仿宋" w:eastAsia="仿宋" w:cs="仿宋"/>
          <w:b w:val="0"/>
          <w:bCs w:val="0"/>
          <w:sz w:val="24"/>
          <w:szCs w:val="24"/>
          <w:highlight w:val="none"/>
          <w:lang w:val="en-US" w:eastAsia="zh-CN"/>
        </w:rPr>
        <w:t>。</w:t>
      </w:r>
    </w:p>
    <w:p w14:paraId="028F40A0">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供应商应按照“第五章采购需求”的需求内容、责任范围以及“第四章政府采购合同”进行报价。并按“报价一览表”和“分项报价表”规定的格式报出总价和分项价格。</w:t>
      </w:r>
    </w:p>
    <w:p w14:paraId="6DE3002E">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磋商保证金</w:t>
      </w:r>
    </w:p>
    <w:p w14:paraId="365A3C56">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供应商应按</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中规定的金额及要求交纳保证金，并作为其响应文件的一部分。</w:t>
      </w:r>
    </w:p>
    <w:p w14:paraId="54F07A17">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交纳保证金的形式除</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中另有约定外，可采用的形式：政府采购法律法规接受的支票、汇票、本票、网上银行支付或者金融机构、担保机构出具的保函等非现金形式。</w:t>
      </w:r>
    </w:p>
    <w:p w14:paraId="51AF210F">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磋商保证金到账（保函提交）截止时间同响应截止时间。以支票、汇票、本票、网上银行支付等形式提交磋商保证金的，应在响应截止时间前到账；以金融机构、担保机构出具的保函等形式提交磋商保证金的，应在响应截止时间前将原件提交至采购代理机构。由于到账时间晚于响应截止时间的，或者票据错误、印鉴不清等原因导致不能到账的，其</w:t>
      </w:r>
      <w:r>
        <w:rPr>
          <w:rFonts w:hint="eastAsia" w:ascii="仿宋" w:hAnsi="仿宋" w:eastAsia="仿宋" w:cs="仿宋"/>
          <w:b/>
          <w:bCs/>
          <w:sz w:val="24"/>
          <w:szCs w:val="24"/>
          <w:highlight w:val="none"/>
          <w:lang w:val="en-US" w:eastAsia="zh-CN"/>
        </w:rPr>
        <w:t>响应无效</w:t>
      </w:r>
      <w:r>
        <w:rPr>
          <w:rFonts w:hint="eastAsia" w:ascii="仿宋" w:hAnsi="仿宋" w:eastAsia="仿宋" w:cs="仿宋"/>
          <w:b w:val="0"/>
          <w:bCs w:val="0"/>
          <w:sz w:val="24"/>
          <w:szCs w:val="24"/>
          <w:highlight w:val="none"/>
          <w:lang w:val="en-US" w:eastAsia="zh-CN"/>
        </w:rPr>
        <w:t>。</w:t>
      </w:r>
    </w:p>
    <w:p w14:paraId="11BBFC3B">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如采用金融机构、专业担保机构开具的投标担保函、投标保证保险函等形式提交磋商保证金的，投标担保函或投标保证保险函须开具给采购人（保险受益人须为采购人），否则其</w:t>
      </w:r>
      <w:r>
        <w:rPr>
          <w:rFonts w:hint="eastAsia" w:ascii="仿宋" w:hAnsi="仿宋" w:eastAsia="仿宋" w:cs="仿宋"/>
          <w:b/>
          <w:bCs/>
          <w:sz w:val="24"/>
          <w:szCs w:val="24"/>
          <w:highlight w:val="none"/>
          <w:lang w:val="en-US" w:eastAsia="zh-CN"/>
        </w:rPr>
        <w:t>响应文件无效</w:t>
      </w:r>
      <w:r>
        <w:rPr>
          <w:rFonts w:hint="eastAsia" w:ascii="仿宋" w:hAnsi="仿宋" w:eastAsia="仿宋" w:cs="仿宋"/>
          <w:b w:val="0"/>
          <w:bCs w:val="0"/>
          <w:sz w:val="24"/>
          <w:szCs w:val="24"/>
          <w:highlight w:val="none"/>
          <w:lang w:val="en-US" w:eastAsia="zh-CN"/>
        </w:rPr>
        <w:t>。电子保函与纸质保函具有同样效力。</w:t>
      </w:r>
    </w:p>
    <w:p w14:paraId="01E2EDE9">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保证金（保函）有效期同响应文件有效期。</w:t>
      </w:r>
    </w:p>
    <w:p w14:paraId="2B5DCB30">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联合体磋商的，可以由联合体中的一方或者共同提交保证金，以一方名义提交磋商保证金（保函）的，对联合体各方均具有约束力。</w:t>
      </w:r>
    </w:p>
    <w:p w14:paraId="48994EBD">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采购代理机构将及时退还供应商的磋商保证金，采用银行保函、担保机构担保函等形式递交的磋商保证金，经供应商同意后采购人、采购代理机构可以不再退还，但因供应商自身原因导致无法及时退还的除外。</w:t>
      </w:r>
    </w:p>
    <w:p w14:paraId="29116EFB">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供应商在响应截止时间前撤回已提交的响应文件的，自收到供应商书面撤回通知之日起 5 个工作日内退还已收取的磋商保证金。 </w:t>
      </w:r>
    </w:p>
    <w:p w14:paraId="2FBE548E">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成交人的磋商保证金，自采购合同签订之日起 5 个工作日内退还成交人。 </w:t>
      </w:r>
    </w:p>
    <w:p w14:paraId="7E2D2C0D">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未成交人的磋商保证金，自成交通知书发出之日起 5 个工作日内退还未成交人。</w:t>
      </w:r>
    </w:p>
    <w:p w14:paraId="09C925EA">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终止采购活动的项目已经收取磋商保证金的，自终止采购活动后 5 个工作日内退还已收取的磋商保证金。</w:t>
      </w:r>
    </w:p>
    <w:p w14:paraId="53345FF2">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有下列情形之一的，采购人或采购代理机构可以不予退还磋商保证金：</w:t>
      </w:r>
    </w:p>
    <w:p w14:paraId="4E7545AE">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在响应文件有效期内，供应商撤回响应文件的； </w:t>
      </w:r>
    </w:p>
    <w:p w14:paraId="7A405CDB">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成交人不按本采购文件的规定与采购人签订合同的； </w:t>
      </w:r>
    </w:p>
    <w:p w14:paraId="737FC027">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成交人不按本采购文件的规定提交履约保证金的； </w:t>
      </w:r>
    </w:p>
    <w:p w14:paraId="61F7F1E7">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成交人不按本采购文件的规定缴纳招标代理服务费的； </w:t>
      </w:r>
    </w:p>
    <w:p w14:paraId="67F7B86B">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存在的串通投标情形的； </w:t>
      </w:r>
    </w:p>
    <w:p w14:paraId="62431EDD">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存在向采购人、代理机构或评标专家行贿事实的； </w:t>
      </w:r>
    </w:p>
    <w:p w14:paraId="4050402D">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法律、法规规定的其它情况。</w:t>
      </w:r>
    </w:p>
    <w:p w14:paraId="5146B038">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响应文件有效期</w:t>
      </w:r>
    </w:p>
    <w:p w14:paraId="57BED26A">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响应文件应在</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中规定的响应文件有效期内保持有效，响应文件有效期少于采购文件规定期限的，其</w:t>
      </w:r>
      <w:r>
        <w:rPr>
          <w:rFonts w:hint="eastAsia" w:ascii="仿宋" w:hAnsi="仿宋" w:eastAsia="仿宋" w:cs="仿宋"/>
          <w:b/>
          <w:bCs/>
          <w:sz w:val="24"/>
          <w:szCs w:val="24"/>
          <w:highlight w:val="none"/>
          <w:lang w:val="en-US" w:eastAsia="zh-CN"/>
        </w:rPr>
        <w:t>响应文件无效</w:t>
      </w:r>
      <w:r>
        <w:rPr>
          <w:rFonts w:hint="eastAsia" w:ascii="仿宋" w:hAnsi="仿宋" w:eastAsia="仿宋" w:cs="仿宋"/>
          <w:b w:val="0"/>
          <w:bCs w:val="0"/>
          <w:sz w:val="24"/>
          <w:szCs w:val="24"/>
          <w:highlight w:val="none"/>
          <w:lang w:val="en-US" w:eastAsia="zh-CN"/>
        </w:rPr>
        <w:t>。</w:t>
      </w:r>
    </w:p>
    <w:p w14:paraId="4A3FF49E">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或采购代理机构可根据实际情况，在原响应文件有效期截止之前，要求供应商延长响应文件有效期。接受该要求的供应商将不会被要求和允许修正其响应文件，且本须知中有关磋商保证金的要求须在延长的有效期内继续有效。供应商也可以拒绝延长响应文件有效期的要求，退还其磋商保证金。上述要求和答复都应以书面形式提交。</w:t>
      </w:r>
    </w:p>
    <w:p w14:paraId="2FBFBDBB">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响应文件的制作</w:t>
      </w:r>
    </w:p>
    <w:p w14:paraId="74C0CB69">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响应文件中，所有内容均以电子文件编制，如因不按电子招投标平台要求编制导致系统无法检索、读取相关信息时，其后果由供应商承担。由于本项目采用电子化投标（响应），请充分考虑设备、网络环境、人员对系统熟悉度等因素，合理安排响应文件制作、提交时间，建议至少提前一天完成制作、提交工作。</w:t>
      </w:r>
    </w:p>
    <w:p w14:paraId="2E8840B9">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供应商应使用电子招投标平台提供的投标客户端编制、标记、加密响应文件，成功加密后将生成指定格式的电子响应文件和电子备用响应文件</w:t>
      </w:r>
    </w:p>
    <w:p w14:paraId="29109E4E">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如有对多个采购包（标项）响应的，要对每个采购包（标项）独立制作电子响应文件。</w:t>
      </w:r>
    </w:p>
    <w:p w14:paraId="4770D3E3">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供应商须对采购文件的对应要求给予唯一的实质性响应，否则将视为不响应。</w:t>
      </w:r>
    </w:p>
    <w:p w14:paraId="02174D0D">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应按采购文件的规定及附件要求的内容和格式完整地填写和提供资料。供应商必须对响应文件所提供的全部资料的真实性承担法律责任，并无条件接受采购人和政府采购监督管理部门对其中任何资料进行核实（核对原件）的要求。</w:t>
      </w:r>
    </w:p>
    <w:p w14:paraId="641CA2B9">
      <w:pPr>
        <w:keepNext w:val="0"/>
        <w:keepLines w:val="0"/>
        <w:pageBreakBefore w:val="0"/>
        <w:widowControl w:val="0"/>
        <w:numPr>
          <w:ilvl w:val="0"/>
          <w:numId w:val="5"/>
        </w:numPr>
        <w:kinsoku/>
        <w:wordWrap/>
        <w:overflowPunct/>
        <w:topLinePunct w:val="0"/>
        <w:autoSpaceDE/>
        <w:autoSpaceDN/>
        <w:bidi w:val="0"/>
        <w:adjustRightInd/>
        <w:snapToGrid/>
        <w:spacing w:line="420" w:lineRule="exact"/>
        <w:ind w:left="0" w:leftChars="0" w:firstLine="0" w:firstLineChars="0"/>
        <w:jc w:val="center"/>
        <w:textAlignment w:val="auto"/>
        <w:outlineLvl w:val="1"/>
        <w:rPr>
          <w:rFonts w:hint="eastAsia" w:ascii="仿宋" w:hAnsi="仿宋" w:eastAsia="仿宋" w:cs="仿宋"/>
          <w:b/>
          <w:bCs/>
          <w:sz w:val="24"/>
          <w:szCs w:val="24"/>
          <w:highlight w:val="none"/>
          <w:lang w:val="en-US" w:eastAsia="zh-CN"/>
        </w:rPr>
      </w:pPr>
      <w:bookmarkStart w:id="14" w:name="_Toc7253"/>
      <w:r>
        <w:rPr>
          <w:rFonts w:hint="eastAsia" w:ascii="仿宋" w:hAnsi="仿宋" w:eastAsia="仿宋" w:cs="仿宋"/>
          <w:b/>
          <w:bCs/>
          <w:sz w:val="24"/>
          <w:szCs w:val="24"/>
          <w:highlight w:val="none"/>
          <w:lang w:val="en-US" w:eastAsia="zh-CN"/>
        </w:rPr>
        <w:t>响应文件的提交</w:t>
      </w:r>
      <w:bookmarkEnd w:id="14"/>
    </w:p>
    <w:p w14:paraId="0ACA9C69">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响应文件的提交</w:t>
      </w:r>
    </w:p>
    <w:p w14:paraId="6C59B1EE">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供应商应在</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中规定的截止时间前，将响应文件递交到采购文件中规定的电子招投标平台。时间以电子招投标平台系统服务器从中国科学院国家授时中心取得的北京时间为准，响应截止时间结束后，系统将不允许供应商上传响应文件，已上传响应文件但未完成传输的文件系统将拒绝接收。</w:t>
      </w:r>
    </w:p>
    <w:p w14:paraId="09E84460">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代理机构对因不可抗力事件造成的响应文件的损坏、丢失的，不承担责任。</w:t>
      </w:r>
    </w:p>
    <w:p w14:paraId="2D7663F2">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出现下述情形之一，属于未成功提交响应文件，按</w:t>
      </w:r>
      <w:r>
        <w:rPr>
          <w:rFonts w:hint="eastAsia" w:ascii="仿宋" w:hAnsi="仿宋" w:eastAsia="仿宋" w:cs="仿宋"/>
          <w:b/>
          <w:bCs/>
          <w:sz w:val="24"/>
          <w:szCs w:val="24"/>
          <w:highlight w:val="none"/>
          <w:lang w:val="en-US" w:eastAsia="zh-CN"/>
        </w:rPr>
        <w:t>响应无效</w:t>
      </w:r>
      <w:r>
        <w:rPr>
          <w:rFonts w:hint="eastAsia" w:ascii="仿宋" w:hAnsi="仿宋" w:eastAsia="仿宋" w:cs="仿宋"/>
          <w:b w:val="0"/>
          <w:bCs w:val="0"/>
          <w:sz w:val="24"/>
          <w:szCs w:val="24"/>
          <w:highlight w:val="none"/>
          <w:lang w:val="en-US" w:eastAsia="zh-CN"/>
        </w:rPr>
        <w:t>处理：</w:t>
      </w:r>
    </w:p>
    <w:p w14:paraId="49C6369D">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至提交响应文件截止时，响应文件未完整上传的。 </w:t>
      </w:r>
    </w:p>
    <w:p w14:paraId="7CD9BA80">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响应文件未按响应格式中注明需签字盖章的要求进行签名（含电子签名）和加盖电子印章，或签名（含电子签名）或电子印章不完整的。</w:t>
      </w:r>
    </w:p>
    <w:p w14:paraId="4ABB29D1">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响应文件损坏或格式不正确的。</w:t>
      </w:r>
    </w:p>
    <w:p w14:paraId="22CA682F">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响应文件的修改、撤回与撤销</w:t>
      </w:r>
    </w:p>
    <w:p w14:paraId="6DDA21BB">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在提交响应文件截止时间前，供应商可以修改或撤回未解密的电子响应文件，并于提交响应文件截止时间前将修改后重新生成的电子响应文件上传至系统，到达响应文件提交截止时间后，将不允许修改或撤回。</w:t>
      </w:r>
    </w:p>
    <w:p w14:paraId="30C9EDF0">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在提交响应文件截止时间后，供应商不得补充、修改和更换响应文件。</w:t>
      </w:r>
    </w:p>
    <w:p w14:paraId="006247A6">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p>
    <w:p w14:paraId="266BEF5E">
      <w:pPr>
        <w:keepNext w:val="0"/>
        <w:keepLines w:val="0"/>
        <w:pageBreakBefore w:val="0"/>
        <w:widowControl w:val="0"/>
        <w:numPr>
          <w:ilvl w:val="0"/>
          <w:numId w:val="5"/>
        </w:numPr>
        <w:kinsoku/>
        <w:wordWrap/>
        <w:overflowPunct/>
        <w:topLinePunct w:val="0"/>
        <w:autoSpaceDE/>
        <w:autoSpaceDN/>
        <w:bidi w:val="0"/>
        <w:adjustRightInd/>
        <w:snapToGrid/>
        <w:spacing w:line="420" w:lineRule="exact"/>
        <w:ind w:left="0" w:leftChars="0" w:firstLine="0" w:firstLineChars="0"/>
        <w:jc w:val="center"/>
        <w:textAlignment w:val="auto"/>
        <w:outlineLvl w:val="1"/>
        <w:rPr>
          <w:rFonts w:hint="eastAsia" w:ascii="仿宋" w:hAnsi="仿宋" w:eastAsia="仿宋" w:cs="仿宋"/>
          <w:b/>
          <w:bCs/>
          <w:sz w:val="24"/>
          <w:szCs w:val="24"/>
          <w:highlight w:val="none"/>
          <w:lang w:val="en-US" w:eastAsia="zh-CN"/>
        </w:rPr>
      </w:pPr>
      <w:bookmarkStart w:id="15" w:name="_Toc32267"/>
      <w:r>
        <w:rPr>
          <w:rFonts w:hint="eastAsia" w:ascii="仿宋" w:hAnsi="仿宋" w:eastAsia="仿宋" w:cs="仿宋"/>
          <w:b/>
          <w:bCs/>
          <w:sz w:val="24"/>
          <w:szCs w:val="24"/>
          <w:highlight w:val="none"/>
          <w:lang w:val="en-US" w:eastAsia="zh-CN"/>
        </w:rPr>
        <w:t>开标及评标</w:t>
      </w:r>
      <w:bookmarkEnd w:id="15"/>
    </w:p>
    <w:p w14:paraId="6DE02E65">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开标</w:t>
      </w:r>
    </w:p>
    <w:p w14:paraId="4F0F7BF2">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采购人和采购代理机构将按</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中规定的开标时间和地点组织公开开标并邀请所有供应商代表参加。开标为远程电子开标。</w:t>
      </w:r>
    </w:p>
    <w:p w14:paraId="46FECC6D">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采用远程电子开标的：</w:t>
      </w:r>
    </w:p>
    <w:p w14:paraId="33487B91">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开标程序在政采云平台进行，所有上传投标文件的投标人应登陆政采云平台参加开标。电子开标步骤均按照政采云平台的规定进行操作。</w:t>
      </w:r>
    </w:p>
    <w:p w14:paraId="727D70EB">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供应商的法定代表人或其授权代表应当按照本采购文件载明的时间和模式等要求参加开标。在</w:t>
      </w:r>
      <w:r>
        <w:rPr>
          <w:rFonts w:hint="eastAsia" w:ascii="仿宋" w:hAnsi="仿宋" w:eastAsia="仿宋" w:cs="仿宋"/>
          <w:b/>
          <w:bCs/>
          <w:sz w:val="24"/>
          <w:szCs w:val="24"/>
          <w:highlight w:val="none"/>
          <w:lang w:val="en-US" w:eastAsia="zh-CN"/>
        </w:rPr>
        <w:t>响应截止时间前30分钟</w:t>
      </w:r>
      <w:r>
        <w:rPr>
          <w:rFonts w:hint="eastAsia" w:ascii="仿宋" w:hAnsi="仿宋" w:eastAsia="仿宋" w:cs="仿宋"/>
          <w:b w:val="0"/>
          <w:bCs w:val="0"/>
          <w:sz w:val="24"/>
          <w:szCs w:val="24"/>
          <w:highlight w:val="none"/>
          <w:lang w:val="en-US" w:eastAsia="zh-CN"/>
        </w:rPr>
        <w:t>，应当登录开标大厅进行签到，并且填写授权代表的姓名与手机号码。若因签到时填写的授权代表信息有误而导致的不良后果，由供应商自行承担。</w:t>
      </w:r>
    </w:p>
    <w:p w14:paraId="52E33FD9">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开标时，供应商应当使用编制本项目（采购包）响应文件时加密所用数字证书在开始解密后按照代理机构规定的时间内完成电子投标文件的解密，如遇不可抗力等其他特殊情况，采购代理机构可视情况延长解密时间。供应商未携带数字证书或其他非系统原因导致的在规定时间内未解密响应文件，将作</w:t>
      </w:r>
      <w:r>
        <w:rPr>
          <w:rFonts w:hint="eastAsia" w:ascii="仿宋" w:hAnsi="仿宋" w:eastAsia="仿宋" w:cs="仿宋"/>
          <w:b/>
          <w:bCs/>
          <w:sz w:val="24"/>
          <w:szCs w:val="24"/>
          <w:highlight w:val="none"/>
          <w:lang w:val="en-US" w:eastAsia="zh-CN"/>
        </w:rPr>
        <w:t>响应无效</w:t>
      </w:r>
      <w:r>
        <w:rPr>
          <w:rFonts w:hint="eastAsia" w:ascii="仿宋" w:hAnsi="仿宋" w:eastAsia="仿宋" w:cs="仿宋"/>
          <w:b w:val="0"/>
          <w:bCs w:val="0"/>
          <w:sz w:val="24"/>
          <w:szCs w:val="24"/>
          <w:highlight w:val="none"/>
          <w:lang w:val="en-US" w:eastAsia="zh-CN"/>
        </w:rPr>
        <w:t>处理（如采购云平台开标程序有变化的，以最新的操作程序为准）。</w:t>
      </w:r>
    </w:p>
    <w:p w14:paraId="71FCFC09">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供应商代表对开标过程和开标记录有疑义，以及认为采购人、采购代理机构相关工作人员有需要回避的情形的，应当场提出询问或者回避申请。供应商未参加开标的，视同认可开标结果。</w:t>
      </w:r>
    </w:p>
    <w:p w14:paraId="3F4BF21B">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响应截止时间后，供应商不足3家的，不得开标。同时，本次采购活动结束。</w:t>
      </w:r>
    </w:p>
    <w:p w14:paraId="7ADAF285">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采购人或采购代理机构将对开标过程进行记录，由参加开标的各供应商代表和相关工作人员签字确认。</w:t>
      </w:r>
    </w:p>
    <w:p w14:paraId="4271C0DB">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资格审查</w:t>
      </w:r>
    </w:p>
    <w:p w14:paraId="4EA2A86D">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磋商小组依据法律法规和采购文件中规定的内容，对供应商及其投标（响应）货物或服务的资格进行审查，未通过资格审查的供应商不进入评标；资格证明文件不按电子招投标平台要求编制导致系统无法检索、读取相关信息时，将被认定为未通过资格审查；通过资格审查的供应商少于三家的（除法律法规规定外），不进行评标。 </w:t>
      </w:r>
    </w:p>
    <w:p w14:paraId="3617325D">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资格审查要求详见第六章《评标程序、评标方法和评标标准》。</w:t>
      </w:r>
    </w:p>
    <w:p w14:paraId="73FD0402">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或采购代理机构将按第六章《评标程序、评标方法和评标标准》中规定的时间查询供应商的信用记录。采购人或采购代理机构将查询网页打印、签字并存档备查。供应商不良信用记录以采购人或采购代理机构查询结果为准。在本采购文件规定的查询时间之外，网站信息发生的任何变更均不作为资格审查依据。</w:t>
      </w:r>
    </w:p>
    <w:p w14:paraId="4E918AE4">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磋商小组</w:t>
      </w:r>
    </w:p>
    <w:p w14:paraId="51B8AFE1">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磋商小组根据政府采购有关规定和本次采购项目的特点进行组建，并负责具体评标事务，独立履行职责。</w:t>
      </w:r>
    </w:p>
    <w:p w14:paraId="0B9C3CEC">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 任何单位和个人都不得干扰、影响评标活动的正常进行。供应商在评标过程中所进行的试图影响评标结果的一切不符合法律或招标规定的活动，都可能导致其响应被拒绝。</w:t>
      </w:r>
    </w:p>
    <w:p w14:paraId="6383F886">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14:paraId="0F35C47B">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评标程序、评标方法和评标标准</w:t>
      </w:r>
    </w:p>
    <w:p w14:paraId="56C5D3BC">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详见第六章《评标程序、评标方法和评标标准》</w:t>
      </w:r>
    </w:p>
    <w:p w14:paraId="5B526ED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p>
    <w:p w14:paraId="1962598E">
      <w:pPr>
        <w:keepNext w:val="0"/>
        <w:keepLines w:val="0"/>
        <w:pageBreakBefore w:val="0"/>
        <w:widowControl w:val="0"/>
        <w:numPr>
          <w:ilvl w:val="0"/>
          <w:numId w:val="5"/>
        </w:numPr>
        <w:kinsoku/>
        <w:wordWrap/>
        <w:overflowPunct/>
        <w:topLinePunct w:val="0"/>
        <w:autoSpaceDE/>
        <w:autoSpaceDN/>
        <w:bidi w:val="0"/>
        <w:adjustRightInd/>
        <w:snapToGrid/>
        <w:spacing w:line="420" w:lineRule="exact"/>
        <w:ind w:left="0" w:leftChars="0" w:firstLine="0" w:firstLineChars="0"/>
        <w:jc w:val="center"/>
        <w:textAlignment w:val="auto"/>
        <w:outlineLvl w:val="1"/>
        <w:rPr>
          <w:rFonts w:hint="eastAsia" w:ascii="仿宋" w:hAnsi="仿宋" w:eastAsia="仿宋" w:cs="仿宋"/>
          <w:b/>
          <w:bCs/>
          <w:sz w:val="24"/>
          <w:szCs w:val="24"/>
          <w:highlight w:val="none"/>
          <w:lang w:val="en-US" w:eastAsia="zh-CN"/>
        </w:rPr>
      </w:pPr>
      <w:bookmarkStart w:id="16" w:name="_Toc11319"/>
      <w:r>
        <w:rPr>
          <w:rFonts w:hint="eastAsia" w:ascii="仿宋" w:hAnsi="仿宋" w:eastAsia="仿宋" w:cs="仿宋"/>
          <w:b/>
          <w:bCs/>
          <w:sz w:val="24"/>
          <w:szCs w:val="24"/>
          <w:highlight w:val="none"/>
          <w:lang w:val="en-US" w:eastAsia="zh-CN"/>
        </w:rPr>
        <w:t>确定成交</w:t>
      </w:r>
      <w:bookmarkEnd w:id="16"/>
    </w:p>
    <w:p w14:paraId="1BEEA831">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确定成交人</w:t>
      </w:r>
    </w:p>
    <w:p w14:paraId="76F8818C">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采购人将在评标报告提出的成交候选供应商中，按照排序由高到低的原则确定成交供应商。采购人是否委托磋商小组直接确定成交人见</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w:t>
      </w:r>
    </w:p>
    <w:p w14:paraId="6FED4D48">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成交公告与成交通知书</w:t>
      </w:r>
    </w:p>
    <w:p w14:paraId="18BA289C">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采购人或采购代理机构自成交人确定之日起 2 个工作日内，在磋商公告发布媒体发布成交结果，同时向成交人发出成交通知书，成交公告期限为 1 个工作日。</w:t>
      </w:r>
    </w:p>
    <w:p w14:paraId="022CB214">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成交通知书对采购人和成交供应商均具有法律效力。成交通知书发出后，成交供应商放弃成交项目的，应当依法承担法律责任。</w:t>
      </w:r>
    </w:p>
    <w:p w14:paraId="44ED8FA2">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所有在开标会上被接受的投标文件都将作为档案保存,不论中标与否，采购人均不退回投标文件。</w:t>
      </w:r>
    </w:p>
    <w:p w14:paraId="1D784A20">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废标</w:t>
      </w:r>
    </w:p>
    <w:p w14:paraId="6957D492">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19.1在采购活动中，出现下列情形之一的，应予废标：</w:t>
      </w:r>
    </w:p>
    <w:p w14:paraId="35C64A71">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除《政府采购竞争性磋商采购方式暂行办法》第二十一条第三款，《财政部关于政府采购竞争性磋商采购方式管理暂行办法有关问题的补充通知》（财库〔2015〕124号）规定的情形外，在采购过程中符合要求的供应商或者报价未超过采购预算的供应商不足3家的；；</w:t>
      </w:r>
    </w:p>
    <w:p w14:paraId="0DEA5A36">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出现影响采购公正的违法、违规行为的；</w:t>
      </w:r>
    </w:p>
    <w:p w14:paraId="6C07C40C">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供应商的报价均超过了采购预算，采购人不能支付的；</w:t>
      </w:r>
    </w:p>
    <w:p w14:paraId="1978DAB8">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因重大变故，采购任务取消的。</w:t>
      </w:r>
    </w:p>
    <w:p w14:paraId="44F0DF95">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废标后，采购人将废标理由通知所有供应商。</w:t>
      </w:r>
    </w:p>
    <w:p w14:paraId="467BA6E8">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签订合同</w:t>
      </w:r>
    </w:p>
    <w:p w14:paraId="34015FAE">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成交人、采购人应当自成交通知书发出之日起 30 日内，按照采购文件和成交人响应文件的规定签订书面合同。所签订的合同不得对采购文件确定的事项和成交人响应文件作实质性修改。 </w:t>
      </w:r>
    </w:p>
    <w:p w14:paraId="31126B68">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成交人拒绝与采购人签订合同的，采购人可以按照评标报告推荐的成交候选人名单排序，确定下一候选人为成交人，也可以重新开展政府采购活动。拒绝签订政府采购合同的成交供应商不得参加对该项目重新开展的采购活动。</w:t>
      </w:r>
    </w:p>
    <w:p w14:paraId="32B199DD">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联合体成交的，联合体各方应当共同与采购人签订合同，就成交项目向采购人承担连带责任。 </w:t>
      </w:r>
    </w:p>
    <w:p w14:paraId="30A0D8AD">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政府采购合同不能转包。如采购人允许采用分包方式履行合同的，成交人可以依法在成交后将成交项目的非主体、非关键性工作采取分包方式履行合同。政府采购合同分包履行的，应当在响应文件中载明分包承担主体，分包承担主体应当具备相应资质条件且不得再次分包，否则响应无效。成交人就采购项目和分包项目向采购人负责，分包供应商就分包项目承担责任。</w:t>
      </w:r>
    </w:p>
    <w:p w14:paraId="6A44B6BD">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履约保证金</w:t>
      </w:r>
    </w:p>
    <w:p w14:paraId="661ED16C">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成交人应按照</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规定的金额、形式和时间向采购人缴纳履约保证金。</w:t>
      </w:r>
    </w:p>
    <w:p w14:paraId="6E4833A6">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经采购人同意，成交人也可以自愿采用其他履约保证金的提供方式。</w:t>
      </w:r>
    </w:p>
    <w:p w14:paraId="1658F020">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如果成交人没有按照上述条款规定缴纳履约保证金，将视为放弃成交资格，成交人的磋商保证金将被没收。在此情况下，采购人可确定下一候选人为成交人，也可以重新开展政府采购活动。</w:t>
      </w:r>
    </w:p>
    <w:p w14:paraId="69C1729F">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代理服务费</w:t>
      </w:r>
    </w:p>
    <w:p w14:paraId="077D68F3">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收费对象及缴纳时间见</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。由成交人支付的，成交人须一次性向采购代理机构缴纳代理费，响应报价应包含代理费用。</w:t>
      </w:r>
    </w:p>
    <w:p w14:paraId="3E2D426A">
      <w:pPr>
        <w:pStyle w:val="30"/>
        <w:numPr>
          <w:ilvl w:val="1"/>
          <w:numId w:val="10"/>
        </w:numPr>
        <w:ind w:left="0" w:leftChars="0" w:firstLine="0" w:firstLineChars="0"/>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收费标准</w:t>
      </w:r>
    </w:p>
    <w:p w14:paraId="6BBE65A0">
      <w:pPr>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rPr>
        <w:t>根据下表约定按差额定率累进法计算</w:t>
      </w:r>
      <w:r>
        <w:rPr>
          <w:rFonts w:hint="eastAsia" w:ascii="仿宋" w:hAnsi="仿宋" w:eastAsia="仿宋" w:cs="仿宋"/>
          <w:sz w:val="24"/>
          <w:highlight w:val="none"/>
          <w:lang w:val="en-US" w:eastAsia="zh-CN"/>
        </w:rPr>
        <w:t>:</w:t>
      </w:r>
    </w:p>
    <w:tbl>
      <w:tblPr>
        <w:tblStyle w:val="31"/>
        <w:tblW w:w="8384"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0" w:type="dxa"/>
          <w:bottom w:w="0" w:type="dxa"/>
          <w:right w:w="0" w:type="dxa"/>
        </w:tblCellMar>
      </w:tblPr>
      <w:tblGrid>
        <w:gridCol w:w="2395"/>
        <w:gridCol w:w="1996"/>
        <w:gridCol w:w="1996"/>
        <w:gridCol w:w="1997"/>
      </w:tblGrid>
      <w:tr w14:paraId="560D7A96">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404" w:hRule="atLeast"/>
          <w:jc w:val="center"/>
        </w:trPr>
        <w:tc>
          <w:tcPr>
            <w:tcW w:w="2395" w:type="dxa"/>
            <w:tcBorders>
              <w:bottom w:val="single" w:color="auto" w:sz="2" w:space="0"/>
              <w:right w:val="single" w:color="auto" w:sz="2" w:space="0"/>
            </w:tcBorders>
            <w:vAlign w:val="center"/>
          </w:tcPr>
          <w:p w14:paraId="318062F2">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中标金额（万元）</w:t>
            </w:r>
          </w:p>
        </w:tc>
        <w:tc>
          <w:tcPr>
            <w:tcW w:w="1996" w:type="dxa"/>
            <w:tcBorders>
              <w:left w:val="single" w:color="auto" w:sz="2" w:space="0"/>
              <w:bottom w:val="single" w:color="auto" w:sz="2" w:space="0"/>
              <w:right w:val="single" w:color="auto" w:sz="2" w:space="0"/>
            </w:tcBorders>
            <w:vAlign w:val="center"/>
          </w:tcPr>
          <w:p w14:paraId="6C4A6143">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货物招标</w:t>
            </w:r>
          </w:p>
        </w:tc>
        <w:tc>
          <w:tcPr>
            <w:tcW w:w="1996" w:type="dxa"/>
            <w:tcBorders>
              <w:left w:val="single" w:color="auto" w:sz="2" w:space="0"/>
              <w:bottom w:val="single" w:color="auto" w:sz="2" w:space="0"/>
              <w:right w:val="single" w:color="auto" w:sz="2" w:space="0"/>
            </w:tcBorders>
            <w:vAlign w:val="center"/>
          </w:tcPr>
          <w:p w14:paraId="1BCF79A5">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服务招标</w:t>
            </w:r>
          </w:p>
        </w:tc>
        <w:tc>
          <w:tcPr>
            <w:tcW w:w="1997" w:type="dxa"/>
            <w:tcBorders>
              <w:left w:val="single" w:color="auto" w:sz="2" w:space="0"/>
              <w:bottom w:val="single" w:color="auto" w:sz="2" w:space="0"/>
            </w:tcBorders>
            <w:vAlign w:val="center"/>
          </w:tcPr>
          <w:p w14:paraId="09B2D5B1">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工程招标</w:t>
            </w:r>
          </w:p>
        </w:tc>
      </w:tr>
      <w:tr w14:paraId="30FBDB65">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bottom w:val="single" w:color="auto" w:sz="2" w:space="0"/>
              <w:right w:val="single" w:color="auto" w:sz="2" w:space="0"/>
            </w:tcBorders>
            <w:vAlign w:val="center"/>
          </w:tcPr>
          <w:p w14:paraId="65125111">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100以下</w:t>
            </w:r>
          </w:p>
        </w:tc>
        <w:tc>
          <w:tcPr>
            <w:tcW w:w="1996" w:type="dxa"/>
            <w:tcBorders>
              <w:top w:val="single" w:color="auto" w:sz="2" w:space="0"/>
              <w:left w:val="single" w:color="auto" w:sz="2" w:space="0"/>
              <w:bottom w:val="single" w:color="auto" w:sz="2" w:space="0"/>
              <w:right w:val="single" w:color="auto" w:sz="2" w:space="0"/>
            </w:tcBorders>
            <w:vAlign w:val="center"/>
          </w:tcPr>
          <w:p w14:paraId="475348FE">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1.5%</w:t>
            </w:r>
          </w:p>
        </w:tc>
        <w:tc>
          <w:tcPr>
            <w:tcW w:w="1996" w:type="dxa"/>
            <w:tcBorders>
              <w:top w:val="single" w:color="auto" w:sz="2" w:space="0"/>
              <w:left w:val="single" w:color="auto" w:sz="2" w:space="0"/>
              <w:bottom w:val="single" w:color="auto" w:sz="2" w:space="0"/>
              <w:right w:val="single" w:color="auto" w:sz="2" w:space="0"/>
            </w:tcBorders>
            <w:vAlign w:val="center"/>
          </w:tcPr>
          <w:p w14:paraId="4E545E5B">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1.5%</w:t>
            </w:r>
          </w:p>
        </w:tc>
        <w:tc>
          <w:tcPr>
            <w:tcW w:w="1997" w:type="dxa"/>
            <w:tcBorders>
              <w:top w:val="single" w:color="auto" w:sz="2" w:space="0"/>
              <w:left w:val="single" w:color="auto" w:sz="2" w:space="0"/>
              <w:bottom w:val="single" w:color="auto" w:sz="2" w:space="0"/>
            </w:tcBorders>
            <w:vAlign w:val="center"/>
          </w:tcPr>
          <w:p w14:paraId="2E589A6A">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1.0%</w:t>
            </w:r>
          </w:p>
        </w:tc>
      </w:tr>
      <w:tr w14:paraId="7ABF3D09">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bottom w:val="single" w:color="auto" w:sz="2" w:space="0"/>
              <w:right w:val="single" w:color="auto" w:sz="2" w:space="0"/>
            </w:tcBorders>
            <w:vAlign w:val="center"/>
          </w:tcPr>
          <w:p w14:paraId="03B8CBC7">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lOO-500</w:t>
            </w:r>
          </w:p>
        </w:tc>
        <w:tc>
          <w:tcPr>
            <w:tcW w:w="1996" w:type="dxa"/>
            <w:tcBorders>
              <w:top w:val="single" w:color="auto" w:sz="2" w:space="0"/>
              <w:left w:val="single" w:color="auto" w:sz="2" w:space="0"/>
              <w:bottom w:val="single" w:color="auto" w:sz="2" w:space="0"/>
              <w:right w:val="single" w:color="auto" w:sz="2" w:space="0"/>
            </w:tcBorders>
            <w:vAlign w:val="center"/>
          </w:tcPr>
          <w:p w14:paraId="19740F8B">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1.1%</w:t>
            </w:r>
          </w:p>
        </w:tc>
        <w:tc>
          <w:tcPr>
            <w:tcW w:w="1996" w:type="dxa"/>
            <w:tcBorders>
              <w:top w:val="single" w:color="auto" w:sz="2" w:space="0"/>
              <w:left w:val="single" w:color="auto" w:sz="2" w:space="0"/>
              <w:bottom w:val="single" w:color="auto" w:sz="2" w:space="0"/>
              <w:right w:val="single" w:color="auto" w:sz="2" w:space="0"/>
            </w:tcBorders>
            <w:vAlign w:val="center"/>
          </w:tcPr>
          <w:p w14:paraId="1750EBB1">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0.8%</w:t>
            </w:r>
          </w:p>
        </w:tc>
        <w:tc>
          <w:tcPr>
            <w:tcW w:w="1997" w:type="dxa"/>
            <w:tcBorders>
              <w:top w:val="single" w:color="auto" w:sz="2" w:space="0"/>
              <w:left w:val="single" w:color="auto" w:sz="2" w:space="0"/>
              <w:bottom w:val="single" w:color="auto" w:sz="2" w:space="0"/>
            </w:tcBorders>
            <w:vAlign w:val="center"/>
          </w:tcPr>
          <w:p w14:paraId="627C4B2B">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0.7%</w:t>
            </w:r>
          </w:p>
        </w:tc>
      </w:tr>
      <w:tr w14:paraId="1A26C062">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bottom w:val="single" w:color="auto" w:sz="2" w:space="0"/>
              <w:right w:val="single" w:color="auto" w:sz="2" w:space="0"/>
            </w:tcBorders>
            <w:vAlign w:val="center"/>
          </w:tcPr>
          <w:p w14:paraId="45CCEB66">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500-1000</w:t>
            </w:r>
          </w:p>
        </w:tc>
        <w:tc>
          <w:tcPr>
            <w:tcW w:w="1996" w:type="dxa"/>
            <w:tcBorders>
              <w:top w:val="single" w:color="auto" w:sz="2" w:space="0"/>
              <w:left w:val="single" w:color="auto" w:sz="2" w:space="0"/>
              <w:bottom w:val="single" w:color="auto" w:sz="2" w:space="0"/>
              <w:right w:val="single" w:color="auto" w:sz="2" w:space="0"/>
            </w:tcBorders>
            <w:vAlign w:val="center"/>
          </w:tcPr>
          <w:p w14:paraId="17E9C82E">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0.8%</w:t>
            </w:r>
          </w:p>
        </w:tc>
        <w:tc>
          <w:tcPr>
            <w:tcW w:w="1996" w:type="dxa"/>
            <w:tcBorders>
              <w:top w:val="single" w:color="auto" w:sz="2" w:space="0"/>
              <w:left w:val="single" w:color="auto" w:sz="2" w:space="0"/>
              <w:bottom w:val="single" w:color="auto" w:sz="2" w:space="0"/>
              <w:right w:val="single" w:color="auto" w:sz="2" w:space="0"/>
            </w:tcBorders>
            <w:vAlign w:val="center"/>
          </w:tcPr>
          <w:p w14:paraId="4E338F53">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0.45%</w:t>
            </w:r>
          </w:p>
        </w:tc>
        <w:tc>
          <w:tcPr>
            <w:tcW w:w="1997" w:type="dxa"/>
            <w:tcBorders>
              <w:top w:val="single" w:color="auto" w:sz="2" w:space="0"/>
              <w:left w:val="single" w:color="auto" w:sz="2" w:space="0"/>
              <w:bottom w:val="single" w:color="auto" w:sz="2" w:space="0"/>
            </w:tcBorders>
            <w:vAlign w:val="center"/>
          </w:tcPr>
          <w:p w14:paraId="31B733DD">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0.55%</w:t>
            </w:r>
          </w:p>
        </w:tc>
      </w:tr>
      <w:tr w14:paraId="74185728">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bottom w:val="single" w:color="auto" w:sz="2" w:space="0"/>
              <w:right w:val="single" w:color="auto" w:sz="2" w:space="0"/>
            </w:tcBorders>
            <w:vAlign w:val="center"/>
          </w:tcPr>
          <w:p w14:paraId="398210EA">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l000-5000</w:t>
            </w:r>
          </w:p>
        </w:tc>
        <w:tc>
          <w:tcPr>
            <w:tcW w:w="1996" w:type="dxa"/>
            <w:tcBorders>
              <w:top w:val="single" w:color="auto" w:sz="2" w:space="0"/>
              <w:left w:val="single" w:color="auto" w:sz="2" w:space="0"/>
              <w:bottom w:val="single" w:color="auto" w:sz="2" w:space="0"/>
              <w:right w:val="single" w:color="auto" w:sz="2" w:space="0"/>
            </w:tcBorders>
            <w:vAlign w:val="center"/>
          </w:tcPr>
          <w:p w14:paraId="7C9A8F18">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0.5%</w:t>
            </w:r>
          </w:p>
        </w:tc>
        <w:tc>
          <w:tcPr>
            <w:tcW w:w="1996" w:type="dxa"/>
            <w:tcBorders>
              <w:top w:val="single" w:color="auto" w:sz="2" w:space="0"/>
              <w:left w:val="single" w:color="auto" w:sz="2" w:space="0"/>
              <w:bottom w:val="single" w:color="auto" w:sz="2" w:space="0"/>
              <w:right w:val="single" w:color="auto" w:sz="2" w:space="0"/>
            </w:tcBorders>
            <w:vAlign w:val="center"/>
          </w:tcPr>
          <w:p w14:paraId="6E043174">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0.25%</w:t>
            </w:r>
          </w:p>
        </w:tc>
        <w:tc>
          <w:tcPr>
            <w:tcW w:w="1997" w:type="dxa"/>
            <w:tcBorders>
              <w:top w:val="single" w:color="auto" w:sz="2" w:space="0"/>
              <w:left w:val="single" w:color="auto" w:sz="2" w:space="0"/>
              <w:bottom w:val="single" w:color="auto" w:sz="2" w:space="0"/>
            </w:tcBorders>
            <w:vAlign w:val="center"/>
          </w:tcPr>
          <w:p w14:paraId="76568EF3">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0.35%</w:t>
            </w:r>
          </w:p>
        </w:tc>
      </w:tr>
      <w:tr w14:paraId="3025BA06">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bottom w:val="single" w:color="auto" w:sz="2" w:space="0"/>
              <w:right w:val="single" w:color="auto" w:sz="2" w:space="0"/>
            </w:tcBorders>
            <w:vAlign w:val="center"/>
          </w:tcPr>
          <w:p w14:paraId="44A7D054">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5000-lOOOO</w:t>
            </w:r>
          </w:p>
        </w:tc>
        <w:tc>
          <w:tcPr>
            <w:tcW w:w="1996" w:type="dxa"/>
            <w:tcBorders>
              <w:top w:val="single" w:color="auto" w:sz="2" w:space="0"/>
              <w:left w:val="single" w:color="auto" w:sz="2" w:space="0"/>
              <w:bottom w:val="single" w:color="auto" w:sz="2" w:space="0"/>
              <w:right w:val="single" w:color="auto" w:sz="2" w:space="0"/>
            </w:tcBorders>
            <w:vAlign w:val="center"/>
          </w:tcPr>
          <w:p w14:paraId="4C5125CB">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0.25%</w:t>
            </w:r>
          </w:p>
        </w:tc>
        <w:tc>
          <w:tcPr>
            <w:tcW w:w="1996" w:type="dxa"/>
            <w:tcBorders>
              <w:top w:val="single" w:color="auto" w:sz="2" w:space="0"/>
              <w:left w:val="single" w:color="auto" w:sz="2" w:space="0"/>
              <w:bottom w:val="single" w:color="auto" w:sz="2" w:space="0"/>
              <w:right w:val="single" w:color="auto" w:sz="2" w:space="0"/>
            </w:tcBorders>
            <w:vAlign w:val="center"/>
          </w:tcPr>
          <w:p w14:paraId="5AA66E40">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0.1%</w:t>
            </w:r>
          </w:p>
        </w:tc>
        <w:tc>
          <w:tcPr>
            <w:tcW w:w="1997" w:type="dxa"/>
            <w:tcBorders>
              <w:top w:val="single" w:color="auto" w:sz="2" w:space="0"/>
              <w:left w:val="single" w:color="auto" w:sz="2" w:space="0"/>
              <w:bottom w:val="single" w:color="auto" w:sz="2" w:space="0"/>
            </w:tcBorders>
            <w:vAlign w:val="center"/>
          </w:tcPr>
          <w:p w14:paraId="76AD77F4">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0.2%</w:t>
            </w:r>
          </w:p>
        </w:tc>
      </w:tr>
      <w:tr w14:paraId="3C912511">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bottom w:val="single" w:color="auto" w:sz="2" w:space="0"/>
              <w:right w:val="single" w:color="auto" w:sz="2" w:space="0"/>
            </w:tcBorders>
            <w:vAlign w:val="center"/>
          </w:tcPr>
          <w:p w14:paraId="0B74F11A">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lOOOO-100000</w:t>
            </w:r>
          </w:p>
        </w:tc>
        <w:tc>
          <w:tcPr>
            <w:tcW w:w="1996" w:type="dxa"/>
            <w:tcBorders>
              <w:top w:val="single" w:color="auto" w:sz="2" w:space="0"/>
              <w:left w:val="single" w:color="auto" w:sz="2" w:space="0"/>
              <w:bottom w:val="single" w:color="auto" w:sz="2" w:space="0"/>
              <w:right w:val="single" w:color="auto" w:sz="2" w:space="0"/>
            </w:tcBorders>
            <w:vAlign w:val="center"/>
          </w:tcPr>
          <w:p w14:paraId="136B3106">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0.05%</w:t>
            </w:r>
          </w:p>
        </w:tc>
        <w:tc>
          <w:tcPr>
            <w:tcW w:w="1996" w:type="dxa"/>
            <w:tcBorders>
              <w:top w:val="single" w:color="auto" w:sz="2" w:space="0"/>
              <w:left w:val="single" w:color="auto" w:sz="2" w:space="0"/>
              <w:bottom w:val="single" w:color="auto" w:sz="2" w:space="0"/>
              <w:right w:val="single" w:color="auto" w:sz="2" w:space="0"/>
            </w:tcBorders>
            <w:vAlign w:val="center"/>
          </w:tcPr>
          <w:p w14:paraId="189A3E85">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0.05%</w:t>
            </w:r>
          </w:p>
        </w:tc>
        <w:tc>
          <w:tcPr>
            <w:tcW w:w="1997" w:type="dxa"/>
            <w:tcBorders>
              <w:top w:val="single" w:color="auto" w:sz="2" w:space="0"/>
              <w:left w:val="single" w:color="auto" w:sz="2" w:space="0"/>
              <w:bottom w:val="single" w:color="auto" w:sz="2" w:space="0"/>
            </w:tcBorders>
            <w:vAlign w:val="center"/>
          </w:tcPr>
          <w:p w14:paraId="473C2D45">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0.05%</w:t>
            </w:r>
          </w:p>
        </w:tc>
      </w:tr>
      <w:tr w14:paraId="0E024D17">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right w:val="single" w:color="auto" w:sz="2" w:space="0"/>
            </w:tcBorders>
            <w:vAlign w:val="center"/>
          </w:tcPr>
          <w:p w14:paraId="07B64C09">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100000以上</w:t>
            </w:r>
          </w:p>
        </w:tc>
        <w:tc>
          <w:tcPr>
            <w:tcW w:w="1996" w:type="dxa"/>
            <w:tcBorders>
              <w:top w:val="single" w:color="auto" w:sz="2" w:space="0"/>
              <w:left w:val="single" w:color="auto" w:sz="2" w:space="0"/>
              <w:right w:val="single" w:color="auto" w:sz="2" w:space="0"/>
            </w:tcBorders>
            <w:vAlign w:val="center"/>
          </w:tcPr>
          <w:p w14:paraId="311F4FF2">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0.01%</w:t>
            </w:r>
          </w:p>
        </w:tc>
        <w:tc>
          <w:tcPr>
            <w:tcW w:w="1996" w:type="dxa"/>
            <w:tcBorders>
              <w:top w:val="single" w:color="auto" w:sz="2" w:space="0"/>
              <w:left w:val="single" w:color="auto" w:sz="2" w:space="0"/>
              <w:right w:val="single" w:color="auto" w:sz="2" w:space="0"/>
            </w:tcBorders>
            <w:vAlign w:val="center"/>
          </w:tcPr>
          <w:p w14:paraId="4934BF8F">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0.01%</w:t>
            </w:r>
          </w:p>
        </w:tc>
        <w:tc>
          <w:tcPr>
            <w:tcW w:w="1997" w:type="dxa"/>
            <w:tcBorders>
              <w:top w:val="single" w:color="auto" w:sz="2" w:space="0"/>
              <w:left w:val="single" w:color="auto" w:sz="2" w:space="0"/>
            </w:tcBorders>
            <w:vAlign w:val="center"/>
          </w:tcPr>
          <w:p w14:paraId="32123B41">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0.01%</w:t>
            </w:r>
          </w:p>
        </w:tc>
      </w:tr>
    </w:tbl>
    <w:p w14:paraId="1D4CBDC0">
      <w:pPr>
        <w:pStyle w:val="29"/>
        <w:numPr>
          <w:ilvl w:val="0"/>
          <w:numId w:val="0"/>
        </w:numPr>
        <w:ind w:leftChars="0" w:right="0" w:rightChars="0"/>
        <w:rPr>
          <w:rFonts w:hint="eastAsia" w:ascii="仿宋" w:hAnsi="仿宋" w:eastAsia="仿宋" w:cs="仿宋"/>
          <w:highlight w:val="none"/>
          <w:lang w:val="en-US" w:eastAsia="zh-CN"/>
        </w:rPr>
      </w:pPr>
    </w:p>
    <w:p w14:paraId="45D182BC">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询问与质疑</w:t>
      </w:r>
    </w:p>
    <w:p w14:paraId="0A2B6612">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询问</w:t>
      </w:r>
    </w:p>
    <w:p w14:paraId="01CDC106">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对政府采购活动事项（采购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中“采购人、采购代理机构的名称、地址和联系方式”。</w:t>
      </w:r>
    </w:p>
    <w:p w14:paraId="17E782CE">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质疑</w:t>
      </w:r>
    </w:p>
    <w:p w14:paraId="42A0881A">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供应商认为采购文件、采购过程、成交结果使自己的权益受到损害的，可以在知道或者应知其权益受到损害之日起 7 个工作日内，由供应商派授权代表以书面形式向采购人、采购代理机构提出质疑。采购人、采购代理机构在收到质疑函后 7 个工作日内作出答复。 </w:t>
      </w:r>
    </w:p>
    <w:p w14:paraId="029BBC09">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供应商应知其权益受到损害之日是指：</w:t>
      </w:r>
    </w:p>
    <w:p w14:paraId="2476E6D5">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（1）对采购文件提出质疑的，为获取采购文件之日或者采购文件获取期限届满之日；</w:t>
      </w:r>
    </w:p>
    <w:p w14:paraId="6445E06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（2）对采购过程提出质疑的，为各采购程序环节结束之日；</w:t>
      </w:r>
    </w:p>
    <w:p w14:paraId="7E745346">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（3）对成交结果提出质疑的，为成交结果公告期限届满之日。</w:t>
      </w:r>
    </w:p>
    <w:p w14:paraId="4DD0FFCA">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质疑应当有明确的请求和必要的证明材料。依照谁主张谁举证的原则，提出质疑者须同时提交相关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0A47347F">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质疑函须使用财政部制定的范本文件。供应商为自然人的，应当由本人签字；供应商为法人或者其他组织的，应当由法定代表人、主要负责人，或者其授权代表签字或者盖章，并加盖公章。</w:t>
      </w:r>
    </w:p>
    <w:p w14:paraId="6636EE8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质疑函应当包括下列内容： </w:t>
      </w:r>
    </w:p>
    <w:p w14:paraId="4733AA1D">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（1）供应商名称、地址、邮编、联系人及联系电话； </w:t>
      </w:r>
    </w:p>
    <w:p w14:paraId="3E71173F">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（2）质疑项目的名称、编号； </w:t>
      </w:r>
    </w:p>
    <w:p w14:paraId="724DE1E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（3）具体、明确的质疑事项和与质疑事项相关的请求； </w:t>
      </w:r>
    </w:p>
    <w:p w14:paraId="410E3F46">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（4）事实依据； </w:t>
      </w:r>
    </w:p>
    <w:p w14:paraId="47CF4E5A">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（5）必要的法律依据； </w:t>
      </w:r>
    </w:p>
    <w:p w14:paraId="4A21301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（6）提出质疑的日期。</w:t>
      </w:r>
    </w:p>
    <w:p w14:paraId="62AE5B1D">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02238614">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供应商应在法定质疑期内一次性提出针对同一采购程序环节的质疑，法定质疑期内针对同一采购程序环节再次提出的质疑、超出法定质疑期的、重复提出的、分次提出的或内容、形式不符合《政府采购质疑和投诉办法》的采购人、采购代理机构有权不予回复。</w:t>
      </w:r>
    </w:p>
    <w:p w14:paraId="36724B00">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bCs/>
          <w:sz w:val="24"/>
          <w:szCs w:val="24"/>
          <w:highlight w:val="none"/>
          <w:lang w:val="en-US" w:eastAsia="zh-CN"/>
        </w:rPr>
        <w:t>其他</w:t>
      </w:r>
    </w:p>
    <w:p w14:paraId="51C5B160">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本次采购活动中除采购文件规定外还需执行《中华人民共和国政府采购法》、《中华人民共和国政府采购法实施条例》、《政府采购竞争性磋商采购方式管理暂行办法》（财库〔2014〕214号）及本项目本级和上级财政部门政府采购有关规定。</w:t>
      </w:r>
    </w:p>
    <w:p w14:paraId="5B04E212">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682464D7">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适用于本供应商须知的额外增加的变动详见</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w:t>
      </w:r>
    </w:p>
    <w:p w14:paraId="68377EF4">
      <w:pP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br w:type="page"/>
      </w:r>
    </w:p>
    <w:p w14:paraId="1F8A61AB">
      <w:pPr>
        <w:pStyle w:val="2"/>
        <w:numPr>
          <w:ilvl w:val="0"/>
          <w:numId w:val="4"/>
        </w:numPr>
        <w:bidi w:val="0"/>
        <w:jc w:val="center"/>
        <w:rPr>
          <w:rFonts w:hint="eastAsia" w:ascii="仿宋" w:hAnsi="仿宋" w:eastAsia="仿宋" w:cs="仿宋"/>
          <w:sz w:val="32"/>
          <w:szCs w:val="32"/>
          <w:highlight w:val="none"/>
          <w:lang w:val="en-US" w:eastAsia="zh-CN"/>
        </w:rPr>
      </w:pPr>
      <w:bookmarkStart w:id="17" w:name="_Toc20533"/>
      <w:r>
        <w:rPr>
          <w:rFonts w:hint="eastAsia" w:ascii="仿宋" w:hAnsi="仿宋" w:eastAsia="仿宋" w:cs="仿宋"/>
          <w:sz w:val="32"/>
          <w:szCs w:val="32"/>
          <w:highlight w:val="none"/>
          <w:lang w:val="en-US" w:eastAsia="zh-CN"/>
        </w:rPr>
        <w:t>政府采购合同</w:t>
      </w:r>
      <w:bookmarkEnd w:id="17"/>
    </w:p>
    <w:p w14:paraId="6FAE24E7">
      <w:pPr>
        <w:pStyle w:val="3"/>
        <w:spacing w:before="0" w:after="0" w:line="440" w:lineRule="exact"/>
        <w:jc w:val="center"/>
        <w:rPr>
          <w:rFonts w:hint="eastAsia" w:ascii="仿宋" w:hAnsi="仿宋" w:eastAsia="仿宋" w:cs="仿宋"/>
          <w:sz w:val="24"/>
          <w:szCs w:val="21"/>
          <w:highlight w:val="none"/>
        </w:rPr>
      </w:pPr>
      <w:bookmarkStart w:id="18" w:name="_Toc134458902"/>
      <w:r>
        <w:rPr>
          <w:rFonts w:hint="eastAsia" w:ascii="仿宋" w:hAnsi="仿宋" w:eastAsia="仿宋" w:cs="仿宋"/>
          <w:sz w:val="24"/>
          <w:szCs w:val="21"/>
          <w:highlight w:val="none"/>
        </w:rPr>
        <w:t>（本合同仅供参考，具体以</w:t>
      </w:r>
      <w:r>
        <w:rPr>
          <w:rFonts w:hint="eastAsia" w:ascii="仿宋" w:hAnsi="仿宋" w:eastAsia="仿宋" w:cs="仿宋"/>
          <w:sz w:val="24"/>
          <w:highlight w:val="none"/>
          <w:lang w:eastAsia="zh-CN"/>
        </w:rPr>
        <w:t>新疆职业大学</w:t>
      </w:r>
      <w:r>
        <w:rPr>
          <w:rFonts w:hint="eastAsia" w:ascii="仿宋" w:hAnsi="仿宋" w:eastAsia="仿宋" w:cs="仿宋"/>
          <w:sz w:val="24"/>
          <w:szCs w:val="21"/>
          <w:highlight w:val="none"/>
        </w:rPr>
        <w:t>实际签订为准）</w:t>
      </w:r>
      <w:bookmarkEnd w:id="18"/>
    </w:p>
    <w:p w14:paraId="3BBD940A">
      <w:pPr>
        <w:pStyle w:val="44"/>
        <w:keepNext w:val="0"/>
        <w:keepLines w:val="0"/>
        <w:pageBreakBefore w:val="0"/>
        <w:widowControl w:val="0"/>
        <w:kinsoku/>
        <w:wordWrap/>
        <w:overflowPunct/>
        <w:topLinePunct w:val="0"/>
        <w:bidi w:val="0"/>
        <w:snapToGrid/>
        <w:spacing w:line="420" w:lineRule="atLeast"/>
        <w:ind w:left="0" w:leftChars="0" w:firstLine="480" w:firstLineChars="200"/>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（根据《政府采购法》和《中华人民共和国民法典》。采购人和供应商之间的权利和义务，应当按照平等的原则以合同方式约定。</w:t>
      </w:r>
      <w:r>
        <w:rPr>
          <w:rFonts w:hint="eastAsia" w:ascii="仿宋" w:hAnsi="仿宋" w:eastAsia="仿宋" w:cs="仿宋"/>
          <w:b/>
          <w:sz w:val="24"/>
          <w:szCs w:val="24"/>
          <w:highlight w:val="none"/>
        </w:rPr>
        <w:t>此合同书仅作为签订正式合同时的参考。</w:t>
      </w:r>
      <w:r>
        <w:rPr>
          <w:rFonts w:hint="eastAsia" w:ascii="仿宋" w:hAnsi="仿宋" w:eastAsia="仿宋" w:cs="仿宋"/>
          <w:bCs/>
          <w:sz w:val="24"/>
          <w:szCs w:val="24"/>
          <w:highlight w:val="none"/>
        </w:rPr>
        <w:t>）</w:t>
      </w:r>
    </w:p>
    <w:p w14:paraId="27C19A48">
      <w:pPr>
        <w:pStyle w:val="44"/>
        <w:keepNext w:val="0"/>
        <w:keepLines w:val="0"/>
        <w:pageBreakBefore w:val="0"/>
        <w:widowControl w:val="0"/>
        <w:kinsoku/>
        <w:wordWrap/>
        <w:overflowPunct/>
        <w:topLinePunct w:val="0"/>
        <w:bidi w:val="0"/>
        <w:snapToGrid/>
        <w:spacing w:line="420" w:lineRule="atLeast"/>
        <w:ind w:left="0" w:leftChars="0" w:firstLine="482" w:firstLineChars="200"/>
        <w:jc w:val="lef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1. 合同文件</w:t>
      </w:r>
    </w:p>
    <w:p w14:paraId="3ACA0ED9">
      <w:pPr>
        <w:pStyle w:val="44"/>
        <w:keepNext w:val="0"/>
        <w:keepLines w:val="0"/>
        <w:pageBreakBefore w:val="0"/>
        <w:widowControl w:val="0"/>
        <w:kinsoku/>
        <w:wordWrap/>
        <w:overflowPunct/>
        <w:topLinePunct w:val="0"/>
        <w:bidi w:val="0"/>
        <w:snapToGrid/>
        <w:spacing w:line="420" w:lineRule="atLeast"/>
        <w:ind w:left="0" w:leftChars="0" w:firstLine="480" w:firstLineChars="200"/>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本合同所附下列文件是构成本合同不可分割的部分：</w:t>
      </w:r>
    </w:p>
    <w:p w14:paraId="5EE7B5B8">
      <w:pPr>
        <w:pStyle w:val="44"/>
        <w:keepNext w:val="0"/>
        <w:keepLines w:val="0"/>
        <w:pageBreakBefore w:val="0"/>
        <w:widowControl w:val="0"/>
        <w:kinsoku/>
        <w:wordWrap/>
        <w:overflowPunct/>
        <w:topLinePunct w:val="0"/>
        <w:bidi w:val="0"/>
        <w:snapToGrid/>
        <w:spacing w:line="420" w:lineRule="atLeast"/>
        <w:ind w:left="0" w:leftChars="0" w:firstLine="480" w:firstLineChars="200"/>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(1)采购文件</w:t>
      </w:r>
    </w:p>
    <w:p w14:paraId="15925563">
      <w:pPr>
        <w:pStyle w:val="44"/>
        <w:keepNext w:val="0"/>
        <w:keepLines w:val="0"/>
        <w:pageBreakBefore w:val="0"/>
        <w:widowControl w:val="0"/>
        <w:kinsoku/>
        <w:wordWrap/>
        <w:overflowPunct/>
        <w:topLinePunct w:val="0"/>
        <w:bidi w:val="0"/>
        <w:snapToGrid/>
        <w:spacing w:line="420" w:lineRule="atLeast"/>
        <w:ind w:left="0" w:leftChars="0" w:firstLine="480" w:firstLineChars="200"/>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(2)合同条款</w:t>
      </w:r>
    </w:p>
    <w:p w14:paraId="6B13CAB5">
      <w:pPr>
        <w:pStyle w:val="44"/>
        <w:keepNext w:val="0"/>
        <w:keepLines w:val="0"/>
        <w:pageBreakBefore w:val="0"/>
        <w:widowControl w:val="0"/>
        <w:kinsoku/>
        <w:wordWrap/>
        <w:overflowPunct/>
        <w:topLinePunct w:val="0"/>
        <w:bidi w:val="0"/>
        <w:snapToGrid/>
        <w:spacing w:line="420" w:lineRule="atLeast"/>
        <w:ind w:left="0" w:leftChars="0" w:firstLine="480" w:firstLineChars="200"/>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(3)成交供应商提交的响应文件</w:t>
      </w:r>
    </w:p>
    <w:p w14:paraId="1540F6C6">
      <w:pPr>
        <w:pStyle w:val="44"/>
        <w:keepNext w:val="0"/>
        <w:keepLines w:val="0"/>
        <w:pageBreakBefore w:val="0"/>
        <w:widowControl w:val="0"/>
        <w:kinsoku/>
        <w:wordWrap/>
        <w:overflowPunct/>
        <w:topLinePunct w:val="0"/>
        <w:bidi w:val="0"/>
        <w:snapToGrid/>
        <w:spacing w:line="420" w:lineRule="atLeast"/>
        <w:ind w:left="0" w:leftChars="0" w:firstLine="480" w:firstLineChars="200"/>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(4)技术规格（包括图纸，如果有的话）</w:t>
      </w:r>
    </w:p>
    <w:p w14:paraId="6019DF58">
      <w:pPr>
        <w:pStyle w:val="44"/>
        <w:keepNext w:val="0"/>
        <w:keepLines w:val="0"/>
        <w:pageBreakBefore w:val="0"/>
        <w:widowControl w:val="0"/>
        <w:kinsoku/>
        <w:wordWrap/>
        <w:overflowPunct/>
        <w:topLinePunct w:val="0"/>
        <w:bidi w:val="0"/>
        <w:snapToGrid/>
        <w:spacing w:line="420" w:lineRule="atLeast"/>
        <w:ind w:left="0" w:leftChars="0" w:firstLine="480" w:firstLineChars="200"/>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(5)中标/成交通知书</w:t>
      </w:r>
    </w:p>
    <w:p w14:paraId="4421F890">
      <w:pPr>
        <w:pStyle w:val="44"/>
        <w:keepNext w:val="0"/>
        <w:keepLines w:val="0"/>
        <w:pageBreakBefore w:val="0"/>
        <w:widowControl w:val="0"/>
        <w:kinsoku/>
        <w:wordWrap/>
        <w:overflowPunct/>
        <w:topLinePunct w:val="0"/>
        <w:bidi w:val="0"/>
        <w:snapToGrid/>
        <w:spacing w:line="420" w:lineRule="atLeast"/>
        <w:ind w:left="0" w:leftChars="0" w:firstLine="482" w:firstLineChars="200"/>
        <w:jc w:val="lef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2．合同范围和条件</w:t>
      </w:r>
    </w:p>
    <w:p w14:paraId="412E5F97">
      <w:pPr>
        <w:pStyle w:val="44"/>
        <w:keepNext w:val="0"/>
        <w:keepLines w:val="0"/>
        <w:pageBreakBefore w:val="0"/>
        <w:widowControl w:val="0"/>
        <w:kinsoku/>
        <w:wordWrap/>
        <w:overflowPunct/>
        <w:topLinePunct w:val="0"/>
        <w:bidi w:val="0"/>
        <w:snapToGrid/>
        <w:spacing w:line="420" w:lineRule="atLeast"/>
        <w:ind w:left="0" w:leftChars="0" w:firstLine="480" w:firstLineChars="200"/>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本合同的范围和条件与上述文件的规定相一致。</w:t>
      </w:r>
    </w:p>
    <w:p w14:paraId="323A82F0">
      <w:pPr>
        <w:pStyle w:val="44"/>
        <w:keepNext w:val="0"/>
        <w:keepLines w:val="0"/>
        <w:pageBreakBefore w:val="0"/>
        <w:widowControl w:val="0"/>
        <w:kinsoku/>
        <w:wordWrap/>
        <w:overflowPunct/>
        <w:topLinePunct w:val="0"/>
        <w:bidi w:val="0"/>
        <w:snapToGrid/>
        <w:spacing w:line="420" w:lineRule="atLeast"/>
        <w:ind w:left="0" w:leftChars="0" w:firstLine="482" w:firstLineChars="200"/>
        <w:jc w:val="lef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3．货物</w:t>
      </w:r>
      <w:r>
        <w:rPr>
          <w:rFonts w:hint="eastAsia" w:ascii="仿宋" w:hAnsi="仿宋" w:eastAsia="仿宋" w:cs="仿宋"/>
          <w:b/>
          <w:sz w:val="24"/>
          <w:szCs w:val="24"/>
          <w:highlight w:val="none"/>
          <w:lang w:val="en-US" w:eastAsia="zh-CN"/>
        </w:rPr>
        <w:t>/服务</w:t>
      </w:r>
      <w:r>
        <w:rPr>
          <w:rFonts w:hint="eastAsia" w:ascii="仿宋" w:hAnsi="仿宋" w:eastAsia="仿宋" w:cs="仿宋"/>
          <w:b/>
          <w:sz w:val="24"/>
          <w:szCs w:val="24"/>
          <w:highlight w:val="none"/>
        </w:rPr>
        <w:t>及数量</w:t>
      </w:r>
    </w:p>
    <w:p w14:paraId="42A858EC">
      <w:pPr>
        <w:pStyle w:val="44"/>
        <w:keepNext w:val="0"/>
        <w:keepLines w:val="0"/>
        <w:pageBreakBefore w:val="0"/>
        <w:widowControl w:val="0"/>
        <w:kinsoku/>
        <w:wordWrap/>
        <w:overflowPunct/>
        <w:topLinePunct w:val="0"/>
        <w:bidi w:val="0"/>
        <w:snapToGrid/>
        <w:spacing w:line="420" w:lineRule="atLeast"/>
        <w:ind w:left="0" w:leftChars="0" w:firstLine="480" w:firstLineChars="200"/>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本合同所提供的货物数量/服务详见磋商文件“</w:t>
      </w:r>
      <w:r>
        <w:rPr>
          <w:rFonts w:hint="eastAsia" w:ascii="仿宋" w:hAnsi="仿宋" w:eastAsia="仿宋" w:cs="仿宋"/>
          <w:sz w:val="24"/>
          <w:szCs w:val="24"/>
          <w:highlight w:val="none"/>
        </w:rPr>
        <w:t>采购项目技术规格、参数及要求</w:t>
      </w:r>
      <w:r>
        <w:rPr>
          <w:rFonts w:hint="eastAsia" w:ascii="仿宋" w:hAnsi="仿宋" w:eastAsia="仿宋" w:cs="仿宋"/>
          <w:bCs/>
          <w:sz w:val="24"/>
          <w:szCs w:val="24"/>
          <w:highlight w:val="none"/>
        </w:rPr>
        <w:t>”。</w:t>
      </w:r>
    </w:p>
    <w:p w14:paraId="1B0B3D24">
      <w:pPr>
        <w:pStyle w:val="44"/>
        <w:keepNext w:val="0"/>
        <w:keepLines w:val="0"/>
        <w:pageBreakBefore w:val="0"/>
        <w:widowControl w:val="0"/>
        <w:kinsoku/>
        <w:wordWrap/>
        <w:overflowPunct/>
        <w:topLinePunct w:val="0"/>
        <w:bidi w:val="0"/>
        <w:snapToGrid/>
        <w:spacing w:line="420" w:lineRule="atLeast"/>
        <w:ind w:left="0" w:leftChars="0" w:firstLine="482" w:firstLineChars="200"/>
        <w:jc w:val="lef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4．合同金额</w:t>
      </w:r>
    </w:p>
    <w:p w14:paraId="0BE51308">
      <w:pPr>
        <w:pStyle w:val="44"/>
        <w:keepNext w:val="0"/>
        <w:keepLines w:val="0"/>
        <w:pageBreakBefore w:val="0"/>
        <w:widowControl w:val="0"/>
        <w:kinsoku/>
        <w:wordWrap/>
        <w:overflowPunct/>
        <w:topLinePunct w:val="0"/>
        <w:bidi w:val="0"/>
        <w:snapToGrid/>
        <w:spacing w:line="420" w:lineRule="atLeast"/>
        <w:ind w:left="0" w:leftChars="0" w:firstLine="480" w:firstLineChars="200"/>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合同总金额为元人民币，分项价格见响应文件按报价明细表。</w:t>
      </w:r>
    </w:p>
    <w:p w14:paraId="65CBB013">
      <w:pPr>
        <w:pStyle w:val="44"/>
        <w:keepNext w:val="0"/>
        <w:keepLines w:val="0"/>
        <w:pageBreakBefore w:val="0"/>
        <w:widowControl w:val="0"/>
        <w:kinsoku/>
        <w:wordWrap/>
        <w:overflowPunct/>
        <w:topLinePunct w:val="0"/>
        <w:bidi w:val="0"/>
        <w:snapToGrid/>
        <w:spacing w:line="420" w:lineRule="atLeast"/>
        <w:ind w:left="0" w:leftChars="0" w:firstLine="482" w:firstLineChars="200"/>
        <w:jc w:val="lef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5．合同生效及支付条件和方式</w:t>
      </w:r>
    </w:p>
    <w:p w14:paraId="5FD007DD">
      <w:pPr>
        <w:pStyle w:val="44"/>
        <w:keepNext w:val="0"/>
        <w:keepLines w:val="0"/>
        <w:pageBreakBefore w:val="0"/>
        <w:widowControl w:val="0"/>
        <w:kinsoku/>
        <w:wordWrap/>
        <w:overflowPunct/>
        <w:topLinePunct w:val="0"/>
        <w:bidi w:val="0"/>
        <w:snapToGrid/>
        <w:spacing w:line="420" w:lineRule="atLeast"/>
        <w:ind w:left="0" w:leftChars="0" w:firstLine="482" w:firstLineChars="200"/>
        <w:jc w:val="lef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6．交货时间和交货地点</w:t>
      </w:r>
    </w:p>
    <w:p w14:paraId="3F9A7A3E">
      <w:pPr>
        <w:pStyle w:val="44"/>
        <w:keepNext w:val="0"/>
        <w:keepLines w:val="0"/>
        <w:pageBreakBefore w:val="0"/>
        <w:widowControl w:val="0"/>
        <w:kinsoku/>
        <w:wordWrap/>
        <w:overflowPunct/>
        <w:topLinePunct w:val="0"/>
        <w:bidi w:val="0"/>
        <w:snapToGrid/>
        <w:spacing w:line="420" w:lineRule="atLeast"/>
        <w:ind w:left="0" w:leftChars="0" w:firstLine="480" w:firstLineChars="200"/>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 xml:space="preserve">本合同货物的交货时间和交货地点按磋商文件“第四章 </w:t>
      </w:r>
      <w:r>
        <w:rPr>
          <w:rFonts w:hint="eastAsia" w:ascii="仿宋" w:hAnsi="仿宋" w:eastAsia="仿宋" w:cs="仿宋"/>
          <w:sz w:val="24"/>
          <w:szCs w:val="24"/>
          <w:highlight w:val="none"/>
        </w:rPr>
        <w:t>采购需求</w:t>
      </w:r>
      <w:r>
        <w:rPr>
          <w:rFonts w:hint="eastAsia" w:ascii="仿宋" w:hAnsi="仿宋" w:eastAsia="仿宋" w:cs="仿宋"/>
          <w:bCs/>
          <w:sz w:val="24"/>
          <w:szCs w:val="24"/>
          <w:highlight w:val="none"/>
        </w:rPr>
        <w:t>”执行。</w:t>
      </w:r>
    </w:p>
    <w:p w14:paraId="78FD2F96">
      <w:pPr>
        <w:pStyle w:val="45"/>
        <w:keepNext w:val="0"/>
        <w:keepLines w:val="0"/>
        <w:pageBreakBefore w:val="0"/>
        <w:widowControl w:val="0"/>
        <w:kinsoku/>
        <w:wordWrap/>
        <w:overflowPunct/>
        <w:topLinePunct w:val="0"/>
        <w:autoSpaceDE w:val="0"/>
        <w:autoSpaceDN w:val="0"/>
        <w:bidi w:val="0"/>
        <w:adjustRightInd w:val="0"/>
        <w:snapToGrid/>
        <w:spacing w:line="420" w:lineRule="atLeast"/>
        <w:ind w:left="0" w:leftChars="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采购人（盖章）：</w:t>
      </w:r>
      <w:r>
        <w:rPr>
          <w:rFonts w:hint="eastAsia" w:ascii="仿宋" w:hAnsi="仿宋" w:eastAsia="仿宋" w:cs="仿宋"/>
          <w:kern w:val="0"/>
          <w:sz w:val="24"/>
          <w:szCs w:val="24"/>
          <w:highlight w:val="none"/>
        </w:rPr>
        <w:tab/>
      </w:r>
      <w:r>
        <w:rPr>
          <w:rFonts w:hint="eastAsia" w:ascii="仿宋" w:hAnsi="仿宋" w:eastAsia="仿宋" w:cs="仿宋"/>
          <w:kern w:val="0"/>
          <w:sz w:val="24"/>
          <w:szCs w:val="24"/>
          <w:highlight w:val="none"/>
          <w:lang w:val="en-US" w:eastAsia="zh-CN"/>
        </w:rPr>
        <w:t xml:space="preserve">                    </w:t>
      </w:r>
      <w:r>
        <w:rPr>
          <w:rFonts w:hint="eastAsia" w:ascii="仿宋" w:hAnsi="仿宋" w:eastAsia="仿宋" w:cs="仿宋"/>
          <w:kern w:val="0"/>
          <w:sz w:val="24"/>
          <w:szCs w:val="24"/>
          <w:highlight w:val="none"/>
        </w:rPr>
        <w:t>供　　方（盖章）：</w:t>
      </w:r>
    </w:p>
    <w:p w14:paraId="1C3AC583">
      <w:pPr>
        <w:pStyle w:val="45"/>
        <w:keepNext w:val="0"/>
        <w:keepLines w:val="0"/>
        <w:pageBreakBefore w:val="0"/>
        <w:widowControl w:val="0"/>
        <w:kinsoku/>
        <w:wordWrap/>
        <w:overflowPunct/>
        <w:topLinePunct w:val="0"/>
        <w:autoSpaceDE w:val="0"/>
        <w:autoSpaceDN w:val="0"/>
        <w:bidi w:val="0"/>
        <w:adjustRightInd w:val="0"/>
        <w:snapToGrid/>
        <w:spacing w:line="420" w:lineRule="atLeast"/>
        <w:ind w:left="0" w:leftChars="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单位地址：</w:t>
      </w:r>
      <w:r>
        <w:rPr>
          <w:rFonts w:hint="eastAsia" w:ascii="仿宋" w:hAnsi="仿宋" w:eastAsia="仿宋" w:cs="仿宋"/>
          <w:kern w:val="0"/>
          <w:sz w:val="24"/>
          <w:szCs w:val="24"/>
          <w:highlight w:val="none"/>
        </w:rPr>
        <w:tab/>
      </w:r>
      <w:r>
        <w:rPr>
          <w:rFonts w:hint="eastAsia"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en-US" w:eastAsia="zh-CN"/>
        </w:rPr>
        <w:t xml:space="preserve"> </w:t>
      </w:r>
      <w:r>
        <w:rPr>
          <w:rFonts w:hint="eastAsia" w:ascii="仿宋" w:hAnsi="仿宋" w:eastAsia="仿宋" w:cs="仿宋"/>
          <w:kern w:val="0"/>
          <w:sz w:val="24"/>
          <w:szCs w:val="24"/>
          <w:highlight w:val="none"/>
        </w:rPr>
        <w:t>单位地址：</w:t>
      </w:r>
    </w:p>
    <w:p w14:paraId="7B768EF7">
      <w:pPr>
        <w:pStyle w:val="45"/>
        <w:keepNext w:val="0"/>
        <w:keepLines w:val="0"/>
        <w:pageBreakBefore w:val="0"/>
        <w:widowControl w:val="0"/>
        <w:kinsoku/>
        <w:wordWrap/>
        <w:overflowPunct/>
        <w:topLinePunct w:val="0"/>
        <w:autoSpaceDE w:val="0"/>
        <w:autoSpaceDN w:val="0"/>
        <w:bidi w:val="0"/>
        <w:adjustRightInd w:val="0"/>
        <w:snapToGrid/>
        <w:spacing w:line="420" w:lineRule="atLeast"/>
        <w:ind w:left="0" w:leftChars="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法人代表授权人(签字)：</w:t>
      </w:r>
      <w:r>
        <w:rPr>
          <w:rFonts w:hint="eastAsia" w:ascii="仿宋" w:hAnsi="仿宋" w:eastAsia="仿宋" w:cs="仿宋"/>
          <w:kern w:val="0"/>
          <w:sz w:val="24"/>
          <w:szCs w:val="24"/>
          <w:highlight w:val="none"/>
        </w:rPr>
        <w:tab/>
      </w:r>
      <w:r>
        <w:rPr>
          <w:rFonts w:hint="eastAsia" w:ascii="仿宋" w:hAnsi="仿宋" w:eastAsia="仿宋" w:cs="仿宋"/>
          <w:kern w:val="0"/>
          <w:sz w:val="24"/>
          <w:szCs w:val="24"/>
          <w:highlight w:val="none"/>
        </w:rPr>
        <w:t xml:space="preserve">              法人代表授权人(签字)：</w:t>
      </w:r>
    </w:p>
    <w:p w14:paraId="75DD37BB">
      <w:pPr>
        <w:pStyle w:val="45"/>
        <w:keepNext w:val="0"/>
        <w:keepLines w:val="0"/>
        <w:pageBreakBefore w:val="0"/>
        <w:widowControl w:val="0"/>
        <w:kinsoku/>
        <w:wordWrap/>
        <w:overflowPunct/>
        <w:topLinePunct w:val="0"/>
        <w:autoSpaceDE w:val="0"/>
        <w:autoSpaceDN w:val="0"/>
        <w:bidi w:val="0"/>
        <w:adjustRightInd w:val="0"/>
        <w:snapToGrid/>
        <w:spacing w:line="420" w:lineRule="atLeast"/>
        <w:ind w:left="0" w:leftChars="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联 系 人：</w:t>
      </w:r>
      <w:r>
        <w:rPr>
          <w:rFonts w:hint="eastAsia" w:ascii="仿宋" w:hAnsi="仿宋" w:eastAsia="仿宋" w:cs="仿宋"/>
          <w:kern w:val="0"/>
          <w:sz w:val="24"/>
          <w:szCs w:val="24"/>
          <w:highlight w:val="none"/>
        </w:rPr>
        <w:tab/>
      </w:r>
      <w:r>
        <w:rPr>
          <w:rFonts w:hint="eastAsia" w:ascii="仿宋" w:hAnsi="仿宋" w:eastAsia="仿宋" w:cs="仿宋"/>
          <w:kern w:val="0"/>
          <w:sz w:val="24"/>
          <w:szCs w:val="24"/>
          <w:highlight w:val="none"/>
        </w:rPr>
        <w:t xml:space="preserve">                         联 系 人：</w:t>
      </w:r>
    </w:p>
    <w:p w14:paraId="530F84DC">
      <w:pPr>
        <w:pStyle w:val="45"/>
        <w:keepNext w:val="0"/>
        <w:keepLines w:val="0"/>
        <w:pageBreakBefore w:val="0"/>
        <w:widowControl w:val="0"/>
        <w:kinsoku/>
        <w:wordWrap/>
        <w:overflowPunct/>
        <w:topLinePunct w:val="0"/>
        <w:autoSpaceDE w:val="0"/>
        <w:autoSpaceDN w:val="0"/>
        <w:bidi w:val="0"/>
        <w:adjustRightInd w:val="0"/>
        <w:snapToGrid/>
        <w:spacing w:line="420" w:lineRule="atLeast"/>
        <w:ind w:left="0" w:leftChars="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电　　话：</w:t>
      </w:r>
      <w:r>
        <w:rPr>
          <w:rFonts w:hint="eastAsia" w:ascii="仿宋" w:hAnsi="仿宋" w:eastAsia="仿宋" w:cs="仿宋"/>
          <w:kern w:val="0"/>
          <w:sz w:val="24"/>
          <w:szCs w:val="24"/>
          <w:highlight w:val="none"/>
        </w:rPr>
        <w:tab/>
      </w:r>
      <w:r>
        <w:rPr>
          <w:rFonts w:hint="eastAsia"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en-US" w:eastAsia="zh-CN"/>
        </w:rPr>
        <w:t xml:space="preserve"> </w:t>
      </w:r>
      <w:r>
        <w:rPr>
          <w:rFonts w:hint="eastAsia" w:ascii="仿宋" w:hAnsi="仿宋" w:eastAsia="仿宋" w:cs="仿宋"/>
          <w:kern w:val="0"/>
          <w:sz w:val="24"/>
          <w:szCs w:val="24"/>
          <w:highlight w:val="none"/>
        </w:rPr>
        <w:t xml:space="preserve">  电　　话：</w:t>
      </w:r>
    </w:p>
    <w:p w14:paraId="2559B731">
      <w:pPr>
        <w:pStyle w:val="45"/>
        <w:keepNext w:val="0"/>
        <w:keepLines w:val="0"/>
        <w:pageBreakBefore w:val="0"/>
        <w:widowControl w:val="0"/>
        <w:kinsoku/>
        <w:wordWrap/>
        <w:overflowPunct/>
        <w:topLinePunct w:val="0"/>
        <w:autoSpaceDE w:val="0"/>
        <w:autoSpaceDN w:val="0"/>
        <w:bidi w:val="0"/>
        <w:adjustRightInd w:val="0"/>
        <w:snapToGrid/>
        <w:spacing w:line="420" w:lineRule="atLeast"/>
        <w:ind w:left="0" w:leftChars="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传　　真：</w:t>
      </w:r>
      <w:r>
        <w:rPr>
          <w:rFonts w:hint="eastAsia" w:ascii="仿宋" w:hAnsi="仿宋" w:eastAsia="仿宋" w:cs="仿宋"/>
          <w:kern w:val="0"/>
          <w:sz w:val="24"/>
          <w:szCs w:val="24"/>
          <w:highlight w:val="none"/>
        </w:rPr>
        <w:tab/>
      </w:r>
      <w:r>
        <w:rPr>
          <w:rFonts w:hint="eastAsia"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en-US" w:eastAsia="zh-CN"/>
        </w:rPr>
        <w:t xml:space="preserve"> </w:t>
      </w:r>
      <w:r>
        <w:rPr>
          <w:rFonts w:hint="eastAsia" w:ascii="仿宋" w:hAnsi="仿宋" w:eastAsia="仿宋" w:cs="仿宋"/>
          <w:kern w:val="0"/>
          <w:sz w:val="24"/>
          <w:szCs w:val="24"/>
          <w:highlight w:val="none"/>
        </w:rPr>
        <w:t xml:space="preserve">  传　　真：</w:t>
      </w:r>
    </w:p>
    <w:p w14:paraId="6C0CBF2C">
      <w:pPr>
        <w:pStyle w:val="45"/>
        <w:keepNext w:val="0"/>
        <w:keepLines w:val="0"/>
        <w:pageBreakBefore w:val="0"/>
        <w:widowControl w:val="0"/>
        <w:kinsoku/>
        <w:wordWrap/>
        <w:overflowPunct/>
        <w:topLinePunct w:val="0"/>
        <w:autoSpaceDE w:val="0"/>
        <w:autoSpaceDN w:val="0"/>
        <w:bidi w:val="0"/>
        <w:adjustRightInd w:val="0"/>
        <w:snapToGrid/>
        <w:spacing w:line="420" w:lineRule="atLeast"/>
        <w:ind w:left="0" w:leftChars="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邮政编码：</w:t>
      </w:r>
      <w:r>
        <w:rPr>
          <w:rFonts w:hint="eastAsia" w:ascii="仿宋" w:hAnsi="仿宋" w:eastAsia="仿宋" w:cs="仿宋"/>
          <w:kern w:val="0"/>
          <w:sz w:val="24"/>
          <w:szCs w:val="24"/>
          <w:highlight w:val="none"/>
        </w:rPr>
        <w:tab/>
      </w:r>
      <w:r>
        <w:rPr>
          <w:rFonts w:hint="eastAsia"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en-US" w:eastAsia="zh-CN"/>
        </w:rPr>
        <w:t xml:space="preserve">  </w:t>
      </w:r>
      <w:r>
        <w:rPr>
          <w:rFonts w:hint="eastAsia" w:ascii="仿宋" w:hAnsi="仿宋" w:eastAsia="仿宋" w:cs="仿宋"/>
          <w:kern w:val="0"/>
          <w:sz w:val="24"/>
          <w:szCs w:val="24"/>
          <w:highlight w:val="none"/>
        </w:rPr>
        <w:t xml:space="preserve">  邮政编码：</w:t>
      </w:r>
    </w:p>
    <w:p w14:paraId="7725A343">
      <w:pPr>
        <w:pStyle w:val="45"/>
        <w:keepNext w:val="0"/>
        <w:keepLines w:val="0"/>
        <w:pageBreakBefore w:val="0"/>
        <w:widowControl w:val="0"/>
        <w:kinsoku/>
        <w:wordWrap/>
        <w:overflowPunct/>
        <w:topLinePunct w:val="0"/>
        <w:autoSpaceDE w:val="0"/>
        <w:autoSpaceDN w:val="0"/>
        <w:bidi w:val="0"/>
        <w:adjustRightInd w:val="0"/>
        <w:snapToGrid/>
        <w:spacing w:line="420" w:lineRule="atLeast"/>
        <w:ind w:left="0" w:leftChars="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开户银行：</w:t>
      </w:r>
      <w:r>
        <w:rPr>
          <w:rFonts w:hint="eastAsia" w:ascii="仿宋" w:hAnsi="仿宋" w:eastAsia="仿宋" w:cs="仿宋"/>
          <w:kern w:val="0"/>
          <w:sz w:val="24"/>
          <w:szCs w:val="24"/>
          <w:highlight w:val="none"/>
        </w:rPr>
        <w:tab/>
      </w:r>
      <w:r>
        <w:rPr>
          <w:rFonts w:hint="eastAsia"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en-US" w:eastAsia="zh-CN"/>
        </w:rPr>
        <w:t xml:space="preserve"> </w:t>
      </w:r>
      <w:r>
        <w:rPr>
          <w:rFonts w:hint="eastAsia" w:ascii="仿宋" w:hAnsi="仿宋" w:eastAsia="仿宋" w:cs="仿宋"/>
          <w:kern w:val="0"/>
          <w:sz w:val="24"/>
          <w:szCs w:val="24"/>
          <w:highlight w:val="none"/>
        </w:rPr>
        <w:t xml:space="preserve">   开户银行：</w:t>
      </w:r>
    </w:p>
    <w:p w14:paraId="4AEAC875">
      <w:pPr>
        <w:pStyle w:val="45"/>
        <w:keepNext w:val="0"/>
        <w:keepLines w:val="0"/>
        <w:pageBreakBefore w:val="0"/>
        <w:widowControl w:val="0"/>
        <w:kinsoku/>
        <w:wordWrap/>
        <w:overflowPunct/>
        <w:topLinePunct w:val="0"/>
        <w:autoSpaceDE w:val="0"/>
        <w:autoSpaceDN w:val="0"/>
        <w:bidi w:val="0"/>
        <w:adjustRightInd w:val="0"/>
        <w:snapToGrid/>
        <w:spacing w:line="420" w:lineRule="atLeast"/>
        <w:ind w:left="0" w:leftChars="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帐　　号：</w:t>
      </w:r>
      <w:r>
        <w:rPr>
          <w:rFonts w:hint="eastAsia" w:ascii="仿宋" w:hAnsi="仿宋" w:eastAsia="仿宋" w:cs="仿宋"/>
          <w:kern w:val="0"/>
          <w:sz w:val="24"/>
          <w:szCs w:val="24"/>
          <w:highlight w:val="none"/>
        </w:rPr>
        <w:tab/>
      </w:r>
      <w:r>
        <w:rPr>
          <w:rFonts w:hint="eastAsia" w:ascii="仿宋" w:hAnsi="仿宋" w:eastAsia="仿宋" w:cs="仿宋"/>
          <w:kern w:val="0"/>
          <w:sz w:val="24"/>
          <w:szCs w:val="24"/>
          <w:highlight w:val="none"/>
          <w:lang w:val="en-US" w:eastAsia="zh-CN"/>
        </w:rPr>
        <w:t xml:space="preserve">                         </w:t>
      </w:r>
      <w:r>
        <w:rPr>
          <w:rFonts w:hint="eastAsia" w:ascii="仿宋" w:hAnsi="仿宋" w:eastAsia="仿宋" w:cs="仿宋"/>
          <w:kern w:val="0"/>
          <w:sz w:val="24"/>
          <w:szCs w:val="24"/>
          <w:highlight w:val="none"/>
        </w:rPr>
        <w:t>帐　　号：</w:t>
      </w:r>
    </w:p>
    <w:p w14:paraId="2A3D7D23">
      <w:pPr>
        <w:pStyle w:val="45"/>
        <w:keepNext w:val="0"/>
        <w:keepLines w:val="0"/>
        <w:pageBreakBefore w:val="0"/>
        <w:widowControl w:val="0"/>
        <w:kinsoku/>
        <w:wordWrap/>
        <w:overflowPunct/>
        <w:topLinePunct w:val="0"/>
        <w:bidi w:val="0"/>
        <w:snapToGrid/>
        <w:spacing w:line="420" w:lineRule="atLeast"/>
        <w:ind w:left="0" w:leftChars="0" w:firstLine="962" w:firstLineChars="200"/>
        <w:jc w:val="center"/>
        <w:textAlignment w:val="auto"/>
        <w:rPr>
          <w:rFonts w:hint="eastAsia" w:ascii="仿宋" w:hAnsi="仿宋" w:eastAsia="仿宋" w:cs="仿宋"/>
          <w:b/>
          <w:kern w:val="0"/>
          <w:sz w:val="24"/>
          <w:szCs w:val="24"/>
          <w:highlight w:val="none"/>
        </w:rPr>
      </w:pPr>
      <w:bookmarkStart w:id="19" w:name="_Hlk450145418"/>
      <w:r>
        <w:rPr>
          <w:rFonts w:hint="eastAsia" w:ascii="仿宋" w:hAnsi="仿宋" w:eastAsia="仿宋" w:cs="仿宋"/>
          <w:b/>
          <w:spacing w:val="120"/>
          <w:kern w:val="0"/>
          <w:sz w:val="24"/>
          <w:szCs w:val="24"/>
          <w:highlight w:val="none"/>
        </w:rPr>
        <w:t>合同条</w:t>
      </w:r>
      <w:r>
        <w:rPr>
          <w:rFonts w:hint="eastAsia" w:ascii="仿宋" w:hAnsi="仿宋" w:eastAsia="仿宋" w:cs="仿宋"/>
          <w:b/>
          <w:kern w:val="0"/>
          <w:sz w:val="24"/>
          <w:szCs w:val="24"/>
          <w:highlight w:val="none"/>
        </w:rPr>
        <w:t>款</w:t>
      </w:r>
    </w:p>
    <w:p w14:paraId="2677B418">
      <w:pPr>
        <w:pStyle w:val="45"/>
        <w:keepNext w:val="0"/>
        <w:keepLines w:val="0"/>
        <w:pageBreakBefore w:val="0"/>
        <w:widowControl w:val="0"/>
        <w:kinsoku/>
        <w:wordWrap/>
        <w:overflowPunct/>
        <w:topLinePunct w:val="0"/>
        <w:bidi w:val="0"/>
        <w:snapToGrid/>
        <w:spacing w:line="420" w:lineRule="atLeast"/>
        <w:ind w:left="0" w:leftChars="0" w:firstLine="482" w:firstLineChars="200"/>
        <w:jc w:val="lef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1．有关概念</w:t>
      </w:r>
    </w:p>
    <w:p w14:paraId="62CFF85A">
      <w:pPr>
        <w:pStyle w:val="45"/>
        <w:keepNext w:val="0"/>
        <w:keepLines w:val="0"/>
        <w:pageBreakBefore w:val="0"/>
        <w:widowControl w:val="0"/>
        <w:kinsoku/>
        <w:wordWrap/>
        <w:overflowPunct/>
        <w:topLinePunct w:val="0"/>
        <w:bidi w:val="0"/>
        <w:snapToGrid/>
        <w:spacing w:line="420" w:lineRule="atLeast"/>
        <w:ind w:left="0" w:leftChars="0" w:firstLine="480" w:firstLineChars="200"/>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本合同下列术语应解释为：</w:t>
      </w:r>
    </w:p>
    <w:p w14:paraId="4B6AC14B">
      <w:pPr>
        <w:pStyle w:val="45"/>
        <w:keepNext w:val="0"/>
        <w:keepLines w:val="0"/>
        <w:pageBreakBefore w:val="0"/>
        <w:widowControl w:val="0"/>
        <w:kinsoku/>
        <w:wordWrap/>
        <w:overflowPunct/>
        <w:topLinePunct w:val="0"/>
        <w:bidi w:val="0"/>
        <w:snapToGrid/>
        <w:spacing w:line="420" w:lineRule="atLeast"/>
        <w:ind w:left="0" w:leftChars="0" w:firstLine="480" w:firstLineChars="200"/>
        <w:jc w:val="left"/>
        <w:textAlignment w:val="auto"/>
        <w:rPr>
          <w:rFonts w:hint="eastAsia" w:ascii="仿宋" w:hAnsi="仿宋" w:eastAsia="仿宋" w:cs="仿宋"/>
          <w:bCs/>
          <w:sz w:val="24"/>
          <w:szCs w:val="24"/>
          <w:highlight w:val="none"/>
        </w:rPr>
      </w:pPr>
      <w:r>
        <w:rPr>
          <w:rFonts w:hint="eastAsia" w:ascii="仿宋" w:hAnsi="仿宋" w:eastAsia="仿宋" w:cs="仿宋"/>
          <w:sz w:val="24"/>
          <w:szCs w:val="24"/>
          <w:highlight w:val="none"/>
        </w:rPr>
        <w:t>1.1</w:t>
      </w:r>
      <w:r>
        <w:rPr>
          <w:rFonts w:hint="eastAsia" w:ascii="仿宋" w:hAnsi="仿宋" w:eastAsia="仿宋" w:cs="仿宋"/>
          <w:bCs/>
          <w:sz w:val="24"/>
          <w:szCs w:val="24"/>
          <w:highlight w:val="none"/>
        </w:rPr>
        <w:t>“合同”，系指买供双方签署的、合同格式中载明的买供双方所达成的协议，包括所有的附件、附录和上述文件所提到的构成合同的所有文件。</w:t>
      </w:r>
    </w:p>
    <w:p w14:paraId="1901A1CD">
      <w:pPr>
        <w:pStyle w:val="45"/>
        <w:keepNext w:val="0"/>
        <w:keepLines w:val="0"/>
        <w:pageBreakBefore w:val="0"/>
        <w:widowControl w:val="0"/>
        <w:kinsoku/>
        <w:wordWrap/>
        <w:overflowPunct/>
        <w:topLinePunct w:val="0"/>
        <w:bidi w:val="0"/>
        <w:snapToGrid/>
        <w:spacing w:line="420" w:lineRule="atLeast"/>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1.2“合同价”，系指根据合同规定供方在正确地履行合同义务后采购人应支付给供方的价格。</w:t>
      </w:r>
    </w:p>
    <w:p w14:paraId="7514EFE1">
      <w:pPr>
        <w:pStyle w:val="45"/>
        <w:keepNext w:val="0"/>
        <w:keepLines w:val="0"/>
        <w:pageBreakBefore w:val="0"/>
        <w:widowControl w:val="0"/>
        <w:kinsoku/>
        <w:wordWrap/>
        <w:overflowPunct/>
        <w:topLinePunct w:val="0"/>
        <w:bidi w:val="0"/>
        <w:snapToGrid/>
        <w:spacing w:line="420" w:lineRule="atLeast"/>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1.3“货物”，系指供方根据合同规定须向采购人提供的各种形态和种类的物品，包括产品、设备、配件等。</w:t>
      </w:r>
    </w:p>
    <w:p w14:paraId="1BE65A50">
      <w:pPr>
        <w:pStyle w:val="45"/>
        <w:keepNext w:val="0"/>
        <w:keepLines w:val="0"/>
        <w:pageBreakBefore w:val="0"/>
        <w:widowControl w:val="0"/>
        <w:kinsoku/>
        <w:wordWrap/>
        <w:overflowPunct/>
        <w:topLinePunct w:val="0"/>
        <w:bidi w:val="0"/>
        <w:snapToGrid/>
        <w:spacing w:line="420" w:lineRule="atLeast"/>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1.4“服务”，系指伴随本项目产生的，根据合同规定由供方承担的与供货有关的辅助服务，例如安装、调试、技术援助、培训、售后服务等以及合同中规定供方应承担的所有其它类似义务。</w:t>
      </w:r>
    </w:p>
    <w:p w14:paraId="25392CD8">
      <w:pPr>
        <w:pStyle w:val="45"/>
        <w:keepNext w:val="0"/>
        <w:keepLines w:val="0"/>
        <w:pageBreakBefore w:val="0"/>
        <w:widowControl w:val="0"/>
        <w:kinsoku/>
        <w:wordWrap/>
        <w:overflowPunct/>
        <w:topLinePunct w:val="0"/>
        <w:bidi w:val="0"/>
        <w:snapToGrid/>
        <w:spacing w:line="420" w:lineRule="atLeast"/>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1.5“采购人”，系指磋商文件中所述购买货物和服务的单位。</w:t>
      </w:r>
    </w:p>
    <w:p w14:paraId="74BD1D63">
      <w:pPr>
        <w:pStyle w:val="45"/>
        <w:keepNext w:val="0"/>
        <w:keepLines w:val="0"/>
        <w:pageBreakBefore w:val="0"/>
        <w:widowControl w:val="0"/>
        <w:kinsoku/>
        <w:wordWrap/>
        <w:overflowPunct/>
        <w:topLinePunct w:val="0"/>
        <w:bidi w:val="0"/>
        <w:snapToGrid/>
        <w:spacing w:line="420" w:lineRule="atLeast"/>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1.6“供方”，系指磋商文件中所述提供货物和服务的公司或实体，亦即中标人。</w:t>
      </w:r>
    </w:p>
    <w:p w14:paraId="367C95FE">
      <w:pPr>
        <w:pStyle w:val="45"/>
        <w:keepNext w:val="0"/>
        <w:keepLines w:val="0"/>
        <w:pageBreakBefore w:val="0"/>
        <w:widowControl w:val="0"/>
        <w:kinsoku/>
        <w:wordWrap/>
        <w:overflowPunct/>
        <w:topLinePunct w:val="0"/>
        <w:bidi w:val="0"/>
        <w:snapToGrid/>
        <w:spacing w:line="420" w:lineRule="atLeast"/>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1.7“天”，系日历天数。</w:t>
      </w:r>
    </w:p>
    <w:p w14:paraId="7F69F8C8">
      <w:pPr>
        <w:pStyle w:val="45"/>
        <w:keepNext w:val="0"/>
        <w:keepLines w:val="0"/>
        <w:pageBreakBefore w:val="0"/>
        <w:widowControl w:val="0"/>
        <w:kinsoku/>
        <w:wordWrap/>
        <w:overflowPunct/>
        <w:topLinePunct w:val="0"/>
        <w:bidi w:val="0"/>
        <w:snapToGrid/>
        <w:spacing w:line="420" w:lineRule="atLeast"/>
        <w:ind w:left="0" w:leftChars="0" w:firstLine="482" w:firstLineChars="200"/>
        <w:jc w:val="lef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2．技术规格</w:t>
      </w:r>
    </w:p>
    <w:p w14:paraId="6827F9B9">
      <w:pPr>
        <w:pStyle w:val="45"/>
        <w:keepNext w:val="0"/>
        <w:keepLines w:val="0"/>
        <w:pageBreakBefore w:val="0"/>
        <w:widowControl w:val="0"/>
        <w:kinsoku/>
        <w:wordWrap/>
        <w:overflowPunct/>
        <w:topLinePunct w:val="0"/>
        <w:bidi w:val="0"/>
        <w:snapToGrid/>
        <w:spacing w:line="420" w:lineRule="atLeast"/>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2.1交付货物的技术规格应与响应文件规定的技术规格以及所附的技术规格响应表相一致。</w:t>
      </w:r>
    </w:p>
    <w:p w14:paraId="3927C588">
      <w:pPr>
        <w:pStyle w:val="45"/>
        <w:keepNext w:val="0"/>
        <w:keepLines w:val="0"/>
        <w:pageBreakBefore w:val="0"/>
        <w:widowControl w:val="0"/>
        <w:kinsoku/>
        <w:wordWrap/>
        <w:overflowPunct/>
        <w:topLinePunct w:val="0"/>
        <w:bidi w:val="0"/>
        <w:snapToGrid/>
        <w:spacing w:line="420" w:lineRule="atLeast"/>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2.2除技术规格另有规定外，计量单位均使用中华人民共和国法定计量单位。</w:t>
      </w:r>
    </w:p>
    <w:p w14:paraId="57C79D29">
      <w:pPr>
        <w:pStyle w:val="45"/>
        <w:keepNext w:val="0"/>
        <w:keepLines w:val="0"/>
        <w:pageBreakBefore w:val="0"/>
        <w:widowControl w:val="0"/>
        <w:kinsoku/>
        <w:wordWrap/>
        <w:overflowPunct/>
        <w:topLinePunct w:val="0"/>
        <w:bidi w:val="0"/>
        <w:snapToGrid/>
        <w:spacing w:line="420" w:lineRule="atLeast"/>
        <w:ind w:left="0" w:leftChars="0" w:firstLine="482" w:firstLineChars="200"/>
        <w:jc w:val="lef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3．专利权</w:t>
      </w:r>
    </w:p>
    <w:p w14:paraId="2B117D50">
      <w:pPr>
        <w:pStyle w:val="45"/>
        <w:keepNext w:val="0"/>
        <w:keepLines w:val="0"/>
        <w:pageBreakBefore w:val="0"/>
        <w:widowControl w:val="0"/>
        <w:kinsoku/>
        <w:wordWrap/>
        <w:overflowPunct/>
        <w:topLinePunct w:val="0"/>
        <w:bidi w:val="0"/>
        <w:snapToGrid/>
        <w:spacing w:line="420" w:lineRule="atLeast"/>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3.1供方应保证采购人在使用该货物或其任何一部分时免受第三方提出侵犯其专利权、商标权或工业设计权的起诉。若由此出现侵权诉讼，由供方承担全部责任。</w:t>
      </w:r>
    </w:p>
    <w:p w14:paraId="6F1CA7C8">
      <w:pPr>
        <w:pStyle w:val="45"/>
        <w:keepNext w:val="0"/>
        <w:keepLines w:val="0"/>
        <w:pageBreakBefore w:val="0"/>
        <w:widowControl w:val="0"/>
        <w:kinsoku/>
        <w:wordWrap/>
        <w:overflowPunct/>
        <w:topLinePunct w:val="0"/>
        <w:bidi w:val="0"/>
        <w:snapToGrid/>
        <w:spacing w:line="420" w:lineRule="atLeast"/>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3.2供方按合同要求为采购人提交的设计方案，其所有权、使用权等所有权力均转为采购人所拥有，供方放弃拥有关于设计方案的所有权力。</w:t>
      </w:r>
    </w:p>
    <w:p w14:paraId="2E7126B1">
      <w:pPr>
        <w:pStyle w:val="45"/>
        <w:keepNext w:val="0"/>
        <w:keepLines w:val="0"/>
        <w:pageBreakBefore w:val="0"/>
        <w:widowControl w:val="0"/>
        <w:kinsoku/>
        <w:wordWrap/>
        <w:overflowPunct/>
        <w:topLinePunct w:val="0"/>
        <w:bidi w:val="0"/>
        <w:snapToGrid/>
        <w:spacing w:line="420" w:lineRule="atLeast"/>
        <w:ind w:left="0" w:leftChars="0" w:firstLine="482" w:firstLineChars="200"/>
        <w:jc w:val="lef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4.包装要求</w:t>
      </w:r>
    </w:p>
    <w:p w14:paraId="57C76E8C">
      <w:pPr>
        <w:pStyle w:val="45"/>
        <w:keepNext w:val="0"/>
        <w:keepLines w:val="0"/>
        <w:pageBreakBefore w:val="0"/>
        <w:widowControl w:val="0"/>
        <w:kinsoku/>
        <w:wordWrap/>
        <w:overflowPunct/>
        <w:topLinePunct w:val="0"/>
        <w:bidi w:val="0"/>
        <w:snapToGrid/>
        <w:spacing w:line="420" w:lineRule="atLeast"/>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4.1除合同另有规定外，供方提供的所有单独包装的货物都应具有原始的、完好的标准包装。如遇交付前已拆封货物，采购人有权拒绝接受或要求更换。</w:t>
      </w:r>
    </w:p>
    <w:p w14:paraId="1A208106">
      <w:pPr>
        <w:pStyle w:val="45"/>
        <w:keepNext w:val="0"/>
        <w:keepLines w:val="0"/>
        <w:pageBreakBefore w:val="0"/>
        <w:widowControl w:val="0"/>
        <w:kinsoku/>
        <w:wordWrap/>
        <w:overflowPunct/>
        <w:topLinePunct w:val="0"/>
        <w:bidi w:val="0"/>
        <w:snapToGrid/>
        <w:spacing w:line="420" w:lineRule="atLeast"/>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4.2每个包装箱内的装箱清单、使用说明书、质量证书、保修卡及软件使用说明等所有资料均须齐全。</w:t>
      </w:r>
    </w:p>
    <w:p w14:paraId="085C9F65">
      <w:pPr>
        <w:pStyle w:val="45"/>
        <w:keepNext w:val="0"/>
        <w:keepLines w:val="0"/>
        <w:pageBreakBefore w:val="0"/>
        <w:widowControl w:val="0"/>
        <w:kinsoku/>
        <w:wordWrap/>
        <w:overflowPunct/>
        <w:topLinePunct w:val="0"/>
        <w:bidi w:val="0"/>
        <w:snapToGrid/>
        <w:spacing w:line="420" w:lineRule="atLeast"/>
        <w:ind w:left="0" w:leftChars="0" w:firstLine="482" w:firstLineChars="200"/>
        <w:jc w:val="lef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5. 装运条件</w:t>
      </w:r>
    </w:p>
    <w:p w14:paraId="3E0CED39">
      <w:pPr>
        <w:pStyle w:val="45"/>
        <w:keepNext w:val="0"/>
        <w:keepLines w:val="0"/>
        <w:pageBreakBefore w:val="0"/>
        <w:widowControl w:val="0"/>
        <w:kinsoku/>
        <w:wordWrap/>
        <w:overflowPunct/>
        <w:topLinePunct w:val="0"/>
        <w:bidi w:val="0"/>
        <w:snapToGrid/>
        <w:spacing w:line="420" w:lineRule="atLeast"/>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5.1供方负责安排运输，运输费由供方承担。</w:t>
      </w:r>
    </w:p>
    <w:p w14:paraId="73961922">
      <w:pPr>
        <w:pStyle w:val="45"/>
        <w:keepNext w:val="0"/>
        <w:keepLines w:val="0"/>
        <w:pageBreakBefore w:val="0"/>
        <w:widowControl w:val="0"/>
        <w:kinsoku/>
        <w:wordWrap/>
        <w:overflowPunct/>
        <w:topLinePunct w:val="0"/>
        <w:bidi w:val="0"/>
        <w:snapToGrid/>
        <w:spacing w:line="420" w:lineRule="atLeast"/>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5.2提单日期应视为实际交货日期。</w:t>
      </w:r>
    </w:p>
    <w:p w14:paraId="56657A02">
      <w:pPr>
        <w:pStyle w:val="45"/>
        <w:keepNext w:val="0"/>
        <w:keepLines w:val="0"/>
        <w:pageBreakBefore w:val="0"/>
        <w:widowControl w:val="0"/>
        <w:kinsoku/>
        <w:wordWrap/>
        <w:overflowPunct/>
        <w:topLinePunct w:val="0"/>
        <w:bidi w:val="0"/>
        <w:snapToGrid/>
        <w:spacing w:line="420" w:lineRule="atLeast"/>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5.3供方装运的货物不得超过合同规定的数量或重量。否则，供方应对超运数量或重量而产生的一切后果负责。</w:t>
      </w:r>
    </w:p>
    <w:p w14:paraId="13318C3B">
      <w:pPr>
        <w:pStyle w:val="45"/>
        <w:keepNext w:val="0"/>
        <w:keepLines w:val="0"/>
        <w:pageBreakBefore w:val="0"/>
        <w:widowControl w:val="0"/>
        <w:kinsoku/>
        <w:wordWrap/>
        <w:overflowPunct/>
        <w:topLinePunct w:val="0"/>
        <w:bidi w:val="0"/>
        <w:snapToGrid/>
        <w:spacing w:line="420" w:lineRule="atLeast"/>
        <w:ind w:left="0" w:leftChars="0" w:firstLine="482" w:firstLineChars="200"/>
        <w:jc w:val="lef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6. 付款</w:t>
      </w:r>
    </w:p>
    <w:p w14:paraId="54211641">
      <w:pPr>
        <w:pStyle w:val="45"/>
        <w:keepNext w:val="0"/>
        <w:keepLines w:val="0"/>
        <w:pageBreakBefore w:val="0"/>
        <w:widowControl w:val="0"/>
        <w:kinsoku/>
        <w:wordWrap/>
        <w:overflowPunct/>
        <w:topLinePunct w:val="0"/>
        <w:bidi w:val="0"/>
        <w:snapToGrid/>
        <w:spacing w:line="420" w:lineRule="atLeast"/>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6.1本合同以人民币支付。</w:t>
      </w:r>
    </w:p>
    <w:p w14:paraId="1844FBA5">
      <w:pPr>
        <w:pStyle w:val="45"/>
        <w:keepNext w:val="0"/>
        <w:keepLines w:val="0"/>
        <w:pageBreakBefore w:val="0"/>
        <w:widowControl w:val="0"/>
        <w:kinsoku/>
        <w:wordWrap/>
        <w:overflowPunct/>
        <w:topLinePunct w:val="0"/>
        <w:bidi w:val="0"/>
        <w:snapToGrid/>
        <w:spacing w:line="420" w:lineRule="atLeast"/>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6.2供方按照合同规定交货。交货后供方把下列单据提交给采购人,采购人按合同规定审核后办理付款手续：</w:t>
      </w:r>
    </w:p>
    <w:p w14:paraId="1A8356A1">
      <w:pPr>
        <w:pStyle w:val="45"/>
        <w:keepNext w:val="0"/>
        <w:keepLines w:val="0"/>
        <w:pageBreakBefore w:val="0"/>
        <w:widowControl w:val="0"/>
        <w:kinsoku/>
        <w:wordWrap/>
        <w:overflowPunct/>
        <w:topLinePunct w:val="0"/>
        <w:bidi w:val="0"/>
        <w:snapToGrid/>
        <w:spacing w:line="420" w:lineRule="atLeast"/>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（1）发票</w:t>
      </w:r>
    </w:p>
    <w:p w14:paraId="2C65F94F">
      <w:pPr>
        <w:pStyle w:val="45"/>
        <w:keepNext w:val="0"/>
        <w:keepLines w:val="0"/>
        <w:pageBreakBefore w:val="0"/>
        <w:widowControl w:val="0"/>
        <w:kinsoku/>
        <w:wordWrap/>
        <w:overflowPunct/>
        <w:topLinePunct w:val="0"/>
        <w:bidi w:val="0"/>
        <w:snapToGrid/>
        <w:spacing w:line="420" w:lineRule="atLeast"/>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（2）质量证书</w:t>
      </w:r>
    </w:p>
    <w:p w14:paraId="3928FDBA">
      <w:pPr>
        <w:pStyle w:val="45"/>
        <w:keepNext w:val="0"/>
        <w:keepLines w:val="0"/>
        <w:pageBreakBefore w:val="0"/>
        <w:widowControl w:val="0"/>
        <w:kinsoku/>
        <w:wordWrap/>
        <w:overflowPunct/>
        <w:topLinePunct w:val="0"/>
        <w:bidi w:val="0"/>
        <w:snapToGrid/>
        <w:spacing w:line="420" w:lineRule="atLeast"/>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（3）详细配置、数量清单</w:t>
      </w:r>
    </w:p>
    <w:p w14:paraId="1F82AE70">
      <w:pPr>
        <w:pStyle w:val="45"/>
        <w:keepNext w:val="0"/>
        <w:keepLines w:val="0"/>
        <w:pageBreakBefore w:val="0"/>
        <w:widowControl w:val="0"/>
        <w:kinsoku/>
        <w:wordWrap/>
        <w:overflowPunct/>
        <w:topLinePunct w:val="0"/>
        <w:bidi w:val="0"/>
        <w:snapToGrid/>
        <w:spacing w:line="420" w:lineRule="atLeast"/>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（4）检验报告</w:t>
      </w:r>
    </w:p>
    <w:p w14:paraId="53F8A349">
      <w:pPr>
        <w:pStyle w:val="45"/>
        <w:keepNext w:val="0"/>
        <w:keepLines w:val="0"/>
        <w:pageBreakBefore w:val="0"/>
        <w:widowControl w:val="0"/>
        <w:kinsoku/>
        <w:wordWrap/>
        <w:overflowPunct/>
        <w:topLinePunct w:val="0"/>
        <w:bidi w:val="0"/>
        <w:snapToGrid/>
        <w:spacing w:line="420" w:lineRule="atLeast"/>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6.3采购人按合同规定的合同生效及支付条件和方式安排付款。</w:t>
      </w:r>
    </w:p>
    <w:p w14:paraId="4C3113CE">
      <w:pPr>
        <w:pStyle w:val="45"/>
        <w:keepNext w:val="0"/>
        <w:keepLines w:val="0"/>
        <w:pageBreakBefore w:val="0"/>
        <w:widowControl w:val="0"/>
        <w:kinsoku/>
        <w:wordWrap/>
        <w:overflowPunct/>
        <w:topLinePunct w:val="0"/>
        <w:bidi w:val="0"/>
        <w:snapToGrid/>
        <w:spacing w:line="420" w:lineRule="atLeast"/>
        <w:ind w:left="0" w:leftChars="0" w:firstLine="482" w:firstLineChars="200"/>
        <w:jc w:val="lef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7．伴随服务</w:t>
      </w:r>
    </w:p>
    <w:p w14:paraId="5E5BDA04">
      <w:pPr>
        <w:pStyle w:val="45"/>
        <w:keepNext w:val="0"/>
        <w:keepLines w:val="0"/>
        <w:pageBreakBefore w:val="0"/>
        <w:widowControl w:val="0"/>
        <w:kinsoku/>
        <w:wordWrap/>
        <w:overflowPunct/>
        <w:topLinePunct w:val="0"/>
        <w:bidi w:val="0"/>
        <w:snapToGrid/>
        <w:spacing w:line="420" w:lineRule="atLeast"/>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7.1供方随同货物提交所供货物的技术资料。包括相应每套货物的中文技术文件，如：产品目录、操作手册、使用说明、维护手册或服务指南等。</w:t>
      </w:r>
    </w:p>
    <w:p w14:paraId="5EA2ECA3">
      <w:pPr>
        <w:pStyle w:val="45"/>
        <w:keepNext w:val="0"/>
        <w:keepLines w:val="0"/>
        <w:pageBreakBefore w:val="0"/>
        <w:widowControl w:val="0"/>
        <w:kinsoku/>
        <w:wordWrap/>
        <w:overflowPunct/>
        <w:topLinePunct w:val="0"/>
        <w:bidi w:val="0"/>
        <w:snapToGrid/>
        <w:spacing w:line="420" w:lineRule="atLeast"/>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7.2供方应提供下列服务：</w:t>
      </w:r>
    </w:p>
    <w:p w14:paraId="1006CEC2">
      <w:pPr>
        <w:pStyle w:val="45"/>
        <w:keepNext w:val="0"/>
        <w:keepLines w:val="0"/>
        <w:pageBreakBefore w:val="0"/>
        <w:widowControl w:val="0"/>
        <w:kinsoku/>
        <w:wordWrap/>
        <w:overflowPunct/>
        <w:topLinePunct w:val="0"/>
        <w:bidi w:val="0"/>
        <w:snapToGrid/>
        <w:spacing w:line="420" w:lineRule="atLeast"/>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（1）货物的现场安装和启动监督；</w:t>
      </w:r>
    </w:p>
    <w:p w14:paraId="2A51F8D1">
      <w:pPr>
        <w:pStyle w:val="45"/>
        <w:keepNext w:val="0"/>
        <w:keepLines w:val="0"/>
        <w:pageBreakBefore w:val="0"/>
        <w:widowControl w:val="0"/>
        <w:kinsoku/>
        <w:wordWrap/>
        <w:overflowPunct/>
        <w:topLinePunct w:val="0"/>
        <w:bidi w:val="0"/>
        <w:snapToGrid/>
        <w:spacing w:line="420" w:lineRule="atLeast"/>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（2）提供货物组装和维修所必须的工具；</w:t>
      </w:r>
    </w:p>
    <w:p w14:paraId="088CCFF0">
      <w:pPr>
        <w:pStyle w:val="45"/>
        <w:keepNext w:val="0"/>
        <w:keepLines w:val="0"/>
        <w:pageBreakBefore w:val="0"/>
        <w:widowControl w:val="0"/>
        <w:kinsoku/>
        <w:wordWrap/>
        <w:overflowPunct/>
        <w:topLinePunct w:val="0"/>
        <w:bidi w:val="0"/>
        <w:snapToGrid/>
        <w:spacing w:line="420" w:lineRule="atLeast"/>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（3）在项目现场就货物的安装、启动、运行和维护，按采购人的要求提供技术培训。</w:t>
      </w:r>
    </w:p>
    <w:p w14:paraId="09695A67">
      <w:pPr>
        <w:pStyle w:val="45"/>
        <w:keepNext w:val="0"/>
        <w:keepLines w:val="0"/>
        <w:pageBreakBefore w:val="0"/>
        <w:widowControl w:val="0"/>
        <w:kinsoku/>
        <w:wordWrap/>
        <w:overflowPunct/>
        <w:topLinePunct w:val="0"/>
        <w:bidi w:val="0"/>
        <w:snapToGrid/>
        <w:spacing w:line="420" w:lineRule="atLeast"/>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7.3伴随服务的费用含在合同价中，不另行支付。</w:t>
      </w:r>
    </w:p>
    <w:p w14:paraId="1218787A">
      <w:pPr>
        <w:pStyle w:val="45"/>
        <w:keepNext w:val="0"/>
        <w:keepLines w:val="0"/>
        <w:pageBreakBefore w:val="0"/>
        <w:widowControl w:val="0"/>
        <w:kinsoku/>
        <w:wordWrap/>
        <w:overflowPunct/>
        <w:topLinePunct w:val="0"/>
        <w:bidi w:val="0"/>
        <w:snapToGrid/>
        <w:spacing w:line="420" w:lineRule="atLeast"/>
        <w:ind w:left="0" w:leftChars="0" w:firstLine="482" w:firstLineChars="200"/>
        <w:jc w:val="left"/>
        <w:textAlignment w:val="auto"/>
        <w:rPr>
          <w:rFonts w:hint="eastAsia" w:ascii="仿宋" w:hAnsi="仿宋" w:eastAsia="仿宋" w:cs="仿宋"/>
          <w:b/>
          <w:sz w:val="24"/>
          <w:szCs w:val="24"/>
          <w:highlight w:val="none"/>
        </w:rPr>
      </w:pPr>
      <w:r>
        <w:rPr>
          <w:rFonts w:hint="eastAsia" w:ascii="仿宋" w:hAnsi="仿宋" w:eastAsia="仿宋" w:cs="仿宋"/>
          <w:b/>
          <w:bCs w:val="0"/>
          <w:sz w:val="24"/>
          <w:szCs w:val="24"/>
          <w:highlight w:val="none"/>
        </w:rPr>
        <w:t>8.</w:t>
      </w:r>
      <w:r>
        <w:rPr>
          <w:rFonts w:hint="eastAsia" w:ascii="仿宋" w:hAnsi="仿宋" w:eastAsia="仿宋" w:cs="仿宋"/>
          <w:b/>
          <w:sz w:val="24"/>
          <w:szCs w:val="24"/>
          <w:highlight w:val="none"/>
        </w:rPr>
        <w:t>备品备件</w:t>
      </w:r>
    </w:p>
    <w:p w14:paraId="641C5EDC">
      <w:pPr>
        <w:pStyle w:val="45"/>
        <w:keepNext w:val="0"/>
        <w:keepLines w:val="0"/>
        <w:pageBreakBefore w:val="0"/>
        <w:widowControl w:val="0"/>
        <w:kinsoku/>
        <w:wordWrap/>
        <w:overflowPunct/>
        <w:topLinePunct w:val="0"/>
        <w:bidi w:val="0"/>
        <w:snapToGrid/>
        <w:spacing w:line="420" w:lineRule="atLeast"/>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bCs/>
          <w:sz w:val="24"/>
          <w:szCs w:val="24"/>
          <w:highlight w:val="none"/>
        </w:rPr>
        <w:t>8.1</w:t>
      </w:r>
      <w:r>
        <w:rPr>
          <w:rFonts w:hint="eastAsia" w:ascii="仿宋" w:hAnsi="仿宋" w:eastAsia="仿宋" w:cs="仿宋"/>
          <w:sz w:val="24"/>
          <w:szCs w:val="24"/>
          <w:highlight w:val="none"/>
        </w:rPr>
        <w:t>供</w:t>
      </w:r>
      <w:r>
        <w:rPr>
          <w:rFonts w:hint="eastAsia" w:ascii="仿宋" w:hAnsi="仿宋" w:eastAsia="仿宋" w:cs="仿宋"/>
          <w:bCs/>
          <w:sz w:val="24"/>
          <w:szCs w:val="24"/>
          <w:highlight w:val="none"/>
        </w:rPr>
        <w:t>方可能被要</w:t>
      </w:r>
      <w:r>
        <w:rPr>
          <w:rFonts w:hint="eastAsia" w:ascii="仿宋" w:hAnsi="仿宋" w:eastAsia="仿宋" w:cs="仿宋"/>
          <w:sz w:val="24"/>
          <w:szCs w:val="24"/>
          <w:highlight w:val="none"/>
        </w:rPr>
        <w:t>求提供下列与备件有关的材料、通知和资料：</w:t>
      </w:r>
    </w:p>
    <w:p w14:paraId="3074984F">
      <w:pPr>
        <w:pStyle w:val="45"/>
        <w:keepNext w:val="0"/>
        <w:keepLines w:val="0"/>
        <w:pageBreakBefore w:val="0"/>
        <w:widowControl w:val="0"/>
        <w:kinsoku/>
        <w:wordWrap/>
        <w:overflowPunct/>
        <w:topLinePunct w:val="0"/>
        <w:bidi w:val="0"/>
        <w:snapToGrid/>
        <w:spacing w:line="420" w:lineRule="atLeast"/>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（1）采购方从供方选购备件，但前提条件是该选购并不能免除供方在合同保证期内所承担的义务；</w:t>
      </w:r>
    </w:p>
    <w:p w14:paraId="66AC2CCD">
      <w:pPr>
        <w:pStyle w:val="45"/>
        <w:keepNext w:val="0"/>
        <w:keepLines w:val="0"/>
        <w:pageBreakBefore w:val="0"/>
        <w:widowControl w:val="0"/>
        <w:kinsoku/>
        <w:wordWrap/>
        <w:overflowPunct/>
        <w:topLinePunct w:val="0"/>
        <w:bidi w:val="0"/>
        <w:snapToGrid/>
        <w:spacing w:line="420" w:lineRule="atLeast"/>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（2）在备件停止生产的情况下，供方应事先将要停止生产的计划通知买方有足够的时间采购所需的备件；</w:t>
      </w:r>
    </w:p>
    <w:p w14:paraId="2B39E226">
      <w:pPr>
        <w:pStyle w:val="45"/>
        <w:keepNext w:val="0"/>
        <w:keepLines w:val="0"/>
        <w:pageBreakBefore w:val="0"/>
        <w:widowControl w:val="0"/>
        <w:kinsoku/>
        <w:wordWrap/>
        <w:overflowPunct/>
        <w:topLinePunct w:val="0"/>
        <w:bidi w:val="0"/>
        <w:snapToGrid/>
        <w:spacing w:line="420" w:lineRule="atLeast"/>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（3）在备件停止生产后，如果采购方要求，供方应免费向采购方提供备件的蓝图、图纸和规格。</w:t>
      </w:r>
    </w:p>
    <w:p w14:paraId="2A5C1B1E">
      <w:pPr>
        <w:pStyle w:val="45"/>
        <w:keepNext w:val="0"/>
        <w:keepLines w:val="0"/>
        <w:pageBreakBefore w:val="0"/>
        <w:widowControl w:val="0"/>
        <w:tabs>
          <w:tab w:val="left" w:pos="-540"/>
          <w:tab w:val="left" w:pos="0"/>
          <w:tab w:val="left" w:pos="420"/>
          <w:tab w:val="left" w:pos="840"/>
          <w:tab w:val="left" w:pos="1260"/>
          <w:tab w:val="left" w:pos="1680"/>
          <w:tab w:val="left" w:pos="2250"/>
        </w:tabs>
        <w:kinsoku/>
        <w:wordWrap/>
        <w:overflowPunct/>
        <w:topLinePunct w:val="0"/>
        <w:bidi w:val="0"/>
        <w:snapToGrid/>
        <w:spacing w:line="420" w:lineRule="atLeast"/>
        <w:ind w:left="0" w:leftChars="0" w:firstLine="482" w:firstLineChars="200"/>
        <w:jc w:val="lef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9</w:t>
      </w:r>
      <w:r>
        <w:rPr>
          <w:rFonts w:hint="eastAsia" w:ascii="仿宋" w:hAnsi="仿宋" w:eastAsia="仿宋" w:cs="仿宋"/>
          <w:b/>
          <w:sz w:val="24"/>
          <w:szCs w:val="24"/>
          <w:highlight w:val="none"/>
          <w:lang w:val="en-US" w:eastAsia="zh-CN"/>
        </w:rPr>
        <w:t>.</w:t>
      </w:r>
      <w:r>
        <w:rPr>
          <w:rFonts w:hint="eastAsia" w:ascii="仿宋" w:hAnsi="仿宋" w:eastAsia="仿宋" w:cs="仿宋"/>
          <w:b/>
          <w:sz w:val="24"/>
          <w:szCs w:val="24"/>
          <w:highlight w:val="none"/>
        </w:rPr>
        <w:t>质量保证及售后服务</w:t>
      </w:r>
    </w:p>
    <w:p w14:paraId="17492FB3">
      <w:pPr>
        <w:pStyle w:val="45"/>
        <w:keepNext w:val="0"/>
        <w:keepLines w:val="0"/>
        <w:pageBreakBefore w:val="0"/>
        <w:widowControl w:val="0"/>
        <w:tabs>
          <w:tab w:val="left" w:pos="-540"/>
          <w:tab w:val="left" w:pos="0"/>
          <w:tab w:val="left" w:pos="420"/>
          <w:tab w:val="left" w:pos="840"/>
          <w:tab w:val="left" w:pos="1260"/>
          <w:tab w:val="left" w:pos="1680"/>
          <w:tab w:val="left" w:pos="2250"/>
        </w:tabs>
        <w:kinsoku/>
        <w:wordWrap/>
        <w:overflowPunct/>
        <w:topLinePunct w:val="0"/>
        <w:bidi w:val="0"/>
        <w:snapToGrid/>
        <w:spacing w:line="420" w:lineRule="atLeast"/>
        <w:ind w:left="0" w:leftChars="0" w:firstLine="482" w:firstLineChars="200"/>
        <w:jc w:val="lef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（一）质量保证</w:t>
      </w:r>
    </w:p>
    <w:p w14:paraId="2456C4D2">
      <w:pPr>
        <w:pStyle w:val="45"/>
        <w:keepNext w:val="0"/>
        <w:keepLines w:val="0"/>
        <w:pageBreakBefore w:val="0"/>
        <w:widowControl w:val="0"/>
        <w:kinsoku/>
        <w:wordWrap/>
        <w:overflowPunct/>
        <w:topLinePunct w:val="0"/>
        <w:bidi w:val="0"/>
        <w:snapToGrid/>
        <w:spacing w:line="420" w:lineRule="atLeast"/>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9.1供方保证所提供的货物是全新的、未使用过的，是完全符合合同规定的质量、规格和性能要求的。保证货物在正常使用和保养条件下，在其使用寿命内具有满意的性能。在质保期内供方免费提供货物正常使用情况下发生故障的维修服务和更换配件服务。在供方或制造商承诺的货物质量保证期内，供方对由于设计工艺或材料的缺陷而产生的故障负责；货物无质保期的，供方在两年内对由于设计工艺或材料的缺陷而产生的故障负责。</w:t>
      </w:r>
    </w:p>
    <w:p w14:paraId="5534D399">
      <w:pPr>
        <w:pStyle w:val="45"/>
        <w:keepNext w:val="0"/>
        <w:keepLines w:val="0"/>
        <w:pageBreakBefore w:val="0"/>
        <w:widowControl w:val="0"/>
        <w:kinsoku/>
        <w:wordWrap/>
        <w:overflowPunct/>
        <w:topLinePunct w:val="0"/>
        <w:bidi w:val="0"/>
        <w:snapToGrid/>
        <w:spacing w:line="420" w:lineRule="atLeast"/>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9.2在质保期内或货物无质保期的则在两年内，如果货物的数量、质量或规格与合同不符，或证实货物有缺陷的，采购人可尽快以书面形式向供方提出本保证下的索赔。</w:t>
      </w:r>
    </w:p>
    <w:p w14:paraId="2CEC50C1">
      <w:pPr>
        <w:pStyle w:val="45"/>
        <w:keepNext w:val="0"/>
        <w:keepLines w:val="0"/>
        <w:pageBreakBefore w:val="0"/>
        <w:widowControl w:val="0"/>
        <w:kinsoku/>
        <w:wordWrap/>
        <w:overflowPunct/>
        <w:topLinePunct w:val="0"/>
        <w:bidi w:val="0"/>
        <w:snapToGrid/>
        <w:spacing w:line="420" w:lineRule="atLeast"/>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9.3供方在收到索赔通知后十日内须免费更换有缺陷的货物或部件。</w:t>
      </w:r>
    </w:p>
    <w:p w14:paraId="0BCCFCF7">
      <w:pPr>
        <w:pStyle w:val="45"/>
        <w:keepNext w:val="0"/>
        <w:keepLines w:val="0"/>
        <w:pageBreakBefore w:val="0"/>
        <w:widowControl w:val="0"/>
        <w:kinsoku/>
        <w:wordWrap/>
        <w:overflowPunct/>
        <w:topLinePunct w:val="0"/>
        <w:bidi w:val="0"/>
        <w:snapToGrid/>
        <w:spacing w:line="420" w:lineRule="atLeast"/>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9.4供方在收到索赔通知后十日内没有弥补缺陷，采购人可采取必要的补救措施，其风险和费用将由供方承担，采购人根据合同规定向供方行使的其它权利不受影响。</w:t>
      </w:r>
    </w:p>
    <w:p w14:paraId="7682A25B">
      <w:pPr>
        <w:pStyle w:val="45"/>
        <w:keepNext w:val="0"/>
        <w:keepLines w:val="0"/>
        <w:pageBreakBefore w:val="0"/>
        <w:widowControl w:val="0"/>
        <w:tabs>
          <w:tab w:val="left" w:pos="-540"/>
          <w:tab w:val="left" w:pos="0"/>
          <w:tab w:val="left" w:pos="420"/>
          <w:tab w:val="left" w:pos="840"/>
          <w:tab w:val="left" w:pos="1260"/>
          <w:tab w:val="left" w:pos="1680"/>
          <w:tab w:val="left" w:pos="2250"/>
        </w:tabs>
        <w:kinsoku/>
        <w:wordWrap/>
        <w:overflowPunct/>
        <w:topLinePunct w:val="0"/>
        <w:bidi w:val="0"/>
        <w:snapToGrid/>
        <w:spacing w:line="420" w:lineRule="atLeast"/>
        <w:ind w:left="0" w:leftChars="0" w:firstLine="482" w:firstLineChars="200"/>
        <w:jc w:val="lef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(二)质量保证期后服务</w:t>
      </w:r>
    </w:p>
    <w:p w14:paraId="3D7261FE">
      <w:pPr>
        <w:pStyle w:val="45"/>
        <w:keepNext w:val="0"/>
        <w:keepLines w:val="0"/>
        <w:pageBreakBefore w:val="0"/>
        <w:widowControl w:val="0"/>
        <w:kinsoku/>
        <w:wordWrap/>
        <w:overflowPunct/>
        <w:topLinePunct w:val="0"/>
        <w:bidi w:val="0"/>
        <w:snapToGrid/>
        <w:spacing w:line="420" w:lineRule="atLeast"/>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9.5 质保期满后，若有零部件出现故障，经权威部门鉴定属于寿命异常问题（明显短于该零部件正常寿命时），则由供方负责免费更换及维修。</w:t>
      </w:r>
    </w:p>
    <w:p w14:paraId="2B9DC843">
      <w:pPr>
        <w:pStyle w:val="45"/>
        <w:keepNext w:val="0"/>
        <w:keepLines w:val="0"/>
        <w:pageBreakBefore w:val="0"/>
        <w:widowControl w:val="0"/>
        <w:kinsoku/>
        <w:wordWrap/>
        <w:overflowPunct/>
        <w:topLinePunct w:val="0"/>
        <w:bidi w:val="0"/>
        <w:snapToGrid/>
        <w:spacing w:line="420" w:lineRule="atLeast"/>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9.6 质保期满后，应采购方要求，供方应按投标时的价格与采购方签订定期维修保养合同及提供采购方所需零配件，若投标时的价格高于市场价，则按市场价与与采购方签订定期维修保养合同及提供采购方所需零配件。</w:t>
      </w:r>
    </w:p>
    <w:p w14:paraId="172126D4">
      <w:pPr>
        <w:pStyle w:val="45"/>
        <w:keepNext w:val="0"/>
        <w:keepLines w:val="0"/>
        <w:pageBreakBefore w:val="0"/>
        <w:widowControl w:val="0"/>
        <w:kinsoku/>
        <w:wordWrap/>
        <w:overflowPunct/>
        <w:topLinePunct w:val="0"/>
        <w:bidi w:val="0"/>
        <w:snapToGrid/>
        <w:spacing w:line="420" w:lineRule="atLeast"/>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9.7 乙方交货后，若设备发生故障，乙方应在甲方报修后24小时内到达。</w:t>
      </w:r>
    </w:p>
    <w:p w14:paraId="1DB5EAB9">
      <w:pPr>
        <w:pStyle w:val="45"/>
        <w:keepNext w:val="0"/>
        <w:keepLines w:val="0"/>
        <w:pageBreakBefore w:val="0"/>
        <w:widowControl w:val="0"/>
        <w:kinsoku/>
        <w:wordWrap/>
        <w:overflowPunct/>
        <w:topLinePunct w:val="0"/>
        <w:bidi w:val="0"/>
        <w:snapToGrid/>
        <w:spacing w:line="420" w:lineRule="atLeast"/>
        <w:ind w:left="0" w:leftChars="0" w:firstLine="482" w:firstLineChars="200"/>
        <w:jc w:val="lef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10．检验</w:t>
      </w:r>
    </w:p>
    <w:p w14:paraId="147E92E8">
      <w:pPr>
        <w:pStyle w:val="45"/>
        <w:keepNext w:val="0"/>
        <w:keepLines w:val="0"/>
        <w:pageBreakBefore w:val="0"/>
        <w:widowControl w:val="0"/>
        <w:kinsoku/>
        <w:wordWrap/>
        <w:overflowPunct/>
        <w:topLinePunct w:val="0"/>
        <w:bidi w:val="0"/>
        <w:snapToGrid/>
        <w:spacing w:line="420" w:lineRule="atLeast"/>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10.1在交货前，供方应对货物的质量、规格、性能、数量等进行详细全面的检验，并出具一份证明货物符合合同规定要求的检验报告。检验报告是付款必要的文件组成部分，但不作为对有关质量、规格、数量的最终检验。</w:t>
      </w:r>
    </w:p>
    <w:p w14:paraId="04CD623F">
      <w:pPr>
        <w:pStyle w:val="45"/>
        <w:keepNext w:val="0"/>
        <w:keepLines w:val="0"/>
        <w:pageBreakBefore w:val="0"/>
        <w:widowControl w:val="0"/>
        <w:kinsoku/>
        <w:wordWrap/>
        <w:overflowPunct/>
        <w:topLinePunct w:val="0"/>
        <w:bidi w:val="0"/>
        <w:snapToGrid/>
        <w:spacing w:line="420" w:lineRule="atLeast"/>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10.2货物交付后，采购人申请有关部门对货物的质量、数量等进行检验并出具检验证书。</w:t>
      </w:r>
    </w:p>
    <w:p w14:paraId="7C66B82C">
      <w:pPr>
        <w:pStyle w:val="45"/>
        <w:keepNext w:val="0"/>
        <w:keepLines w:val="0"/>
        <w:pageBreakBefore w:val="0"/>
        <w:widowControl w:val="0"/>
        <w:kinsoku/>
        <w:wordWrap/>
        <w:overflowPunct/>
        <w:topLinePunct w:val="0"/>
        <w:bidi w:val="0"/>
        <w:snapToGrid/>
        <w:spacing w:line="420" w:lineRule="atLeast"/>
        <w:ind w:left="0" w:leftChars="0" w:firstLine="482" w:firstLineChars="200"/>
        <w:jc w:val="lef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11．索赔</w:t>
      </w:r>
    </w:p>
    <w:p w14:paraId="7AFE2B5A">
      <w:pPr>
        <w:pStyle w:val="45"/>
        <w:keepNext w:val="0"/>
        <w:keepLines w:val="0"/>
        <w:pageBreakBefore w:val="0"/>
        <w:widowControl w:val="0"/>
        <w:kinsoku/>
        <w:wordWrap/>
        <w:overflowPunct/>
        <w:topLinePunct w:val="0"/>
        <w:bidi w:val="0"/>
        <w:snapToGrid/>
        <w:spacing w:line="420" w:lineRule="atLeast"/>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bCs/>
          <w:sz w:val="24"/>
          <w:szCs w:val="24"/>
          <w:highlight w:val="none"/>
        </w:rPr>
        <w:t>1</w:t>
      </w:r>
      <w:r>
        <w:rPr>
          <w:rFonts w:hint="eastAsia" w:ascii="仿宋" w:hAnsi="仿宋" w:eastAsia="仿宋" w:cs="仿宋"/>
          <w:sz w:val="24"/>
          <w:szCs w:val="24"/>
          <w:highlight w:val="none"/>
        </w:rPr>
        <w:t>1.1采购人有权根据有关部门出具的检验证书向供方提出索赔。</w:t>
      </w:r>
    </w:p>
    <w:p w14:paraId="05FC41E6">
      <w:pPr>
        <w:pStyle w:val="45"/>
        <w:keepNext w:val="0"/>
        <w:keepLines w:val="0"/>
        <w:pageBreakBefore w:val="0"/>
        <w:widowControl w:val="0"/>
        <w:kinsoku/>
        <w:wordWrap/>
        <w:overflowPunct/>
        <w:topLinePunct w:val="0"/>
        <w:bidi w:val="0"/>
        <w:snapToGrid/>
        <w:spacing w:line="420" w:lineRule="atLeast"/>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11.2在合同条款第8条规定的质保期内，如果供方对差异负有责任而采购人提出索赔，供方应按照采购人的损失程度进行赔偿。</w:t>
      </w:r>
    </w:p>
    <w:p w14:paraId="0A6262E6">
      <w:pPr>
        <w:pStyle w:val="44"/>
        <w:keepNext w:val="0"/>
        <w:keepLines w:val="0"/>
        <w:pageBreakBefore w:val="0"/>
        <w:widowControl w:val="0"/>
        <w:kinsoku/>
        <w:wordWrap/>
        <w:overflowPunct/>
        <w:topLinePunct w:val="0"/>
        <w:bidi w:val="0"/>
        <w:snapToGrid/>
        <w:spacing w:line="420" w:lineRule="atLeast"/>
        <w:ind w:left="0" w:leftChars="0" w:firstLine="482" w:firstLineChars="200"/>
        <w:jc w:val="left"/>
        <w:textAlignment w:val="auto"/>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12．供方履约延误</w:t>
      </w:r>
    </w:p>
    <w:p w14:paraId="70A220FD">
      <w:pPr>
        <w:pStyle w:val="45"/>
        <w:keepNext w:val="0"/>
        <w:keepLines w:val="0"/>
        <w:pageBreakBefore w:val="0"/>
        <w:widowControl w:val="0"/>
        <w:kinsoku/>
        <w:wordWrap/>
        <w:overflowPunct/>
        <w:topLinePunct w:val="0"/>
        <w:bidi w:val="0"/>
        <w:snapToGrid/>
        <w:spacing w:line="420" w:lineRule="atLeast"/>
        <w:ind w:left="0" w:leftChars="0" w:firstLine="480" w:firstLineChars="200"/>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12.1</w:t>
      </w:r>
      <w:r>
        <w:rPr>
          <w:rFonts w:hint="eastAsia" w:ascii="仿宋" w:hAnsi="仿宋" w:eastAsia="仿宋" w:cs="仿宋"/>
          <w:sz w:val="24"/>
          <w:szCs w:val="24"/>
          <w:highlight w:val="none"/>
        </w:rPr>
        <w:t>供</w:t>
      </w:r>
      <w:r>
        <w:rPr>
          <w:rFonts w:hint="eastAsia" w:ascii="仿宋" w:hAnsi="仿宋" w:eastAsia="仿宋" w:cs="仿宋"/>
          <w:bCs/>
          <w:sz w:val="24"/>
          <w:szCs w:val="24"/>
          <w:highlight w:val="none"/>
        </w:rPr>
        <w:t>方应</w:t>
      </w:r>
      <w:r>
        <w:rPr>
          <w:rFonts w:hint="eastAsia" w:ascii="仿宋" w:hAnsi="仿宋" w:eastAsia="仿宋" w:cs="仿宋"/>
          <w:sz w:val="24"/>
          <w:szCs w:val="24"/>
          <w:highlight w:val="none"/>
        </w:rPr>
        <w:t>按规定</w:t>
      </w:r>
      <w:r>
        <w:rPr>
          <w:rFonts w:hint="eastAsia" w:ascii="仿宋" w:hAnsi="仿宋" w:eastAsia="仿宋" w:cs="仿宋"/>
          <w:bCs/>
          <w:sz w:val="24"/>
          <w:szCs w:val="24"/>
          <w:highlight w:val="none"/>
        </w:rPr>
        <w:t>的时间交货和提供服务。</w:t>
      </w:r>
    </w:p>
    <w:p w14:paraId="1D145994">
      <w:pPr>
        <w:pStyle w:val="44"/>
        <w:keepNext w:val="0"/>
        <w:keepLines w:val="0"/>
        <w:pageBreakBefore w:val="0"/>
        <w:widowControl w:val="0"/>
        <w:kinsoku/>
        <w:wordWrap/>
        <w:overflowPunct/>
        <w:topLinePunct w:val="0"/>
        <w:bidi w:val="0"/>
        <w:snapToGrid/>
        <w:spacing w:line="420" w:lineRule="atLeast"/>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bCs/>
          <w:sz w:val="24"/>
          <w:szCs w:val="24"/>
          <w:highlight w:val="none"/>
        </w:rPr>
        <w:t>12.2如</w:t>
      </w:r>
      <w:r>
        <w:rPr>
          <w:rFonts w:hint="eastAsia" w:ascii="仿宋" w:hAnsi="仿宋" w:eastAsia="仿宋" w:cs="仿宋"/>
          <w:sz w:val="24"/>
          <w:szCs w:val="24"/>
          <w:highlight w:val="none"/>
        </w:rPr>
        <w:t>供方无正当理由而拖延交货，采购人将从货款中扣除误期赔偿费而不影响合同项下的其他补救方法，赔偿费按每周迟交货物交货价或未提供服务费用的百分之一（1%）计收，直至交货或提供服务为止。误期赔偿费的最高限额不超过误期货物或服务合同价的百分之五（5%）。一周按七（7）天计算，不足七（7）天按一周计算。一旦达到误期赔偿费的最高限额，采购人有权终止合同。</w:t>
      </w:r>
    </w:p>
    <w:p w14:paraId="27A49D57">
      <w:pPr>
        <w:pStyle w:val="45"/>
        <w:keepNext w:val="0"/>
        <w:keepLines w:val="0"/>
        <w:pageBreakBefore w:val="0"/>
        <w:widowControl w:val="0"/>
        <w:kinsoku/>
        <w:wordWrap/>
        <w:overflowPunct/>
        <w:topLinePunct w:val="0"/>
        <w:bidi w:val="0"/>
        <w:snapToGrid/>
        <w:spacing w:line="420" w:lineRule="atLeast"/>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bCs/>
          <w:sz w:val="24"/>
          <w:szCs w:val="24"/>
          <w:highlight w:val="none"/>
        </w:rPr>
        <w:t>12.3在履行</w:t>
      </w:r>
      <w:r>
        <w:rPr>
          <w:rFonts w:hint="eastAsia" w:ascii="仿宋" w:hAnsi="仿宋" w:eastAsia="仿宋" w:cs="仿宋"/>
          <w:sz w:val="24"/>
          <w:szCs w:val="24"/>
          <w:highlight w:val="none"/>
        </w:rPr>
        <w:t>合同过程中，如果供方遇到可能妨碍按时交货和提供服务的情况时，应及时以书面形式将拖延的事实、可能拖延的期限和理由通知采购人。采购人在收到通知后，要尽快对情况进行评价，并确定是否通过修改合同酌情延长交货时间以及是否收取误期赔偿费。延期应通过修改合同的方式由双方认可。</w:t>
      </w:r>
    </w:p>
    <w:p w14:paraId="00B0D6C3">
      <w:pPr>
        <w:pStyle w:val="45"/>
        <w:keepNext w:val="0"/>
        <w:keepLines w:val="0"/>
        <w:pageBreakBefore w:val="0"/>
        <w:widowControl w:val="0"/>
        <w:kinsoku/>
        <w:wordWrap/>
        <w:overflowPunct/>
        <w:topLinePunct w:val="0"/>
        <w:bidi w:val="0"/>
        <w:snapToGrid/>
        <w:spacing w:line="420" w:lineRule="atLeast"/>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12.4供方交付的货物不符合磋商文件、响应文件和本合同规定的，采购方有权拒收，并且供方需向采购方支付本合同总价10%的违约金。</w:t>
      </w:r>
    </w:p>
    <w:p w14:paraId="57B8EB97">
      <w:pPr>
        <w:pStyle w:val="44"/>
        <w:keepNext w:val="0"/>
        <w:keepLines w:val="0"/>
        <w:pageBreakBefore w:val="0"/>
        <w:widowControl w:val="0"/>
        <w:kinsoku/>
        <w:wordWrap/>
        <w:overflowPunct/>
        <w:topLinePunct w:val="0"/>
        <w:bidi w:val="0"/>
        <w:snapToGrid/>
        <w:spacing w:line="420" w:lineRule="atLeast"/>
        <w:ind w:left="0" w:leftChars="0" w:firstLine="482" w:firstLineChars="200"/>
        <w:jc w:val="lef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13．不可抗力</w:t>
      </w:r>
    </w:p>
    <w:p w14:paraId="12FE440D">
      <w:pPr>
        <w:pStyle w:val="45"/>
        <w:keepNext w:val="0"/>
        <w:keepLines w:val="0"/>
        <w:pageBreakBefore w:val="0"/>
        <w:widowControl w:val="0"/>
        <w:kinsoku/>
        <w:wordWrap/>
        <w:overflowPunct/>
        <w:topLinePunct w:val="0"/>
        <w:bidi w:val="0"/>
        <w:snapToGrid/>
        <w:spacing w:line="420" w:lineRule="atLeast"/>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bCs/>
          <w:sz w:val="24"/>
          <w:szCs w:val="24"/>
          <w:highlight w:val="none"/>
        </w:rPr>
        <w:t>13.1如果双</w:t>
      </w:r>
      <w:r>
        <w:rPr>
          <w:rFonts w:hint="eastAsia" w:ascii="仿宋" w:hAnsi="仿宋" w:eastAsia="仿宋" w:cs="仿宋"/>
          <w:sz w:val="24"/>
          <w:szCs w:val="24"/>
          <w:highlight w:val="none"/>
        </w:rPr>
        <w:t>方任何一方由于经双方认可属于不可抗力的事故，致使影响合同履行时，履行合同的期限予以延长，延长的期限应相当于事故所影响的时间。不可抗力事件是指买供双方在缔结合同时所不能预见、并且它的发生及其后果是无法避免及无法克服的事件，比如战争、严重火灾、洪水、台风、地震等。</w:t>
      </w:r>
    </w:p>
    <w:p w14:paraId="561F06FA">
      <w:pPr>
        <w:pStyle w:val="45"/>
        <w:keepNext w:val="0"/>
        <w:keepLines w:val="0"/>
        <w:pageBreakBefore w:val="0"/>
        <w:widowControl w:val="0"/>
        <w:kinsoku/>
        <w:wordWrap/>
        <w:overflowPunct/>
        <w:topLinePunct w:val="0"/>
        <w:bidi w:val="0"/>
        <w:snapToGrid/>
        <w:spacing w:line="420" w:lineRule="atLeast"/>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13.2受事故影响的一方应在不可抗力发生后尽快以传真、电报通知另一方，并在事故发生后14天内，将有关部门出具的证明文件用特快专递或挂号信寄给另一方。如果不可抗力影响时间延续90天以上时，双方可通过友好协商在合理的时间内达成进一步履行或解除合同的协议。</w:t>
      </w:r>
    </w:p>
    <w:p w14:paraId="6EE07140">
      <w:pPr>
        <w:pStyle w:val="44"/>
        <w:keepNext w:val="0"/>
        <w:keepLines w:val="0"/>
        <w:pageBreakBefore w:val="0"/>
        <w:widowControl w:val="0"/>
        <w:kinsoku/>
        <w:wordWrap/>
        <w:overflowPunct/>
        <w:topLinePunct w:val="0"/>
        <w:bidi w:val="0"/>
        <w:snapToGrid/>
        <w:spacing w:line="420" w:lineRule="atLeast"/>
        <w:ind w:left="0" w:leftChars="0" w:firstLine="482" w:firstLineChars="200"/>
        <w:jc w:val="lef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14．税费</w:t>
      </w:r>
    </w:p>
    <w:p w14:paraId="7329B5BF">
      <w:pPr>
        <w:pStyle w:val="45"/>
        <w:keepNext w:val="0"/>
        <w:keepLines w:val="0"/>
        <w:pageBreakBefore w:val="0"/>
        <w:widowControl w:val="0"/>
        <w:kinsoku/>
        <w:wordWrap/>
        <w:overflowPunct/>
        <w:topLinePunct w:val="0"/>
        <w:bidi w:val="0"/>
        <w:snapToGrid/>
        <w:spacing w:line="420" w:lineRule="atLeast"/>
        <w:ind w:left="0" w:leftChars="0" w:firstLine="480" w:firstLineChars="200"/>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14.1政府根据现行税法对</w:t>
      </w:r>
      <w:r>
        <w:rPr>
          <w:rFonts w:hint="eastAsia" w:ascii="仿宋" w:hAnsi="仿宋" w:eastAsia="仿宋" w:cs="仿宋"/>
          <w:sz w:val="24"/>
          <w:szCs w:val="24"/>
          <w:highlight w:val="none"/>
        </w:rPr>
        <w:t>供</w:t>
      </w:r>
      <w:r>
        <w:rPr>
          <w:rFonts w:hint="eastAsia" w:ascii="仿宋" w:hAnsi="仿宋" w:eastAsia="仿宋" w:cs="仿宋"/>
          <w:bCs/>
          <w:sz w:val="24"/>
          <w:szCs w:val="24"/>
          <w:highlight w:val="none"/>
        </w:rPr>
        <w:t>方征收的与本合同有关的一切税费均由</w:t>
      </w:r>
      <w:r>
        <w:rPr>
          <w:rFonts w:hint="eastAsia" w:ascii="仿宋" w:hAnsi="仿宋" w:eastAsia="仿宋" w:cs="仿宋"/>
          <w:sz w:val="24"/>
          <w:szCs w:val="24"/>
          <w:highlight w:val="none"/>
        </w:rPr>
        <w:t>供</w:t>
      </w:r>
      <w:r>
        <w:rPr>
          <w:rFonts w:hint="eastAsia" w:ascii="仿宋" w:hAnsi="仿宋" w:eastAsia="仿宋" w:cs="仿宋"/>
          <w:bCs/>
          <w:sz w:val="24"/>
          <w:szCs w:val="24"/>
          <w:highlight w:val="none"/>
        </w:rPr>
        <w:t>方负担。</w:t>
      </w:r>
    </w:p>
    <w:p w14:paraId="20D028A4">
      <w:pPr>
        <w:pStyle w:val="44"/>
        <w:keepNext w:val="0"/>
        <w:keepLines w:val="0"/>
        <w:pageBreakBefore w:val="0"/>
        <w:widowControl w:val="0"/>
        <w:kinsoku/>
        <w:wordWrap/>
        <w:overflowPunct/>
        <w:topLinePunct w:val="0"/>
        <w:bidi w:val="0"/>
        <w:snapToGrid/>
        <w:spacing w:line="420" w:lineRule="atLeast"/>
        <w:ind w:left="0" w:leftChars="0" w:firstLine="482" w:firstLineChars="200"/>
        <w:jc w:val="lef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15．违约终止合同</w:t>
      </w:r>
    </w:p>
    <w:p w14:paraId="78472A83">
      <w:pPr>
        <w:pStyle w:val="44"/>
        <w:keepNext w:val="0"/>
        <w:keepLines w:val="0"/>
        <w:pageBreakBefore w:val="0"/>
        <w:widowControl w:val="0"/>
        <w:kinsoku/>
        <w:wordWrap/>
        <w:overflowPunct/>
        <w:topLinePunct w:val="0"/>
        <w:bidi w:val="0"/>
        <w:snapToGrid/>
        <w:spacing w:line="420" w:lineRule="atLeast"/>
        <w:ind w:left="0" w:leftChars="0" w:firstLine="480" w:firstLineChars="200"/>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15.1出现下</w:t>
      </w:r>
      <w:r>
        <w:rPr>
          <w:rFonts w:hint="eastAsia" w:ascii="仿宋" w:hAnsi="仿宋" w:eastAsia="仿宋" w:cs="仿宋"/>
          <w:sz w:val="24"/>
          <w:szCs w:val="24"/>
          <w:highlight w:val="none"/>
        </w:rPr>
        <w:t>列情况之一，采购人在对供方违约而采取的任何补救措施不受影响的情况下，可向供方发出终止部分或全部合同的书面通知书。</w:t>
      </w:r>
    </w:p>
    <w:p w14:paraId="3F20F90F">
      <w:pPr>
        <w:pStyle w:val="44"/>
        <w:keepNext w:val="0"/>
        <w:keepLines w:val="0"/>
        <w:pageBreakBefore w:val="0"/>
        <w:widowControl w:val="0"/>
        <w:tabs>
          <w:tab w:val="left" w:pos="3210"/>
        </w:tabs>
        <w:kinsoku/>
        <w:wordWrap/>
        <w:overflowPunct/>
        <w:topLinePunct w:val="0"/>
        <w:bidi w:val="0"/>
        <w:snapToGrid/>
        <w:spacing w:line="420" w:lineRule="atLeast"/>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bCs/>
          <w:sz w:val="24"/>
          <w:szCs w:val="24"/>
          <w:highlight w:val="none"/>
        </w:rPr>
        <w:t>如果</w:t>
      </w:r>
      <w:r>
        <w:rPr>
          <w:rFonts w:hint="eastAsia" w:ascii="仿宋" w:hAnsi="仿宋" w:eastAsia="仿宋" w:cs="仿宋"/>
          <w:sz w:val="24"/>
          <w:szCs w:val="24"/>
          <w:highlight w:val="none"/>
        </w:rPr>
        <w:t>供方未能按合同规定的期限或采购人同意延长的限期内提供部分或全部货物（服务）、完成工程施工；</w:t>
      </w:r>
    </w:p>
    <w:p w14:paraId="4DE7695C">
      <w:pPr>
        <w:pStyle w:val="44"/>
        <w:keepNext w:val="0"/>
        <w:keepLines w:val="0"/>
        <w:pageBreakBefore w:val="0"/>
        <w:widowControl w:val="0"/>
        <w:tabs>
          <w:tab w:val="left" w:pos="3210"/>
        </w:tabs>
        <w:kinsoku/>
        <w:wordWrap/>
        <w:overflowPunct/>
        <w:topLinePunct w:val="0"/>
        <w:bidi w:val="0"/>
        <w:snapToGrid/>
        <w:spacing w:line="420" w:lineRule="atLeast"/>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（2）供方在收到采购人发出的违约通知后20天内，或经采购人书面认可延长的时间内未能纠正其过失；</w:t>
      </w:r>
    </w:p>
    <w:p w14:paraId="29FA4014">
      <w:pPr>
        <w:pStyle w:val="44"/>
        <w:keepNext w:val="0"/>
        <w:keepLines w:val="0"/>
        <w:pageBreakBefore w:val="0"/>
        <w:widowControl w:val="0"/>
        <w:tabs>
          <w:tab w:val="left" w:pos="3210"/>
        </w:tabs>
        <w:kinsoku/>
        <w:wordWrap/>
        <w:overflowPunct/>
        <w:topLinePunct w:val="0"/>
        <w:bidi w:val="0"/>
        <w:snapToGrid/>
        <w:spacing w:line="420" w:lineRule="atLeast"/>
        <w:ind w:left="0" w:leftChars="0" w:firstLine="480" w:firstLineChars="200"/>
        <w:jc w:val="left"/>
        <w:textAlignment w:val="auto"/>
        <w:rPr>
          <w:rFonts w:hint="eastAsia" w:ascii="仿宋" w:hAnsi="仿宋" w:eastAsia="仿宋" w:cs="仿宋"/>
          <w:bCs/>
          <w:sz w:val="24"/>
          <w:szCs w:val="24"/>
          <w:highlight w:val="none"/>
        </w:rPr>
      </w:pPr>
      <w:r>
        <w:rPr>
          <w:rFonts w:hint="eastAsia" w:ascii="仿宋" w:hAnsi="仿宋" w:eastAsia="仿宋" w:cs="仿宋"/>
          <w:sz w:val="24"/>
          <w:szCs w:val="24"/>
          <w:highlight w:val="none"/>
        </w:rPr>
        <w:t>（3）如果供方未能履行合同规定</w:t>
      </w:r>
      <w:r>
        <w:rPr>
          <w:rFonts w:hint="eastAsia" w:ascii="仿宋" w:hAnsi="仿宋" w:eastAsia="仿宋" w:cs="仿宋"/>
          <w:bCs/>
          <w:sz w:val="24"/>
          <w:szCs w:val="24"/>
          <w:highlight w:val="none"/>
        </w:rPr>
        <w:t>的其它任何义务。</w:t>
      </w:r>
    </w:p>
    <w:p w14:paraId="092F97C3">
      <w:pPr>
        <w:pStyle w:val="44"/>
        <w:keepNext w:val="0"/>
        <w:keepLines w:val="0"/>
        <w:pageBreakBefore w:val="0"/>
        <w:widowControl w:val="0"/>
        <w:kinsoku/>
        <w:wordWrap/>
        <w:overflowPunct/>
        <w:topLinePunct w:val="0"/>
        <w:bidi w:val="0"/>
        <w:snapToGrid/>
        <w:spacing w:line="420" w:lineRule="atLeast"/>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bCs/>
          <w:sz w:val="24"/>
          <w:szCs w:val="24"/>
          <w:highlight w:val="none"/>
        </w:rPr>
        <w:t>15.2在采购人</w:t>
      </w:r>
      <w:r>
        <w:rPr>
          <w:rFonts w:hint="eastAsia" w:ascii="仿宋" w:hAnsi="仿宋" w:eastAsia="仿宋" w:cs="仿宋"/>
          <w:sz w:val="24"/>
          <w:szCs w:val="24"/>
          <w:highlight w:val="none"/>
        </w:rPr>
        <w:t>根据上述第15.1条规定，终止了全部或部分合同后，采购人可以依其认为适当的条件和方法购买类似未交的货物、服务或进行工程施工，供方应对采购人购买类似货物、服务或进行工程施工所超出的费用部分负责，并继续执行合同中未终止部分。</w:t>
      </w:r>
    </w:p>
    <w:p w14:paraId="3D339EC6">
      <w:pPr>
        <w:pStyle w:val="44"/>
        <w:keepNext w:val="0"/>
        <w:keepLines w:val="0"/>
        <w:pageBreakBefore w:val="0"/>
        <w:widowControl w:val="0"/>
        <w:kinsoku/>
        <w:wordWrap/>
        <w:overflowPunct/>
        <w:topLinePunct w:val="0"/>
        <w:bidi w:val="0"/>
        <w:snapToGrid/>
        <w:spacing w:line="420" w:lineRule="atLeast"/>
        <w:ind w:left="0" w:leftChars="0" w:firstLine="482" w:firstLineChars="200"/>
        <w:jc w:val="lef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16．破产终止合同</w:t>
      </w:r>
    </w:p>
    <w:p w14:paraId="07DDDF69">
      <w:pPr>
        <w:pStyle w:val="44"/>
        <w:keepNext w:val="0"/>
        <w:keepLines w:val="0"/>
        <w:pageBreakBefore w:val="0"/>
        <w:widowControl w:val="0"/>
        <w:kinsoku/>
        <w:wordWrap/>
        <w:overflowPunct/>
        <w:topLinePunct w:val="0"/>
        <w:bidi w:val="0"/>
        <w:snapToGrid/>
        <w:spacing w:line="420" w:lineRule="atLeast"/>
        <w:ind w:left="0" w:leftChars="0" w:firstLine="480" w:firstLineChars="200"/>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16.1如果供</w:t>
      </w:r>
      <w:r>
        <w:rPr>
          <w:rFonts w:hint="eastAsia" w:ascii="仿宋" w:hAnsi="仿宋" w:eastAsia="仿宋" w:cs="仿宋"/>
          <w:sz w:val="24"/>
          <w:szCs w:val="24"/>
          <w:highlight w:val="none"/>
        </w:rPr>
        <w:t>方破产或无清偿能力时，采购人可在任何时候以书面形式通知供方终止合同而无须给供方补偿。终止该合同将不损害或影响采购人</w:t>
      </w:r>
      <w:r>
        <w:rPr>
          <w:rFonts w:hint="eastAsia" w:ascii="仿宋" w:hAnsi="仿宋" w:eastAsia="仿宋" w:cs="仿宋"/>
          <w:bCs/>
          <w:sz w:val="24"/>
          <w:szCs w:val="24"/>
          <w:highlight w:val="none"/>
        </w:rPr>
        <w:t>已经采取或将要采取的补救措施的权利。</w:t>
      </w:r>
    </w:p>
    <w:p w14:paraId="5018F60D">
      <w:pPr>
        <w:pStyle w:val="44"/>
        <w:keepNext w:val="0"/>
        <w:keepLines w:val="0"/>
        <w:pageBreakBefore w:val="0"/>
        <w:widowControl w:val="0"/>
        <w:kinsoku/>
        <w:wordWrap/>
        <w:overflowPunct/>
        <w:topLinePunct w:val="0"/>
        <w:bidi w:val="0"/>
        <w:snapToGrid/>
        <w:spacing w:line="420" w:lineRule="atLeast"/>
        <w:ind w:left="0" w:leftChars="0" w:firstLine="482" w:firstLineChars="200"/>
        <w:jc w:val="lef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17．转让</w:t>
      </w:r>
    </w:p>
    <w:p w14:paraId="0759B294">
      <w:pPr>
        <w:pStyle w:val="44"/>
        <w:keepNext w:val="0"/>
        <w:keepLines w:val="0"/>
        <w:pageBreakBefore w:val="0"/>
        <w:widowControl w:val="0"/>
        <w:kinsoku/>
        <w:wordWrap/>
        <w:overflowPunct/>
        <w:topLinePunct w:val="0"/>
        <w:bidi w:val="0"/>
        <w:snapToGrid/>
        <w:spacing w:line="420" w:lineRule="atLeast"/>
        <w:ind w:left="0" w:leftChars="0" w:firstLine="480" w:firstLineChars="200"/>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17.1除采</w:t>
      </w:r>
      <w:r>
        <w:rPr>
          <w:rFonts w:hint="eastAsia" w:ascii="仿宋" w:hAnsi="仿宋" w:eastAsia="仿宋" w:cs="仿宋"/>
          <w:sz w:val="24"/>
          <w:szCs w:val="24"/>
          <w:highlight w:val="none"/>
        </w:rPr>
        <w:t>购人事先书面同意外，供方不得部分转让或全部转让其应履行的合</w:t>
      </w:r>
      <w:r>
        <w:rPr>
          <w:rFonts w:hint="eastAsia" w:ascii="仿宋" w:hAnsi="仿宋" w:eastAsia="仿宋" w:cs="仿宋"/>
          <w:bCs/>
          <w:sz w:val="24"/>
          <w:szCs w:val="24"/>
          <w:highlight w:val="none"/>
        </w:rPr>
        <w:t>同义务。</w:t>
      </w:r>
    </w:p>
    <w:p w14:paraId="2368F3B5">
      <w:pPr>
        <w:pStyle w:val="44"/>
        <w:keepNext w:val="0"/>
        <w:keepLines w:val="0"/>
        <w:pageBreakBefore w:val="0"/>
        <w:widowControl w:val="0"/>
        <w:kinsoku/>
        <w:wordWrap/>
        <w:overflowPunct/>
        <w:topLinePunct w:val="0"/>
        <w:bidi w:val="0"/>
        <w:snapToGrid/>
        <w:spacing w:line="420" w:lineRule="atLeast"/>
        <w:ind w:left="0" w:leftChars="0" w:firstLine="482" w:firstLineChars="200"/>
        <w:jc w:val="lef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18．适用法律</w:t>
      </w:r>
    </w:p>
    <w:p w14:paraId="339C8F70">
      <w:pPr>
        <w:pStyle w:val="44"/>
        <w:keepNext w:val="0"/>
        <w:keepLines w:val="0"/>
        <w:pageBreakBefore w:val="0"/>
        <w:widowControl w:val="0"/>
        <w:kinsoku/>
        <w:wordWrap/>
        <w:overflowPunct/>
        <w:topLinePunct w:val="0"/>
        <w:bidi w:val="0"/>
        <w:snapToGrid/>
        <w:spacing w:line="420" w:lineRule="atLeast"/>
        <w:ind w:left="0" w:leftChars="0" w:firstLine="480" w:firstLineChars="200"/>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18.1本合同应按中华人民共和国的法律进行解释。</w:t>
      </w:r>
    </w:p>
    <w:p w14:paraId="34E193A7">
      <w:pPr>
        <w:pStyle w:val="44"/>
        <w:keepNext w:val="0"/>
        <w:keepLines w:val="0"/>
        <w:pageBreakBefore w:val="0"/>
        <w:widowControl w:val="0"/>
        <w:kinsoku/>
        <w:wordWrap/>
        <w:overflowPunct/>
        <w:topLinePunct w:val="0"/>
        <w:bidi w:val="0"/>
        <w:snapToGrid/>
        <w:spacing w:line="420" w:lineRule="atLeast"/>
        <w:ind w:left="0" w:leftChars="0" w:firstLine="482" w:firstLineChars="200"/>
        <w:jc w:val="lef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19．合同生效</w:t>
      </w:r>
    </w:p>
    <w:p w14:paraId="73E3311B">
      <w:pPr>
        <w:pStyle w:val="44"/>
        <w:keepNext w:val="0"/>
        <w:keepLines w:val="0"/>
        <w:pageBreakBefore w:val="0"/>
        <w:widowControl w:val="0"/>
        <w:kinsoku/>
        <w:wordWrap/>
        <w:overflowPunct/>
        <w:topLinePunct w:val="0"/>
        <w:bidi w:val="0"/>
        <w:snapToGrid/>
        <w:spacing w:line="420" w:lineRule="atLeast"/>
        <w:ind w:left="0" w:leftChars="0" w:firstLine="480" w:firstLineChars="200"/>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19.1合同在双方授权代表签字并盖章后生效。</w:t>
      </w:r>
    </w:p>
    <w:p w14:paraId="1069C137">
      <w:pPr>
        <w:pStyle w:val="44"/>
        <w:keepNext w:val="0"/>
        <w:keepLines w:val="0"/>
        <w:pageBreakBefore w:val="0"/>
        <w:widowControl w:val="0"/>
        <w:kinsoku/>
        <w:wordWrap/>
        <w:overflowPunct/>
        <w:topLinePunct w:val="0"/>
        <w:bidi w:val="0"/>
        <w:snapToGrid/>
        <w:spacing w:line="420" w:lineRule="atLeast"/>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bCs/>
          <w:sz w:val="24"/>
          <w:szCs w:val="24"/>
          <w:highlight w:val="none"/>
        </w:rPr>
        <w:t>19.2本</w:t>
      </w:r>
      <w:r>
        <w:rPr>
          <w:rFonts w:hint="eastAsia" w:ascii="仿宋" w:hAnsi="仿宋" w:eastAsia="仿宋" w:cs="仿宋"/>
          <w:sz w:val="24"/>
          <w:szCs w:val="24"/>
          <w:highlight w:val="none"/>
        </w:rPr>
        <w:t>合同一式四份，以中文书写，采购人、供方、采购中心、政府采购监管部门各执一份。</w:t>
      </w:r>
    </w:p>
    <w:p w14:paraId="2236280A">
      <w:pPr>
        <w:pStyle w:val="44"/>
        <w:keepNext w:val="0"/>
        <w:keepLines w:val="0"/>
        <w:pageBreakBefore w:val="0"/>
        <w:widowControl w:val="0"/>
        <w:kinsoku/>
        <w:wordWrap/>
        <w:overflowPunct/>
        <w:topLinePunct w:val="0"/>
        <w:bidi w:val="0"/>
        <w:snapToGrid/>
        <w:spacing w:line="420" w:lineRule="atLeast"/>
        <w:ind w:left="0" w:leftChars="0" w:firstLine="482" w:firstLineChars="200"/>
        <w:jc w:val="lef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20.  争议解决方式</w:t>
      </w:r>
    </w:p>
    <w:p w14:paraId="0F6462D6">
      <w:pPr>
        <w:pStyle w:val="44"/>
        <w:keepNext w:val="0"/>
        <w:keepLines w:val="0"/>
        <w:pageBreakBefore w:val="0"/>
        <w:widowControl w:val="0"/>
        <w:kinsoku/>
        <w:wordWrap/>
        <w:overflowPunct/>
        <w:topLinePunct w:val="0"/>
        <w:bidi w:val="0"/>
        <w:snapToGrid/>
        <w:spacing w:line="420" w:lineRule="atLeast"/>
        <w:ind w:left="0" w:leftChars="0" w:firstLine="480" w:firstLineChars="200"/>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20.1 合同</w:t>
      </w:r>
      <w:r>
        <w:rPr>
          <w:rFonts w:hint="eastAsia" w:ascii="仿宋" w:hAnsi="仿宋" w:eastAsia="仿宋" w:cs="仿宋"/>
          <w:sz w:val="24"/>
          <w:szCs w:val="24"/>
          <w:highlight w:val="none"/>
        </w:rPr>
        <w:t>实施或与合同有关的一切争议应通过双方协商解决。若协商不成，则向采购人所在地法院提起诉讼</w:t>
      </w:r>
      <w:r>
        <w:rPr>
          <w:rFonts w:hint="eastAsia" w:ascii="仿宋" w:hAnsi="仿宋" w:eastAsia="仿宋" w:cs="仿宋"/>
          <w:bCs/>
          <w:sz w:val="24"/>
          <w:szCs w:val="24"/>
          <w:highlight w:val="none"/>
        </w:rPr>
        <w:t>。</w:t>
      </w:r>
    </w:p>
    <w:p w14:paraId="0E78BB93">
      <w:pPr>
        <w:pStyle w:val="44"/>
        <w:keepNext w:val="0"/>
        <w:keepLines w:val="0"/>
        <w:pageBreakBefore w:val="0"/>
        <w:widowControl w:val="0"/>
        <w:kinsoku/>
        <w:wordWrap/>
        <w:overflowPunct/>
        <w:topLinePunct w:val="0"/>
        <w:bidi w:val="0"/>
        <w:snapToGrid/>
        <w:spacing w:line="420" w:lineRule="atLeast"/>
        <w:ind w:left="0" w:leftChars="0" w:firstLine="482" w:firstLineChars="200"/>
        <w:jc w:val="lef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21．合同修改</w:t>
      </w:r>
    </w:p>
    <w:p w14:paraId="382776EF">
      <w:pPr>
        <w:keepNext w:val="0"/>
        <w:keepLines w:val="0"/>
        <w:pageBreakBefore w:val="0"/>
        <w:widowControl w:val="0"/>
        <w:kinsoku/>
        <w:wordWrap/>
        <w:overflowPunct/>
        <w:topLinePunct w:val="0"/>
        <w:bidi w:val="0"/>
        <w:snapToGrid/>
        <w:spacing w:line="420" w:lineRule="atLeas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21.1除双方签署书面修改协议，并成为本合同不可分割的一部分的情况之外，本合同不得有任何变化或修改。</w:t>
      </w:r>
      <w:bookmarkEnd w:id="19"/>
    </w:p>
    <w:p w14:paraId="285C701E">
      <w:pPr>
        <w:pStyle w:val="21"/>
        <w:rPr>
          <w:rFonts w:hint="eastAsia" w:ascii="仿宋" w:hAnsi="仿宋" w:eastAsia="仿宋" w:cs="仿宋"/>
          <w:sz w:val="24"/>
          <w:szCs w:val="24"/>
          <w:highlight w:val="none"/>
        </w:rPr>
      </w:pPr>
    </w:p>
    <w:p w14:paraId="698D800E">
      <w:pPr>
        <w:pStyle w:val="21"/>
        <w:rPr>
          <w:rFonts w:hint="eastAsia" w:ascii="仿宋" w:hAnsi="仿宋" w:eastAsia="仿宋" w:cs="仿宋"/>
          <w:sz w:val="24"/>
          <w:szCs w:val="24"/>
          <w:highlight w:val="none"/>
        </w:rPr>
      </w:pPr>
    </w:p>
    <w:p w14:paraId="6501BEA0">
      <w:pPr>
        <w:pStyle w:val="21"/>
        <w:rPr>
          <w:rFonts w:hint="eastAsia" w:ascii="仿宋" w:hAnsi="仿宋" w:eastAsia="仿宋" w:cs="仿宋"/>
          <w:sz w:val="24"/>
          <w:szCs w:val="24"/>
          <w:highlight w:val="none"/>
        </w:rPr>
      </w:pPr>
    </w:p>
    <w:p w14:paraId="2971962A">
      <w:pPr>
        <w:pStyle w:val="21"/>
        <w:rPr>
          <w:rFonts w:hint="eastAsia" w:ascii="仿宋" w:hAnsi="仿宋" w:eastAsia="仿宋" w:cs="仿宋"/>
          <w:sz w:val="24"/>
          <w:szCs w:val="24"/>
          <w:highlight w:val="none"/>
        </w:rPr>
      </w:pPr>
    </w:p>
    <w:p w14:paraId="25C6B586">
      <w:pPr>
        <w:pStyle w:val="21"/>
        <w:rPr>
          <w:rFonts w:hint="eastAsia" w:ascii="仿宋" w:hAnsi="仿宋" w:eastAsia="仿宋" w:cs="仿宋"/>
          <w:sz w:val="24"/>
          <w:szCs w:val="24"/>
          <w:highlight w:val="none"/>
        </w:rPr>
      </w:pPr>
    </w:p>
    <w:p w14:paraId="3E094981">
      <w:pPr>
        <w:pStyle w:val="21"/>
        <w:rPr>
          <w:rFonts w:hint="eastAsia" w:ascii="仿宋" w:hAnsi="仿宋" w:eastAsia="仿宋" w:cs="仿宋"/>
          <w:sz w:val="24"/>
          <w:szCs w:val="24"/>
          <w:highlight w:val="none"/>
        </w:rPr>
      </w:pPr>
    </w:p>
    <w:p w14:paraId="5053702F">
      <w:pPr>
        <w:pStyle w:val="21"/>
        <w:rPr>
          <w:rFonts w:hint="eastAsia" w:ascii="仿宋" w:hAnsi="仿宋" w:eastAsia="仿宋" w:cs="仿宋"/>
          <w:sz w:val="24"/>
          <w:szCs w:val="24"/>
          <w:highlight w:val="none"/>
        </w:rPr>
      </w:pPr>
    </w:p>
    <w:p w14:paraId="2B1D9161">
      <w:pPr>
        <w:pStyle w:val="21"/>
        <w:rPr>
          <w:rFonts w:hint="eastAsia" w:ascii="仿宋" w:hAnsi="仿宋" w:eastAsia="仿宋" w:cs="仿宋"/>
          <w:sz w:val="24"/>
          <w:szCs w:val="24"/>
          <w:highlight w:val="none"/>
        </w:rPr>
      </w:pPr>
    </w:p>
    <w:p w14:paraId="06CA8178">
      <w:pPr>
        <w:pStyle w:val="21"/>
        <w:rPr>
          <w:rFonts w:hint="eastAsia" w:ascii="仿宋" w:hAnsi="仿宋" w:eastAsia="仿宋" w:cs="仿宋"/>
          <w:sz w:val="24"/>
          <w:szCs w:val="24"/>
          <w:highlight w:val="none"/>
        </w:rPr>
      </w:pPr>
    </w:p>
    <w:p w14:paraId="5514F4F1">
      <w:pPr>
        <w:rPr>
          <w:rFonts w:hint="eastAsia" w:ascii="仿宋" w:hAnsi="仿宋" w:eastAsia="仿宋" w:cs="仿宋"/>
          <w:color w:val="FF0000"/>
          <w:sz w:val="28"/>
          <w:szCs w:val="28"/>
          <w:highlight w:val="none"/>
        </w:rPr>
      </w:pPr>
      <w:r>
        <w:rPr>
          <w:rFonts w:hint="eastAsia" w:ascii="仿宋" w:hAnsi="仿宋" w:eastAsia="仿宋" w:cs="仿宋"/>
          <w:color w:val="FF0000"/>
          <w:highlight w:val="none"/>
        </w:rPr>
        <w:t>以上为合同模板，具体以实际签订为准。</w:t>
      </w:r>
    </w:p>
    <w:p w14:paraId="63CFEA8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bCs/>
          <w:sz w:val="24"/>
          <w:szCs w:val="24"/>
          <w:highlight w:val="none"/>
          <w:lang w:val="en-US" w:eastAsia="zh-CN"/>
        </w:rPr>
      </w:pPr>
    </w:p>
    <w:p w14:paraId="2EE96486">
      <w:pP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br w:type="page"/>
      </w:r>
    </w:p>
    <w:p w14:paraId="699BFC15">
      <w:pPr>
        <w:pStyle w:val="2"/>
        <w:numPr>
          <w:ilvl w:val="0"/>
          <w:numId w:val="4"/>
        </w:numPr>
        <w:bidi w:val="0"/>
        <w:jc w:val="center"/>
        <w:rPr>
          <w:rFonts w:hint="eastAsia" w:ascii="仿宋" w:hAnsi="仿宋" w:eastAsia="仿宋" w:cs="仿宋"/>
          <w:sz w:val="32"/>
          <w:szCs w:val="32"/>
          <w:highlight w:val="none"/>
          <w:lang w:val="en-US" w:eastAsia="zh-CN"/>
        </w:rPr>
      </w:pPr>
      <w:bookmarkStart w:id="20" w:name="_Toc8038"/>
      <w:r>
        <w:rPr>
          <w:rFonts w:hint="eastAsia" w:ascii="仿宋" w:hAnsi="仿宋" w:eastAsia="仿宋" w:cs="仿宋"/>
          <w:sz w:val="32"/>
          <w:szCs w:val="32"/>
          <w:highlight w:val="none"/>
          <w:lang w:val="en-US" w:eastAsia="zh-CN"/>
        </w:rPr>
        <w:t>采购需求</w:t>
      </w:r>
      <w:bookmarkEnd w:id="20"/>
    </w:p>
    <w:p w14:paraId="3316DE72">
      <w:pPr>
        <w:pStyle w:val="3"/>
        <w:pageBreakBefore w:val="0"/>
        <w:numPr>
          <w:ilvl w:val="0"/>
          <w:numId w:val="11"/>
        </w:numPr>
        <w:kinsoku/>
        <w:wordWrap/>
        <w:overflowPunct/>
        <w:topLinePunct w:val="0"/>
        <w:autoSpaceDE/>
        <w:autoSpaceDN/>
        <w:bidi w:val="0"/>
        <w:adjustRightInd/>
        <w:snapToGrid/>
        <w:spacing w:before="0" w:beforeLines="0" w:after="0" w:afterLines="0" w:line="420" w:lineRule="exact"/>
        <w:ind w:firstLine="482"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采购需求概述</w:t>
      </w:r>
    </w:p>
    <w:p w14:paraId="7FED7051">
      <w:pPr>
        <w:pageBreakBefore w:val="0"/>
        <w:widowControl/>
        <w:kinsoku/>
        <w:wordWrap/>
        <w:overflowPunct/>
        <w:topLinePunct w:val="0"/>
        <w:autoSpaceDE/>
        <w:autoSpaceDN/>
        <w:bidi w:val="0"/>
        <w:adjustRightInd w:val="0"/>
        <w:snapToGrid w:val="0"/>
        <w:spacing w:line="420" w:lineRule="exact"/>
        <w:ind w:left="0" w:leftChars="0" w:right="0" w:firstLine="480" w:firstLineChars="200"/>
        <w:jc w:val="left"/>
        <w:textAlignment w:val="baseline"/>
        <w:outlineLvl w:val="9"/>
        <w:rPr>
          <w:rFonts w:hint="eastAsia" w:ascii="仿宋" w:hAnsi="仿宋" w:eastAsia="仿宋" w:cs="仿宋"/>
          <w:b w:val="0"/>
          <w:bCs/>
          <w:kern w:val="2"/>
          <w:sz w:val="24"/>
          <w:szCs w:val="24"/>
          <w:highlight w:val="none"/>
          <w:lang w:val="en-US" w:eastAsia="zh-CN" w:bidi="ar-SA"/>
        </w:rPr>
      </w:pPr>
      <w:r>
        <w:rPr>
          <w:rFonts w:hint="eastAsia" w:ascii="仿宋" w:hAnsi="仿宋" w:eastAsia="仿宋" w:cs="仿宋"/>
          <w:b w:val="0"/>
          <w:bCs/>
          <w:kern w:val="2"/>
          <w:sz w:val="24"/>
          <w:szCs w:val="24"/>
          <w:highlight w:val="none"/>
          <w:lang w:val="en-US" w:eastAsia="zh-CN" w:bidi="ar-SA"/>
        </w:rPr>
        <w:t>根据校工会福利计划，工会会员生日慰问发放300元的生日蛋糕券。2026年</w:t>
      </w:r>
      <w:r>
        <w:rPr>
          <w:rFonts w:hint="eastAsia" w:ascii="仿宋" w:hAnsi="仿宋" w:eastAsia="仿宋" w:cs="仿宋"/>
          <w:b w:val="0"/>
          <w:bCs w:val="0"/>
          <w:color w:val="auto"/>
          <w:sz w:val="24"/>
          <w:szCs w:val="24"/>
          <w:highlight w:val="none"/>
        </w:rPr>
        <w:t>新疆职业大学</w:t>
      </w:r>
      <w:r>
        <w:rPr>
          <w:rFonts w:hint="eastAsia" w:ascii="仿宋" w:hAnsi="仿宋" w:eastAsia="仿宋" w:cs="仿宋"/>
          <w:b w:val="0"/>
          <w:bCs w:val="0"/>
          <w:color w:val="auto"/>
          <w:sz w:val="24"/>
          <w:szCs w:val="24"/>
          <w:highlight w:val="none"/>
          <w:lang w:val="en-US" w:eastAsia="zh-CN"/>
        </w:rPr>
        <w:t>离退休教职工515人</w:t>
      </w:r>
      <w:r>
        <w:rPr>
          <w:rFonts w:hint="eastAsia" w:ascii="仿宋" w:hAnsi="仿宋" w:eastAsia="仿宋" w:cs="仿宋"/>
          <w:b w:val="0"/>
          <w:bCs/>
          <w:kern w:val="2"/>
          <w:sz w:val="24"/>
          <w:szCs w:val="24"/>
          <w:highlight w:val="none"/>
          <w:lang w:val="en-US" w:eastAsia="zh-CN" w:bidi="ar-SA"/>
        </w:rPr>
        <w:t>，按每人300元标准计，需支付154500元。</w:t>
      </w:r>
    </w:p>
    <w:p w14:paraId="49BAC74D">
      <w:pPr>
        <w:pageBreakBefore w:val="0"/>
        <w:kinsoku/>
        <w:wordWrap/>
        <w:overflowPunct/>
        <w:topLinePunct w:val="0"/>
        <w:autoSpaceDE/>
        <w:autoSpaceDN/>
        <w:bidi w:val="0"/>
        <w:adjustRightInd/>
        <w:snapToGrid/>
        <w:spacing w:line="420" w:lineRule="exact"/>
        <w:ind w:firstLine="480" w:firstLineChars="200"/>
        <w:rPr>
          <w:rFonts w:hint="eastAsia" w:ascii="仿宋" w:hAnsi="仿宋" w:eastAsia="仿宋" w:cs="仿宋"/>
          <w:b w:val="0"/>
          <w:bCs/>
          <w:kern w:val="2"/>
          <w:sz w:val="24"/>
          <w:szCs w:val="24"/>
          <w:highlight w:val="none"/>
          <w:lang w:val="en-US" w:eastAsia="zh-CN" w:bidi="ar-SA"/>
        </w:rPr>
      </w:pPr>
      <w:r>
        <w:rPr>
          <w:rFonts w:hint="eastAsia" w:ascii="仿宋" w:hAnsi="仿宋" w:eastAsia="仿宋" w:cs="仿宋"/>
          <w:b w:val="0"/>
          <w:bCs/>
          <w:kern w:val="2"/>
          <w:sz w:val="24"/>
          <w:szCs w:val="24"/>
          <w:highlight w:val="none"/>
          <w:lang w:val="en-US" w:eastAsia="zh-CN" w:bidi="ar-SA"/>
        </w:rPr>
        <w:t xml:space="preserve"> 根据工作安排，现需竞争性磋商采购生日蛋糕供货服务，供货服务期三年，合同每年一签，上一年考核合格（以部门工会小组为单位，每年进行满意度调查，满意度达到85%及以上）后，方可续签下一年。</w:t>
      </w:r>
    </w:p>
    <w:p w14:paraId="0CB6050C">
      <w:pPr>
        <w:pStyle w:val="3"/>
        <w:pageBreakBefore w:val="0"/>
        <w:numPr>
          <w:ilvl w:val="0"/>
          <w:numId w:val="11"/>
        </w:numPr>
        <w:kinsoku/>
        <w:wordWrap/>
        <w:overflowPunct/>
        <w:topLinePunct w:val="0"/>
        <w:autoSpaceDE/>
        <w:autoSpaceDN/>
        <w:bidi w:val="0"/>
        <w:adjustRightInd/>
        <w:snapToGrid/>
        <w:spacing w:before="0" w:beforeLines="0" w:after="0" w:afterLines="0" w:line="420" w:lineRule="exact"/>
        <w:ind w:firstLine="482"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详细技术规格或采购需求</w:t>
      </w:r>
    </w:p>
    <w:p w14:paraId="63AF75ED">
      <w:pPr>
        <w:pageBreakBefore w:val="0"/>
        <w:kinsoku/>
        <w:wordWrap/>
        <w:overflowPunct/>
        <w:topLinePunct w:val="0"/>
        <w:autoSpaceDE/>
        <w:autoSpaceDN/>
        <w:bidi w:val="0"/>
        <w:adjustRightInd/>
        <w:snapToGrid/>
        <w:spacing w:line="420" w:lineRule="exact"/>
        <w:ind w:firstLine="480" w:firstLineChars="200"/>
        <w:rPr>
          <w:rFonts w:hint="eastAsia" w:ascii="仿宋" w:hAnsi="仿宋" w:eastAsia="仿宋" w:cs="仿宋"/>
          <w:b w:val="0"/>
          <w:bCs/>
          <w:kern w:val="2"/>
          <w:sz w:val="24"/>
          <w:szCs w:val="24"/>
          <w:highlight w:val="none"/>
          <w:lang w:val="en-US" w:eastAsia="zh-CN" w:bidi="ar-SA"/>
        </w:rPr>
      </w:pPr>
      <w:r>
        <w:rPr>
          <w:rFonts w:hint="eastAsia" w:ascii="仿宋" w:hAnsi="仿宋" w:eastAsia="仿宋" w:cs="仿宋"/>
          <w:b w:val="0"/>
          <w:bCs/>
          <w:kern w:val="2"/>
          <w:sz w:val="24"/>
          <w:szCs w:val="24"/>
          <w:highlight w:val="none"/>
          <w:lang w:val="en-US" w:eastAsia="zh-CN" w:bidi="ar-SA"/>
        </w:rPr>
        <w:t>1.生日蛋糕供货服务，服务期三年，合同每年一签，上一年考核合格（以部门工会小组为单位，每年进行满意度调查，满意度达到85%及以上）后，方可续签下一年。2026年工会会员生日慰问蛋糕卡采购</w:t>
      </w:r>
      <w:r>
        <w:rPr>
          <w:rFonts w:hint="eastAsia" w:ascii="仿宋" w:hAnsi="仿宋" w:eastAsia="仿宋" w:cs="仿宋"/>
          <w:b w:val="0"/>
          <w:bCs w:val="0"/>
          <w:color w:val="auto"/>
          <w:sz w:val="24"/>
          <w:szCs w:val="24"/>
          <w:highlight w:val="none"/>
          <w:lang w:val="en-US" w:eastAsia="zh-CN"/>
        </w:rPr>
        <w:t>515</w:t>
      </w:r>
      <w:r>
        <w:rPr>
          <w:rFonts w:hint="eastAsia" w:ascii="仿宋" w:hAnsi="仿宋" w:eastAsia="仿宋" w:cs="仿宋"/>
          <w:b w:val="0"/>
          <w:bCs/>
          <w:kern w:val="2"/>
          <w:sz w:val="24"/>
          <w:szCs w:val="24"/>
          <w:highlight w:val="none"/>
          <w:lang w:val="en-US" w:eastAsia="zh-CN" w:bidi="ar-SA"/>
        </w:rPr>
        <w:t>张，预算金额154500元。</w:t>
      </w:r>
    </w:p>
    <w:p w14:paraId="0FED3C7B">
      <w:pPr>
        <w:pStyle w:val="14"/>
        <w:ind w:firstLine="480" w:firstLineChars="200"/>
        <w:rPr>
          <w:rFonts w:hint="eastAsia" w:ascii="仿宋" w:hAnsi="仿宋" w:eastAsia="仿宋" w:cs="仿宋"/>
          <w:b w:val="0"/>
          <w:bCs/>
          <w:kern w:val="2"/>
          <w:sz w:val="24"/>
          <w:szCs w:val="24"/>
          <w:highlight w:val="none"/>
          <w:lang w:val="en-US" w:eastAsia="zh-CN" w:bidi="ar-SA"/>
        </w:rPr>
      </w:pPr>
      <w:r>
        <w:rPr>
          <w:rFonts w:hint="eastAsia" w:ascii="仿宋" w:hAnsi="仿宋" w:eastAsia="仿宋" w:cs="仿宋"/>
          <w:b w:val="0"/>
          <w:bCs/>
          <w:kern w:val="2"/>
          <w:sz w:val="24"/>
          <w:szCs w:val="24"/>
          <w:highlight w:val="none"/>
          <w:lang w:val="en-US" w:eastAsia="zh-CN" w:bidi="ar-SA"/>
        </w:rPr>
        <w:t>2.卡券金额标准为300元整，</w:t>
      </w:r>
      <w:r>
        <w:rPr>
          <w:rFonts w:hint="eastAsia" w:ascii="仿宋" w:hAnsi="仿宋" w:eastAsia="仿宋" w:cs="仿宋"/>
          <w:highlight w:val="none"/>
          <w:lang w:val="en-US" w:eastAsia="zh-CN"/>
        </w:rPr>
        <w:t>发放的蛋糕卡面值为供货商优惠值，但各供应商需提供优惠折扣；例折扣率为95%，即面值300元蛋糕卡券实际可在店面购买316元商品（300/95%=316）；折扣率为90%，即面值300元蛋糕卡券实际可在店面购买333元商品（300/90%=333）、折扣率为85%，即面值300元蛋糕卡券实际可在店面购买353元商品（300/85%=353）。（金额四舍五入）不得设定使用限制。如定制6寸以上蛋糕使用等等</w:t>
      </w:r>
      <w:r>
        <w:rPr>
          <w:rFonts w:hint="eastAsia" w:ascii="仿宋" w:hAnsi="仿宋" w:eastAsia="仿宋" w:cs="仿宋"/>
          <w:b w:val="0"/>
          <w:bCs/>
          <w:kern w:val="2"/>
          <w:sz w:val="24"/>
          <w:szCs w:val="24"/>
          <w:highlight w:val="none"/>
          <w:lang w:val="en-US" w:eastAsia="zh-CN" w:bidi="ar-SA"/>
        </w:rPr>
        <w:t>；蛋糕卡券无有效期，至金额使用完为止。</w:t>
      </w:r>
    </w:p>
    <w:p w14:paraId="31B87432">
      <w:pPr>
        <w:pageBreakBefore w:val="0"/>
        <w:kinsoku/>
        <w:wordWrap/>
        <w:overflowPunct/>
        <w:topLinePunct w:val="0"/>
        <w:autoSpaceDE/>
        <w:autoSpaceDN/>
        <w:bidi w:val="0"/>
        <w:adjustRightInd/>
        <w:snapToGrid/>
        <w:spacing w:line="420" w:lineRule="exact"/>
        <w:ind w:firstLine="480" w:firstLineChars="200"/>
        <w:rPr>
          <w:rFonts w:hint="eastAsia" w:ascii="仿宋" w:hAnsi="仿宋" w:eastAsia="仿宋" w:cs="仿宋"/>
          <w:b w:val="0"/>
          <w:bCs/>
          <w:kern w:val="2"/>
          <w:sz w:val="24"/>
          <w:szCs w:val="24"/>
          <w:highlight w:val="none"/>
          <w:lang w:val="en-US" w:eastAsia="zh-CN" w:bidi="ar-SA"/>
        </w:rPr>
      </w:pPr>
      <w:r>
        <w:rPr>
          <w:rFonts w:hint="eastAsia" w:ascii="仿宋" w:hAnsi="仿宋" w:eastAsia="仿宋" w:cs="仿宋"/>
          <w:b w:val="0"/>
          <w:bCs/>
          <w:kern w:val="2"/>
          <w:sz w:val="24"/>
          <w:szCs w:val="24"/>
          <w:highlight w:val="none"/>
          <w:lang w:val="en-US" w:eastAsia="zh-CN" w:bidi="ar-SA"/>
        </w:rPr>
        <w:t>3.生日蛋糕品牌</w:t>
      </w:r>
      <w:bookmarkStart w:id="21" w:name="OLE_LINK3"/>
      <w:r>
        <w:rPr>
          <w:rFonts w:hint="eastAsia" w:ascii="仿宋" w:hAnsi="仿宋" w:eastAsia="仿宋" w:cs="仿宋"/>
          <w:b w:val="0"/>
          <w:bCs/>
          <w:kern w:val="2"/>
          <w:sz w:val="24"/>
          <w:szCs w:val="24"/>
          <w:highlight w:val="none"/>
          <w:lang w:val="en-US" w:eastAsia="zh-CN" w:bidi="ar-SA"/>
        </w:rPr>
        <w:t>线下消费店面不少于10个</w:t>
      </w:r>
      <w:bookmarkEnd w:id="21"/>
      <w:r>
        <w:rPr>
          <w:rFonts w:hint="eastAsia" w:ascii="仿宋" w:hAnsi="仿宋" w:eastAsia="仿宋" w:cs="仿宋"/>
          <w:b w:val="0"/>
          <w:bCs/>
          <w:kern w:val="2"/>
          <w:sz w:val="24"/>
          <w:szCs w:val="24"/>
          <w:highlight w:val="none"/>
          <w:lang w:val="en-US" w:eastAsia="zh-CN" w:bidi="ar-SA"/>
        </w:rPr>
        <w:t>、糕点配送的能力强、糕点烘焙设备齐全，完全能够满足采购需求。</w:t>
      </w:r>
    </w:p>
    <w:p w14:paraId="2849122E">
      <w:pPr>
        <w:pageBreakBefore w:val="0"/>
        <w:kinsoku/>
        <w:wordWrap/>
        <w:overflowPunct/>
        <w:topLinePunct w:val="0"/>
        <w:autoSpaceDE/>
        <w:autoSpaceDN/>
        <w:bidi w:val="0"/>
        <w:adjustRightInd/>
        <w:snapToGrid/>
        <w:spacing w:line="420" w:lineRule="exact"/>
        <w:ind w:firstLine="480" w:firstLineChars="200"/>
        <w:rPr>
          <w:rFonts w:hint="eastAsia" w:ascii="仿宋" w:hAnsi="仿宋" w:eastAsia="仿宋" w:cs="仿宋"/>
          <w:b w:val="0"/>
          <w:bCs/>
          <w:kern w:val="2"/>
          <w:sz w:val="24"/>
          <w:szCs w:val="24"/>
          <w:highlight w:val="none"/>
          <w:lang w:val="en-US" w:eastAsia="zh-CN" w:bidi="ar-SA"/>
        </w:rPr>
      </w:pPr>
      <w:r>
        <w:rPr>
          <w:rFonts w:hint="eastAsia" w:ascii="仿宋" w:hAnsi="仿宋" w:eastAsia="仿宋" w:cs="仿宋"/>
          <w:b w:val="0"/>
          <w:bCs/>
          <w:kern w:val="2"/>
          <w:sz w:val="24"/>
          <w:szCs w:val="24"/>
          <w:highlight w:val="none"/>
          <w:lang w:val="en-US" w:eastAsia="zh-CN" w:bidi="ar-SA"/>
        </w:rPr>
        <w:t>4.兑换方案：卡券可购买范围不限于蛋糕，可购买供应商全部门店内的所有商品，券内金额不必一次性消费完，可分次消费，且单次消费金额和次数不受限制。券可与现金同时使用，券的使用有效期长期有效。成交供应商所供产品须符合国家食品卫生标准。成交供应商提供的卡券在实际消费时，不受任何限制，可同时享受店面优惠，所能兑换的品类（蛋糕、烘焙产品、干果、牛奶、饮品等所有商品）。</w:t>
      </w:r>
    </w:p>
    <w:p w14:paraId="3EA54CE9">
      <w:pPr>
        <w:pageBreakBefore w:val="0"/>
        <w:kinsoku/>
        <w:wordWrap/>
        <w:overflowPunct/>
        <w:topLinePunct w:val="0"/>
        <w:autoSpaceDE/>
        <w:autoSpaceDN/>
        <w:bidi w:val="0"/>
        <w:adjustRightInd/>
        <w:snapToGrid/>
        <w:spacing w:line="420" w:lineRule="exact"/>
        <w:ind w:firstLine="480" w:firstLineChars="200"/>
        <w:rPr>
          <w:rFonts w:hint="eastAsia" w:ascii="仿宋" w:hAnsi="仿宋" w:eastAsia="仿宋" w:cs="仿宋"/>
          <w:b w:val="0"/>
          <w:bCs/>
          <w:kern w:val="2"/>
          <w:sz w:val="24"/>
          <w:szCs w:val="24"/>
          <w:highlight w:val="none"/>
          <w:lang w:val="en-US" w:eastAsia="zh-CN" w:bidi="ar-SA"/>
        </w:rPr>
      </w:pPr>
      <w:r>
        <w:rPr>
          <w:rFonts w:hint="eastAsia" w:ascii="仿宋" w:hAnsi="仿宋" w:eastAsia="仿宋" w:cs="仿宋"/>
          <w:b w:val="0"/>
          <w:bCs/>
          <w:kern w:val="2"/>
          <w:sz w:val="24"/>
          <w:szCs w:val="24"/>
          <w:highlight w:val="none"/>
          <w:lang w:val="en-US" w:eastAsia="zh-CN" w:bidi="ar-SA"/>
        </w:rPr>
        <w:t>5.所提供的品牌产品必须符合《中华人民共和国食品安全法》“食品安全标准”中的规定。食品中污染物限量应符合GB2762-2017标准，食品中农药残留量符合GB2763-2019标准。不得采购转基因食品或利用转基因食品原料加工的成品。食品原料新鲜、清洁、卫生，同时对每批食品原料进行检测，具有符合国家要求的检验机构颁发的质量检验报告。</w:t>
      </w:r>
    </w:p>
    <w:p w14:paraId="376525D4">
      <w:pPr>
        <w:pageBreakBefore w:val="0"/>
        <w:kinsoku/>
        <w:wordWrap/>
        <w:overflowPunct/>
        <w:topLinePunct w:val="0"/>
        <w:autoSpaceDE/>
        <w:autoSpaceDN/>
        <w:bidi w:val="0"/>
        <w:adjustRightInd/>
        <w:snapToGrid/>
        <w:spacing w:line="420" w:lineRule="exact"/>
        <w:ind w:firstLine="480" w:firstLineChars="200"/>
        <w:rPr>
          <w:rFonts w:hint="eastAsia" w:ascii="仿宋" w:hAnsi="仿宋" w:eastAsia="仿宋" w:cs="仿宋"/>
          <w:b w:val="0"/>
          <w:bCs/>
          <w:kern w:val="2"/>
          <w:sz w:val="24"/>
          <w:szCs w:val="24"/>
          <w:highlight w:val="none"/>
          <w:lang w:val="en-US" w:eastAsia="zh-CN" w:bidi="ar-SA"/>
        </w:rPr>
      </w:pPr>
      <w:r>
        <w:rPr>
          <w:rFonts w:hint="eastAsia" w:ascii="仿宋" w:hAnsi="仿宋" w:eastAsia="仿宋" w:cs="仿宋"/>
          <w:b w:val="0"/>
          <w:bCs/>
          <w:kern w:val="2"/>
          <w:sz w:val="24"/>
          <w:szCs w:val="24"/>
          <w:highlight w:val="none"/>
          <w:lang w:val="en-US" w:eastAsia="zh-CN" w:bidi="ar-SA"/>
        </w:rPr>
        <w:t>商品质量：包装完好，不得有异味、外包装破损等现象；大小、外观符合招标人要求；出现质量问题，按甲方要求时限立即进行退换。</w:t>
      </w:r>
    </w:p>
    <w:p w14:paraId="24B55762">
      <w:pPr>
        <w:pageBreakBefore w:val="0"/>
        <w:kinsoku/>
        <w:wordWrap/>
        <w:overflowPunct/>
        <w:topLinePunct w:val="0"/>
        <w:autoSpaceDE/>
        <w:autoSpaceDN/>
        <w:bidi w:val="0"/>
        <w:adjustRightInd/>
        <w:snapToGrid/>
        <w:spacing w:line="420" w:lineRule="exact"/>
        <w:ind w:firstLine="480" w:firstLineChars="200"/>
        <w:rPr>
          <w:rFonts w:hint="eastAsia" w:ascii="仿宋" w:hAnsi="仿宋" w:eastAsia="仿宋" w:cs="仿宋"/>
          <w:b w:val="0"/>
          <w:bCs/>
          <w:kern w:val="2"/>
          <w:sz w:val="24"/>
          <w:szCs w:val="24"/>
          <w:highlight w:val="none"/>
          <w:lang w:val="en-US" w:eastAsia="zh-CN" w:bidi="ar-SA"/>
        </w:rPr>
      </w:pPr>
      <w:r>
        <w:rPr>
          <w:rFonts w:hint="eastAsia" w:ascii="仿宋" w:hAnsi="仿宋" w:eastAsia="仿宋" w:cs="仿宋"/>
          <w:b w:val="0"/>
          <w:bCs/>
          <w:kern w:val="2"/>
          <w:sz w:val="24"/>
          <w:szCs w:val="24"/>
          <w:highlight w:val="none"/>
          <w:lang w:val="en-US" w:eastAsia="zh-CN" w:bidi="ar-SA"/>
        </w:rPr>
        <w:t>6.投标商对食品安全质量、优惠、应急措施、退换货及报账等做出具体承诺，保证所提供食品的新鲜。</w:t>
      </w:r>
    </w:p>
    <w:p w14:paraId="5F90690D">
      <w:pPr>
        <w:pageBreakBefore w:val="0"/>
        <w:kinsoku/>
        <w:wordWrap/>
        <w:overflowPunct/>
        <w:topLinePunct w:val="0"/>
        <w:autoSpaceDE/>
        <w:autoSpaceDN/>
        <w:bidi w:val="0"/>
        <w:adjustRightInd/>
        <w:snapToGrid/>
        <w:spacing w:line="420" w:lineRule="exact"/>
        <w:ind w:firstLine="480" w:firstLineChars="200"/>
        <w:rPr>
          <w:rFonts w:hint="eastAsia" w:ascii="仿宋" w:hAnsi="仿宋" w:eastAsia="仿宋" w:cs="仿宋"/>
          <w:b w:val="0"/>
          <w:bCs/>
          <w:kern w:val="2"/>
          <w:sz w:val="24"/>
          <w:szCs w:val="24"/>
          <w:highlight w:val="none"/>
          <w:lang w:val="en-US" w:eastAsia="zh-CN" w:bidi="ar-SA"/>
        </w:rPr>
      </w:pPr>
      <w:r>
        <w:rPr>
          <w:rFonts w:hint="eastAsia" w:ascii="仿宋" w:hAnsi="仿宋" w:eastAsia="仿宋" w:cs="仿宋"/>
          <w:b w:val="0"/>
          <w:bCs/>
          <w:kern w:val="2"/>
          <w:sz w:val="24"/>
          <w:szCs w:val="24"/>
          <w:highlight w:val="none"/>
          <w:lang w:val="en-US" w:eastAsia="zh-CN" w:bidi="ar-SA"/>
        </w:rPr>
        <w:t>7.安全质量卫生：①食品安全管理制度：明确食品安全操作流程（食品采购、食品储存、食品运输、食品销售、不合格食品退市等），明确食品安全管理人员等；②食品卫生管理制度：环节保洁、食品采购管理、个人卫生及操作卫生。</w:t>
      </w:r>
    </w:p>
    <w:p w14:paraId="6284FE1C">
      <w:pPr>
        <w:pageBreakBefore w:val="0"/>
        <w:kinsoku/>
        <w:wordWrap/>
        <w:overflowPunct/>
        <w:topLinePunct w:val="0"/>
        <w:autoSpaceDE/>
        <w:autoSpaceDN/>
        <w:bidi w:val="0"/>
        <w:adjustRightInd/>
        <w:snapToGrid/>
        <w:spacing w:line="420" w:lineRule="exact"/>
        <w:ind w:firstLine="480" w:firstLineChars="200"/>
        <w:rPr>
          <w:rFonts w:hint="eastAsia" w:ascii="仿宋" w:hAnsi="仿宋" w:eastAsia="仿宋" w:cs="仿宋"/>
          <w:b w:val="0"/>
          <w:bCs/>
          <w:kern w:val="2"/>
          <w:sz w:val="24"/>
          <w:szCs w:val="24"/>
          <w:highlight w:val="none"/>
          <w:lang w:val="en-US" w:eastAsia="zh-CN" w:bidi="ar-SA"/>
        </w:rPr>
      </w:pPr>
      <w:r>
        <w:rPr>
          <w:rFonts w:hint="eastAsia" w:ascii="仿宋" w:hAnsi="仿宋" w:eastAsia="仿宋" w:cs="仿宋"/>
          <w:b w:val="0"/>
          <w:bCs/>
          <w:kern w:val="2"/>
          <w:sz w:val="24"/>
          <w:szCs w:val="24"/>
          <w:highlight w:val="none"/>
          <w:lang w:val="en-US" w:eastAsia="zh-CN" w:bidi="ar-SA"/>
        </w:rPr>
        <w:t>8.供应商中标后须提供蛋糕生产厂商的授权或相关售卖证明材料。</w:t>
      </w:r>
    </w:p>
    <w:p w14:paraId="3E28DAF4">
      <w:pPr>
        <w:pStyle w:val="3"/>
        <w:pageBreakBefore w:val="0"/>
        <w:numPr>
          <w:ilvl w:val="0"/>
          <w:numId w:val="11"/>
        </w:numPr>
        <w:kinsoku/>
        <w:wordWrap/>
        <w:overflowPunct/>
        <w:topLinePunct w:val="0"/>
        <w:autoSpaceDE/>
        <w:autoSpaceDN/>
        <w:bidi w:val="0"/>
        <w:adjustRightInd/>
        <w:snapToGrid/>
        <w:spacing w:before="0" w:after="0" w:line="420" w:lineRule="exact"/>
        <w:ind w:firstLine="482" w:firstLineChars="200"/>
        <w:rPr>
          <w:rFonts w:hint="eastAsia" w:ascii="仿宋" w:hAnsi="仿宋" w:eastAsia="仿宋" w:cs="仿宋"/>
          <w:sz w:val="24"/>
          <w:szCs w:val="24"/>
          <w:highlight w:val="none"/>
        </w:rPr>
      </w:pPr>
      <w:bookmarkStart w:id="22" w:name="_Toc19380"/>
      <w:r>
        <w:rPr>
          <w:rFonts w:hint="eastAsia" w:ascii="仿宋" w:hAnsi="仿宋" w:eastAsia="仿宋" w:cs="仿宋"/>
          <w:sz w:val="24"/>
          <w:szCs w:val="24"/>
          <w:highlight w:val="none"/>
          <w:lang w:val="en-US" w:eastAsia="zh-CN"/>
        </w:rPr>
        <w:t>商务要求</w:t>
      </w:r>
    </w:p>
    <w:p w14:paraId="110D4B90">
      <w:pPr>
        <w:pStyle w:val="3"/>
        <w:pageBreakBefore w:val="0"/>
        <w:numPr>
          <w:ilvl w:val="0"/>
          <w:numId w:val="12"/>
        </w:numPr>
        <w:kinsoku/>
        <w:wordWrap/>
        <w:overflowPunct/>
        <w:topLinePunct w:val="0"/>
        <w:autoSpaceDE/>
        <w:autoSpaceDN/>
        <w:bidi w:val="0"/>
        <w:adjustRightInd/>
        <w:snapToGrid/>
        <w:spacing w:before="0" w:after="0" w:line="420" w:lineRule="exact"/>
        <w:ind w:firstLine="480" w:firstLineChars="200"/>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交付/实施地点：中国教育工会新疆职业大学委员会（具体房间待中标后指定）</w:t>
      </w:r>
    </w:p>
    <w:p w14:paraId="6969F3ED">
      <w:pPr>
        <w:pStyle w:val="3"/>
        <w:pageBreakBefore w:val="0"/>
        <w:numPr>
          <w:ilvl w:val="0"/>
          <w:numId w:val="12"/>
        </w:numPr>
        <w:kinsoku/>
        <w:wordWrap/>
        <w:overflowPunct/>
        <w:topLinePunct w:val="0"/>
        <w:autoSpaceDE/>
        <w:autoSpaceDN/>
        <w:bidi w:val="0"/>
        <w:adjustRightInd/>
        <w:snapToGrid/>
        <w:spacing w:before="0" w:after="0" w:line="420" w:lineRule="exact"/>
        <w:ind w:firstLine="480" w:firstLineChars="200"/>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lang w:val="en-US" w:eastAsia="zh-CN"/>
        </w:rPr>
        <w:t>交付/实施时间：自合同签订之日起7个工作日内完成2026年交蛋糕券，收券后10个工作日内一次性付款（以实际配送数量为准）。</w:t>
      </w:r>
    </w:p>
    <w:p w14:paraId="2503BD07">
      <w:pPr>
        <w:pStyle w:val="3"/>
        <w:pageBreakBefore w:val="0"/>
        <w:numPr>
          <w:ilvl w:val="0"/>
          <w:numId w:val="12"/>
        </w:numPr>
        <w:kinsoku/>
        <w:wordWrap/>
        <w:overflowPunct/>
        <w:topLinePunct w:val="0"/>
        <w:autoSpaceDE/>
        <w:autoSpaceDN/>
        <w:bidi w:val="0"/>
        <w:adjustRightInd/>
        <w:snapToGrid/>
        <w:spacing w:before="0" w:after="0" w:line="420" w:lineRule="exact"/>
        <w:ind w:firstLine="480" w:firstLineChars="200"/>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lang w:val="en-US" w:eastAsia="zh-CN"/>
        </w:rPr>
        <w:t>质保期：</w:t>
      </w:r>
      <w:r>
        <w:rPr>
          <w:rFonts w:hint="eastAsia" w:ascii="仿宋" w:hAnsi="仿宋" w:eastAsia="仿宋" w:cs="仿宋"/>
          <w:b w:val="0"/>
          <w:bCs/>
          <w:kern w:val="2"/>
          <w:sz w:val="24"/>
          <w:szCs w:val="24"/>
          <w:highlight w:val="none"/>
          <w:lang w:val="en-US" w:eastAsia="zh-CN" w:bidi="ar-SA"/>
        </w:rPr>
        <w:t>券的使用有效期长期有效。</w:t>
      </w:r>
    </w:p>
    <w:p w14:paraId="0CE3C378">
      <w:pPr>
        <w:pStyle w:val="3"/>
        <w:pageBreakBefore w:val="0"/>
        <w:numPr>
          <w:ilvl w:val="0"/>
          <w:numId w:val="12"/>
        </w:numPr>
        <w:kinsoku/>
        <w:wordWrap/>
        <w:overflowPunct/>
        <w:topLinePunct w:val="0"/>
        <w:autoSpaceDE/>
        <w:autoSpaceDN/>
        <w:bidi w:val="0"/>
        <w:adjustRightInd/>
        <w:snapToGrid/>
        <w:spacing w:before="0" w:after="0" w:line="420" w:lineRule="exact"/>
        <w:ind w:firstLine="480" w:firstLineChars="200"/>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lang w:val="en-US" w:eastAsia="zh-CN"/>
        </w:rPr>
        <w:t>质保范围：兑换券所能兑换商家的所有物品</w:t>
      </w:r>
    </w:p>
    <w:p w14:paraId="1FBA5A6F">
      <w:pPr>
        <w:pStyle w:val="3"/>
        <w:pageBreakBefore w:val="0"/>
        <w:numPr>
          <w:ilvl w:val="0"/>
          <w:numId w:val="12"/>
        </w:numPr>
        <w:kinsoku/>
        <w:wordWrap/>
        <w:overflowPunct/>
        <w:topLinePunct w:val="0"/>
        <w:autoSpaceDE/>
        <w:autoSpaceDN/>
        <w:bidi w:val="0"/>
        <w:adjustRightInd/>
        <w:snapToGrid/>
        <w:spacing w:before="0" w:after="0" w:line="420" w:lineRule="exact"/>
        <w:ind w:firstLine="480" w:firstLineChars="200"/>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lang w:val="en-US" w:eastAsia="zh-CN"/>
        </w:rPr>
        <w:t>售后服务要求：如有纠纷，接到电话后2小时内响应，24小时内解决。</w:t>
      </w:r>
    </w:p>
    <w:p w14:paraId="40F57AB0">
      <w:pPr>
        <w:pStyle w:val="3"/>
        <w:pageBreakBefore w:val="0"/>
        <w:numPr>
          <w:ilvl w:val="0"/>
          <w:numId w:val="12"/>
        </w:numPr>
        <w:kinsoku/>
        <w:wordWrap/>
        <w:overflowPunct/>
        <w:topLinePunct w:val="0"/>
        <w:autoSpaceDE/>
        <w:autoSpaceDN/>
        <w:bidi w:val="0"/>
        <w:adjustRightInd/>
        <w:snapToGrid/>
        <w:spacing w:before="0" w:after="0" w:line="420" w:lineRule="exact"/>
        <w:ind w:firstLine="480" w:firstLineChars="200"/>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发票要求：普通发票。</w:t>
      </w:r>
    </w:p>
    <w:p w14:paraId="0ADB41A2">
      <w:pPr>
        <w:pStyle w:val="3"/>
        <w:pageBreakBefore w:val="0"/>
        <w:numPr>
          <w:ilvl w:val="0"/>
          <w:numId w:val="11"/>
        </w:numPr>
        <w:kinsoku/>
        <w:wordWrap/>
        <w:overflowPunct/>
        <w:topLinePunct w:val="0"/>
        <w:autoSpaceDE/>
        <w:autoSpaceDN/>
        <w:bidi w:val="0"/>
        <w:adjustRightInd/>
        <w:snapToGrid/>
        <w:spacing w:before="0" w:after="0" w:line="420" w:lineRule="exact"/>
        <w:ind w:firstLine="482" w:firstLineChars="200"/>
        <w:rPr>
          <w:rFonts w:hint="eastAsia" w:ascii="仿宋" w:hAnsi="仿宋" w:eastAsia="仿宋" w:cs="仿宋"/>
          <w:b/>
          <w:bCs w:val="0"/>
          <w:kern w:val="2"/>
          <w:sz w:val="24"/>
          <w:szCs w:val="24"/>
          <w:highlight w:val="none"/>
          <w:lang w:val="en-US" w:eastAsia="zh-CN" w:bidi="ar-SA"/>
        </w:rPr>
      </w:pPr>
      <w:r>
        <w:rPr>
          <w:rFonts w:hint="eastAsia" w:ascii="仿宋" w:hAnsi="仿宋" w:eastAsia="仿宋" w:cs="仿宋"/>
          <w:b/>
          <w:bCs w:val="0"/>
          <w:kern w:val="2"/>
          <w:sz w:val="24"/>
          <w:szCs w:val="24"/>
          <w:highlight w:val="none"/>
          <w:lang w:val="en-US" w:eastAsia="zh-CN" w:bidi="ar-SA"/>
        </w:rPr>
        <w:t>其他需要说明的事项</w:t>
      </w:r>
    </w:p>
    <w:p w14:paraId="6E724D75">
      <w:pPr>
        <w:pStyle w:val="3"/>
        <w:pageBreakBefore w:val="0"/>
        <w:numPr>
          <w:ilvl w:val="0"/>
          <w:numId w:val="0"/>
        </w:numPr>
        <w:kinsoku/>
        <w:wordWrap/>
        <w:overflowPunct/>
        <w:topLinePunct w:val="0"/>
        <w:autoSpaceDE/>
        <w:autoSpaceDN/>
        <w:bidi w:val="0"/>
        <w:adjustRightInd/>
        <w:snapToGrid/>
        <w:spacing w:before="0" w:after="0" w:line="420" w:lineRule="exact"/>
        <w:ind w:firstLine="480" w:firstLineChars="200"/>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1.供应商中标后须提供蛋糕生产厂商的《食品生产许可证》或《食品经营许可证》，如已实施食品药品经营许可多证合一改革的，具有有效的《食品药品经营许可证》。</w:t>
      </w:r>
    </w:p>
    <w:p w14:paraId="4FCB0B13">
      <w:pPr>
        <w:keepNext w:val="0"/>
        <w:keepLines w:val="0"/>
        <w:pageBreakBefore w:val="0"/>
        <w:widowControl/>
        <w:kinsoku/>
        <w:wordWrap/>
        <w:overflowPunct/>
        <w:topLinePunct w:val="0"/>
        <w:autoSpaceDE/>
        <w:autoSpaceDN/>
        <w:bidi w:val="0"/>
        <w:adjustRightInd w:val="0"/>
        <w:snapToGrid w:val="0"/>
        <w:spacing w:before="62" w:beforeLines="20" w:after="62" w:afterLines="20" w:line="420" w:lineRule="exact"/>
        <w:ind w:left="0" w:leftChars="0" w:right="0" w:rightChars="0" w:firstLine="480" w:firstLineChars="200"/>
        <w:jc w:val="left"/>
        <w:textAlignment w:val="baseline"/>
        <w:outlineLvl w:val="9"/>
        <w:rPr>
          <w:rFonts w:hint="eastAsia" w:ascii="仿宋" w:hAnsi="仿宋" w:eastAsia="仿宋" w:cs="仿宋"/>
          <w:b w:val="0"/>
          <w:bCs/>
          <w:kern w:val="2"/>
          <w:sz w:val="24"/>
          <w:szCs w:val="24"/>
          <w:highlight w:val="none"/>
          <w:lang w:val="en-US" w:eastAsia="zh-CN" w:bidi="ar-SA"/>
        </w:rPr>
      </w:pPr>
      <w:r>
        <w:rPr>
          <w:rFonts w:hint="eastAsia" w:ascii="仿宋" w:hAnsi="仿宋" w:eastAsia="仿宋" w:cs="仿宋"/>
          <w:b w:val="0"/>
          <w:bCs/>
          <w:kern w:val="2"/>
          <w:sz w:val="24"/>
          <w:szCs w:val="24"/>
          <w:highlight w:val="none"/>
          <w:lang w:val="en-US" w:eastAsia="zh-CN" w:bidi="ar-SA"/>
        </w:rPr>
        <w:t>2.领取糕点职工凭卡券不限时段均可领取。</w:t>
      </w:r>
    </w:p>
    <w:p w14:paraId="2F2B985E">
      <w:pPr>
        <w:keepNext w:val="0"/>
        <w:keepLines w:val="0"/>
        <w:pageBreakBefore w:val="0"/>
        <w:widowControl/>
        <w:kinsoku/>
        <w:wordWrap/>
        <w:overflowPunct/>
        <w:topLinePunct w:val="0"/>
        <w:autoSpaceDE/>
        <w:autoSpaceDN/>
        <w:bidi w:val="0"/>
        <w:adjustRightInd w:val="0"/>
        <w:snapToGrid w:val="0"/>
        <w:spacing w:before="62" w:beforeLines="20" w:after="62" w:afterLines="20" w:line="420" w:lineRule="exact"/>
        <w:ind w:left="0" w:leftChars="0" w:right="0" w:rightChars="0" w:firstLine="480" w:firstLineChars="200"/>
        <w:jc w:val="left"/>
        <w:textAlignment w:val="baseline"/>
        <w:outlineLvl w:val="9"/>
        <w:rPr>
          <w:rFonts w:hint="eastAsia" w:ascii="仿宋" w:hAnsi="仿宋" w:eastAsia="仿宋" w:cs="仿宋"/>
          <w:b w:val="0"/>
          <w:bCs/>
          <w:kern w:val="2"/>
          <w:sz w:val="24"/>
          <w:szCs w:val="24"/>
          <w:highlight w:val="none"/>
          <w:lang w:val="en-US" w:eastAsia="zh-CN" w:bidi="ar-SA"/>
        </w:rPr>
      </w:pPr>
      <w:r>
        <w:rPr>
          <w:rFonts w:hint="eastAsia" w:ascii="仿宋" w:hAnsi="仿宋" w:eastAsia="仿宋" w:cs="仿宋"/>
          <w:b w:val="0"/>
          <w:bCs/>
          <w:kern w:val="2"/>
          <w:sz w:val="24"/>
          <w:szCs w:val="24"/>
          <w:highlight w:val="none"/>
          <w:lang w:val="en-US" w:eastAsia="zh-CN" w:bidi="ar-SA"/>
        </w:rPr>
        <w:t>3.采购方会将不定期对店方供给职工的糕点质量进行抽查。</w:t>
      </w:r>
    </w:p>
    <w:p w14:paraId="5FFA857E">
      <w:pPr>
        <w:keepNext w:val="0"/>
        <w:keepLines w:val="0"/>
        <w:pageBreakBefore w:val="0"/>
        <w:widowControl/>
        <w:kinsoku/>
        <w:wordWrap/>
        <w:overflowPunct/>
        <w:topLinePunct w:val="0"/>
        <w:autoSpaceDE/>
        <w:autoSpaceDN/>
        <w:bidi w:val="0"/>
        <w:adjustRightInd w:val="0"/>
        <w:snapToGrid w:val="0"/>
        <w:spacing w:before="62" w:beforeLines="20" w:after="62" w:afterLines="20" w:line="420" w:lineRule="exact"/>
        <w:ind w:left="0" w:leftChars="0" w:right="0" w:rightChars="0" w:firstLine="480" w:firstLineChars="200"/>
        <w:jc w:val="left"/>
        <w:textAlignment w:val="baseline"/>
        <w:outlineLvl w:val="9"/>
        <w:rPr>
          <w:rFonts w:hint="eastAsia" w:ascii="仿宋" w:hAnsi="仿宋" w:eastAsia="仿宋" w:cs="仿宋"/>
          <w:highlight w:val="none"/>
          <w:lang w:val="en-US" w:eastAsia="zh-CN"/>
        </w:rPr>
      </w:pPr>
      <w:r>
        <w:rPr>
          <w:rFonts w:hint="eastAsia" w:ascii="仿宋" w:hAnsi="仿宋" w:eastAsia="仿宋" w:cs="仿宋"/>
          <w:b w:val="0"/>
          <w:bCs/>
          <w:kern w:val="2"/>
          <w:sz w:val="24"/>
          <w:szCs w:val="24"/>
          <w:highlight w:val="none"/>
          <w:lang w:val="en-US" w:eastAsia="zh-CN" w:bidi="ar-SA"/>
        </w:rPr>
        <w:t>4.</w:t>
      </w:r>
      <w:r>
        <w:rPr>
          <w:rFonts w:hint="eastAsia" w:ascii="仿宋" w:hAnsi="仿宋" w:eastAsia="仿宋" w:cs="仿宋"/>
          <w:highlight w:val="none"/>
          <w:lang w:val="en-US" w:eastAsia="zh-CN"/>
        </w:rPr>
        <w:t>供应商须</w:t>
      </w:r>
      <w:r>
        <w:rPr>
          <w:rFonts w:hint="eastAsia" w:ascii="仿宋" w:hAnsi="仿宋" w:eastAsia="仿宋" w:cs="仿宋"/>
          <w:b w:val="0"/>
          <w:bCs/>
          <w:kern w:val="2"/>
          <w:sz w:val="24"/>
          <w:szCs w:val="24"/>
          <w:highlight w:val="none"/>
          <w:lang w:val="en-US" w:eastAsia="zh-CN" w:bidi="ar-SA"/>
        </w:rPr>
        <w:t>提供各品牌蛋糕分店的名册、地址、负责人、联系电话等，并同时提交可在任意一家实体门店提货的承诺函；</w:t>
      </w:r>
    </w:p>
    <w:p w14:paraId="1CA4E655">
      <w:pPr>
        <w:keepNext w:val="0"/>
        <w:keepLines w:val="0"/>
        <w:pageBreakBefore w:val="0"/>
        <w:widowControl/>
        <w:kinsoku/>
        <w:wordWrap/>
        <w:overflowPunct/>
        <w:topLinePunct w:val="0"/>
        <w:autoSpaceDE/>
        <w:autoSpaceDN/>
        <w:bidi w:val="0"/>
        <w:adjustRightInd w:val="0"/>
        <w:snapToGrid w:val="0"/>
        <w:spacing w:before="48" w:beforeLines="20" w:after="48" w:afterLines="20" w:line="420" w:lineRule="exact"/>
        <w:ind w:left="0" w:leftChars="0" w:right="0" w:rightChars="0" w:firstLine="480" w:firstLineChars="200"/>
        <w:outlineLvl w:val="9"/>
        <w:rPr>
          <w:rFonts w:hint="eastAsia" w:ascii="仿宋" w:hAnsi="仿宋" w:eastAsia="仿宋" w:cs="仿宋"/>
          <w:b w:val="0"/>
          <w:bCs/>
          <w:kern w:val="2"/>
          <w:sz w:val="24"/>
          <w:szCs w:val="24"/>
          <w:highlight w:val="none"/>
          <w:lang w:val="en-US" w:eastAsia="zh-CN" w:bidi="ar-SA"/>
        </w:rPr>
      </w:pPr>
      <w:r>
        <w:rPr>
          <w:rFonts w:hint="eastAsia" w:ascii="仿宋" w:hAnsi="仿宋" w:eastAsia="仿宋" w:cs="仿宋"/>
          <w:b w:val="0"/>
          <w:bCs/>
          <w:kern w:val="2"/>
          <w:sz w:val="24"/>
          <w:szCs w:val="24"/>
          <w:highlight w:val="none"/>
          <w:lang w:val="en-US" w:eastAsia="zh-CN" w:bidi="ar-SA"/>
        </w:rPr>
        <w:t>5.供应商投标时必须提供产品市场零售价清单及彩页等资料；</w:t>
      </w:r>
    </w:p>
    <w:p w14:paraId="5B338C80">
      <w:pPr>
        <w:pStyle w:val="3"/>
        <w:pageBreakBefore w:val="0"/>
        <w:numPr>
          <w:ilvl w:val="0"/>
          <w:numId w:val="0"/>
        </w:numPr>
        <w:kinsoku/>
        <w:wordWrap/>
        <w:overflowPunct/>
        <w:topLinePunct w:val="0"/>
        <w:autoSpaceDE/>
        <w:autoSpaceDN/>
        <w:bidi w:val="0"/>
        <w:adjustRightInd/>
        <w:snapToGrid/>
        <w:spacing w:before="0" w:after="0" w:line="420" w:lineRule="exact"/>
        <w:ind w:firstLine="480" w:firstLineChars="200"/>
        <w:rPr>
          <w:rFonts w:hint="eastAsia" w:ascii="仿宋" w:hAnsi="仿宋" w:eastAsia="仿宋" w:cs="仿宋"/>
          <w:b w:val="0"/>
          <w:bCs/>
          <w:kern w:val="2"/>
          <w:sz w:val="24"/>
          <w:szCs w:val="24"/>
          <w:highlight w:val="none"/>
          <w:lang w:val="en-US" w:eastAsia="zh-CN" w:bidi="ar-SA"/>
        </w:rPr>
      </w:pPr>
      <w:r>
        <w:rPr>
          <w:rFonts w:hint="eastAsia" w:ascii="仿宋" w:hAnsi="仿宋" w:eastAsia="仿宋" w:cs="仿宋"/>
          <w:b w:val="0"/>
          <w:bCs/>
          <w:kern w:val="2"/>
          <w:sz w:val="24"/>
          <w:szCs w:val="24"/>
          <w:highlight w:val="none"/>
          <w:lang w:val="en-US" w:eastAsia="zh-CN" w:bidi="ar-SA"/>
        </w:rPr>
        <w:t>6.其他未尽事宜，双方另行协商解决。</w:t>
      </w:r>
    </w:p>
    <w:bookmarkEnd w:id="22"/>
    <w:p w14:paraId="654DC53A">
      <w:pP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br w:type="page"/>
      </w:r>
    </w:p>
    <w:p w14:paraId="4DF04475">
      <w:pPr>
        <w:pStyle w:val="2"/>
        <w:numPr>
          <w:ilvl w:val="0"/>
          <w:numId w:val="4"/>
        </w:numPr>
        <w:bidi w:val="0"/>
        <w:jc w:val="center"/>
        <w:rPr>
          <w:rFonts w:hint="eastAsia" w:ascii="仿宋" w:hAnsi="仿宋" w:eastAsia="仿宋" w:cs="仿宋"/>
          <w:sz w:val="32"/>
          <w:szCs w:val="32"/>
          <w:highlight w:val="none"/>
          <w:lang w:val="en-US" w:eastAsia="zh-CN"/>
        </w:rPr>
      </w:pPr>
      <w:bookmarkStart w:id="23" w:name="_Toc27718"/>
      <w:r>
        <w:rPr>
          <w:rFonts w:hint="eastAsia" w:ascii="仿宋" w:hAnsi="仿宋" w:eastAsia="仿宋" w:cs="仿宋"/>
          <w:sz w:val="32"/>
          <w:szCs w:val="32"/>
          <w:highlight w:val="none"/>
          <w:lang w:val="en-US" w:eastAsia="zh-CN"/>
        </w:rPr>
        <w:t>评标程序、评标方法和评标标准</w:t>
      </w:r>
      <w:bookmarkEnd w:id="23"/>
    </w:p>
    <w:p w14:paraId="7774BF9E">
      <w:pPr>
        <w:keepNext w:val="0"/>
        <w:keepLines w:val="0"/>
        <w:pageBreakBefore w:val="0"/>
        <w:widowControl w:val="0"/>
        <w:numPr>
          <w:ilvl w:val="0"/>
          <w:numId w:val="13"/>
        </w:numPr>
        <w:kinsoku/>
        <w:wordWrap/>
        <w:overflowPunct/>
        <w:topLinePunct w:val="0"/>
        <w:autoSpaceDE/>
        <w:autoSpaceDN/>
        <w:bidi w:val="0"/>
        <w:adjustRightInd/>
        <w:snapToGrid/>
        <w:spacing w:line="420" w:lineRule="exact"/>
        <w:jc w:val="both"/>
        <w:textAlignment w:val="auto"/>
        <w:outlineLvl w:val="1"/>
        <w:rPr>
          <w:rFonts w:hint="eastAsia" w:ascii="仿宋" w:hAnsi="仿宋" w:eastAsia="仿宋" w:cs="仿宋"/>
          <w:b/>
          <w:bCs/>
          <w:sz w:val="24"/>
          <w:szCs w:val="24"/>
          <w:highlight w:val="none"/>
          <w:lang w:val="en-US" w:eastAsia="zh-CN"/>
        </w:rPr>
      </w:pPr>
      <w:bookmarkStart w:id="24" w:name="_Toc21122"/>
      <w:r>
        <w:rPr>
          <w:rFonts w:hint="eastAsia" w:ascii="仿宋" w:hAnsi="仿宋" w:eastAsia="仿宋" w:cs="仿宋"/>
          <w:b/>
          <w:bCs/>
          <w:sz w:val="24"/>
          <w:szCs w:val="24"/>
          <w:highlight w:val="none"/>
          <w:lang w:val="en-US" w:eastAsia="zh-CN"/>
        </w:rPr>
        <w:t>评标方法</w:t>
      </w:r>
      <w:bookmarkEnd w:id="24"/>
      <w:r>
        <w:rPr>
          <w:rFonts w:hint="eastAsia" w:ascii="仿宋" w:hAnsi="仿宋" w:eastAsia="仿宋" w:cs="仿宋"/>
          <w:b/>
          <w:bCs/>
          <w:sz w:val="24"/>
          <w:szCs w:val="24"/>
          <w:highlight w:val="none"/>
          <w:lang w:val="en-US" w:eastAsia="zh-CN"/>
        </w:rPr>
        <w:t xml:space="preserve"> </w:t>
      </w:r>
    </w:p>
    <w:p w14:paraId="18C34AF7">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本次评标采用综合评分法。是指经磋商确定最终采购需求和提交最后报价的供应商后，由磋商小组采用综合评分法对提交最后报价的供应商的响应文件和最后报价进行综合评分。评审得分最高的供应商为成交候选人的评标方法。</w:t>
      </w:r>
    </w:p>
    <w:p w14:paraId="43C8C34A">
      <w:pPr>
        <w:keepNext w:val="0"/>
        <w:keepLines w:val="0"/>
        <w:pageBreakBefore w:val="0"/>
        <w:widowControl w:val="0"/>
        <w:numPr>
          <w:ilvl w:val="0"/>
          <w:numId w:val="13"/>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仿宋" w:hAnsi="仿宋" w:eastAsia="仿宋" w:cs="仿宋"/>
          <w:b/>
          <w:bCs/>
          <w:sz w:val="24"/>
          <w:szCs w:val="24"/>
          <w:highlight w:val="none"/>
          <w:lang w:val="en-US" w:eastAsia="zh-CN"/>
        </w:rPr>
      </w:pPr>
      <w:bookmarkStart w:id="25" w:name="_Toc1193"/>
      <w:r>
        <w:rPr>
          <w:rFonts w:hint="eastAsia" w:ascii="仿宋" w:hAnsi="仿宋" w:eastAsia="仿宋" w:cs="仿宋"/>
          <w:b/>
          <w:bCs/>
          <w:sz w:val="24"/>
          <w:szCs w:val="24"/>
          <w:highlight w:val="none"/>
          <w:lang w:val="en-US" w:eastAsia="zh-CN"/>
        </w:rPr>
        <w:t>评标原则</w:t>
      </w:r>
      <w:bookmarkEnd w:id="25"/>
    </w:p>
    <w:p w14:paraId="4E2C6820">
      <w:pPr>
        <w:keepNext w:val="0"/>
        <w:keepLines w:val="0"/>
        <w:pageBreakBefore w:val="0"/>
        <w:widowControl w:val="0"/>
        <w:numPr>
          <w:ilvl w:val="1"/>
          <w:numId w:val="13"/>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评标活动遵循公平、公正、科学和择优的原则，以采购文件和响应文件为评标的基本依据，并按照采购文件规定的评标方法和评标标准进行评标。</w:t>
      </w:r>
    </w:p>
    <w:p w14:paraId="27E065AD">
      <w:pPr>
        <w:keepNext w:val="0"/>
        <w:keepLines w:val="0"/>
        <w:pageBreakBefore w:val="0"/>
        <w:widowControl w:val="0"/>
        <w:numPr>
          <w:ilvl w:val="1"/>
          <w:numId w:val="13"/>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具体评标事项由磋商小组负责，并按采购文件的规定办法进行评审。对采购文件中描述有歧义或前后不一致的地方，磋商小组有权按法律法规的规定进行评判，但对同一条款的评判应适用于每个响应供应商。</w:t>
      </w:r>
    </w:p>
    <w:p w14:paraId="1B1F9FE4">
      <w:pPr>
        <w:keepNext w:val="0"/>
        <w:keepLines w:val="0"/>
        <w:pageBreakBefore w:val="0"/>
        <w:widowControl w:val="0"/>
        <w:numPr>
          <w:ilvl w:val="1"/>
          <w:numId w:val="13"/>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评标应遵守下列评标纪律：</w:t>
      </w:r>
    </w:p>
    <w:p w14:paraId="392FFB7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（1）评标情况不得私自外泄，有关信息由采购人、代理机构统一对外发布。</w:t>
      </w:r>
    </w:p>
    <w:p w14:paraId="4745E776">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（2）对采购人或代理机构或供应商提供的要求保密的资料，不得摘记翻印和外传。</w:t>
      </w:r>
    </w:p>
    <w:p w14:paraId="62E4CE4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（3）不得收受投标供应商或有关人员的任何礼物，不得串联鼓动其他人袒护某供应商。若与供应商存在利害关系，则应主动声明并回避。</w:t>
      </w:r>
    </w:p>
    <w:p w14:paraId="576CAA2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（4）全体评委应按照采购文件规定进行评标，一切认定事项应查有实据且不得弄虚作假。</w:t>
      </w:r>
    </w:p>
    <w:p w14:paraId="62243E23">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（5）评标委员会各成员应当独立对每个供应商的投标文件进行评价，并对评价意见承担个人责任。评审过程中，不得发表倾向性言论。</w:t>
      </w:r>
    </w:p>
    <w:p w14:paraId="61456044">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（6）法律法规及采购文件规定的其他情形。</w:t>
      </w:r>
    </w:p>
    <w:p w14:paraId="6E5F63FA">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对违反评标纪律的评委，将取消其评委资格，对评标工作造成严重损失者将予以通报批评乃至追究法律责任。</w:t>
      </w:r>
    </w:p>
    <w:p w14:paraId="41C8F788">
      <w:pPr>
        <w:keepNext w:val="0"/>
        <w:keepLines w:val="0"/>
        <w:pageBreakBefore w:val="0"/>
        <w:widowControl w:val="0"/>
        <w:numPr>
          <w:ilvl w:val="0"/>
          <w:numId w:val="13"/>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仿宋" w:hAnsi="仿宋" w:eastAsia="仿宋" w:cs="仿宋"/>
          <w:b/>
          <w:bCs/>
          <w:sz w:val="24"/>
          <w:szCs w:val="24"/>
          <w:highlight w:val="none"/>
          <w:lang w:val="en-US" w:eastAsia="zh-CN"/>
        </w:rPr>
      </w:pPr>
      <w:bookmarkStart w:id="26" w:name="_Toc7505"/>
      <w:r>
        <w:rPr>
          <w:rFonts w:hint="eastAsia" w:ascii="仿宋" w:hAnsi="仿宋" w:eastAsia="仿宋" w:cs="仿宋"/>
          <w:b/>
          <w:bCs/>
          <w:sz w:val="24"/>
          <w:szCs w:val="24"/>
          <w:highlight w:val="none"/>
          <w:lang w:val="en-US" w:eastAsia="zh-CN"/>
        </w:rPr>
        <w:t>资格审查</w:t>
      </w:r>
      <w:bookmarkEnd w:id="26"/>
    </w:p>
    <w:p w14:paraId="68260E2D">
      <w:pPr>
        <w:keepNext w:val="0"/>
        <w:keepLines w:val="0"/>
        <w:pageBreakBefore w:val="0"/>
        <w:widowControl w:val="0"/>
        <w:numPr>
          <w:ilvl w:val="1"/>
          <w:numId w:val="13"/>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磋商小组依据采购文件，对响应文件中的资格证明文件等进行审查，以确定供应商是否具备磋商资格。资格性审查中凡有其中任意一项未通过的，评审结果为未通过，未通过资格性审查的供应商按无效响应处理，不进入符合性审查。审查内容如下：</w:t>
      </w:r>
    </w:p>
    <w:p w14:paraId="61C6AB3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资格审查要求</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2532"/>
        <w:gridCol w:w="5232"/>
      </w:tblGrid>
      <w:tr w14:paraId="361CB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12E9A7C8">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序号</w:t>
            </w:r>
          </w:p>
        </w:tc>
        <w:tc>
          <w:tcPr>
            <w:tcW w:w="2532" w:type="dxa"/>
            <w:vAlign w:val="center"/>
          </w:tcPr>
          <w:p w14:paraId="497E21F2">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审查因素</w:t>
            </w:r>
          </w:p>
        </w:tc>
        <w:tc>
          <w:tcPr>
            <w:tcW w:w="5232" w:type="dxa"/>
            <w:vAlign w:val="center"/>
          </w:tcPr>
          <w:p w14:paraId="666C91DC">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审查内容</w:t>
            </w:r>
          </w:p>
        </w:tc>
      </w:tr>
      <w:tr w14:paraId="2F986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3599970B">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1</w:t>
            </w:r>
          </w:p>
        </w:tc>
        <w:tc>
          <w:tcPr>
            <w:tcW w:w="2532" w:type="dxa"/>
            <w:vAlign w:val="center"/>
          </w:tcPr>
          <w:p w14:paraId="1D8CC2AF">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具有独立承担民事责任的能力</w:t>
            </w:r>
          </w:p>
        </w:tc>
        <w:tc>
          <w:tcPr>
            <w:tcW w:w="5232" w:type="dxa"/>
            <w:vAlign w:val="center"/>
          </w:tcPr>
          <w:p w14:paraId="4A03A50D">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供应商为企业（包括合伙企业）的，应提供有效的“营业执照”；供应商为事业单位的，应提供有效的“事业单位法人证书”；供应商是非企业机构的，应提供有效的“执业许可证”、“登记证书”等证明文件;供应商是个体工商户的，应提供有效的“个体工商户营业执照”；供应商是自然人的，应提供有效的自然人身份证明。”（上述资料须复印件加盖公章）</w:t>
            </w:r>
          </w:p>
          <w:p w14:paraId="246A8065">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13723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32E4E3C3">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2</w:t>
            </w:r>
          </w:p>
        </w:tc>
        <w:tc>
          <w:tcPr>
            <w:tcW w:w="2532" w:type="dxa"/>
            <w:vAlign w:val="center"/>
          </w:tcPr>
          <w:p w14:paraId="355B4EE2">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具有良好的商业信誉和健全的财务会计制度</w:t>
            </w:r>
          </w:p>
        </w:tc>
        <w:tc>
          <w:tcPr>
            <w:tcW w:w="5232" w:type="dxa"/>
            <w:vAlign w:val="center"/>
          </w:tcPr>
          <w:p w14:paraId="647971B5">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具有良好的商业信誉和健全的财务会计制度：须提供下列任意一项证明材料：（1）提供本单位2024年度或2025年度由第三方会计师事务所出具的财务审计报告扫描件加盖电子公章</w:t>
            </w:r>
            <w:r>
              <w:rPr>
                <w:rFonts w:hint="eastAsia" w:ascii="仿宋" w:hAnsi="仿宋" w:eastAsia="仿宋" w:cs="仿宋"/>
                <w:b/>
                <w:bCs/>
                <w:color w:val="000000"/>
                <w:spacing w:val="0"/>
                <w:kern w:val="2"/>
                <w:sz w:val="21"/>
                <w:szCs w:val="21"/>
                <w:highlight w:val="none"/>
                <w:u w:val="none"/>
                <w:vertAlign w:val="baseline"/>
                <w:lang w:val="en-US" w:eastAsia="zh-CN" w:bidi="ar"/>
              </w:rPr>
              <w:t>（财务审计报告须在财政部注册会计师行业统一监管平台（http://acc.mof.gov.cn）完成报备并赋有平台统一验证码。审计报告应清晰显示验证码及可查验二维码，招标人将通过统一监管平台对审计报告真实性、有效性进行在线查验，未赋码、验证码无效或无法查验的审计报告视为无效材料）</w:t>
            </w:r>
            <w:r>
              <w:rPr>
                <w:rFonts w:hint="eastAsia" w:ascii="仿宋" w:hAnsi="仿宋" w:eastAsia="仿宋" w:cs="仿宋"/>
                <w:b w:val="0"/>
                <w:bCs w:val="0"/>
                <w:color w:val="000000"/>
                <w:spacing w:val="0"/>
                <w:kern w:val="2"/>
                <w:sz w:val="21"/>
                <w:szCs w:val="21"/>
                <w:highlight w:val="none"/>
                <w:u w:val="none"/>
                <w:vertAlign w:val="baseline"/>
                <w:lang w:val="en-US" w:eastAsia="zh-CN" w:bidi="ar"/>
              </w:rPr>
              <w:t>，包括“四表一注”，即资产负债表、利润表（损益表）、现金流量表、所有者权益变动表（如有）及其附注）；（2）提供投标截止日前6个月内（含投标截止时间当月）任意1个月基本开户行出具的资信证明扫描件加盖电子公章，如资信证明不能体现基本开户账户的，应另附开户许可证（无开户许可证的，可提供由银行开具的《基本存款账户信息》（公户账户主档）或其他相关证明资料）；（3）供应商注册成立不足六个月的则提供供应商资格声明书作为证明材料。</w:t>
            </w:r>
          </w:p>
        </w:tc>
      </w:tr>
      <w:tr w14:paraId="771F9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41F3FD71">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3</w:t>
            </w:r>
          </w:p>
        </w:tc>
        <w:tc>
          <w:tcPr>
            <w:tcW w:w="2532" w:type="dxa"/>
            <w:vAlign w:val="center"/>
          </w:tcPr>
          <w:p w14:paraId="1923AF42">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具有履行合同所必需的设备和专业技术能力</w:t>
            </w:r>
          </w:p>
        </w:tc>
        <w:tc>
          <w:tcPr>
            <w:tcW w:w="5232" w:type="dxa"/>
            <w:vAlign w:val="center"/>
          </w:tcPr>
          <w:p w14:paraId="416A44C1">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须提供具备履行合同所必需的设备和专业技术能力的资格声明书加盖电子公章</w:t>
            </w:r>
          </w:p>
        </w:tc>
      </w:tr>
      <w:tr w14:paraId="2F7CC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11AED8AC">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4</w:t>
            </w:r>
          </w:p>
        </w:tc>
        <w:tc>
          <w:tcPr>
            <w:tcW w:w="2532" w:type="dxa"/>
            <w:vAlign w:val="center"/>
          </w:tcPr>
          <w:p w14:paraId="12530F18">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有依法缴纳税收和依法缴纳社会保障资金的记录</w:t>
            </w:r>
          </w:p>
        </w:tc>
        <w:tc>
          <w:tcPr>
            <w:tcW w:w="5232" w:type="dxa"/>
            <w:vAlign w:val="center"/>
          </w:tcPr>
          <w:p w14:paraId="1AF0DEC2">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1.须提供投标（响应）文件递交截止日期之前六个月内（含投标（响应）截止时间当月）任何一期的依法缴纳税收的相关证明材料扫描件加盖电子公章（如供应商缴纳的增值税、所得税、印花税等我国现行税种中任意一项即可），依法免税的应提供相应文件说明。</w:t>
            </w:r>
          </w:p>
          <w:p w14:paraId="6B815B9D">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2.须提供投标（响应）文件递交截止日期之前六个月内（含投标（响应）截止时间当月）为员工缴纳社会保障资金的证明材料扫描件加盖电子公章（任意一个月即可），证明材料是缴纳社会保险的凭据（专用收据或社会保险缴纳清单或银行回单等），依法不需要缴纳社会保障资金的应提供相应文件说明。</w:t>
            </w:r>
          </w:p>
        </w:tc>
      </w:tr>
      <w:tr w14:paraId="3BF9F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7" w:hRule="atLeast"/>
          <w:jc w:val="center"/>
        </w:trPr>
        <w:tc>
          <w:tcPr>
            <w:tcW w:w="758" w:type="dxa"/>
            <w:tcBorders>
              <w:bottom w:val="single" w:color="auto" w:sz="4" w:space="0"/>
            </w:tcBorders>
            <w:vAlign w:val="center"/>
          </w:tcPr>
          <w:p w14:paraId="26DEAB4A">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5</w:t>
            </w:r>
          </w:p>
        </w:tc>
        <w:tc>
          <w:tcPr>
            <w:tcW w:w="2532" w:type="dxa"/>
            <w:tcBorders>
              <w:bottom w:val="single" w:color="auto" w:sz="4" w:space="0"/>
            </w:tcBorders>
            <w:vAlign w:val="center"/>
          </w:tcPr>
          <w:p w14:paraId="5031FE43">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参加政府采购活动前三年内，在经营活动中没有重大违法记录</w:t>
            </w:r>
          </w:p>
        </w:tc>
        <w:tc>
          <w:tcPr>
            <w:tcW w:w="5232" w:type="dxa"/>
            <w:tcBorders>
              <w:bottom w:val="single" w:color="auto" w:sz="4" w:space="0"/>
            </w:tcBorders>
            <w:vAlign w:val="center"/>
          </w:tcPr>
          <w:p w14:paraId="447FC1B3">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参加采购活动前3年内，在经营活动中没有重大违法记录，提供供应商资格声明书加盖电子公章。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2FA31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58" w:type="dxa"/>
            <w:tcBorders>
              <w:top w:val="single" w:color="auto" w:sz="4" w:space="0"/>
              <w:bottom w:val="single" w:color="auto" w:sz="4" w:space="0"/>
            </w:tcBorders>
            <w:vAlign w:val="center"/>
          </w:tcPr>
          <w:p w14:paraId="18DD6925">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6</w:t>
            </w:r>
          </w:p>
        </w:tc>
        <w:tc>
          <w:tcPr>
            <w:tcW w:w="2532" w:type="dxa"/>
            <w:tcBorders>
              <w:top w:val="single" w:color="auto" w:sz="4" w:space="0"/>
              <w:bottom w:val="single" w:color="auto" w:sz="4" w:space="0"/>
            </w:tcBorders>
            <w:vAlign w:val="center"/>
          </w:tcPr>
          <w:p w14:paraId="43B7360E">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法律、行政法规规定的其他条件</w:t>
            </w:r>
          </w:p>
        </w:tc>
        <w:tc>
          <w:tcPr>
            <w:tcW w:w="5232" w:type="dxa"/>
            <w:tcBorders>
              <w:top w:val="single" w:color="auto" w:sz="4" w:space="0"/>
              <w:bottom w:val="single" w:color="auto" w:sz="4" w:space="0"/>
            </w:tcBorders>
            <w:vAlign w:val="center"/>
          </w:tcPr>
          <w:p w14:paraId="3998F0F5">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不存在违反国家法律、法规规定的其他情形</w:t>
            </w:r>
          </w:p>
        </w:tc>
      </w:tr>
      <w:tr w14:paraId="3A137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758" w:type="dxa"/>
            <w:tcBorders>
              <w:top w:val="single" w:color="auto" w:sz="4" w:space="0"/>
              <w:bottom w:val="single" w:color="auto" w:sz="4" w:space="0"/>
            </w:tcBorders>
            <w:vAlign w:val="center"/>
          </w:tcPr>
          <w:p w14:paraId="2E294C6E">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7</w:t>
            </w:r>
          </w:p>
        </w:tc>
        <w:tc>
          <w:tcPr>
            <w:tcW w:w="2532" w:type="dxa"/>
            <w:tcBorders>
              <w:top w:val="single" w:color="auto" w:sz="4" w:space="0"/>
              <w:bottom w:val="single" w:color="auto" w:sz="4" w:space="0"/>
            </w:tcBorders>
            <w:vAlign w:val="center"/>
          </w:tcPr>
          <w:p w14:paraId="12FE242F">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本项目为专门面向中小企业采购，提供服务的承接商应符合《政府采购促进中小企业发展管理办法》(财库〔2020〕46号) 第四条规定的情形，且应当提供《政府采购促进中小企业发展管理办法》(财库〔2020〕46号)规定的《中小企业声明函》。</w:t>
            </w:r>
          </w:p>
        </w:tc>
        <w:tc>
          <w:tcPr>
            <w:tcW w:w="5232" w:type="dxa"/>
            <w:tcBorders>
              <w:top w:val="single" w:color="auto" w:sz="4" w:space="0"/>
              <w:bottom w:val="single" w:color="auto" w:sz="4" w:space="0"/>
            </w:tcBorders>
            <w:vAlign w:val="center"/>
          </w:tcPr>
          <w:p w14:paraId="19BAEEA1">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bookmarkStart w:id="27" w:name="OLE_LINK10"/>
            <w:r>
              <w:rPr>
                <w:rFonts w:hint="eastAsia" w:ascii="仿宋" w:hAnsi="仿宋" w:eastAsia="仿宋" w:cs="仿宋"/>
                <w:b w:val="0"/>
                <w:bCs w:val="0"/>
                <w:color w:val="000000"/>
                <w:spacing w:val="0"/>
                <w:kern w:val="2"/>
                <w:sz w:val="21"/>
                <w:szCs w:val="21"/>
                <w:highlight w:val="none"/>
                <w:u w:val="none"/>
                <w:vertAlign w:val="baseline"/>
                <w:lang w:val="en-US" w:eastAsia="zh-CN" w:bidi="ar"/>
              </w:rPr>
              <w:t>本项目为专门面向中小企业采购，提供服务的承接商应符合《政府采购促进中小企业发展管理办法》(财库〔2020〕46号) 第四条规定的情形，且应当提供《政府采购促进中小企业发展管理办法》(财库〔2020〕46号)规定的《中小企业声明函》。</w:t>
            </w:r>
            <w:bookmarkEnd w:id="27"/>
          </w:p>
        </w:tc>
      </w:tr>
      <w:tr w14:paraId="60C64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8" w:type="dxa"/>
            <w:tcBorders>
              <w:top w:val="single" w:color="auto" w:sz="4" w:space="0"/>
              <w:bottom w:val="single" w:color="auto" w:sz="4" w:space="0"/>
            </w:tcBorders>
            <w:vAlign w:val="center"/>
          </w:tcPr>
          <w:p w14:paraId="51B78330">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8</w:t>
            </w:r>
          </w:p>
        </w:tc>
        <w:tc>
          <w:tcPr>
            <w:tcW w:w="2532" w:type="dxa"/>
            <w:tcBorders>
              <w:top w:val="single" w:color="auto" w:sz="4" w:space="0"/>
              <w:bottom w:val="single" w:color="auto" w:sz="4" w:space="0"/>
            </w:tcBorders>
            <w:vAlign w:val="center"/>
          </w:tcPr>
          <w:p w14:paraId="1AC8D6F2">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tc>
        <w:tc>
          <w:tcPr>
            <w:tcW w:w="5232" w:type="dxa"/>
            <w:tcBorders>
              <w:top w:val="single" w:color="auto" w:sz="4" w:space="0"/>
              <w:bottom w:val="single" w:color="auto" w:sz="4" w:space="0"/>
            </w:tcBorders>
            <w:vAlign w:val="center"/>
          </w:tcPr>
          <w:p w14:paraId="100790D8">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供应商信用记录：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小组于投标（响应）截止日当天在“信用中国”网站（www.creditchina.gov.cn）及中国政府采购网（http://www.ccgp.gov.cn/）查询结果为准，并保存信用记录查询结果网页截图或信用报告等。如相关失信记录已失效，供应商需提供相关证明资料）。</w:t>
            </w:r>
          </w:p>
          <w:p w14:paraId="3BE64BF0">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注：如组成联合体参加政府采购活动的，将对所有联合体成员进行信用记录查询，联合体成员存在不良信用记录的，视同联合体存在不良信用记录。</w:t>
            </w:r>
          </w:p>
          <w:p w14:paraId="7EC1EE09">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如供应商为分支机构的，同时对该分支机构所属总公司（总所）进行信用记录查询，该分支机构所属总公司(总所）存在不良信用记录的，视同供应商存在不良信用记录。</w:t>
            </w:r>
          </w:p>
        </w:tc>
      </w:tr>
      <w:tr w14:paraId="6AD3F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8" w:type="dxa"/>
            <w:tcBorders>
              <w:top w:val="single" w:color="auto" w:sz="4" w:space="0"/>
              <w:bottom w:val="single" w:color="auto" w:sz="4" w:space="0"/>
            </w:tcBorders>
            <w:vAlign w:val="center"/>
          </w:tcPr>
          <w:p w14:paraId="0640E9C4">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9</w:t>
            </w:r>
          </w:p>
        </w:tc>
        <w:tc>
          <w:tcPr>
            <w:tcW w:w="2532" w:type="dxa"/>
            <w:tcBorders>
              <w:top w:val="single" w:color="auto" w:sz="4" w:space="0"/>
              <w:bottom w:val="single" w:color="auto" w:sz="4" w:space="0"/>
            </w:tcBorders>
            <w:vAlign w:val="center"/>
          </w:tcPr>
          <w:p w14:paraId="580D9580">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（2）单位负责人为同一人或者存在直接控股、管理关系的不同供应商，不得同时参加本采购项目投标（响应）。</w:t>
            </w:r>
          </w:p>
        </w:tc>
        <w:tc>
          <w:tcPr>
            <w:tcW w:w="5232" w:type="dxa"/>
            <w:tcBorders>
              <w:top w:val="single" w:color="auto" w:sz="4" w:space="0"/>
              <w:bottom w:val="single" w:color="auto" w:sz="4" w:space="0"/>
            </w:tcBorders>
            <w:vAlign w:val="center"/>
          </w:tcPr>
          <w:p w14:paraId="6E4E4F44">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单位负责人为同一人或者存在直接控股、管理关系的不同供应商，不得同时参加本采购项目投标（响应）。提供供应商资格声明书。</w:t>
            </w:r>
          </w:p>
        </w:tc>
      </w:tr>
      <w:tr w14:paraId="68FF7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8" w:type="dxa"/>
            <w:tcBorders>
              <w:top w:val="single" w:color="auto" w:sz="4" w:space="0"/>
              <w:bottom w:val="single" w:color="auto" w:sz="4" w:space="0"/>
            </w:tcBorders>
            <w:vAlign w:val="center"/>
          </w:tcPr>
          <w:p w14:paraId="2BA7F451">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10</w:t>
            </w:r>
          </w:p>
        </w:tc>
        <w:tc>
          <w:tcPr>
            <w:tcW w:w="2532" w:type="dxa"/>
            <w:tcBorders>
              <w:top w:val="single" w:color="auto" w:sz="4" w:space="0"/>
              <w:bottom w:val="single" w:color="auto" w:sz="4" w:space="0"/>
            </w:tcBorders>
            <w:vAlign w:val="center"/>
          </w:tcPr>
          <w:p w14:paraId="4D60C9C3">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磋商保证金</w:t>
            </w:r>
          </w:p>
        </w:tc>
        <w:tc>
          <w:tcPr>
            <w:tcW w:w="5232" w:type="dxa"/>
            <w:tcBorders>
              <w:top w:val="single" w:color="auto" w:sz="4" w:space="0"/>
              <w:bottom w:val="single" w:color="auto" w:sz="4" w:space="0"/>
            </w:tcBorders>
            <w:vAlign w:val="center"/>
          </w:tcPr>
          <w:p w14:paraId="7CC11C9D">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按照磋商文件的规定提交磋商保证金</w:t>
            </w:r>
          </w:p>
        </w:tc>
      </w:tr>
    </w:tbl>
    <w:p w14:paraId="4B48CA88">
      <w:pPr>
        <w:pStyle w:val="29"/>
        <w:widowControl w:val="0"/>
        <w:numPr>
          <w:ilvl w:val="0"/>
          <w:numId w:val="0"/>
        </w:numPr>
        <w:autoSpaceDE w:val="0"/>
        <w:autoSpaceDN w:val="0"/>
        <w:spacing w:before="0" w:after="0" w:line="240" w:lineRule="auto"/>
        <w:ind w:right="0" w:rightChars="0"/>
        <w:jc w:val="left"/>
        <w:rPr>
          <w:rFonts w:hint="eastAsia" w:ascii="仿宋" w:hAnsi="仿宋" w:eastAsia="仿宋" w:cs="仿宋"/>
          <w:b/>
          <w:bCs/>
          <w:highlight w:val="none"/>
          <w:lang w:val="en-US" w:eastAsia="zh-CN"/>
        </w:rPr>
      </w:pPr>
    </w:p>
    <w:p w14:paraId="023C0375">
      <w:pPr>
        <w:pStyle w:val="29"/>
        <w:keepNext w:val="0"/>
        <w:keepLines w:val="0"/>
        <w:pageBreakBefore w:val="0"/>
        <w:widowControl w:val="0"/>
        <w:numPr>
          <w:ilvl w:val="0"/>
          <w:numId w:val="13"/>
        </w:numPr>
        <w:kinsoku/>
        <w:wordWrap/>
        <w:overflowPunct/>
        <w:topLinePunct w:val="0"/>
        <w:autoSpaceDE w:val="0"/>
        <w:autoSpaceDN w:val="0"/>
        <w:bidi w:val="0"/>
        <w:adjustRightInd/>
        <w:snapToGrid/>
        <w:spacing w:before="0" w:after="0" w:line="440" w:lineRule="exact"/>
        <w:ind w:left="0" w:leftChars="0" w:right="0" w:rightChars="0" w:firstLine="0" w:firstLineChars="0"/>
        <w:jc w:val="left"/>
        <w:textAlignment w:val="auto"/>
        <w:outlineLvl w:val="1"/>
        <w:rPr>
          <w:rFonts w:hint="eastAsia" w:ascii="仿宋" w:hAnsi="仿宋" w:eastAsia="仿宋" w:cs="仿宋"/>
          <w:sz w:val="24"/>
          <w:szCs w:val="24"/>
          <w:highlight w:val="none"/>
          <w:lang w:val="en-US" w:eastAsia="zh-CN"/>
        </w:rPr>
      </w:pPr>
      <w:bookmarkStart w:id="28" w:name="_Toc27889"/>
      <w:r>
        <w:rPr>
          <w:rFonts w:hint="eastAsia" w:ascii="仿宋" w:hAnsi="仿宋" w:eastAsia="仿宋" w:cs="仿宋"/>
          <w:b/>
          <w:bCs/>
          <w:sz w:val="24"/>
          <w:szCs w:val="24"/>
          <w:highlight w:val="none"/>
          <w:lang w:val="en-US" w:eastAsia="zh-CN"/>
        </w:rPr>
        <w:t>符合性审查</w:t>
      </w:r>
      <w:bookmarkEnd w:id="28"/>
    </w:p>
    <w:p w14:paraId="26238E37">
      <w:pPr>
        <w:keepNext w:val="0"/>
        <w:keepLines w:val="0"/>
        <w:pageBreakBefore w:val="0"/>
        <w:widowControl w:val="0"/>
        <w:numPr>
          <w:ilvl w:val="1"/>
          <w:numId w:val="13"/>
        </w:numPr>
        <w:kinsoku/>
        <w:wordWrap/>
        <w:overflowPunct/>
        <w:topLinePunct w:val="0"/>
        <w:bidi w:val="0"/>
        <w:adjustRightInd/>
        <w:snapToGrid/>
        <w:spacing w:line="44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磋商小组依据采购文件，对响应文件的有效性、完整性和对采购文件的响应程度进行审查，以确定供应商是否对采购文件的实质性要求做出响应。符合性审查中凡有其中任意一项未通过的，评审结果为未通过，未通过符合性审查的供应商，不进入详细评审。审查内容如下：</w:t>
      </w:r>
    </w:p>
    <w:p w14:paraId="4D1EA683">
      <w:pPr>
        <w:pStyle w:val="29"/>
        <w:keepNext w:val="0"/>
        <w:keepLines w:val="0"/>
        <w:pageBreakBefore w:val="0"/>
        <w:widowControl w:val="0"/>
        <w:kinsoku/>
        <w:wordWrap/>
        <w:overflowPunct/>
        <w:topLinePunct w:val="0"/>
        <w:bidi w:val="0"/>
        <w:adjustRightInd/>
        <w:snapToGrid/>
        <w:spacing w:line="440" w:lineRule="exact"/>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符合性审查要求</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0"/>
        <w:gridCol w:w="1291"/>
        <w:gridCol w:w="6581"/>
      </w:tblGrid>
      <w:tr w14:paraId="4540B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Align w:val="center"/>
          </w:tcPr>
          <w:p w14:paraId="64A4905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序号</w:t>
            </w:r>
          </w:p>
        </w:tc>
        <w:tc>
          <w:tcPr>
            <w:tcW w:w="1291" w:type="dxa"/>
            <w:vAlign w:val="center"/>
          </w:tcPr>
          <w:p w14:paraId="586A1D9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审查因素</w:t>
            </w:r>
          </w:p>
        </w:tc>
        <w:tc>
          <w:tcPr>
            <w:tcW w:w="6581" w:type="dxa"/>
            <w:vAlign w:val="center"/>
          </w:tcPr>
          <w:p w14:paraId="0E5D2FE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审查内容</w:t>
            </w:r>
          </w:p>
        </w:tc>
      </w:tr>
      <w:tr w14:paraId="5A41A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Align w:val="center"/>
          </w:tcPr>
          <w:p w14:paraId="75DD60B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1</w:t>
            </w:r>
          </w:p>
        </w:tc>
        <w:tc>
          <w:tcPr>
            <w:tcW w:w="1291" w:type="dxa"/>
            <w:vAlign w:val="center"/>
          </w:tcPr>
          <w:p w14:paraId="7C7B1E93">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授权委托书</w:t>
            </w:r>
          </w:p>
        </w:tc>
        <w:tc>
          <w:tcPr>
            <w:tcW w:w="6581" w:type="dxa"/>
            <w:vAlign w:val="center"/>
          </w:tcPr>
          <w:p w14:paraId="39C42ED5">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响应文件中由法定代表人签字或盖签名章的，须提供法定代表人身份证明书；响应文件中由授权委托人签字的，须提供法定代表人授权委托书及法定代表人身份证明书。</w:t>
            </w:r>
          </w:p>
        </w:tc>
      </w:tr>
      <w:tr w14:paraId="7452B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650" w:type="dxa"/>
            <w:vAlign w:val="center"/>
          </w:tcPr>
          <w:p w14:paraId="3AFB568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2</w:t>
            </w:r>
          </w:p>
        </w:tc>
        <w:tc>
          <w:tcPr>
            <w:tcW w:w="1291" w:type="dxa"/>
            <w:vAlign w:val="center"/>
          </w:tcPr>
          <w:p w14:paraId="2058D0A4">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响应完整性</w:t>
            </w:r>
          </w:p>
        </w:tc>
        <w:tc>
          <w:tcPr>
            <w:tcW w:w="6581" w:type="dxa"/>
            <w:vAlign w:val="center"/>
          </w:tcPr>
          <w:p w14:paraId="2E41974A">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未将一个采购包/标项中的内容拆开投标</w:t>
            </w:r>
          </w:p>
        </w:tc>
      </w:tr>
      <w:tr w14:paraId="71DDB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Align w:val="center"/>
          </w:tcPr>
          <w:p w14:paraId="24278E7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3</w:t>
            </w:r>
          </w:p>
        </w:tc>
        <w:tc>
          <w:tcPr>
            <w:tcW w:w="1291" w:type="dxa"/>
            <w:vAlign w:val="center"/>
          </w:tcPr>
          <w:p w14:paraId="148DDBEE">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响应报价</w:t>
            </w:r>
          </w:p>
        </w:tc>
        <w:tc>
          <w:tcPr>
            <w:tcW w:w="6581" w:type="dxa"/>
            <w:vAlign w:val="center"/>
          </w:tcPr>
          <w:p w14:paraId="0AA08A77">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最后报价未超过磋商文件中规定的预算金额或最高限价；</w:t>
            </w:r>
          </w:p>
        </w:tc>
      </w:tr>
      <w:tr w14:paraId="6F2BF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Align w:val="center"/>
          </w:tcPr>
          <w:p w14:paraId="294CD16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4</w:t>
            </w:r>
          </w:p>
        </w:tc>
        <w:tc>
          <w:tcPr>
            <w:tcW w:w="1291" w:type="dxa"/>
            <w:vAlign w:val="center"/>
          </w:tcPr>
          <w:p w14:paraId="7E2FE7E4">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报价唯一性</w:t>
            </w:r>
          </w:p>
        </w:tc>
        <w:tc>
          <w:tcPr>
            <w:tcW w:w="6581" w:type="dxa"/>
            <w:vAlign w:val="center"/>
          </w:tcPr>
          <w:p w14:paraId="127F929A">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响应文件未出现可选择性或可调整的报价（采购文件另有规定的除外）</w:t>
            </w:r>
          </w:p>
        </w:tc>
      </w:tr>
      <w:tr w14:paraId="3968B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Align w:val="center"/>
          </w:tcPr>
          <w:p w14:paraId="5DEDA6B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5</w:t>
            </w:r>
          </w:p>
        </w:tc>
        <w:tc>
          <w:tcPr>
            <w:tcW w:w="1291" w:type="dxa"/>
            <w:vAlign w:val="center"/>
          </w:tcPr>
          <w:p w14:paraId="3E59854D">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响应有效期</w:t>
            </w:r>
          </w:p>
        </w:tc>
        <w:tc>
          <w:tcPr>
            <w:tcW w:w="6581" w:type="dxa"/>
            <w:vAlign w:val="center"/>
          </w:tcPr>
          <w:p w14:paraId="3FEB0341">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响应文件中承诺的响应有效期满足采购文件中载明的响应有效期的</w:t>
            </w:r>
          </w:p>
        </w:tc>
      </w:tr>
      <w:tr w14:paraId="38A3F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50" w:type="dxa"/>
            <w:vAlign w:val="center"/>
          </w:tcPr>
          <w:p w14:paraId="67AA0E9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6</w:t>
            </w:r>
          </w:p>
        </w:tc>
        <w:tc>
          <w:tcPr>
            <w:tcW w:w="1291" w:type="dxa"/>
            <w:vAlign w:val="center"/>
          </w:tcPr>
          <w:p w14:paraId="2DF017DE">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签署、盖章</w:t>
            </w:r>
          </w:p>
        </w:tc>
        <w:tc>
          <w:tcPr>
            <w:tcW w:w="6581" w:type="dxa"/>
            <w:vAlign w:val="center"/>
          </w:tcPr>
          <w:p w14:paraId="55E44266">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按照采购文件要求签署、盖章的</w:t>
            </w:r>
          </w:p>
        </w:tc>
      </w:tr>
      <w:tr w14:paraId="77466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50" w:type="dxa"/>
            <w:vAlign w:val="center"/>
          </w:tcPr>
          <w:p w14:paraId="0ACE517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7</w:t>
            </w:r>
          </w:p>
        </w:tc>
        <w:tc>
          <w:tcPr>
            <w:tcW w:w="1291" w:type="dxa"/>
            <w:vAlign w:val="center"/>
          </w:tcPr>
          <w:p w14:paraId="202798B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报价合理性</w:t>
            </w:r>
          </w:p>
        </w:tc>
        <w:tc>
          <w:tcPr>
            <w:tcW w:w="6581" w:type="dxa"/>
            <w:vAlign w:val="center"/>
          </w:tcPr>
          <w:p w14:paraId="5B1CF14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color w:val="000000"/>
                <w:kern w:val="0"/>
                <w:sz w:val="21"/>
                <w:szCs w:val="21"/>
                <w:highlight w:val="none"/>
                <w:lang w:val="en-US" w:eastAsia="zh-CN" w:bidi="ar"/>
              </w:rPr>
              <w:t>报价合理，或投标人的报价明显低于其他通过符合性审查投标人的报价，有可能影响产品质量或者不能诚信履约的，能够应评标委员会要求在规定时间内证明其报价合理性的</w:t>
            </w:r>
          </w:p>
        </w:tc>
      </w:tr>
      <w:tr w14:paraId="6ACE4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Align w:val="center"/>
          </w:tcPr>
          <w:p w14:paraId="646B719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8</w:t>
            </w:r>
          </w:p>
        </w:tc>
        <w:tc>
          <w:tcPr>
            <w:tcW w:w="1291" w:type="dxa"/>
            <w:vAlign w:val="center"/>
          </w:tcPr>
          <w:p w14:paraId="503EDAFA">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附加条件</w:t>
            </w:r>
          </w:p>
        </w:tc>
        <w:tc>
          <w:tcPr>
            <w:tcW w:w="6581" w:type="dxa"/>
            <w:vAlign w:val="center"/>
          </w:tcPr>
          <w:p w14:paraId="52F5C34D">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响应文件未含有采购人不能接受的附加条件的</w:t>
            </w:r>
          </w:p>
        </w:tc>
      </w:tr>
      <w:tr w14:paraId="3075F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50" w:type="dxa"/>
            <w:vAlign w:val="center"/>
          </w:tcPr>
          <w:p w14:paraId="39E45C6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9</w:t>
            </w:r>
          </w:p>
        </w:tc>
        <w:tc>
          <w:tcPr>
            <w:tcW w:w="1291" w:type="dxa"/>
            <w:vAlign w:val="center"/>
          </w:tcPr>
          <w:p w14:paraId="62F94E12">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其他</w:t>
            </w:r>
          </w:p>
        </w:tc>
        <w:tc>
          <w:tcPr>
            <w:tcW w:w="6581" w:type="dxa"/>
            <w:vAlign w:val="center"/>
          </w:tcPr>
          <w:p w14:paraId="4149D706">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响应文件中不存在违反国家法律、法规和采购文件规定的其他无效情形</w:t>
            </w:r>
          </w:p>
        </w:tc>
      </w:tr>
    </w:tbl>
    <w:p w14:paraId="5DF247C2">
      <w:pPr>
        <w:pStyle w:val="29"/>
        <w:ind w:left="0" w:leftChars="0" w:firstLine="0" w:firstLineChars="0"/>
        <w:rPr>
          <w:rFonts w:hint="eastAsia" w:ascii="仿宋" w:hAnsi="仿宋" w:eastAsia="仿宋" w:cs="仿宋"/>
          <w:highlight w:val="none"/>
          <w:lang w:val="en-US" w:eastAsia="zh-CN"/>
        </w:rPr>
      </w:pPr>
    </w:p>
    <w:p w14:paraId="0A0E10E0">
      <w:pPr>
        <w:keepNext w:val="0"/>
        <w:keepLines w:val="0"/>
        <w:pageBreakBefore w:val="0"/>
        <w:widowControl w:val="0"/>
        <w:numPr>
          <w:ilvl w:val="0"/>
          <w:numId w:val="13"/>
        </w:numPr>
        <w:kinsoku/>
        <w:wordWrap/>
        <w:overflowPunct/>
        <w:topLinePunct w:val="0"/>
        <w:autoSpaceDE/>
        <w:autoSpaceDN/>
        <w:bidi w:val="0"/>
        <w:adjustRightInd/>
        <w:snapToGrid/>
        <w:spacing w:line="420" w:lineRule="exact"/>
        <w:ind w:left="0" w:leftChars="0" w:firstLine="0" w:firstLineChars="0"/>
        <w:textAlignment w:val="auto"/>
        <w:outlineLvl w:val="1"/>
        <w:rPr>
          <w:rFonts w:hint="eastAsia" w:ascii="仿宋" w:hAnsi="仿宋" w:eastAsia="仿宋" w:cs="仿宋"/>
          <w:b/>
          <w:bCs/>
          <w:sz w:val="24"/>
          <w:szCs w:val="24"/>
          <w:highlight w:val="none"/>
          <w:lang w:val="en-US" w:eastAsia="zh-CN"/>
        </w:rPr>
      </w:pPr>
      <w:bookmarkStart w:id="29" w:name="_Toc31864"/>
      <w:r>
        <w:rPr>
          <w:rFonts w:hint="eastAsia" w:ascii="仿宋" w:hAnsi="仿宋" w:eastAsia="仿宋" w:cs="仿宋"/>
          <w:b/>
          <w:bCs/>
          <w:sz w:val="24"/>
          <w:szCs w:val="24"/>
          <w:highlight w:val="none"/>
          <w:lang w:val="en-US" w:eastAsia="zh-CN"/>
        </w:rPr>
        <w:t>响应文件澄清</w:t>
      </w:r>
      <w:bookmarkEnd w:id="29"/>
    </w:p>
    <w:p w14:paraId="43262F1B">
      <w:pPr>
        <w:keepNext w:val="0"/>
        <w:keepLines w:val="0"/>
        <w:pageBreakBefore w:val="0"/>
        <w:widowControl w:val="0"/>
        <w:numPr>
          <w:ilvl w:val="1"/>
          <w:numId w:val="13"/>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评标过程中，磋商小组将以书面形式要求供应商对其投标（响应）文件中含义不明确、同类问题表述不一致或者有明显文字和计算错误的内容，作出必要的澄清、说明或者补正。代理机构可根据开标环节记录的授权代表人联系方式电话告知供应商，供应商需登录电子招投标系统，在规定时间内完成澄清（响应），并加盖电子印章。若因供应商联系方式错误未接收短信、未接听电话或超时未进行澄清（响应）造成的不利后果由供应商自行承担。供应商的澄清、说明或者补正不得超出投标（响应）文件的范围或者改变投标（响应）文件的实质性内容。澄清文件将作为投标（响应）文件内容的一部分。</w:t>
      </w:r>
    </w:p>
    <w:p w14:paraId="3889F751">
      <w:pPr>
        <w:keepNext w:val="0"/>
        <w:keepLines w:val="0"/>
        <w:pageBreakBefore w:val="0"/>
        <w:widowControl w:val="0"/>
        <w:numPr>
          <w:ilvl w:val="1"/>
          <w:numId w:val="13"/>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异常低价审查：依据《关于推动解决政府采购异常低价问题的通知》（财库〔2026〕2号）政府采购评审中出现下列情形之一的，磋商小组应当启动异常低价投标（响应）审查程序：</w:t>
      </w:r>
    </w:p>
    <w:p w14:paraId="7F21DF5A">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（1）投标（响应）报价低于全部通过符合性审查供应商投标（响应）报价平均值50%的，即投标（响应）报价＜全部通过符合性审查供应商投标（响应）报价平均值×50%；</w:t>
      </w:r>
    </w:p>
    <w:p w14:paraId="38C608B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（2）投标（响应）报价低于通过符合性审查的次低报价供应商投标（响应）报价50%的，即投标（响应）报价＜通过符合性审查的次低报价供应商投标（响应）报价×50%；</w:t>
      </w:r>
    </w:p>
    <w:p w14:paraId="2D2B1D2A">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（3）投标（响应）报价低于采购项目最高限价45%的，即投标（响应）报价＜采购项目最高限价×45%；</w:t>
      </w:r>
    </w:p>
    <w:p w14:paraId="3D190E4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（4）评审委员会基于专业判断，认为供应商报价过低，有可能影响产品质量或者不能诚信履约的其他情形。</w:t>
      </w:r>
    </w:p>
    <w:p w14:paraId="3820595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6A52C84">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0BB8AE8">
      <w:pPr>
        <w:keepNext w:val="0"/>
        <w:keepLines w:val="0"/>
        <w:pageBreakBefore w:val="0"/>
        <w:widowControl w:val="0"/>
        <w:numPr>
          <w:ilvl w:val="1"/>
          <w:numId w:val="13"/>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磋商小组不接受供应商主动提出的澄清、说明或补正。</w:t>
      </w:r>
    </w:p>
    <w:p w14:paraId="7CF2D302">
      <w:pPr>
        <w:keepNext w:val="0"/>
        <w:keepLines w:val="0"/>
        <w:pageBreakBefore w:val="0"/>
        <w:widowControl w:val="0"/>
        <w:numPr>
          <w:ilvl w:val="1"/>
          <w:numId w:val="13"/>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磋商小组对供应商提交的澄清、说明或补正有疑问的，可以要求供应商进一步澄清、说明或补正。</w:t>
      </w:r>
    </w:p>
    <w:p w14:paraId="4ECB6C9D">
      <w:pPr>
        <w:keepNext w:val="0"/>
        <w:keepLines w:val="0"/>
        <w:pageBreakBefore w:val="0"/>
        <w:widowControl w:val="0"/>
        <w:numPr>
          <w:ilvl w:val="0"/>
          <w:numId w:val="13"/>
        </w:numPr>
        <w:kinsoku/>
        <w:wordWrap/>
        <w:overflowPunct/>
        <w:topLinePunct w:val="0"/>
        <w:autoSpaceDE/>
        <w:autoSpaceDN/>
        <w:bidi w:val="0"/>
        <w:adjustRightInd/>
        <w:snapToGrid/>
        <w:spacing w:line="420" w:lineRule="exact"/>
        <w:ind w:left="0" w:leftChars="0" w:firstLine="0" w:firstLineChars="0"/>
        <w:textAlignment w:val="auto"/>
        <w:outlineLvl w:val="1"/>
        <w:rPr>
          <w:rFonts w:hint="eastAsia" w:ascii="仿宋" w:hAnsi="仿宋" w:eastAsia="仿宋" w:cs="仿宋"/>
          <w:sz w:val="24"/>
          <w:szCs w:val="24"/>
          <w:highlight w:val="none"/>
          <w:lang w:val="en-US" w:eastAsia="zh-CN"/>
        </w:rPr>
      </w:pPr>
      <w:bookmarkStart w:id="30" w:name="_Toc12580"/>
      <w:r>
        <w:rPr>
          <w:rFonts w:hint="eastAsia" w:ascii="仿宋" w:hAnsi="仿宋" w:eastAsia="仿宋" w:cs="仿宋"/>
          <w:b/>
          <w:bCs/>
          <w:sz w:val="24"/>
          <w:szCs w:val="24"/>
          <w:highlight w:val="none"/>
          <w:lang w:val="en-US" w:eastAsia="zh-CN"/>
        </w:rPr>
        <w:t>磋商</w:t>
      </w:r>
      <w:bookmarkEnd w:id="30"/>
    </w:p>
    <w:p w14:paraId="247C66E3">
      <w:pPr>
        <w:keepNext w:val="0"/>
        <w:keepLines w:val="0"/>
        <w:pageBreakBefore w:val="0"/>
        <w:widowControl w:val="0"/>
        <w:numPr>
          <w:ilvl w:val="1"/>
          <w:numId w:val="13"/>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磋商小组所有成员应当集中与单一供应商分别进行磋商，并给予所有参加磋商的供应商平等的磋商机会。</w:t>
      </w:r>
    </w:p>
    <w:p w14:paraId="062C3A3F">
      <w:pPr>
        <w:keepNext w:val="0"/>
        <w:keepLines w:val="0"/>
        <w:pageBreakBefore w:val="0"/>
        <w:widowControl w:val="0"/>
        <w:numPr>
          <w:ilvl w:val="1"/>
          <w:numId w:val="13"/>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在磋商过程中，磋商小组可以根据采购文件和磋商情况实质性变动采购需求中的技术、服务要求以及合同草案条款，但不得变动采购文件中的其他内容。实质性变动的内容，须经采购人代表确认。</w:t>
      </w:r>
    </w:p>
    <w:p w14:paraId="74286B1C">
      <w:pPr>
        <w:keepNext w:val="0"/>
        <w:keepLines w:val="0"/>
        <w:pageBreakBefore w:val="0"/>
        <w:widowControl w:val="0"/>
        <w:numPr>
          <w:ilvl w:val="1"/>
          <w:numId w:val="13"/>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对采购文件作出的实质性变动是采购文件的有效组成部分，磋商小组应当及时、同时通知所有参加磋商的供应商。</w:t>
      </w:r>
    </w:p>
    <w:p w14:paraId="6B682AF5">
      <w:pPr>
        <w:keepNext w:val="0"/>
        <w:keepLines w:val="0"/>
        <w:pageBreakBefore w:val="0"/>
        <w:widowControl w:val="0"/>
        <w:numPr>
          <w:ilvl w:val="1"/>
          <w:numId w:val="13"/>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应当按照采购文件的变动情况和磋商小组的要求进行最后报价或重新提交响应文件，并由其法定代表人或授权代表签字或者加盖公章。由授权代表签字的，应当附法定代表人授权书。供应商为自然人的，应当由本人签字并附身份证明。</w:t>
      </w:r>
    </w:p>
    <w:p w14:paraId="388D5EA2">
      <w:pPr>
        <w:keepNext w:val="0"/>
        <w:keepLines w:val="0"/>
        <w:pageBreakBefore w:val="0"/>
        <w:widowControl w:val="0"/>
        <w:numPr>
          <w:ilvl w:val="0"/>
          <w:numId w:val="13"/>
        </w:numPr>
        <w:kinsoku/>
        <w:wordWrap/>
        <w:overflowPunct/>
        <w:topLinePunct w:val="0"/>
        <w:autoSpaceDE/>
        <w:autoSpaceDN/>
        <w:bidi w:val="0"/>
        <w:adjustRightInd/>
        <w:snapToGrid/>
        <w:spacing w:line="420" w:lineRule="exact"/>
        <w:ind w:left="0" w:leftChars="0" w:firstLine="0" w:firstLineChars="0"/>
        <w:textAlignment w:val="auto"/>
        <w:outlineLvl w:val="1"/>
        <w:rPr>
          <w:rFonts w:hint="eastAsia" w:ascii="仿宋" w:hAnsi="仿宋" w:eastAsia="仿宋" w:cs="仿宋"/>
          <w:b/>
          <w:bCs/>
          <w:sz w:val="24"/>
          <w:szCs w:val="24"/>
          <w:highlight w:val="none"/>
          <w:lang w:val="en-US" w:eastAsia="zh-CN"/>
        </w:rPr>
      </w:pPr>
      <w:bookmarkStart w:id="31" w:name="_Toc3596"/>
      <w:r>
        <w:rPr>
          <w:rFonts w:hint="eastAsia" w:ascii="仿宋" w:hAnsi="仿宋" w:eastAsia="仿宋" w:cs="仿宋"/>
          <w:b/>
          <w:bCs/>
          <w:sz w:val="24"/>
          <w:szCs w:val="24"/>
          <w:highlight w:val="none"/>
          <w:lang w:val="en-US" w:eastAsia="zh-CN"/>
        </w:rPr>
        <w:t>最后报价</w:t>
      </w:r>
      <w:bookmarkEnd w:id="31"/>
    </w:p>
    <w:p w14:paraId="58C569C2">
      <w:pPr>
        <w:pStyle w:val="29"/>
        <w:keepNext w:val="0"/>
        <w:keepLines w:val="0"/>
        <w:pageBreakBefore w:val="0"/>
        <w:widowControl w:val="0"/>
        <w:numPr>
          <w:ilvl w:val="1"/>
          <w:numId w:val="13"/>
        </w:numPr>
        <w:kinsoku/>
        <w:wordWrap/>
        <w:overflowPunct/>
        <w:topLinePunct w:val="0"/>
        <w:bidi w:val="0"/>
        <w:adjustRightInd/>
        <w:snapToGrid/>
        <w:spacing w:line="420" w:lineRule="exact"/>
        <w:ind w:left="0" w:leftChars="0" w:firstLine="0" w:firstLineChars="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磋商结束后，磋商小组应当要求所有实质性响应的供应商在规定时间内提交最后报价。最后报价是供应商响应文件的有效组成部分。未在规定的时间内提交最后报价的供应商将视为自愿退出本次磋商。</w:t>
      </w:r>
    </w:p>
    <w:p w14:paraId="0B6453B2">
      <w:pPr>
        <w:pStyle w:val="29"/>
        <w:keepNext w:val="0"/>
        <w:keepLines w:val="0"/>
        <w:pageBreakBefore w:val="0"/>
        <w:widowControl w:val="0"/>
        <w:numPr>
          <w:ilvl w:val="1"/>
          <w:numId w:val="13"/>
        </w:numPr>
        <w:kinsoku/>
        <w:wordWrap/>
        <w:overflowPunct/>
        <w:topLinePunct w:val="0"/>
        <w:bidi w:val="0"/>
        <w:adjustRightInd/>
        <w:snapToGrid/>
        <w:spacing w:line="420" w:lineRule="exact"/>
        <w:ind w:left="0" w:leftChars="0" w:firstLine="0" w:firstLineChars="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已提交响应文件的供应商，在提交最后报价之前，可以根据磋商情况退出磋商。</w:t>
      </w:r>
    </w:p>
    <w:p w14:paraId="5A57D5DE">
      <w:pPr>
        <w:pStyle w:val="29"/>
        <w:keepNext w:val="0"/>
        <w:keepLines w:val="0"/>
        <w:pageBreakBefore w:val="0"/>
        <w:widowControl w:val="0"/>
        <w:numPr>
          <w:ilvl w:val="1"/>
          <w:numId w:val="13"/>
        </w:numPr>
        <w:kinsoku/>
        <w:wordWrap/>
        <w:overflowPunct/>
        <w:topLinePunct w:val="0"/>
        <w:bidi w:val="0"/>
        <w:adjustRightInd/>
        <w:snapToGrid/>
        <w:spacing w:line="420" w:lineRule="exact"/>
        <w:ind w:left="0" w:leftChars="0" w:firstLine="0" w:firstLineChars="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除法规规定的特殊性情形外，提交最后报价的供应商不得少于3家。</w:t>
      </w:r>
    </w:p>
    <w:p w14:paraId="7D839491">
      <w:pPr>
        <w:pStyle w:val="29"/>
        <w:keepNext w:val="0"/>
        <w:keepLines w:val="0"/>
        <w:pageBreakBefore w:val="0"/>
        <w:widowControl w:val="0"/>
        <w:numPr>
          <w:ilvl w:val="1"/>
          <w:numId w:val="13"/>
        </w:numPr>
        <w:kinsoku/>
        <w:wordWrap/>
        <w:overflowPunct/>
        <w:topLinePunct w:val="0"/>
        <w:bidi w:val="0"/>
        <w:adjustRightInd/>
        <w:snapToGrid/>
        <w:spacing w:line="420" w:lineRule="exact"/>
        <w:ind w:left="0" w:leftChars="0" w:firstLine="0" w:firstLineChars="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最后报价须包含竞争性磋商文件全部内容，如最后分项报价表有缺漏视为已 含在其他各项报价中，将不对最后报价总价进行调整。磋商小组有权要求供应商在评审现场合理的时间内对此进行书面确认，供应商不确认的，视为将一个采购包中的内容拆开响应，其</w:t>
      </w:r>
      <w:r>
        <w:rPr>
          <w:rFonts w:hint="eastAsia" w:ascii="仿宋" w:hAnsi="仿宋" w:eastAsia="仿宋" w:cs="仿宋"/>
          <w:b/>
          <w:bCs/>
          <w:highlight w:val="none"/>
          <w:lang w:val="en-US" w:eastAsia="zh-CN"/>
        </w:rPr>
        <w:t>响应无效</w:t>
      </w:r>
      <w:r>
        <w:rPr>
          <w:rFonts w:hint="eastAsia" w:ascii="仿宋" w:hAnsi="仿宋" w:eastAsia="仿宋" w:cs="仿宋"/>
          <w:highlight w:val="none"/>
          <w:lang w:val="en-US" w:eastAsia="zh-CN"/>
        </w:rPr>
        <w:t>。</w:t>
      </w:r>
    </w:p>
    <w:p w14:paraId="0BE04117">
      <w:pPr>
        <w:keepNext w:val="0"/>
        <w:keepLines w:val="0"/>
        <w:pageBreakBefore w:val="0"/>
        <w:widowControl w:val="0"/>
        <w:numPr>
          <w:ilvl w:val="0"/>
          <w:numId w:val="13"/>
        </w:numPr>
        <w:kinsoku/>
        <w:wordWrap/>
        <w:overflowPunct/>
        <w:topLinePunct w:val="0"/>
        <w:bidi w:val="0"/>
        <w:adjustRightInd/>
        <w:snapToGrid/>
        <w:spacing w:line="420" w:lineRule="exact"/>
        <w:ind w:left="0" w:leftChars="0" w:firstLine="0" w:firstLineChars="0"/>
        <w:textAlignment w:val="auto"/>
        <w:outlineLvl w:val="1"/>
        <w:rPr>
          <w:rFonts w:hint="eastAsia" w:ascii="仿宋" w:hAnsi="仿宋" w:eastAsia="仿宋" w:cs="仿宋"/>
          <w:b/>
          <w:bCs/>
          <w:sz w:val="24"/>
          <w:szCs w:val="24"/>
          <w:highlight w:val="none"/>
          <w:lang w:val="en-US" w:eastAsia="zh-CN"/>
        </w:rPr>
      </w:pPr>
      <w:bookmarkStart w:id="32" w:name="_Toc22657"/>
      <w:r>
        <w:rPr>
          <w:rFonts w:hint="eastAsia" w:ascii="仿宋" w:hAnsi="仿宋" w:eastAsia="仿宋" w:cs="仿宋"/>
          <w:b/>
          <w:bCs/>
          <w:sz w:val="24"/>
          <w:szCs w:val="24"/>
          <w:highlight w:val="none"/>
          <w:lang w:val="en-US" w:eastAsia="zh-CN"/>
        </w:rPr>
        <w:t>详细评审</w:t>
      </w:r>
      <w:bookmarkEnd w:id="32"/>
    </w:p>
    <w:p w14:paraId="3F3D6381">
      <w:pPr>
        <w:pStyle w:val="29"/>
        <w:keepNext w:val="0"/>
        <w:keepLines w:val="0"/>
        <w:pageBreakBefore w:val="0"/>
        <w:widowControl w:val="0"/>
        <w:numPr>
          <w:ilvl w:val="1"/>
          <w:numId w:val="13"/>
        </w:numPr>
        <w:kinsoku/>
        <w:wordWrap/>
        <w:overflowPunct/>
        <w:topLinePunct w:val="0"/>
        <w:bidi w:val="0"/>
        <w:adjustRightInd/>
        <w:snapToGrid/>
        <w:spacing w:line="420" w:lineRule="exact"/>
        <w:ind w:left="0" w:leftChars="0" w:firstLine="0" w:firstLineChars="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磋商小组对提交最后报价的供应商的响应文件和最后报价，对其技术部分、商务部分及报价部分作进一步的综合比较和评价。详细评审标准如下：</w:t>
      </w:r>
    </w:p>
    <w:p w14:paraId="11E710A2">
      <w:pPr>
        <w:pStyle w:val="29"/>
        <w:keepNext w:val="0"/>
        <w:keepLines w:val="0"/>
        <w:pageBreakBefore w:val="0"/>
        <w:widowControl w:val="0"/>
        <w:numPr>
          <w:ilvl w:val="0"/>
          <w:numId w:val="0"/>
        </w:numPr>
        <w:kinsoku/>
        <w:wordWrap/>
        <w:overflowPunct/>
        <w:topLinePunct w:val="0"/>
        <w:bidi w:val="0"/>
        <w:adjustRightInd/>
        <w:snapToGrid/>
        <w:spacing w:line="420" w:lineRule="exact"/>
        <w:ind w:leftChars="0" w:right="0" w:rightChars="0"/>
        <w:jc w:val="center"/>
        <w:textAlignment w:val="auto"/>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详细评审标准</w:t>
      </w:r>
    </w:p>
    <w:tbl>
      <w:tblPr>
        <w:tblStyle w:val="3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1002"/>
        <w:gridCol w:w="745"/>
        <w:gridCol w:w="5902"/>
      </w:tblGrid>
      <w:tr w14:paraId="36E6A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99" w:type="pct"/>
            <w:gridSpan w:val="2"/>
            <w:vAlign w:val="center"/>
          </w:tcPr>
          <w:p w14:paraId="582E7D25">
            <w:pPr>
              <w:keepNext w:val="0"/>
              <w:keepLines w:val="0"/>
              <w:pageBreakBefore w:val="0"/>
              <w:widowControl w:val="0"/>
              <w:kinsoku/>
              <w:wordWrap/>
              <w:overflowPunct/>
              <w:topLinePunct w:val="0"/>
              <w:autoSpaceDE w:val="0"/>
              <w:autoSpaceDN w:val="0"/>
              <w:bidi w:val="0"/>
              <w:adjustRightInd/>
              <w:snapToGrid/>
              <w:spacing w:before="0" w:after="0" w:line="360" w:lineRule="atLeast"/>
              <w:ind w:left="0" w:leftChars="0" w:right="0" w:rightChars="0"/>
              <w:jc w:val="center"/>
              <w:textAlignment w:val="auto"/>
              <w:rPr>
                <w:rFonts w:hint="eastAsia" w:ascii="仿宋" w:hAnsi="仿宋" w:eastAsia="仿宋" w:cs="仿宋"/>
                <w:b/>
                <w:bCs w:val="0"/>
                <w:color w:val="auto"/>
                <w:kern w:val="0"/>
                <w:sz w:val="21"/>
                <w:szCs w:val="21"/>
                <w:highlight w:val="none"/>
                <w:vertAlign w:val="baseline"/>
                <w:lang w:val="zh-CN" w:bidi="zh-CN"/>
              </w:rPr>
            </w:pPr>
            <w:r>
              <w:rPr>
                <w:rFonts w:hint="eastAsia" w:ascii="仿宋" w:hAnsi="仿宋" w:eastAsia="仿宋" w:cs="仿宋"/>
                <w:b/>
                <w:bCs w:val="0"/>
                <w:color w:val="auto"/>
                <w:kern w:val="0"/>
                <w:sz w:val="21"/>
                <w:szCs w:val="21"/>
                <w:highlight w:val="none"/>
                <w:lang w:val="zh-CN" w:bidi="zh-CN"/>
              </w:rPr>
              <w:t>评分因素</w:t>
            </w:r>
          </w:p>
        </w:tc>
        <w:tc>
          <w:tcPr>
            <w:tcW w:w="437" w:type="pct"/>
            <w:vAlign w:val="center"/>
          </w:tcPr>
          <w:p w14:paraId="219ACD58">
            <w:pPr>
              <w:keepNext w:val="0"/>
              <w:keepLines w:val="0"/>
              <w:pageBreakBefore w:val="0"/>
              <w:widowControl w:val="0"/>
              <w:kinsoku/>
              <w:wordWrap/>
              <w:overflowPunct/>
              <w:topLinePunct w:val="0"/>
              <w:autoSpaceDE w:val="0"/>
              <w:autoSpaceDN w:val="0"/>
              <w:bidi w:val="0"/>
              <w:adjustRightInd/>
              <w:snapToGrid/>
              <w:spacing w:before="0" w:after="0" w:line="360" w:lineRule="atLeast"/>
              <w:ind w:left="0" w:leftChars="0" w:right="0" w:rightChars="0"/>
              <w:jc w:val="center"/>
              <w:textAlignment w:val="auto"/>
              <w:rPr>
                <w:rFonts w:hint="eastAsia" w:ascii="仿宋" w:hAnsi="仿宋" w:eastAsia="仿宋" w:cs="仿宋"/>
                <w:b/>
                <w:bCs w:val="0"/>
                <w:color w:val="auto"/>
                <w:kern w:val="0"/>
                <w:sz w:val="21"/>
                <w:szCs w:val="21"/>
                <w:highlight w:val="none"/>
                <w:vertAlign w:val="baseline"/>
                <w:lang w:val="zh-CN" w:bidi="zh-CN"/>
              </w:rPr>
            </w:pPr>
            <w:r>
              <w:rPr>
                <w:rFonts w:hint="eastAsia" w:ascii="仿宋" w:hAnsi="仿宋" w:eastAsia="仿宋" w:cs="仿宋"/>
                <w:b/>
                <w:bCs w:val="0"/>
                <w:color w:val="auto"/>
                <w:kern w:val="0"/>
                <w:sz w:val="21"/>
                <w:szCs w:val="21"/>
                <w:highlight w:val="none"/>
                <w:lang w:val="zh-CN" w:bidi="zh-CN"/>
              </w:rPr>
              <w:t>分值</w:t>
            </w:r>
          </w:p>
        </w:tc>
        <w:tc>
          <w:tcPr>
            <w:tcW w:w="3463" w:type="pct"/>
            <w:vAlign w:val="center"/>
          </w:tcPr>
          <w:p w14:paraId="36EB2509">
            <w:pPr>
              <w:keepNext w:val="0"/>
              <w:keepLines w:val="0"/>
              <w:pageBreakBefore w:val="0"/>
              <w:widowControl w:val="0"/>
              <w:kinsoku/>
              <w:wordWrap/>
              <w:overflowPunct/>
              <w:topLinePunct w:val="0"/>
              <w:autoSpaceDE w:val="0"/>
              <w:autoSpaceDN w:val="0"/>
              <w:bidi w:val="0"/>
              <w:adjustRightInd/>
              <w:spacing w:before="0" w:after="0" w:line="360" w:lineRule="atLeast"/>
              <w:ind w:left="0" w:leftChars="0" w:right="-36" w:rightChars="-15"/>
              <w:jc w:val="center"/>
              <w:textAlignment w:val="auto"/>
              <w:rPr>
                <w:rFonts w:hint="eastAsia" w:ascii="仿宋" w:hAnsi="仿宋" w:eastAsia="仿宋" w:cs="仿宋"/>
                <w:b/>
                <w:bCs w:val="0"/>
                <w:color w:val="auto"/>
                <w:kern w:val="0"/>
                <w:sz w:val="21"/>
                <w:szCs w:val="21"/>
                <w:highlight w:val="none"/>
                <w:vertAlign w:val="baseline"/>
                <w:lang w:val="zh-CN" w:bidi="zh-CN"/>
              </w:rPr>
            </w:pPr>
            <w:r>
              <w:rPr>
                <w:rFonts w:hint="eastAsia" w:ascii="仿宋" w:hAnsi="仿宋" w:eastAsia="仿宋" w:cs="仿宋"/>
                <w:b/>
                <w:bCs w:val="0"/>
                <w:color w:val="auto"/>
                <w:kern w:val="0"/>
                <w:sz w:val="21"/>
                <w:szCs w:val="21"/>
                <w:highlight w:val="none"/>
                <w:lang w:val="zh-CN" w:bidi="zh-CN"/>
              </w:rPr>
              <w:t>评分细则</w:t>
            </w:r>
          </w:p>
        </w:tc>
      </w:tr>
      <w:tr w14:paraId="62EFA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099" w:type="pct"/>
            <w:gridSpan w:val="2"/>
            <w:vAlign w:val="center"/>
          </w:tcPr>
          <w:p w14:paraId="373980DA">
            <w:pPr>
              <w:keepNext w:val="0"/>
              <w:keepLines w:val="0"/>
              <w:pageBreakBefore w:val="0"/>
              <w:widowControl w:val="0"/>
              <w:kinsoku/>
              <w:wordWrap/>
              <w:overflowPunct/>
              <w:topLinePunct w:val="0"/>
              <w:autoSpaceDE w:val="0"/>
              <w:autoSpaceDN w:val="0"/>
              <w:bidi w:val="0"/>
              <w:adjustRightInd/>
              <w:snapToGrid/>
              <w:spacing w:before="0" w:after="0" w:line="360" w:lineRule="atLeast"/>
              <w:ind w:left="0" w:leftChars="0" w:right="0" w:rightChars="0"/>
              <w:jc w:val="center"/>
              <w:textAlignment w:val="auto"/>
              <w:rPr>
                <w:rFonts w:hint="eastAsia" w:ascii="仿宋" w:hAnsi="仿宋" w:eastAsia="仿宋" w:cs="仿宋"/>
                <w:b/>
                <w:bCs w:val="0"/>
                <w:color w:val="auto"/>
                <w:kern w:val="0"/>
                <w:sz w:val="21"/>
                <w:szCs w:val="21"/>
                <w:highlight w:val="none"/>
                <w:lang w:val="en-US" w:eastAsia="zh-CN" w:bidi="zh-CN"/>
              </w:rPr>
            </w:pPr>
            <w:r>
              <w:rPr>
                <w:rFonts w:hint="eastAsia" w:ascii="仿宋" w:hAnsi="仿宋" w:eastAsia="仿宋" w:cs="仿宋"/>
                <w:b w:val="0"/>
                <w:bCs/>
                <w:color w:val="auto"/>
                <w:kern w:val="0"/>
                <w:sz w:val="21"/>
                <w:szCs w:val="21"/>
                <w:highlight w:val="none"/>
                <w:lang w:val="en-US" w:eastAsia="zh-CN" w:bidi="zh-CN"/>
              </w:rPr>
              <w:t>分值构成</w:t>
            </w:r>
          </w:p>
        </w:tc>
        <w:tc>
          <w:tcPr>
            <w:tcW w:w="3900" w:type="pct"/>
            <w:gridSpan w:val="2"/>
            <w:vAlign w:val="center"/>
          </w:tcPr>
          <w:p w14:paraId="49560CBE">
            <w:pPr>
              <w:keepNext w:val="0"/>
              <w:keepLines w:val="0"/>
              <w:pageBreakBefore w:val="0"/>
              <w:widowControl w:val="0"/>
              <w:kinsoku/>
              <w:wordWrap/>
              <w:overflowPunct/>
              <w:topLinePunct w:val="0"/>
              <w:autoSpaceDE w:val="0"/>
              <w:autoSpaceDN w:val="0"/>
              <w:bidi w:val="0"/>
              <w:adjustRightInd/>
              <w:spacing w:before="0" w:after="0" w:line="360" w:lineRule="atLeast"/>
              <w:ind w:left="0" w:leftChars="0" w:right="-36" w:rightChars="-15"/>
              <w:jc w:val="left"/>
              <w:textAlignment w:val="auto"/>
              <w:rPr>
                <w:rFonts w:hint="eastAsia" w:ascii="仿宋" w:hAnsi="仿宋" w:eastAsia="仿宋" w:cs="仿宋"/>
                <w:b w:val="0"/>
                <w:bCs/>
                <w:color w:val="auto"/>
                <w:kern w:val="0"/>
                <w:sz w:val="21"/>
                <w:szCs w:val="21"/>
                <w:highlight w:val="none"/>
                <w:lang w:val="zh-CN" w:bidi="zh-CN"/>
              </w:rPr>
            </w:pPr>
            <w:r>
              <w:rPr>
                <w:rFonts w:hint="eastAsia" w:ascii="仿宋" w:hAnsi="仿宋" w:eastAsia="仿宋" w:cs="仿宋"/>
                <w:b w:val="0"/>
                <w:bCs/>
                <w:color w:val="auto"/>
                <w:kern w:val="0"/>
                <w:sz w:val="21"/>
                <w:szCs w:val="21"/>
                <w:highlight w:val="none"/>
                <w:lang w:val="zh-CN" w:bidi="zh-CN"/>
              </w:rPr>
              <w:t>商务技术部分</w:t>
            </w:r>
            <w:r>
              <w:rPr>
                <w:rFonts w:hint="eastAsia" w:ascii="仿宋" w:hAnsi="仿宋" w:eastAsia="仿宋" w:cs="仿宋"/>
                <w:b w:val="0"/>
                <w:bCs/>
                <w:color w:val="auto"/>
                <w:kern w:val="0"/>
                <w:sz w:val="21"/>
                <w:szCs w:val="21"/>
                <w:highlight w:val="none"/>
                <w:lang w:val="en-US" w:eastAsia="zh-CN" w:bidi="zh-CN"/>
              </w:rPr>
              <w:t>70</w:t>
            </w:r>
            <w:r>
              <w:rPr>
                <w:rFonts w:hint="eastAsia" w:ascii="仿宋" w:hAnsi="仿宋" w:eastAsia="仿宋" w:cs="仿宋"/>
                <w:b w:val="0"/>
                <w:bCs/>
                <w:color w:val="auto"/>
                <w:kern w:val="0"/>
                <w:sz w:val="21"/>
                <w:szCs w:val="21"/>
                <w:highlight w:val="none"/>
                <w:lang w:val="zh-CN" w:bidi="zh-CN"/>
              </w:rPr>
              <w:t>.0分</w:t>
            </w:r>
          </w:p>
          <w:p w14:paraId="3A1957D3">
            <w:pPr>
              <w:keepNext w:val="0"/>
              <w:keepLines w:val="0"/>
              <w:pageBreakBefore w:val="0"/>
              <w:widowControl w:val="0"/>
              <w:kinsoku/>
              <w:wordWrap/>
              <w:overflowPunct/>
              <w:topLinePunct w:val="0"/>
              <w:autoSpaceDE w:val="0"/>
              <w:autoSpaceDN w:val="0"/>
              <w:bidi w:val="0"/>
              <w:adjustRightInd/>
              <w:spacing w:before="0" w:after="0" w:line="360" w:lineRule="atLeast"/>
              <w:ind w:left="0" w:leftChars="0" w:right="-36" w:rightChars="-15"/>
              <w:jc w:val="left"/>
              <w:textAlignment w:val="auto"/>
              <w:rPr>
                <w:rFonts w:hint="eastAsia" w:ascii="仿宋" w:hAnsi="仿宋" w:eastAsia="仿宋" w:cs="仿宋"/>
                <w:b/>
                <w:bCs w:val="0"/>
                <w:color w:val="auto"/>
                <w:kern w:val="0"/>
                <w:sz w:val="21"/>
                <w:szCs w:val="21"/>
                <w:highlight w:val="none"/>
                <w:lang w:val="zh-CN" w:bidi="zh-CN"/>
              </w:rPr>
            </w:pPr>
            <w:r>
              <w:rPr>
                <w:rFonts w:hint="eastAsia" w:ascii="仿宋" w:hAnsi="仿宋" w:eastAsia="仿宋" w:cs="仿宋"/>
                <w:b w:val="0"/>
                <w:bCs/>
                <w:color w:val="auto"/>
                <w:kern w:val="0"/>
                <w:sz w:val="21"/>
                <w:szCs w:val="21"/>
                <w:highlight w:val="none"/>
                <w:lang w:val="zh-CN" w:bidi="zh-CN"/>
              </w:rPr>
              <w:t>报价得分</w:t>
            </w:r>
            <w:r>
              <w:rPr>
                <w:rFonts w:hint="eastAsia" w:ascii="仿宋" w:hAnsi="仿宋" w:eastAsia="仿宋" w:cs="仿宋"/>
                <w:b w:val="0"/>
                <w:bCs/>
                <w:color w:val="auto"/>
                <w:kern w:val="0"/>
                <w:sz w:val="21"/>
                <w:szCs w:val="21"/>
                <w:highlight w:val="none"/>
                <w:lang w:val="en-US" w:eastAsia="zh-CN" w:bidi="zh-CN"/>
              </w:rPr>
              <w:t>30</w:t>
            </w:r>
            <w:r>
              <w:rPr>
                <w:rFonts w:hint="eastAsia" w:ascii="仿宋" w:hAnsi="仿宋" w:eastAsia="仿宋" w:cs="仿宋"/>
                <w:b w:val="0"/>
                <w:bCs/>
                <w:color w:val="auto"/>
                <w:kern w:val="0"/>
                <w:sz w:val="21"/>
                <w:szCs w:val="21"/>
                <w:highlight w:val="none"/>
                <w:lang w:val="zh-CN" w:bidi="zh-CN"/>
              </w:rPr>
              <w:t>.0分</w:t>
            </w:r>
          </w:p>
        </w:tc>
      </w:tr>
      <w:tr w14:paraId="6AB80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099" w:type="pct"/>
            <w:gridSpan w:val="2"/>
            <w:vAlign w:val="center"/>
          </w:tcPr>
          <w:p w14:paraId="56E10BA2">
            <w:pPr>
              <w:pStyle w:val="21"/>
              <w:keepNext w:val="0"/>
              <w:keepLines w:val="0"/>
              <w:pageBreakBefore w:val="0"/>
              <w:widowControl w:val="0"/>
              <w:kinsoku/>
              <w:wordWrap/>
              <w:overflowPunct/>
              <w:topLinePunct w:val="0"/>
              <w:autoSpaceDE w:val="0"/>
              <w:autoSpaceDN w:val="0"/>
              <w:bidi w:val="0"/>
              <w:adjustRightInd/>
              <w:spacing w:line="360" w:lineRule="atLeast"/>
              <w:ind w:right="8" w:rightChars="0"/>
              <w:jc w:val="center"/>
              <w:textAlignment w:val="auto"/>
              <w:rPr>
                <w:rFonts w:hint="eastAsia" w:ascii="仿宋" w:hAnsi="仿宋" w:eastAsia="仿宋" w:cs="仿宋"/>
                <w:kern w:val="0"/>
                <w:sz w:val="21"/>
                <w:szCs w:val="21"/>
                <w:highlight w:val="none"/>
                <w:vertAlign w:val="baseline"/>
              </w:rPr>
            </w:pPr>
            <w:r>
              <w:rPr>
                <w:rFonts w:hint="eastAsia" w:ascii="仿宋" w:hAnsi="仿宋" w:eastAsia="仿宋" w:cs="仿宋"/>
                <w:kern w:val="0"/>
                <w:sz w:val="21"/>
                <w:szCs w:val="21"/>
                <w:highlight w:val="none"/>
                <w:vertAlign w:val="baseline"/>
                <w:lang w:val="en-US" w:eastAsia="zh-CN"/>
              </w:rPr>
              <w:t>报价</w:t>
            </w:r>
            <w:r>
              <w:rPr>
                <w:rFonts w:hint="eastAsia" w:ascii="仿宋" w:hAnsi="仿宋" w:eastAsia="仿宋" w:cs="仿宋"/>
                <w:kern w:val="0"/>
                <w:sz w:val="21"/>
                <w:szCs w:val="21"/>
                <w:highlight w:val="none"/>
                <w:vertAlign w:val="baseline"/>
              </w:rPr>
              <w:t>部分</w:t>
            </w:r>
          </w:p>
          <w:p w14:paraId="4F849EE1">
            <w:pPr>
              <w:pStyle w:val="21"/>
              <w:keepNext w:val="0"/>
              <w:keepLines w:val="0"/>
              <w:pageBreakBefore w:val="0"/>
              <w:widowControl w:val="0"/>
              <w:kinsoku/>
              <w:wordWrap/>
              <w:overflowPunct/>
              <w:topLinePunct w:val="0"/>
              <w:autoSpaceDE w:val="0"/>
              <w:autoSpaceDN w:val="0"/>
              <w:bidi w:val="0"/>
              <w:adjustRightInd/>
              <w:spacing w:line="360" w:lineRule="atLeast"/>
              <w:ind w:right="8" w:rightChars="0"/>
              <w:jc w:val="center"/>
              <w:textAlignment w:val="auto"/>
              <w:rPr>
                <w:rFonts w:hint="eastAsia" w:ascii="仿宋" w:hAnsi="仿宋" w:eastAsia="仿宋" w:cs="仿宋"/>
                <w:kern w:val="0"/>
                <w:sz w:val="21"/>
                <w:szCs w:val="21"/>
                <w:highlight w:val="none"/>
                <w:vertAlign w:val="baseline"/>
              </w:rPr>
            </w:pPr>
            <w:r>
              <w:rPr>
                <w:rFonts w:hint="eastAsia" w:ascii="仿宋" w:hAnsi="仿宋" w:eastAsia="仿宋" w:cs="仿宋"/>
                <w:kern w:val="0"/>
                <w:sz w:val="21"/>
                <w:szCs w:val="21"/>
                <w:highlight w:val="none"/>
                <w:vertAlign w:val="baseline"/>
              </w:rPr>
              <w:t>（</w:t>
            </w:r>
            <w:r>
              <w:rPr>
                <w:rFonts w:hint="eastAsia" w:ascii="仿宋" w:hAnsi="仿宋" w:eastAsia="仿宋" w:cs="仿宋"/>
                <w:kern w:val="0"/>
                <w:sz w:val="21"/>
                <w:szCs w:val="21"/>
                <w:highlight w:val="none"/>
                <w:vertAlign w:val="baseline"/>
                <w:lang w:val="en-US" w:eastAsia="zh-CN"/>
              </w:rPr>
              <w:t>30</w:t>
            </w:r>
            <w:r>
              <w:rPr>
                <w:rFonts w:hint="eastAsia" w:ascii="仿宋" w:hAnsi="仿宋" w:eastAsia="仿宋" w:cs="仿宋"/>
                <w:kern w:val="0"/>
                <w:sz w:val="21"/>
                <w:szCs w:val="21"/>
                <w:highlight w:val="none"/>
                <w:vertAlign w:val="baseline"/>
              </w:rPr>
              <w:t>分）</w:t>
            </w:r>
          </w:p>
        </w:tc>
        <w:tc>
          <w:tcPr>
            <w:tcW w:w="437" w:type="pct"/>
            <w:vAlign w:val="center"/>
          </w:tcPr>
          <w:p w14:paraId="670D8CE8">
            <w:pPr>
              <w:pStyle w:val="21"/>
              <w:keepNext w:val="0"/>
              <w:keepLines w:val="0"/>
              <w:pageBreakBefore w:val="0"/>
              <w:widowControl w:val="0"/>
              <w:kinsoku/>
              <w:wordWrap/>
              <w:overflowPunct/>
              <w:topLinePunct w:val="0"/>
              <w:autoSpaceDE w:val="0"/>
              <w:autoSpaceDN w:val="0"/>
              <w:bidi w:val="0"/>
              <w:adjustRightInd/>
              <w:spacing w:line="360" w:lineRule="atLeast"/>
              <w:ind w:right="0" w:rightChars="0"/>
              <w:jc w:val="center"/>
              <w:textAlignment w:val="auto"/>
              <w:rPr>
                <w:rFonts w:hint="default" w:ascii="仿宋" w:hAnsi="仿宋" w:eastAsia="仿宋" w:cs="仿宋"/>
                <w:kern w:val="0"/>
                <w:sz w:val="21"/>
                <w:szCs w:val="21"/>
                <w:highlight w:val="none"/>
                <w:vertAlign w:val="baseline"/>
                <w:lang w:val="en-US" w:eastAsia="zh-CN"/>
              </w:rPr>
            </w:pPr>
            <w:r>
              <w:rPr>
                <w:rFonts w:hint="eastAsia" w:ascii="仿宋" w:hAnsi="仿宋" w:eastAsia="仿宋" w:cs="仿宋"/>
                <w:kern w:val="0"/>
                <w:sz w:val="21"/>
                <w:szCs w:val="21"/>
                <w:highlight w:val="none"/>
                <w:vertAlign w:val="baseline"/>
                <w:lang w:val="en-US" w:eastAsia="zh-CN"/>
              </w:rPr>
              <w:t>30</w:t>
            </w:r>
          </w:p>
        </w:tc>
        <w:tc>
          <w:tcPr>
            <w:tcW w:w="3463" w:type="pct"/>
          </w:tcPr>
          <w:p w14:paraId="1D95F20F">
            <w:pPr>
              <w:pStyle w:val="21"/>
              <w:keepNext w:val="0"/>
              <w:keepLines w:val="0"/>
              <w:pageBreakBefore w:val="0"/>
              <w:widowControl w:val="0"/>
              <w:kinsoku/>
              <w:wordWrap/>
              <w:overflowPunct/>
              <w:topLinePunct w:val="0"/>
              <w:autoSpaceDE w:val="0"/>
              <w:autoSpaceDN w:val="0"/>
              <w:bidi w:val="0"/>
              <w:adjustRightInd/>
              <w:spacing w:line="360" w:lineRule="atLeast"/>
              <w:ind w:right="-36" w:rightChars="-15"/>
              <w:textAlignment w:val="auto"/>
              <w:rPr>
                <w:rFonts w:hint="eastAsia" w:ascii="仿宋" w:hAnsi="仿宋" w:eastAsia="仿宋" w:cs="仿宋"/>
                <w:kern w:val="0"/>
                <w:sz w:val="21"/>
                <w:szCs w:val="21"/>
                <w:highlight w:val="none"/>
                <w:vertAlign w:val="baseline"/>
              </w:rPr>
            </w:pPr>
            <w:r>
              <w:rPr>
                <w:rFonts w:hint="eastAsia" w:ascii="仿宋" w:hAnsi="仿宋" w:eastAsia="仿宋" w:cs="仿宋"/>
                <w:kern w:val="0"/>
                <w:sz w:val="21"/>
                <w:szCs w:val="21"/>
                <w:highlight w:val="none"/>
                <w:vertAlign w:val="baseline"/>
                <w:lang w:val="en-US" w:eastAsia="zh-CN"/>
              </w:rPr>
              <w:t>满足采购文件</w:t>
            </w:r>
            <w:r>
              <w:rPr>
                <w:rFonts w:hint="eastAsia" w:ascii="仿宋" w:hAnsi="仿宋" w:eastAsia="仿宋" w:cs="仿宋"/>
                <w:kern w:val="0"/>
                <w:sz w:val="21"/>
                <w:szCs w:val="21"/>
                <w:highlight w:val="none"/>
                <w:vertAlign w:val="baseline"/>
              </w:rPr>
              <w:t>要求且</w:t>
            </w:r>
            <w:r>
              <w:rPr>
                <w:rFonts w:hint="eastAsia" w:ascii="仿宋" w:hAnsi="仿宋" w:eastAsia="仿宋" w:cs="仿宋"/>
                <w:kern w:val="0"/>
                <w:sz w:val="21"/>
                <w:szCs w:val="21"/>
                <w:highlight w:val="none"/>
                <w:vertAlign w:val="baseline"/>
                <w:lang w:val="en-US" w:eastAsia="zh-CN"/>
              </w:rPr>
              <w:t>投标</w:t>
            </w:r>
            <w:r>
              <w:rPr>
                <w:rFonts w:hint="eastAsia" w:ascii="仿宋" w:hAnsi="仿宋" w:eastAsia="仿宋" w:cs="仿宋"/>
                <w:kern w:val="0"/>
                <w:sz w:val="21"/>
                <w:szCs w:val="21"/>
                <w:highlight w:val="none"/>
                <w:vertAlign w:val="baseline"/>
              </w:rPr>
              <w:t>价格最低的有效</w:t>
            </w:r>
            <w:r>
              <w:rPr>
                <w:rFonts w:hint="eastAsia" w:ascii="仿宋" w:hAnsi="仿宋" w:eastAsia="仿宋" w:cs="仿宋"/>
                <w:kern w:val="0"/>
                <w:sz w:val="21"/>
                <w:szCs w:val="21"/>
                <w:highlight w:val="none"/>
                <w:vertAlign w:val="baseline"/>
                <w:lang w:val="en-US" w:eastAsia="zh-CN"/>
              </w:rPr>
              <w:t>投标</w:t>
            </w:r>
            <w:r>
              <w:rPr>
                <w:rFonts w:hint="eastAsia" w:ascii="仿宋" w:hAnsi="仿宋" w:eastAsia="仿宋" w:cs="仿宋"/>
                <w:kern w:val="0"/>
                <w:sz w:val="21"/>
                <w:szCs w:val="21"/>
                <w:highlight w:val="none"/>
                <w:vertAlign w:val="baseline"/>
              </w:rPr>
              <w:t>报价</w:t>
            </w:r>
            <w:r>
              <w:rPr>
                <w:rFonts w:hint="eastAsia" w:ascii="仿宋" w:hAnsi="仿宋" w:eastAsia="仿宋" w:cs="仿宋"/>
                <w:kern w:val="0"/>
                <w:sz w:val="21"/>
                <w:szCs w:val="21"/>
                <w:highlight w:val="none"/>
                <w:vertAlign w:val="baseline"/>
                <w:lang w:eastAsia="zh-CN"/>
              </w:rPr>
              <w:t>（</w:t>
            </w:r>
            <w:r>
              <w:rPr>
                <w:rFonts w:hint="eastAsia" w:ascii="仿宋" w:hAnsi="仿宋" w:eastAsia="仿宋" w:cs="仿宋"/>
                <w:kern w:val="0"/>
                <w:sz w:val="21"/>
                <w:szCs w:val="21"/>
                <w:highlight w:val="none"/>
                <w:vertAlign w:val="baseline"/>
                <w:lang w:val="en-US" w:eastAsia="zh-CN"/>
              </w:rPr>
              <w:t>折扣率</w:t>
            </w:r>
            <w:r>
              <w:rPr>
                <w:rFonts w:hint="eastAsia" w:ascii="仿宋" w:hAnsi="仿宋" w:eastAsia="仿宋" w:cs="仿宋"/>
                <w:kern w:val="0"/>
                <w:sz w:val="21"/>
                <w:szCs w:val="21"/>
                <w:highlight w:val="none"/>
                <w:vertAlign w:val="baseline"/>
                <w:lang w:eastAsia="zh-CN"/>
              </w:rPr>
              <w:t>）</w:t>
            </w:r>
            <w:r>
              <w:rPr>
                <w:rFonts w:hint="eastAsia" w:ascii="仿宋" w:hAnsi="仿宋" w:eastAsia="仿宋" w:cs="仿宋"/>
                <w:kern w:val="0"/>
                <w:sz w:val="21"/>
                <w:szCs w:val="21"/>
                <w:highlight w:val="none"/>
                <w:vertAlign w:val="baseline"/>
              </w:rPr>
              <w:t>（即除低于成本报价以外的报价）为评标基准价。其他</w:t>
            </w:r>
            <w:r>
              <w:rPr>
                <w:rFonts w:hint="eastAsia" w:ascii="仿宋" w:hAnsi="仿宋" w:eastAsia="仿宋" w:cs="仿宋"/>
                <w:kern w:val="0"/>
                <w:sz w:val="21"/>
                <w:szCs w:val="21"/>
                <w:highlight w:val="none"/>
                <w:vertAlign w:val="baseline"/>
                <w:lang w:val="en-US" w:eastAsia="zh-CN"/>
              </w:rPr>
              <w:t>供应商</w:t>
            </w:r>
            <w:r>
              <w:rPr>
                <w:rFonts w:hint="eastAsia" w:ascii="仿宋" w:hAnsi="仿宋" w:eastAsia="仿宋" w:cs="仿宋"/>
                <w:kern w:val="0"/>
                <w:sz w:val="21"/>
                <w:szCs w:val="21"/>
                <w:highlight w:val="none"/>
                <w:vertAlign w:val="baseline"/>
              </w:rPr>
              <w:t>的价格分统一按照下列公式计算：</w:t>
            </w:r>
          </w:p>
          <w:p w14:paraId="75F4B5A5">
            <w:pPr>
              <w:pStyle w:val="21"/>
              <w:keepNext w:val="0"/>
              <w:keepLines w:val="0"/>
              <w:pageBreakBefore w:val="0"/>
              <w:widowControl w:val="0"/>
              <w:kinsoku/>
              <w:wordWrap/>
              <w:overflowPunct/>
              <w:topLinePunct w:val="0"/>
              <w:autoSpaceDE w:val="0"/>
              <w:autoSpaceDN w:val="0"/>
              <w:bidi w:val="0"/>
              <w:adjustRightInd/>
              <w:spacing w:line="360" w:lineRule="atLeast"/>
              <w:ind w:right="-36" w:rightChars="-15"/>
              <w:textAlignment w:val="auto"/>
              <w:rPr>
                <w:rFonts w:hint="eastAsia" w:ascii="仿宋" w:hAnsi="仿宋" w:eastAsia="仿宋" w:cs="仿宋"/>
                <w:kern w:val="0"/>
                <w:sz w:val="21"/>
                <w:szCs w:val="21"/>
                <w:highlight w:val="none"/>
                <w:vertAlign w:val="baseline"/>
                <w:lang w:val="en-US" w:eastAsia="zh-CN"/>
              </w:rPr>
            </w:pPr>
            <w:r>
              <w:rPr>
                <w:rFonts w:hint="eastAsia" w:ascii="仿宋" w:hAnsi="仿宋" w:eastAsia="仿宋" w:cs="仿宋"/>
                <w:kern w:val="0"/>
                <w:sz w:val="21"/>
                <w:szCs w:val="21"/>
                <w:highlight w:val="none"/>
                <w:vertAlign w:val="baseline"/>
              </w:rPr>
              <w:t>投标报价得分=（评标基准价/投标报价）×</w:t>
            </w:r>
            <w:r>
              <w:rPr>
                <w:rFonts w:hint="eastAsia" w:ascii="仿宋" w:hAnsi="仿宋" w:eastAsia="仿宋" w:cs="仿宋"/>
                <w:kern w:val="0"/>
                <w:sz w:val="21"/>
                <w:szCs w:val="21"/>
                <w:highlight w:val="none"/>
                <w:vertAlign w:val="baseline"/>
                <w:lang w:val="en-US" w:eastAsia="zh-CN"/>
              </w:rPr>
              <w:t>价格满分分值</w:t>
            </w:r>
          </w:p>
          <w:p w14:paraId="2617D707">
            <w:pPr>
              <w:pStyle w:val="21"/>
              <w:keepNext w:val="0"/>
              <w:keepLines w:val="0"/>
              <w:pageBreakBefore w:val="0"/>
              <w:widowControl w:val="0"/>
              <w:kinsoku/>
              <w:wordWrap/>
              <w:overflowPunct/>
              <w:topLinePunct w:val="0"/>
              <w:autoSpaceDE w:val="0"/>
              <w:autoSpaceDN w:val="0"/>
              <w:bidi w:val="0"/>
              <w:adjustRightInd/>
              <w:spacing w:line="360" w:lineRule="atLeast"/>
              <w:ind w:right="-36" w:rightChars="-15"/>
              <w:textAlignment w:val="auto"/>
              <w:rPr>
                <w:rFonts w:hint="eastAsia" w:ascii="仿宋" w:hAnsi="仿宋" w:eastAsia="仿宋" w:cs="仿宋"/>
                <w:kern w:val="0"/>
                <w:sz w:val="21"/>
                <w:szCs w:val="21"/>
                <w:highlight w:val="none"/>
                <w:vertAlign w:val="baseline"/>
                <w:lang w:val="en-US" w:eastAsia="zh-CN"/>
              </w:rPr>
            </w:pPr>
            <w:r>
              <w:rPr>
                <w:rFonts w:hint="eastAsia" w:ascii="仿宋" w:hAnsi="仿宋" w:eastAsia="仿宋" w:cs="仿宋"/>
                <w:kern w:val="0"/>
                <w:sz w:val="21"/>
                <w:szCs w:val="21"/>
                <w:highlight w:val="none"/>
                <w:vertAlign w:val="baseline"/>
                <w:lang w:val="en-US" w:eastAsia="zh-CN"/>
              </w:rPr>
              <w:t>因落实政府采购政策进行价格调整的，以调整后的价格计算评标基准价和响应报价。</w:t>
            </w:r>
          </w:p>
        </w:tc>
      </w:tr>
      <w:tr w14:paraId="1D529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511" w:type="pct"/>
            <w:vMerge w:val="restart"/>
            <w:tcBorders>
              <w:right w:val="single" w:color="000000" w:sz="4" w:space="0"/>
            </w:tcBorders>
            <w:vAlign w:val="center"/>
          </w:tcPr>
          <w:p w14:paraId="6E0A691C">
            <w:pPr>
              <w:pStyle w:val="21"/>
              <w:keepNext w:val="0"/>
              <w:keepLines w:val="0"/>
              <w:pageBreakBefore w:val="0"/>
              <w:widowControl w:val="0"/>
              <w:kinsoku/>
              <w:wordWrap/>
              <w:overflowPunct/>
              <w:topLinePunct w:val="0"/>
              <w:autoSpaceDE w:val="0"/>
              <w:autoSpaceDN w:val="0"/>
              <w:bidi w:val="0"/>
              <w:adjustRightInd/>
              <w:spacing w:line="360" w:lineRule="atLeast"/>
              <w:ind w:right="-22" w:rightChars="-9"/>
              <w:jc w:val="center"/>
              <w:textAlignment w:val="auto"/>
              <w:rPr>
                <w:rFonts w:hint="eastAsia" w:ascii="仿宋" w:hAnsi="仿宋" w:eastAsia="仿宋" w:cs="仿宋"/>
                <w:kern w:val="0"/>
                <w:sz w:val="21"/>
                <w:szCs w:val="21"/>
                <w:highlight w:val="none"/>
                <w:vertAlign w:val="baseline"/>
              </w:rPr>
            </w:pPr>
            <w:r>
              <w:rPr>
                <w:rFonts w:hint="eastAsia" w:ascii="仿宋" w:hAnsi="仿宋" w:eastAsia="仿宋" w:cs="仿宋"/>
                <w:kern w:val="0"/>
                <w:sz w:val="21"/>
                <w:szCs w:val="21"/>
                <w:highlight w:val="none"/>
                <w:vertAlign w:val="baseline"/>
              </w:rPr>
              <w:t>商务技术部分</w:t>
            </w:r>
          </w:p>
          <w:p w14:paraId="143CCC89">
            <w:pPr>
              <w:pStyle w:val="21"/>
              <w:keepNext w:val="0"/>
              <w:keepLines w:val="0"/>
              <w:pageBreakBefore w:val="0"/>
              <w:widowControl w:val="0"/>
              <w:kinsoku/>
              <w:wordWrap/>
              <w:overflowPunct/>
              <w:topLinePunct w:val="0"/>
              <w:autoSpaceDE w:val="0"/>
              <w:autoSpaceDN w:val="0"/>
              <w:bidi w:val="0"/>
              <w:adjustRightInd/>
              <w:spacing w:line="360" w:lineRule="atLeast"/>
              <w:ind w:right="-22" w:rightChars="-9"/>
              <w:jc w:val="center"/>
              <w:textAlignment w:val="auto"/>
              <w:rPr>
                <w:rFonts w:hint="eastAsia" w:ascii="仿宋" w:hAnsi="仿宋" w:eastAsia="仿宋" w:cs="仿宋"/>
                <w:kern w:val="0"/>
                <w:sz w:val="21"/>
                <w:szCs w:val="21"/>
                <w:highlight w:val="none"/>
                <w:vertAlign w:val="baseline"/>
                <w:lang w:val="en-US" w:eastAsia="zh-CN"/>
              </w:rPr>
            </w:pPr>
            <w:r>
              <w:rPr>
                <w:rFonts w:hint="eastAsia" w:ascii="仿宋" w:hAnsi="仿宋" w:eastAsia="仿宋" w:cs="仿宋"/>
                <w:kern w:val="0"/>
                <w:sz w:val="21"/>
                <w:szCs w:val="21"/>
                <w:highlight w:val="none"/>
                <w:vertAlign w:val="baseline"/>
              </w:rPr>
              <w:t>(</w:t>
            </w:r>
            <w:r>
              <w:rPr>
                <w:rFonts w:hint="eastAsia" w:ascii="仿宋" w:hAnsi="仿宋" w:eastAsia="仿宋" w:cs="仿宋"/>
                <w:kern w:val="0"/>
                <w:sz w:val="21"/>
                <w:szCs w:val="21"/>
                <w:highlight w:val="none"/>
                <w:vertAlign w:val="baseline"/>
                <w:lang w:val="en-US" w:eastAsia="zh-CN"/>
              </w:rPr>
              <w:t>70</w:t>
            </w:r>
            <w:r>
              <w:rPr>
                <w:rFonts w:hint="eastAsia" w:ascii="仿宋" w:hAnsi="仿宋" w:eastAsia="仿宋" w:cs="仿宋"/>
                <w:kern w:val="0"/>
                <w:sz w:val="21"/>
                <w:szCs w:val="21"/>
                <w:highlight w:val="none"/>
                <w:vertAlign w:val="baseline"/>
              </w:rPr>
              <w:t>分)</w:t>
            </w:r>
          </w:p>
        </w:tc>
        <w:tc>
          <w:tcPr>
            <w:tcW w:w="588" w:type="pct"/>
            <w:tcBorders>
              <w:left w:val="single" w:color="000000" w:sz="4" w:space="0"/>
            </w:tcBorders>
            <w:vAlign w:val="center"/>
          </w:tcPr>
          <w:p w14:paraId="712D1BF9">
            <w:pPr>
              <w:pStyle w:val="21"/>
              <w:keepNext w:val="0"/>
              <w:keepLines w:val="0"/>
              <w:pageBreakBefore w:val="0"/>
              <w:widowControl w:val="0"/>
              <w:kinsoku/>
              <w:wordWrap/>
              <w:overflowPunct/>
              <w:topLinePunct w:val="0"/>
              <w:autoSpaceDE w:val="0"/>
              <w:autoSpaceDN w:val="0"/>
              <w:bidi w:val="0"/>
              <w:adjustRightInd/>
              <w:spacing w:line="360" w:lineRule="atLeast"/>
              <w:ind w:right="36" w:rightChars="15"/>
              <w:jc w:val="center"/>
              <w:textAlignment w:val="auto"/>
              <w:rPr>
                <w:rFonts w:hint="eastAsia" w:ascii="仿宋" w:hAnsi="仿宋" w:eastAsia="仿宋" w:cs="仿宋"/>
                <w:kern w:val="0"/>
                <w:sz w:val="21"/>
                <w:szCs w:val="21"/>
                <w:highlight w:val="none"/>
                <w:vertAlign w:val="baseline"/>
              </w:rPr>
            </w:pPr>
            <w:r>
              <w:rPr>
                <w:rFonts w:hint="eastAsia" w:ascii="仿宋" w:hAnsi="仿宋" w:eastAsia="仿宋" w:cs="仿宋"/>
                <w:kern w:val="0"/>
                <w:sz w:val="21"/>
                <w:szCs w:val="21"/>
                <w:highlight w:val="none"/>
                <w:vertAlign w:val="baseline"/>
                <w:lang w:eastAsia="zh-CN"/>
              </w:rPr>
              <w:t>供应商</w:t>
            </w:r>
            <w:r>
              <w:rPr>
                <w:rFonts w:hint="eastAsia" w:ascii="仿宋" w:hAnsi="仿宋" w:eastAsia="仿宋" w:cs="仿宋"/>
                <w:kern w:val="0"/>
                <w:sz w:val="21"/>
                <w:szCs w:val="21"/>
                <w:highlight w:val="none"/>
                <w:vertAlign w:val="baseline"/>
              </w:rPr>
              <w:t>类似业绩</w:t>
            </w:r>
          </w:p>
        </w:tc>
        <w:tc>
          <w:tcPr>
            <w:tcW w:w="437" w:type="pct"/>
            <w:vAlign w:val="center"/>
          </w:tcPr>
          <w:p w14:paraId="7985DA09">
            <w:pPr>
              <w:pStyle w:val="21"/>
              <w:keepNext w:val="0"/>
              <w:keepLines w:val="0"/>
              <w:pageBreakBefore w:val="0"/>
              <w:kinsoku/>
              <w:wordWrap/>
              <w:overflowPunct/>
              <w:topLinePunct w:val="0"/>
              <w:bidi w:val="0"/>
              <w:adjustRightInd/>
              <w:spacing w:line="360" w:lineRule="atLeast"/>
              <w:ind w:left="0" w:leftChars="0" w:right="0" w:rightChars="0"/>
              <w:jc w:val="center"/>
              <w:textAlignment w:val="auto"/>
              <w:rPr>
                <w:rFonts w:hint="eastAsia" w:ascii="仿宋" w:hAnsi="仿宋" w:eastAsia="仿宋" w:cs="仿宋"/>
                <w:kern w:val="0"/>
                <w:sz w:val="21"/>
                <w:szCs w:val="21"/>
                <w:highlight w:val="none"/>
                <w:vertAlign w:val="baseline"/>
                <w:lang w:val="en-US" w:eastAsia="zh-CN"/>
              </w:rPr>
            </w:pPr>
            <w:r>
              <w:rPr>
                <w:rFonts w:hint="eastAsia" w:ascii="仿宋" w:hAnsi="仿宋" w:eastAsia="仿宋" w:cs="仿宋"/>
                <w:sz w:val="21"/>
                <w:szCs w:val="21"/>
                <w:highlight w:val="none"/>
                <w:lang w:val="en-US"/>
              </w:rPr>
              <w:t>10</w:t>
            </w:r>
          </w:p>
        </w:tc>
        <w:tc>
          <w:tcPr>
            <w:tcW w:w="3463" w:type="pct"/>
            <w:vAlign w:val="center"/>
          </w:tcPr>
          <w:p w14:paraId="174F4055">
            <w:pPr>
              <w:pStyle w:val="21"/>
              <w:keepNext w:val="0"/>
              <w:keepLines w:val="0"/>
              <w:pageBreakBefore w:val="0"/>
              <w:kinsoku/>
              <w:wordWrap/>
              <w:overflowPunct/>
              <w:topLinePunct w:val="0"/>
              <w:bidi w:val="0"/>
              <w:adjustRightInd/>
              <w:spacing w:line="360" w:lineRule="atLeast"/>
              <w:ind w:right="-36" w:rightChars="-15"/>
              <w:jc w:val="both"/>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供应商</w:t>
            </w:r>
            <w:r>
              <w:rPr>
                <w:rFonts w:hint="eastAsia" w:ascii="仿宋" w:hAnsi="仿宋" w:eastAsia="仿宋" w:cs="仿宋"/>
                <w:sz w:val="21"/>
                <w:szCs w:val="21"/>
                <w:highlight w:val="none"/>
              </w:rPr>
              <w:t>近三年（2</w:t>
            </w:r>
            <w:r>
              <w:rPr>
                <w:rFonts w:hint="eastAsia" w:ascii="仿宋" w:hAnsi="仿宋" w:eastAsia="仿宋" w:cs="仿宋"/>
                <w:sz w:val="21"/>
                <w:szCs w:val="21"/>
                <w:highlight w:val="none"/>
                <w:lang w:val="en-US" w:eastAsia="zh-CN"/>
              </w:rPr>
              <w:t>023</w:t>
            </w:r>
            <w:r>
              <w:rPr>
                <w:rFonts w:hint="eastAsia" w:ascii="仿宋" w:hAnsi="仿宋" w:eastAsia="仿宋" w:cs="仿宋"/>
                <w:sz w:val="21"/>
                <w:szCs w:val="21"/>
                <w:highlight w:val="none"/>
              </w:rPr>
              <w:t>年</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月1日至</w:t>
            </w:r>
            <w:r>
              <w:rPr>
                <w:rFonts w:hint="eastAsia" w:ascii="仿宋" w:hAnsi="仿宋" w:eastAsia="仿宋" w:cs="仿宋"/>
                <w:sz w:val="21"/>
                <w:szCs w:val="21"/>
                <w:highlight w:val="none"/>
                <w:lang w:val="en-US"/>
              </w:rPr>
              <w:t>响应</w:t>
            </w:r>
            <w:r>
              <w:rPr>
                <w:rFonts w:hint="eastAsia" w:ascii="仿宋" w:hAnsi="仿宋" w:eastAsia="仿宋" w:cs="仿宋"/>
                <w:sz w:val="21"/>
                <w:szCs w:val="21"/>
                <w:highlight w:val="none"/>
              </w:rPr>
              <w:t>截止日止）独立承担的类似项目，每提供一项得2分，最多得</w:t>
            </w:r>
            <w:r>
              <w:rPr>
                <w:rFonts w:hint="eastAsia" w:ascii="仿宋" w:hAnsi="仿宋" w:eastAsia="仿宋" w:cs="仿宋"/>
                <w:sz w:val="21"/>
                <w:szCs w:val="21"/>
                <w:highlight w:val="none"/>
                <w:lang w:val="en-US"/>
              </w:rPr>
              <w:t>10</w:t>
            </w:r>
            <w:r>
              <w:rPr>
                <w:rFonts w:hint="eastAsia" w:ascii="仿宋" w:hAnsi="仿宋" w:eastAsia="仿宋" w:cs="仿宋"/>
                <w:sz w:val="21"/>
                <w:szCs w:val="21"/>
                <w:highlight w:val="none"/>
              </w:rPr>
              <w:t>分。</w:t>
            </w:r>
          </w:p>
          <w:p w14:paraId="35A0F804">
            <w:pPr>
              <w:pStyle w:val="21"/>
              <w:keepNext w:val="0"/>
              <w:keepLines w:val="0"/>
              <w:pageBreakBefore w:val="0"/>
              <w:kinsoku/>
              <w:wordWrap/>
              <w:overflowPunct/>
              <w:topLinePunct w:val="0"/>
              <w:bidi w:val="0"/>
              <w:adjustRightInd/>
              <w:spacing w:line="360" w:lineRule="atLeast"/>
              <w:ind w:right="-36" w:rightChars="-15"/>
              <w:jc w:val="both"/>
              <w:textAlignment w:val="auto"/>
              <w:rPr>
                <w:rFonts w:hint="eastAsia" w:ascii="仿宋" w:hAnsi="仿宋" w:eastAsia="仿宋" w:cs="仿宋"/>
                <w:sz w:val="21"/>
                <w:szCs w:val="21"/>
                <w:highlight w:val="none"/>
              </w:rPr>
            </w:pPr>
            <w:r>
              <w:rPr>
                <w:rFonts w:hint="eastAsia" w:ascii="仿宋" w:hAnsi="仿宋" w:eastAsia="仿宋" w:cs="仿宋"/>
                <w:kern w:val="0"/>
                <w:sz w:val="21"/>
                <w:szCs w:val="21"/>
                <w:highlight w:val="none"/>
                <w:lang w:val="zh-CN" w:bidi="zh-CN"/>
              </w:rPr>
              <w:t>注：1.须提供合同关键页</w:t>
            </w:r>
            <w:r>
              <w:rPr>
                <w:rFonts w:hint="eastAsia" w:ascii="仿宋" w:hAnsi="仿宋" w:eastAsia="仿宋" w:cs="仿宋"/>
                <w:sz w:val="21"/>
                <w:szCs w:val="21"/>
                <w:highlight w:val="none"/>
              </w:rPr>
              <w:t>（含：首页、</w:t>
            </w:r>
            <w:r>
              <w:rPr>
                <w:rFonts w:hint="eastAsia" w:ascii="仿宋" w:hAnsi="仿宋" w:eastAsia="仿宋" w:cs="仿宋"/>
                <w:sz w:val="21"/>
                <w:szCs w:val="21"/>
                <w:highlight w:val="none"/>
                <w:lang w:val="en-US"/>
              </w:rPr>
              <w:t>货物和</w:t>
            </w:r>
            <w:r>
              <w:rPr>
                <w:rFonts w:hint="eastAsia" w:ascii="仿宋" w:hAnsi="仿宋" w:eastAsia="仿宋" w:cs="仿宋"/>
                <w:sz w:val="21"/>
                <w:szCs w:val="21"/>
                <w:highlight w:val="none"/>
              </w:rPr>
              <w:t>服务内容信息页、合同金额页、签字盖章页）复印件加盖公章，时间以合同签订日期为准。</w:t>
            </w:r>
            <w:r>
              <w:rPr>
                <w:rFonts w:hint="eastAsia" w:ascii="仿宋" w:hAnsi="仿宋" w:eastAsia="仿宋" w:cs="仿宋"/>
                <w:b/>
                <w:bCs/>
                <w:sz w:val="21"/>
                <w:szCs w:val="21"/>
                <w:highlight w:val="none"/>
              </w:rPr>
              <w:t>合同签订方必须是供应商自身，存在控股、管理关系供应商之间签订的合同无效</w:t>
            </w:r>
            <w:r>
              <w:rPr>
                <w:rFonts w:hint="eastAsia" w:ascii="仿宋" w:hAnsi="仿宋" w:eastAsia="仿宋" w:cs="仿宋"/>
                <w:sz w:val="21"/>
                <w:szCs w:val="21"/>
                <w:highlight w:val="none"/>
              </w:rPr>
              <w:t>，不符合上述要求或未按要求提供有效证明文件的业绩在评审时将不予承认。</w:t>
            </w:r>
          </w:p>
          <w:p w14:paraId="73A447B3">
            <w:pPr>
              <w:pStyle w:val="21"/>
              <w:keepNext w:val="0"/>
              <w:keepLines w:val="0"/>
              <w:pageBreakBefore w:val="0"/>
              <w:kinsoku/>
              <w:wordWrap/>
              <w:overflowPunct/>
              <w:topLinePunct w:val="0"/>
              <w:bidi w:val="0"/>
              <w:adjustRightInd/>
              <w:spacing w:line="360" w:lineRule="atLeast"/>
              <w:ind w:left="0" w:leftChars="0" w:right="-36" w:rightChars="-15"/>
              <w:jc w:val="both"/>
              <w:textAlignment w:val="auto"/>
              <w:rPr>
                <w:rFonts w:hint="eastAsia" w:ascii="仿宋" w:hAnsi="仿宋" w:eastAsia="仿宋" w:cs="仿宋"/>
                <w:kern w:val="0"/>
                <w:sz w:val="21"/>
                <w:szCs w:val="21"/>
                <w:highlight w:val="none"/>
                <w:vertAlign w:val="baseline"/>
              </w:rPr>
            </w:pPr>
            <w:r>
              <w:rPr>
                <w:rFonts w:hint="eastAsia" w:ascii="仿宋" w:hAnsi="仿宋" w:eastAsia="仿宋" w:cs="仿宋"/>
                <w:sz w:val="21"/>
                <w:szCs w:val="21"/>
                <w:highlight w:val="none"/>
                <w:lang w:val="en-US"/>
              </w:rPr>
              <w:t>2.</w:t>
            </w:r>
            <w:r>
              <w:rPr>
                <w:rFonts w:hint="eastAsia" w:ascii="仿宋" w:hAnsi="仿宋" w:eastAsia="仿宋" w:cs="仿宋"/>
                <w:sz w:val="21"/>
                <w:szCs w:val="21"/>
                <w:highlight w:val="none"/>
              </w:rPr>
              <w:t>供应商提供虚假合同的，按虚假投标处理。</w:t>
            </w:r>
          </w:p>
        </w:tc>
      </w:tr>
      <w:tr w14:paraId="193A4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511" w:type="pct"/>
            <w:vMerge w:val="continue"/>
            <w:tcBorders>
              <w:right w:val="single" w:color="000000" w:sz="4" w:space="0"/>
            </w:tcBorders>
            <w:vAlign w:val="center"/>
          </w:tcPr>
          <w:p w14:paraId="2FB23011">
            <w:pPr>
              <w:pStyle w:val="21"/>
              <w:keepNext w:val="0"/>
              <w:keepLines w:val="0"/>
              <w:pageBreakBefore w:val="0"/>
              <w:widowControl w:val="0"/>
              <w:kinsoku/>
              <w:wordWrap/>
              <w:overflowPunct/>
              <w:topLinePunct w:val="0"/>
              <w:autoSpaceDE w:val="0"/>
              <w:autoSpaceDN w:val="0"/>
              <w:bidi w:val="0"/>
              <w:adjustRightInd/>
              <w:spacing w:line="360" w:lineRule="atLeast"/>
              <w:ind w:right="-22" w:rightChars="-9"/>
              <w:jc w:val="center"/>
              <w:textAlignment w:val="auto"/>
              <w:rPr>
                <w:rFonts w:hint="eastAsia" w:ascii="仿宋" w:hAnsi="仿宋" w:eastAsia="仿宋" w:cs="仿宋"/>
                <w:kern w:val="0"/>
                <w:sz w:val="21"/>
                <w:szCs w:val="21"/>
                <w:highlight w:val="none"/>
                <w:vertAlign w:val="baseline"/>
              </w:rPr>
            </w:pPr>
          </w:p>
        </w:tc>
        <w:tc>
          <w:tcPr>
            <w:tcW w:w="588" w:type="pct"/>
            <w:tcBorders>
              <w:left w:val="single" w:color="000000" w:sz="4" w:space="0"/>
            </w:tcBorders>
            <w:vAlign w:val="center"/>
          </w:tcPr>
          <w:p w14:paraId="257CC8A5">
            <w:pPr>
              <w:widowControl/>
              <w:autoSpaceDE/>
              <w:autoSpaceDN/>
              <w:jc w:val="center"/>
              <w:rPr>
                <w:rFonts w:hint="eastAsia" w:ascii="仿宋" w:hAnsi="仿宋" w:eastAsia="仿宋" w:cs="仿宋"/>
                <w:kern w:val="0"/>
                <w:sz w:val="21"/>
                <w:szCs w:val="21"/>
                <w:highlight w:val="none"/>
                <w:vertAlign w:val="baseline"/>
                <w:lang w:eastAsia="zh-CN"/>
              </w:rPr>
            </w:pPr>
            <w:r>
              <w:rPr>
                <w:rFonts w:hint="eastAsia" w:ascii="仿宋" w:hAnsi="仿宋" w:eastAsia="仿宋" w:cs="仿宋"/>
                <w:sz w:val="21"/>
                <w:szCs w:val="21"/>
                <w:highlight w:val="none"/>
              </w:rPr>
              <w:t>项目负责人要求</w:t>
            </w:r>
          </w:p>
        </w:tc>
        <w:tc>
          <w:tcPr>
            <w:tcW w:w="437" w:type="pct"/>
            <w:vAlign w:val="center"/>
          </w:tcPr>
          <w:p w14:paraId="13BAFE4C">
            <w:pPr>
              <w:widowControl/>
              <w:autoSpaceDE/>
              <w:autoSpaceDN/>
              <w:jc w:val="center"/>
              <w:rPr>
                <w:rFonts w:hint="eastAsia" w:ascii="仿宋" w:hAnsi="仿宋" w:eastAsia="仿宋" w:cs="仿宋"/>
                <w:sz w:val="21"/>
                <w:szCs w:val="21"/>
                <w:highlight w:val="none"/>
                <w:lang w:val="en-US" w:eastAsia="zh-CN"/>
              </w:rPr>
            </w:pPr>
            <w:r>
              <w:rPr>
                <w:rFonts w:hint="eastAsia" w:ascii="仿宋" w:hAnsi="仿宋" w:eastAsia="仿宋" w:cs="仿宋"/>
                <w:color w:val="000000"/>
                <w:sz w:val="21"/>
                <w:szCs w:val="21"/>
                <w:highlight w:val="none"/>
                <w:lang w:val="en-US" w:eastAsia="zh-CN" w:bidi="ar-SA"/>
              </w:rPr>
              <w:t>2</w:t>
            </w:r>
          </w:p>
        </w:tc>
        <w:tc>
          <w:tcPr>
            <w:tcW w:w="3463" w:type="pct"/>
            <w:vAlign w:val="center"/>
          </w:tcPr>
          <w:p w14:paraId="20A4176E">
            <w:pPr>
              <w:pStyle w:val="21"/>
              <w:keepNext w:val="0"/>
              <w:keepLines w:val="0"/>
              <w:pageBreakBefore w:val="0"/>
              <w:kinsoku/>
              <w:wordWrap/>
              <w:overflowPunct/>
              <w:topLinePunct w:val="0"/>
              <w:bidi w:val="0"/>
              <w:adjustRightInd/>
              <w:spacing w:line="360" w:lineRule="atLeast"/>
              <w:ind w:right="-36" w:rightChars="-15"/>
              <w:jc w:val="both"/>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针对本项目拟派1名项目负责人，与采购人沟通对接，负责安排及全面督导项目的实施、业务对接、</w:t>
            </w:r>
            <w:r>
              <w:rPr>
                <w:rFonts w:hint="eastAsia" w:ascii="仿宋" w:hAnsi="仿宋" w:eastAsia="仿宋" w:cs="仿宋"/>
                <w:sz w:val="21"/>
                <w:szCs w:val="21"/>
                <w:highlight w:val="none"/>
                <w:lang w:val="en-US" w:eastAsia="zh-CN"/>
              </w:rPr>
              <w:t>食品安全质量保障等工作</w:t>
            </w:r>
            <w:r>
              <w:rPr>
                <w:rFonts w:hint="eastAsia" w:ascii="仿宋" w:hAnsi="仿宋" w:eastAsia="仿宋" w:cs="仿宋"/>
                <w:sz w:val="21"/>
                <w:szCs w:val="21"/>
                <w:highlight w:val="none"/>
                <w:lang w:eastAsia="zh-CN"/>
              </w:rPr>
              <w:t>，</w:t>
            </w:r>
          </w:p>
          <w:p w14:paraId="01CC32B5">
            <w:pPr>
              <w:pStyle w:val="21"/>
              <w:keepNext w:val="0"/>
              <w:keepLines w:val="0"/>
              <w:pageBreakBefore w:val="0"/>
              <w:kinsoku/>
              <w:wordWrap/>
              <w:overflowPunct/>
              <w:topLinePunct w:val="0"/>
              <w:bidi w:val="0"/>
              <w:adjustRightInd/>
              <w:spacing w:line="360" w:lineRule="atLeast"/>
              <w:ind w:right="-36" w:rightChars="-15"/>
              <w:jc w:val="both"/>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（1）年龄不超过45周岁的，得</w:t>
            </w:r>
            <w:r>
              <w:rPr>
                <w:rFonts w:hint="eastAsia" w:ascii="仿宋" w:hAnsi="仿宋" w:eastAsia="仿宋" w:cs="仿宋"/>
                <w:sz w:val="21"/>
                <w:szCs w:val="21"/>
                <w:highlight w:val="none"/>
                <w:lang w:val="en-US" w:eastAsia="zh-CN"/>
              </w:rPr>
              <w:t>0.5</w:t>
            </w:r>
            <w:r>
              <w:rPr>
                <w:rFonts w:hint="eastAsia" w:ascii="仿宋" w:hAnsi="仿宋" w:eastAsia="仿宋" w:cs="仿宋"/>
                <w:sz w:val="21"/>
                <w:szCs w:val="21"/>
                <w:highlight w:val="none"/>
                <w:lang w:eastAsia="zh-CN"/>
              </w:rPr>
              <w:t>分；</w:t>
            </w:r>
          </w:p>
          <w:p w14:paraId="66487732">
            <w:pPr>
              <w:pStyle w:val="21"/>
              <w:keepNext w:val="0"/>
              <w:keepLines w:val="0"/>
              <w:pageBreakBefore w:val="0"/>
              <w:kinsoku/>
              <w:wordWrap/>
              <w:overflowPunct/>
              <w:topLinePunct w:val="0"/>
              <w:bidi w:val="0"/>
              <w:adjustRightInd/>
              <w:spacing w:line="360" w:lineRule="atLeast"/>
              <w:ind w:right="-36" w:rightChars="-15"/>
              <w:jc w:val="both"/>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（2）具有专科及以上学历的，得</w:t>
            </w:r>
            <w:r>
              <w:rPr>
                <w:rFonts w:hint="eastAsia" w:ascii="仿宋" w:hAnsi="仿宋" w:eastAsia="仿宋" w:cs="仿宋"/>
                <w:sz w:val="21"/>
                <w:szCs w:val="21"/>
                <w:highlight w:val="none"/>
                <w:lang w:val="en-US" w:eastAsia="zh-CN"/>
              </w:rPr>
              <w:t>0.5</w:t>
            </w:r>
            <w:r>
              <w:rPr>
                <w:rFonts w:hint="eastAsia" w:ascii="仿宋" w:hAnsi="仿宋" w:eastAsia="仿宋" w:cs="仿宋"/>
                <w:sz w:val="21"/>
                <w:szCs w:val="21"/>
                <w:highlight w:val="none"/>
                <w:lang w:eastAsia="zh-CN"/>
              </w:rPr>
              <w:t>分；</w:t>
            </w:r>
          </w:p>
          <w:p w14:paraId="487910B7">
            <w:pPr>
              <w:pStyle w:val="21"/>
              <w:keepNext w:val="0"/>
              <w:keepLines w:val="0"/>
              <w:pageBreakBefore w:val="0"/>
              <w:kinsoku/>
              <w:wordWrap/>
              <w:overflowPunct/>
              <w:topLinePunct w:val="0"/>
              <w:bidi w:val="0"/>
              <w:adjustRightInd/>
              <w:spacing w:line="360" w:lineRule="atLeast"/>
              <w:ind w:right="-36" w:rightChars="-15"/>
              <w:jc w:val="both"/>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（3）具有3年以上工作经验的，得</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lang w:eastAsia="zh-CN"/>
              </w:rPr>
              <w:t>分。</w:t>
            </w:r>
          </w:p>
          <w:p w14:paraId="223BF1F5">
            <w:pPr>
              <w:pStyle w:val="21"/>
              <w:keepNext w:val="0"/>
              <w:keepLines w:val="0"/>
              <w:pageBreakBefore w:val="0"/>
              <w:kinsoku/>
              <w:wordWrap/>
              <w:overflowPunct/>
              <w:topLinePunct w:val="0"/>
              <w:bidi w:val="0"/>
              <w:adjustRightInd/>
              <w:spacing w:line="360" w:lineRule="atLeast"/>
              <w:ind w:right="-36" w:rightChars="-15"/>
              <w:jc w:val="both"/>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eastAsia="zh-CN"/>
              </w:rPr>
              <w:t>注：须提供身份证、学历证书、健康证、劳动（劳务）合同、项目工作履历表、工作经验承诺书等证明材料。以上材料并加盖单位公章，未提供相关证明材料或提供证明材料不全者不得分。</w:t>
            </w:r>
          </w:p>
        </w:tc>
      </w:tr>
      <w:tr w14:paraId="57EAA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511" w:type="pct"/>
            <w:vMerge w:val="continue"/>
            <w:tcBorders>
              <w:right w:val="single" w:color="000000" w:sz="4" w:space="0"/>
            </w:tcBorders>
            <w:vAlign w:val="center"/>
          </w:tcPr>
          <w:p w14:paraId="7B81430B">
            <w:pPr>
              <w:pStyle w:val="21"/>
              <w:keepNext w:val="0"/>
              <w:keepLines w:val="0"/>
              <w:pageBreakBefore w:val="0"/>
              <w:widowControl w:val="0"/>
              <w:kinsoku/>
              <w:wordWrap/>
              <w:overflowPunct/>
              <w:topLinePunct w:val="0"/>
              <w:autoSpaceDE w:val="0"/>
              <w:autoSpaceDN w:val="0"/>
              <w:bidi w:val="0"/>
              <w:adjustRightInd/>
              <w:spacing w:line="360" w:lineRule="atLeast"/>
              <w:ind w:right="-22" w:rightChars="-9"/>
              <w:jc w:val="center"/>
              <w:textAlignment w:val="auto"/>
              <w:rPr>
                <w:rFonts w:hint="eastAsia" w:ascii="仿宋" w:hAnsi="仿宋" w:eastAsia="仿宋" w:cs="仿宋"/>
                <w:kern w:val="0"/>
                <w:sz w:val="21"/>
                <w:szCs w:val="21"/>
                <w:highlight w:val="none"/>
                <w:vertAlign w:val="baseline"/>
              </w:rPr>
            </w:pPr>
          </w:p>
        </w:tc>
        <w:tc>
          <w:tcPr>
            <w:tcW w:w="588" w:type="pct"/>
            <w:tcBorders>
              <w:left w:val="single" w:color="000000" w:sz="4" w:space="0"/>
            </w:tcBorders>
            <w:vAlign w:val="center"/>
          </w:tcPr>
          <w:p w14:paraId="3912E4C5">
            <w:pPr>
              <w:pStyle w:val="21"/>
              <w:keepNext w:val="0"/>
              <w:keepLines w:val="0"/>
              <w:pageBreakBefore w:val="0"/>
              <w:widowControl w:val="0"/>
              <w:kinsoku/>
              <w:wordWrap/>
              <w:overflowPunct/>
              <w:topLinePunct w:val="0"/>
              <w:autoSpaceDE w:val="0"/>
              <w:autoSpaceDN w:val="0"/>
              <w:bidi w:val="0"/>
              <w:adjustRightInd/>
              <w:spacing w:line="360" w:lineRule="atLeast"/>
              <w:ind w:right="36" w:rightChars="15"/>
              <w:jc w:val="center"/>
              <w:textAlignment w:val="auto"/>
              <w:rPr>
                <w:rFonts w:hint="eastAsia" w:ascii="仿宋" w:hAnsi="仿宋" w:eastAsia="仿宋" w:cs="仿宋"/>
                <w:kern w:val="0"/>
                <w:sz w:val="21"/>
                <w:szCs w:val="21"/>
                <w:highlight w:val="none"/>
                <w:vertAlign w:val="baseline"/>
                <w:lang w:val="en-US" w:eastAsia="zh-CN"/>
              </w:rPr>
            </w:pPr>
            <w:r>
              <w:rPr>
                <w:rFonts w:hint="eastAsia" w:ascii="仿宋" w:hAnsi="仿宋" w:eastAsia="仿宋" w:cs="仿宋"/>
                <w:kern w:val="0"/>
                <w:sz w:val="21"/>
                <w:szCs w:val="21"/>
                <w:highlight w:val="none"/>
                <w:vertAlign w:val="baseline"/>
                <w:lang w:val="en-US" w:eastAsia="zh-CN"/>
              </w:rPr>
              <w:t>服务承诺</w:t>
            </w:r>
          </w:p>
        </w:tc>
        <w:tc>
          <w:tcPr>
            <w:tcW w:w="437" w:type="pct"/>
            <w:vAlign w:val="center"/>
          </w:tcPr>
          <w:p w14:paraId="19D3B454">
            <w:pPr>
              <w:pStyle w:val="21"/>
              <w:keepNext w:val="0"/>
              <w:keepLines w:val="0"/>
              <w:pageBreakBefore w:val="0"/>
              <w:widowControl w:val="0"/>
              <w:kinsoku/>
              <w:wordWrap/>
              <w:overflowPunct/>
              <w:topLinePunct w:val="0"/>
              <w:autoSpaceDE w:val="0"/>
              <w:autoSpaceDN w:val="0"/>
              <w:bidi w:val="0"/>
              <w:adjustRightInd/>
              <w:spacing w:line="360" w:lineRule="atLeast"/>
              <w:ind w:right="0" w:rightChars="0"/>
              <w:jc w:val="center"/>
              <w:textAlignment w:val="auto"/>
              <w:rPr>
                <w:rFonts w:hint="eastAsia" w:ascii="仿宋" w:hAnsi="仿宋" w:eastAsia="仿宋" w:cs="仿宋"/>
                <w:kern w:val="0"/>
                <w:sz w:val="21"/>
                <w:szCs w:val="21"/>
                <w:highlight w:val="none"/>
                <w:vertAlign w:val="baseline"/>
                <w:lang w:val="en-US" w:eastAsia="zh-CN"/>
              </w:rPr>
            </w:pPr>
            <w:r>
              <w:rPr>
                <w:rFonts w:hint="eastAsia" w:ascii="仿宋" w:hAnsi="仿宋" w:eastAsia="仿宋" w:cs="仿宋"/>
                <w:kern w:val="0"/>
                <w:sz w:val="21"/>
                <w:szCs w:val="21"/>
                <w:highlight w:val="none"/>
                <w:vertAlign w:val="baseline"/>
                <w:lang w:val="en-US" w:eastAsia="zh-CN"/>
              </w:rPr>
              <w:t>12</w:t>
            </w:r>
          </w:p>
        </w:tc>
        <w:tc>
          <w:tcPr>
            <w:tcW w:w="3463" w:type="pct"/>
          </w:tcPr>
          <w:p w14:paraId="2B21F958">
            <w:pPr>
              <w:pStyle w:val="21"/>
              <w:keepNext w:val="0"/>
              <w:keepLines w:val="0"/>
              <w:pageBreakBefore w:val="0"/>
              <w:widowControl w:val="0"/>
              <w:kinsoku/>
              <w:wordWrap/>
              <w:overflowPunct/>
              <w:topLinePunct w:val="0"/>
              <w:autoSpaceDE w:val="0"/>
              <w:autoSpaceDN w:val="0"/>
              <w:bidi w:val="0"/>
              <w:adjustRightInd/>
              <w:spacing w:line="360" w:lineRule="atLeast"/>
              <w:ind w:right="-36" w:rightChars="-15"/>
              <w:textAlignment w:val="auto"/>
              <w:rPr>
                <w:rFonts w:hint="eastAsia" w:ascii="仿宋" w:hAnsi="仿宋" w:eastAsia="仿宋" w:cs="仿宋"/>
                <w:kern w:val="0"/>
                <w:sz w:val="21"/>
                <w:szCs w:val="21"/>
                <w:highlight w:val="none"/>
                <w:vertAlign w:val="baseline"/>
                <w:lang w:val="en-US" w:eastAsia="zh-CN"/>
              </w:rPr>
            </w:pPr>
            <w:r>
              <w:rPr>
                <w:rFonts w:hint="eastAsia" w:ascii="仿宋" w:hAnsi="仿宋" w:eastAsia="仿宋" w:cs="仿宋"/>
                <w:kern w:val="0"/>
                <w:sz w:val="21"/>
                <w:szCs w:val="21"/>
                <w:highlight w:val="none"/>
                <w:vertAlign w:val="baseline"/>
                <w:lang w:val="en-US" w:eastAsia="zh-CN"/>
              </w:rPr>
              <w:t>供应商须针对以下服务要求进行承诺：</w:t>
            </w:r>
          </w:p>
          <w:p w14:paraId="0201201E">
            <w:pPr>
              <w:pStyle w:val="21"/>
              <w:keepNext w:val="0"/>
              <w:keepLines w:val="0"/>
              <w:pageBreakBefore w:val="0"/>
              <w:widowControl w:val="0"/>
              <w:kinsoku/>
              <w:wordWrap/>
              <w:overflowPunct/>
              <w:topLinePunct w:val="0"/>
              <w:autoSpaceDE w:val="0"/>
              <w:autoSpaceDN w:val="0"/>
              <w:bidi w:val="0"/>
              <w:adjustRightInd/>
              <w:spacing w:line="360" w:lineRule="atLeast"/>
              <w:ind w:right="-36" w:rightChars="-15"/>
              <w:textAlignment w:val="auto"/>
              <w:rPr>
                <w:rFonts w:hint="eastAsia" w:ascii="仿宋" w:hAnsi="仿宋" w:eastAsia="仿宋" w:cs="仿宋"/>
                <w:kern w:val="0"/>
                <w:sz w:val="21"/>
                <w:szCs w:val="21"/>
                <w:highlight w:val="none"/>
                <w:vertAlign w:val="baseline"/>
                <w:lang w:val="en-US" w:eastAsia="zh-CN"/>
              </w:rPr>
            </w:pPr>
            <w:r>
              <w:rPr>
                <w:rFonts w:hint="eastAsia" w:ascii="仿宋" w:hAnsi="仿宋" w:eastAsia="仿宋" w:cs="仿宋"/>
                <w:kern w:val="0"/>
                <w:sz w:val="21"/>
                <w:szCs w:val="21"/>
                <w:highlight w:val="none"/>
                <w:vertAlign w:val="baseline"/>
                <w:lang w:val="en-US" w:eastAsia="zh-CN"/>
              </w:rPr>
              <w:t>①承诺保证所提供食品新鲜的承诺函，</w:t>
            </w:r>
            <w:r>
              <w:rPr>
                <w:rFonts w:hint="eastAsia" w:ascii="仿宋" w:hAnsi="仿宋" w:eastAsia="仿宋" w:cs="仿宋"/>
                <w:sz w:val="21"/>
                <w:szCs w:val="21"/>
                <w:highlight w:val="none"/>
                <w:lang w:eastAsia="zh-CN"/>
              </w:rPr>
              <w:t>得</w:t>
            </w:r>
            <w:r>
              <w:rPr>
                <w:rFonts w:hint="eastAsia" w:ascii="仿宋" w:hAnsi="仿宋" w:eastAsia="仿宋" w:cs="仿宋"/>
                <w:kern w:val="0"/>
                <w:sz w:val="21"/>
                <w:szCs w:val="21"/>
                <w:highlight w:val="none"/>
                <w:vertAlign w:val="baseline"/>
                <w:lang w:val="en-US" w:eastAsia="zh-CN"/>
              </w:rPr>
              <w:t>1分；</w:t>
            </w:r>
          </w:p>
          <w:p w14:paraId="7DF18E3D">
            <w:pPr>
              <w:pStyle w:val="21"/>
              <w:keepNext w:val="0"/>
              <w:keepLines w:val="0"/>
              <w:pageBreakBefore w:val="0"/>
              <w:widowControl w:val="0"/>
              <w:kinsoku/>
              <w:wordWrap/>
              <w:overflowPunct/>
              <w:topLinePunct w:val="0"/>
              <w:autoSpaceDE w:val="0"/>
              <w:autoSpaceDN w:val="0"/>
              <w:bidi w:val="0"/>
              <w:adjustRightInd/>
              <w:spacing w:line="360" w:lineRule="atLeast"/>
              <w:ind w:right="-36" w:rightChars="-15"/>
              <w:textAlignment w:val="auto"/>
              <w:rPr>
                <w:rFonts w:hint="eastAsia" w:ascii="仿宋" w:hAnsi="仿宋" w:eastAsia="仿宋" w:cs="仿宋"/>
                <w:kern w:val="0"/>
                <w:sz w:val="21"/>
                <w:szCs w:val="21"/>
                <w:highlight w:val="none"/>
                <w:vertAlign w:val="baseline"/>
                <w:lang w:val="en-US" w:eastAsia="zh-CN"/>
              </w:rPr>
            </w:pPr>
            <w:r>
              <w:rPr>
                <w:rFonts w:hint="eastAsia" w:ascii="仿宋" w:hAnsi="仿宋" w:eastAsia="仿宋" w:cs="仿宋"/>
                <w:kern w:val="0"/>
                <w:sz w:val="21"/>
                <w:szCs w:val="21"/>
                <w:highlight w:val="none"/>
                <w:vertAlign w:val="baseline"/>
                <w:lang w:val="en-US" w:eastAsia="zh-CN"/>
              </w:rPr>
              <w:t>②承诺中标后提供食品安全质量保证承诺和保价承诺的承诺函，</w:t>
            </w:r>
            <w:r>
              <w:rPr>
                <w:rFonts w:hint="eastAsia" w:ascii="仿宋" w:hAnsi="仿宋" w:eastAsia="仿宋" w:cs="仿宋"/>
                <w:sz w:val="21"/>
                <w:szCs w:val="21"/>
                <w:highlight w:val="none"/>
                <w:lang w:eastAsia="zh-CN"/>
              </w:rPr>
              <w:t>得</w:t>
            </w:r>
            <w:r>
              <w:rPr>
                <w:rFonts w:hint="eastAsia" w:ascii="仿宋" w:hAnsi="仿宋" w:eastAsia="仿宋" w:cs="仿宋"/>
                <w:kern w:val="0"/>
                <w:sz w:val="21"/>
                <w:szCs w:val="21"/>
                <w:highlight w:val="none"/>
                <w:vertAlign w:val="baseline"/>
                <w:lang w:val="en-US" w:eastAsia="zh-CN"/>
              </w:rPr>
              <w:t>2分。</w:t>
            </w:r>
          </w:p>
          <w:p w14:paraId="3576238A">
            <w:pPr>
              <w:pStyle w:val="21"/>
              <w:keepNext w:val="0"/>
              <w:keepLines w:val="0"/>
              <w:pageBreakBefore w:val="0"/>
              <w:widowControl w:val="0"/>
              <w:kinsoku/>
              <w:wordWrap/>
              <w:overflowPunct/>
              <w:topLinePunct w:val="0"/>
              <w:autoSpaceDE w:val="0"/>
              <w:autoSpaceDN w:val="0"/>
              <w:bidi w:val="0"/>
              <w:adjustRightInd/>
              <w:spacing w:line="360" w:lineRule="atLeast"/>
              <w:ind w:right="-36" w:rightChars="-15"/>
              <w:textAlignment w:val="auto"/>
              <w:rPr>
                <w:rFonts w:hint="eastAsia" w:ascii="仿宋" w:hAnsi="仿宋" w:eastAsia="仿宋" w:cs="仿宋"/>
                <w:kern w:val="0"/>
                <w:sz w:val="21"/>
                <w:szCs w:val="21"/>
                <w:highlight w:val="none"/>
                <w:vertAlign w:val="baseline"/>
                <w:lang w:val="en-US" w:eastAsia="zh-CN"/>
              </w:rPr>
            </w:pPr>
            <w:r>
              <w:rPr>
                <w:rFonts w:hint="eastAsia" w:ascii="仿宋" w:hAnsi="仿宋" w:eastAsia="仿宋" w:cs="仿宋"/>
                <w:kern w:val="0"/>
                <w:sz w:val="21"/>
                <w:szCs w:val="21"/>
                <w:highlight w:val="none"/>
                <w:vertAlign w:val="baseline"/>
                <w:lang w:val="en-US" w:eastAsia="zh-CN"/>
              </w:rPr>
              <w:t>③承诺中标后须提供蛋糕生产厂商的授权或相关售卖证明材料，</w:t>
            </w:r>
            <w:r>
              <w:rPr>
                <w:rFonts w:hint="eastAsia" w:ascii="仿宋" w:hAnsi="仿宋" w:eastAsia="仿宋" w:cs="仿宋"/>
                <w:sz w:val="21"/>
                <w:szCs w:val="21"/>
                <w:highlight w:val="none"/>
                <w:lang w:eastAsia="zh-CN"/>
              </w:rPr>
              <w:t>得</w:t>
            </w:r>
            <w:r>
              <w:rPr>
                <w:rFonts w:hint="eastAsia" w:ascii="仿宋" w:hAnsi="仿宋" w:eastAsia="仿宋" w:cs="仿宋"/>
                <w:kern w:val="0"/>
                <w:sz w:val="21"/>
                <w:szCs w:val="21"/>
                <w:highlight w:val="none"/>
                <w:vertAlign w:val="baseline"/>
                <w:lang w:val="en-US" w:eastAsia="zh-CN"/>
              </w:rPr>
              <w:t>1分；</w:t>
            </w:r>
          </w:p>
          <w:p w14:paraId="16F0BF74">
            <w:pPr>
              <w:pStyle w:val="21"/>
              <w:keepNext w:val="0"/>
              <w:keepLines w:val="0"/>
              <w:pageBreakBefore w:val="0"/>
              <w:widowControl w:val="0"/>
              <w:kinsoku/>
              <w:wordWrap/>
              <w:overflowPunct/>
              <w:topLinePunct w:val="0"/>
              <w:autoSpaceDE w:val="0"/>
              <w:autoSpaceDN w:val="0"/>
              <w:bidi w:val="0"/>
              <w:adjustRightInd/>
              <w:spacing w:line="360" w:lineRule="atLeast"/>
              <w:ind w:right="-36" w:rightChars="-15"/>
              <w:textAlignment w:val="auto"/>
              <w:rPr>
                <w:rFonts w:hint="eastAsia" w:ascii="仿宋" w:hAnsi="仿宋" w:eastAsia="仿宋" w:cs="仿宋"/>
                <w:kern w:val="0"/>
                <w:sz w:val="21"/>
                <w:szCs w:val="21"/>
                <w:highlight w:val="none"/>
                <w:vertAlign w:val="baseline"/>
                <w:lang w:val="en-US" w:eastAsia="zh-CN"/>
              </w:rPr>
            </w:pPr>
            <w:r>
              <w:rPr>
                <w:rFonts w:hint="eastAsia" w:ascii="仿宋" w:hAnsi="仿宋" w:eastAsia="仿宋" w:cs="仿宋"/>
                <w:kern w:val="0"/>
                <w:sz w:val="21"/>
                <w:szCs w:val="21"/>
                <w:highlight w:val="none"/>
                <w:vertAlign w:val="baseline"/>
                <w:lang w:val="en-US" w:eastAsia="zh-CN"/>
              </w:rPr>
              <w:t>④承诺中标后须提供蛋糕生产厂商的《食品生产许可证》或《食品经营许可证》，如已实施食品药品经营许可多证合一改革的，具有有效的《食品药品经营许可证》，</w:t>
            </w:r>
            <w:r>
              <w:rPr>
                <w:rFonts w:hint="eastAsia" w:ascii="仿宋" w:hAnsi="仿宋" w:eastAsia="仿宋" w:cs="仿宋"/>
                <w:sz w:val="21"/>
                <w:szCs w:val="21"/>
                <w:highlight w:val="none"/>
                <w:lang w:eastAsia="zh-CN"/>
              </w:rPr>
              <w:t>得</w:t>
            </w:r>
            <w:r>
              <w:rPr>
                <w:rFonts w:hint="eastAsia" w:ascii="仿宋" w:hAnsi="仿宋" w:eastAsia="仿宋" w:cs="仿宋"/>
                <w:kern w:val="0"/>
                <w:sz w:val="21"/>
                <w:szCs w:val="21"/>
                <w:highlight w:val="none"/>
                <w:vertAlign w:val="baseline"/>
                <w:lang w:val="en-US" w:eastAsia="zh-CN"/>
              </w:rPr>
              <w:t>2分。</w:t>
            </w:r>
          </w:p>
          <w:p w14:paraId="4B1564F3">
            <w:pPr>
              <w:pStyle w:val="21"/>
              <w:keepNext w:val="0"/>
              <w:keepLines w:val="0"/>
              <w:pageBreakBefore w:val="0"/>
              <w:widowControl w:val="0"/>
              <w:kinsoku/>
              <w:wordWrap/>
              <w:overflowPunct/>
              <w:topLinePunct w:val="0"/>
              <w:autoSpaceDE w:val="0"/>
              <w:autoSpaceDN w:val="0"/>
              <w:bidi w:val="0"/>
              <w:adjustRightInd/>
              <w:spacing w:line="360" w:lineRule="atLeast"/>
              <w:ind w:right="-36" w:rightChars="-15"/>
              <w:textAlignment w:val="auto"/>
              <w:rPr>
                <w:rFonts w:hint="eastAsia" w:ascii="仿宋" w:hAnsi="仿宋" w:eastAsia="仿宋" w:cs="仿宋"/>
                <w:kern w:val="0"/>
                <w:sz w:val="21"/>
                <w:szCs w:val="21"/>
                <w:highlight w:val="none"/>
                <w:vertAlign w:val="baseline"/>
                <w:lang w:val="en-US" w:eastAsia="zh-CN"/>
              </w:rPr>
            </w:pPr>
            <w:r>
              <w:rPr>
                <w:rFonts w:hint="eastAsia" w:ascii="仿宋" w:hAnsi="仿宋" w:eastAsia="仿宋" w:cs="仿宋"/>
                <w:kern w:val="0"/>
                <w:sz w:val="21"/>
                <w:szCs w:val="21"/>
                <w:highlight w:val="none"/>
                <w:vertAlign w:val="baseline"/>
                <w:lang w:val="en-US" w:eastAsia="zh-CN"/>
              </w:rPr>
              <w:t>⑤承诺须提供品牌蛋糕分店的名册、地址、负责人、联系电话等，并同时承诺可在任意一家实体门店提货的承诺函，</w:t>
            </w:r>
            <w:r>
              <w:rPr>
                <w:rFonts w:hint="eastAsia" w:ascii="仿宋" w:hAnsi="仿宋" w:eastAsia="仿宋" w:cs="仿宋"/>
                <w:sz w:val="21"/>
                <w:szCs w:val="21"/>
                <w:highlight w:val="none"/>
                <w:lang w:eastAsia="zh-CN"/>
              </w:rPr>
              <w:t>得</w:t>
            </w:r>
            <w:r>
              <w:rPr>
                <w:rFonts w:hint="eastAsia" w:ascii="仿宋" w:hAnsi="仿宋" w:eastAsia="仿宋" w:cs="仿宋"/>
                <w:kern w:val="0"/>
                <w:sz w:val="21"/>
                <w:szCs w:val="21"/>
                <w:highlight w:val="none"/>
                <w:vertAlign w:val="baseline"/>
                <w:lang w:val="en-US" w:eastAsia="zh-CN"/>
              </w:rPr>
              <w:t>1分；</w:t>
            </w:r>
          </w:p>
          <w:p w14:paraId="394E46A8">
            <w:pPr>
              <w:pStyle w:val="21"/>
              <w:keepNext w:val="0"/>
              <w:keepLines w:val="0"/>
              <w:pageBreakBefore w:val="0"/>
              <w:widowControl w:val="0"/>
              <w:kinsoku/>
              <w:wordWrap/>
              <w:overflowPunct/>
              <w:topLinePunct w:val="0"/>
              <w:autoSpaceDE w:val="0"/>
              <w:autoSpaceDN w:val="0"/>
              <w:bidi w:val="0"/>
              <w:adjustRightInd/>
              <w:spacing w:line="360" w:lineRule="atLeast"/>
              <w:ind w:right="-36" w:rightChars="-15"/>
              <w:textAlignment w:val="auto"/>
              <w:rPr>
                <w:rFonts w:hint="eastAsia" w:ascii="仿宋" w:hAnsi="仿宋" w:eastAsia="仿宋" w:cs="仿宋"/>
                <w:kern w:val="0"/>
                <w:sz w:val="21"/>
                <w:szCs w:val="21"/>
                <w:highlight w:val="none"/>
                <w:vertAlign w:val="baseline"/>
                <w:lang w:val="en-US" w:eastAsia="zh-CN"/>
              </w:rPr>
            </w:pPr>
            <w:r>
              <w:rPr>
                <w:rFonts w:hint="eastAsia" w:ascii="仿宋" w:hAnsi="仿宋" w:eastAsia="仿宋" w:cs="仿宋"/>
                <w:kern w:val="0"/>
                <w:sz w:val="21"/>
                <w:szCs w:val="21"/>
                <w:highlight w:val="none"/>
                <w:vertAlign w:val="baseline"/>
                <w:lang w:val="en-US" w:eastAsia="zh-CN"/>
              </w:rPr>
              <w:fldChar w:fldCharType="begin"/>
            </w:r>
            <w:r>
              <w:rPr>
                <w:rFonts w:hint="eastAsia" w:ascii="仿宋" w:hAnsi="仿宋" w:eastAsia="仿宋" w:cs="仿宋"/>
                <w:kern w:val="0"/>
                <w:sz w:val="21"/>
                <w:szCs w:val="21"/>
                <w:highlight w:val="none"/>
                <w:vertAlign w:val="baseline"/>
                <w:lang w:val="en-US" w:eastAsia="zh-CN"/>
              </w:rPr>
              <w:instrText xml:space="preserve"> = 6 \* GB3 \* MERGEFORMAT </w:instrText>
            </w:r>
            <w:r>
              <w:rPr>
                <w:rFonts w:hint="eastAsia" w:ascii="仿宋" w:hAnsi="仿宋" w:eastAsia="仿宋" w:cs="仿宋"/>
                <w:kern w:val="0"/>
                <w:sz w:val="21"/>
                <w:szCs w:val="21"/>
                <w:highlight w:val="none"/>
                <w:vertAlign w:val="baseline"/>
                <w:lang w:val="en-US" w:eastAsia="zh-CN"/>
              </w:rPr>
              <w:fldChar w:fldCharType="separate"/>
            </w:r>
            <w:r>
              <w:rPr>
                <w:rFonts w:hint="eastAsia" w:ascii="仿宋" w:hAnsi="仿宋" w:eastAsia="仿宋" w:cs="仿宋"/>
                <w:highlight w:val="none"/>
              </w:rPr>
              <w:t>⑥</w:t>
            </w:r>
            <w:r>
              <w:rPr>
                <w:rFonts w:hint="eastAsia" w:ascii="仿宋" w:hAnsi="仿宋" w:eastAsia="仿宋" w:cs="仿宋"/>
                <w:kern w:val="0"/>
                <w:sz w:val="21"/>
                <w:szCs w:val="21"/>
                <w:highlight w:val="none"/>
                <w:vertAlign w:val="baseline"/>
                <w:lang w:val="en-US" w:eastAsia="zh-CN"/>
              </w:rPr>
              <w:fldChar w:fldCharType="end"/>
            </w:r>
            <w:r>
              <w:rPr>
                <w:rFonts w:hint="eastAsia" w:ascii="仿宋" w:hAnsi="仿宋" w:eastAsia="仿宋" w:cs="仿宋"/>
                <w:kern w:val="0"/>
                <w:sz w:val="21"/>
                <w:szCs w:val="21"/>
                <w:highlight w:val="none"/>
                <w:vertAlign w:val="baseline"/>
                <w:lang w:val="en-US" w:eastAsia="zh-CN"/>
              </w:rPr>
              <w:t>承诺满足教职工线下消费店面不少于10个，得3分，每增加一个线下店面多得0.5分，累计最高得5分。</w:t>
            </w:r>
          </w:p>
          <w:p w14:paraId="796AF4FD">
            <w:pPr>
              <w:pStyle w:val="21"/>
              <w:keepNext w:val="0"/>
              <w:keepLines w:val="0"/>
              <w:pageBreakBefore w:val="0"/>
              <w:widowControl w:val="0"/>
              <w:kinsoku/>
              <w:wordWrap/>
              <w:overflowPunct/>
              <w:topLinePunct w:val="0"/>
              <w:autoSpaceDE w:val="0"/>
              <w:autoSpaceDN w:val="0"/>
              <w:bidi w:val="0"/>
              <w:adjustRightInd/>
              <w:spacing w:line="360" w:lineRule="atLeast"/>
              <w:ind w:right="-36" w:rightChars="-15"/>
              <w:textAlignment w:val="auto"/>
              <w:rPr>
                <w:rFonts w:hint="eastAsia" w:ascii="仿宋" w:hAnsi="仿宋" w:eastAsia="仿宋" w:cs="仿宋"/>
                <w:kern w:val="0"/>
                <w:sz w:val="21"/>
                <w:szCs w:val="21"/>
                <w:highlight w:val="none"/>
                <w:vertAlign w:val="baseline"/>
              </w:rPr>
            </w:pPr>
            <w:r>
              <w:rPr>
                <w:rFonts w:hint="eastAsia" w:ascii="仿宋" w:hAnsi="仿宋" w:eastAsia="仿宋" w:cs="仿宋"/>
                <w:kern w:val="0"/>
                <w:sz w:val="21"/>
                <w:szCs w:val="21"/>
                <w:highlight w:val="none"/>
                <w:vertAlign w:val="baseline"/>
                <w:lang w:val="en-US" w:eastAsia="zh-CN"/>
              </w:rPr>
              <w:t>注：以上承诺函格式自拟，须加盖供应商公章，本项最高得12分，未提供或提供承诺内容不全的不得分。</w:t>
            </w:r>
          </w:p>
        </w:tc>
      </w:tr>
      <w:tr w14:paraId="7B1FE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511" w:type="pct"/>
            <w:vMerge w:val="continue"/>
            <w:tcBorders>
              <w:right w:val="single" w:color="000000" w:sz="4" w:space="0"/>
            </w:tcBorders>
            <w:vAlign w:val="center"/>
          </w:tcPr>
          <w:p w14:paraId="2FF3CE73">
            <w:pPr>
              <w:pStyle w:val="21"/>
              <w:keepNext w:val="0"/>
              <w:keepLines w:val="0"/>
              <w:pageBreakBefore w:val="0"/>
              <w:widowControl w:val="0"/>
              <w:kinsoku/>
              <w:wordWrap/>
              <w:overflowPunct/>
              <w:topLinePunct w:val="0"/>
              <w:autoSpaceDE w:val="0"/>
              <w:autoSpaceDN w:val="0"/>
              <w:bidi w:val="0"/>
              <w:adjustRightInd/>
              <w:spacing w:line="360" w:lineRule="atLeast"/>
              <w:ind w:right="-22" w:rightChars="-9"/>
              <w:jc w:val="center"/>
              <w:textAlignment w:val="auto"/>
              <w:rPr>
                <w:rFonts w:hint="eastAsia" w:ascii="仿宋" w:hAnsi="仿宋" w:eastAsia="仿宋" w:cs="仿宋"/>
                <w:kern w:val="0"/>
                <w:sz w:val="21"/>
                <w:szCs w:val="21"/>
                <w:highlight w:val="none"/>
                <w:vertAlign w:val="baseline"/>
              </w:rPr>
            </w:pPr>
          </w:p>
        </w:tc>
        <w:tc>
          <w:tcPr>
            <w:tcW w:w="588" w:type="pct"/>
            <w:tcBorders>
              <w:left w:val="single" w:color="000000" w:sz="4" w:space="0"/>
            </w:tcBorders>
            <w:vAlign w:val="center"/>
          </w:tcPr>
          <w:p w14:paraId="4EAB3CF0">
            <w:pPr>
              <w:pStyle w:val="21"/>
              <w:keepNext w:val="0"/>
              <w:keepLines w:val="0"/>
              <w:pageBreakBefore w:val="0"/>
              <w:widowControl w:val="0"/>
              <w:kinsoku/>
              <w:wordWrap/>
              <w:overflowPunct/>
              <w:topLinePunct w:val="0"/>
              <w:autoSpaceDE w:val="0"/>
              <w:autoSpaceDN w:val="0"/>
              <w:bidi w:val="0"/>
              <w:adjustRightInd/>
              <w:spacing w:line="360" w:lineRule="atLeast"/>
              <w:ind w:right="36" w:rightChars="15"/>
              <w:jc w:val="center"/>
              <w:textAlignment w:val="auto"/>
              <w:rPr>
                <w:rFonts w:hint="eastAsia" w:ascii="仿宋" w:hAnsi="仿宋" w:eastAsia="仿宋" w:cs="仿宋"/>
                <w:kern w:val="0"/>
                <w:sz w:val="21"/>
                <w:szCs w:val="21"/>
                <w:highlight w:val="none"/>
                <w:vertAlign w:val="baseline"/>
                <w:lang w:val="en-US" w:eastAsia="zh-CN"/>
              </w:rPr>
            </w:pPr>
            <w:r>
              <w:rPr>
                <w:rFonts w:hint="eastAsia" w:ascii="仿宋" w:hAnsi="仿宋" w:eastAsia="仿宋" w:cs="仿宋"/>
                <w:kern w:val="0"/>
                <w:sz w:val="21"/>
                <w:szCs w:val="21"/>
                <w:highlight w:val="none"/>
                <w:vertAlign w:val="baseline"/>
                <w:lang w:val="en-US" w:eastAsia="zh-CN"/>
              </w:rPr>
              <w:t>服务方案</w:t>
            </w:r>
          </w:p>
        </w:tc>
        <w:tc>
          <w:tcPr>
            <w:tcW w:w="437" w:type="pct"/>
            <w:vAlign w:val="center"/>
          </w:tcPr>
          <w:p w14:paraId="0566AC06">
            <w:pPr>
              <w:pStyle w:val="21"/>
              <w:keepNext w:val="0"/>
              <w:keepLines w:val="0"/>
              <w:pageBreakBefore w:val="0"/>
              <w:kinsoku/>
              <w:wordWrap/>
              <w:overflowPunct/>
              <w:topLinePunct w:val="0"/>
              <w:bidi w:val="0"/>
              <w:adjustRightInd/>
              <w:spacing w:line="360" w:lineRule="atLeast"/>
              <w:ind w:left="0" w:leftChars="0" w:right="0" w:rightChars="0"/>
              <w:jc w:val="center"/>
              <w:textAlignment w:val="auto"/>
              <w:rPr>
                <w:rFonts w:hint="eastAsia" w:ascii="仿宋" w:hAnsi="仿宋" w:eastAsia="仿宋" w:cs="仿宋"/>
                <w:kern w:val="0"/>
                <w:sz w:val="21"/>
                <w:szCs w:val="21"/>
                <w:highlight w:val="none"/>
                <w:vertAlign w:val="baseline"/>
                <w:lang w:val="en-US" w:eastAsia="zh-CN"/>
              </w:rPr>
            </w:pPr>
            <w:r>
              <w:rPr>
                <w:rFonts w:hint="eastAsia" w:ascii="仿宋" w:hAnsi="仿宋" w:eastAsia="仿宋" w:cs="仿宋"/>
                <w:kern w:val="0"/>
                <w:sz w:val="21"/>
                <w:szCs w:val="21"/>
                <w:highlight w:val="none"/>
                <w:vertAlign w:val="baseline"/>
                <w:lang w:val="en-US" w:eastAsia="zh-CN"/>
              </w:rPr>
              <w:t>9</w:t>
            </w:r>
          </w:p>
        </w:tc>
        <w:tc>
          <w:tcPr>
            <w:tcW w:w="3463" w:type="pct"/>
            <w:vAlign w:val="center"/>
          </w:tcPr>
          <w:p w14:paraId="2090D660">
            <w:pPr>
              <w:pageBreakBefore w:val="0"/>
              <w:kinsoku/>
              <w:wordWrap/>
              <w:overflowPunct/>
              <w:topLinePunct w:val="0"/>
              <w:autoSpaceDE/>
              <w:autoSpaceDN/>
              <w:bidi w:val="0"/>
              <w:adjustRightInd/>
              <w:snapToGrid/>
              <w:spacing w:line="420" w:lineRule="exact"/>
              <w:rPr>
                <w:rFonts w:hint="eastAsia" w:ascii="仿宋" w:hAnsi="仿宋" w:eastAsia="仿宋" w:cs="仿宋"/>
                <w:sz w:val="21"/>
                <w:szCs w:val="21"/>
                <w:highlight w:val="none"/>
              </w:rPr>
            </w:pPr>
            <w:r>
              <w:rPr>
                <w:rFonts w:hint="eastAsia" w:ascii="仿宋" w:hAnsi="仿宋" w:eastAsia="仿宋" w:cs="仿宋"/>
                <w:kern w:val="0"/>
                <w:sz w:val="21"/>
                <w:szCs w:val="21"/>
                <w:highlight w:val="none"/>
                <w:vertAlign w:val="baseline"/>
                <w:lang w:val="en-US" w:eastAsia="zh-CN"/>
              </w:rPr>
              <w:t>供应商按项目理解制定详细的服务方案，</w:t>
            </w:r>
            <w:r>
              <w:rPr>
                <w:rFonts w:hint="eastAsia" w:ascii="仿宋" w:hAnsi="仿宋" w:eastAsia="仿宋" w:cs="仿宋"/>
                <w:sz w:val="21"/>
                <w:szCs w:val="21"/>
                <w:highlight w:val="none"/>
                <w:lang w:val="en-US" w:eastAsia="zh-CN"/>
              </w:rPr>
              <w:t>包括但不限于：</w:t>
            </w:r>
            <w:r>
              <w:rPr>
                <w:rFonts w:hint="eastAsia" w:ascii="仿宋" w:hAnsi="仿宋" w:eastAsia="仿宋" w:cs="仿宋"/>
                <w:kern w:val="0"/>
                <w:sz w:val="21"/>
                <w:szCs w:val="21"/>
                <w:highlight w:val="none"/>
                <w:vertAlign w:val="baseline"/>
                <w:lang w:val="en-US" w:eastAsia="zh-CN"/>
              </w:rPr>
              <w:t>①项目整体管理方案；②具体实施及流程（蛋糕券的发放方式、职工领取的方式、可选取样式、订单、退换货、报账、优惠）；③货源保障措施及方案</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根据</w:t>
            </w:r>
            <w:r>
              <w:rPr>
                <w:rFonts w:hint="eastAsia" w:ascii="仿宋" w:hAnsi="仿宋" w:eastAsia="仿宋" w:cs="仿宋"/>
                <w:sz w:val="21"/>
                <w:szCs w:val="21"/>
                <w:highlight w:val="none"/>
                <w:lang w:eastAsia="zh-CN"/>
              </w:rPr>
              <w:t>供应商</w:t>
            </w:r>
            <w:r>
              <w:rPr>
                <w:rFonts w:hint="eastAsia" w:ascii="仿宋" w:hAnsi="仿宋" w:eastAsia="仿宋" w:cs="仿宋"/>
                <w:sz w:val="21"/>
                <w:szCs w:val="21"/>
                <w:highlight w:val="none"/>
              </w:rPr>
              <w:t>提供方案进行评分，全部满足要求无缺陷得</w:t>
            </w:r>
            <w:r>
              <w:rPr>
                <w:rFonts w:hint="eastAsia" w:ascii="仿宋" w:hAnsi="仿宋" w:eastAsia="仿宋" w:cs="仿宋"/>
                <w:sz w:val="21"/>
                <w:szCs w:val="21"/>
                <w:highlight w:val="none"/>
                <w:lang w:val="en-US" w:eastAsia="zh-CN"/>
              </w:rPr>
              <w:t>9</w:t>
            </w:r>
            <w:r>
              <w:rPr>
                <w:rFonts w:hint="eastAsia" w:ascii="仿宋" w:hAnsi="仿宋" w:eastAsia="仿宋" w:cs="仿宋"/>
                <w:sz w:val="21"/>
                <w:szCs w:val="21"/>
                <w:highlight w:val="none"/>
              </w:rPr>
              <w:t>分，若有一项未提供扣</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分。每项内每有一处内容缺陷扣1分（每小项最多扣</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分）。</w:t>
            </w:r>
          </w:p>
          <w:p w14:paraId="2C301F1A">
            <w:pPr>
              <w:pStyle w:val="21"/>
              <w:keepNext w:val="0"/>
              <w:keepLines w:val="0"/>
              <w:pageBreakBefore w:val="0"/>
              <w:kinsoku/>
              <w:wordWrap/>
              <w:overflowPunct/>
              <w:topLinePunct w:val="0"/>
              <w:bidi w:val="0"/>
              <w:adjustRightInd/>
              <w:spacing w:line="360" w:lineRule="atLeast"/>
              <w:ind w:left="0" w:leftChars="0" w:right="-36" w:rightChars="-15"/>
              <w:jc w:val="both"/>
              <w:textAlignment w:val="auto"/>
              <w:rPr>
                <w:rFonts w:hint="eastAsia" w:ascii="仿宋" w:hAnsi="仿宋" w:eastAsia="仿宋" w:cs="仿宋"/>
                <w:kern w:val="0"/>
                <w:sz w:val="21"/>
                <w:szCs w:val="21"/>
                <w:highlight w:val="none"/>
                <w:vertAlign w:val="baseline"/>
              </w:rPr>
            </w:pPr>
            <w:r>
              <w:rPr>
                <w:rFonts w:hint="eastAsia" w:ascii="仿宋" w:hAnsi="仿宋" w:eastAsia="仿宋" w:cs="仿宋"/>
                <w:kern w:val="2"/>
                <w:sz w:val="21"/>
                <w:szCs w:val="21"/>
                <w:highlight w:val="none"/>
                <w:lang w:val="en-US" w:bidi="ar-SA"/>
              </w:rPr>
              <w:t>(缺陷是指:方案内项目名称错误、项目实施地点错误、方案适用的行业规范，标准有误、方案前后表述不一致、方案内容表述含有语句不通顺影响方案理解、方案响应中含有不符合本项目明确的采购需求内容)。</w:t>
            </w:r>
          </w:p>
        </w:tc>
      </w:tr>
      <w:tr w14:paraId="1E76D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511" w:type="pct"/>
            <w:vMerge w:val="continue"/>
            <w:tcBorders>
              <w:right w:val="single" w:color="000000" w:sz="4" w:space="0"/>
            </w:tcBorders>
            <w:vAlign w:val="center"/>
          </w:tcPr>
          <w:p w14:paraId="4B8C22AF">
            <w:pPr>
              <w:pStyle w:val="21"/>
              <w:keepNext w:val="0"/>
              <w:keepLines w:val="0"/>
              <w:pageBreakBefore w:val="0"/>
              <w:widowControl w:val="0"/>
              <w:kinsoku/>
              <w:wordWrap/>
              <w:overflowPunct/>
              <w:topLinePunct w:val="0"/>
              <w:autoSpaceDE w:val="0"/>
              <w:autoSpaceDN w:val="0"/>
              <w:bidi w:val="0"/>
              <w:adjustRightInd/>
              <w:spacing w:line="360" w:lineRule="atLeast"/>
              <w:ind w:right="-22" w:rightChars="-9"/>
              <w:jc w:val="center"/>
              <w:textAlignment w:val="auto"/>
              <w:rPr>
                <w:rFonts w:hint="eastAsia" w:ascii="仿宋" w:hAnsi="仿宋" w:eastAsia="仿宋" w:cs="仿宋"/>
                <w:kern w:val="0"/>
                <w:sz w:val="21"/>
                <w:szCs w:val="21"/>
                <w:highlight w:val="none"/>
                <w:vertAlign w:val="baseline"/>
              </w:rPr>
            </w:pPr>
          </w:p>
        </w:tc>
        <w:tc>
          <w:tcPr>
            <w:tcW w:w="588" w:type="pct"/>
            <w:tcBorders>
              <w:left w:val="single" w:color="000000" w:sz="4" w:space="0"/>
            </w:tcBorders>
            <w:vAlign w:val="center"/>
          </w:tcPr>
          <w:p w14:paraId="7D4A180D">
            <w:pPr>
              <w:pStyle w:val="21"/>
              <w:keepNext w:val="0"/>
              <w:keepLines w:val="0"/>
              <w:pageBreakBefore w:val="0"/>
              <w:widowControl w:val="0"/>
              <w:kinsoku/>
              <w:wordWrap/>
              <w:overflowPunct/>
              <w:topLinePunct w:val="0"/>
              <w:autoSpaceDE w:val="0"/>
              <w:autoSpaceDN w:val="0"/>
              <w:bidi w:val="0"/>
              <w:adjustRightInd/>
              <w:spacing w:line="360" w:lineRule="atLeast"/>
              <w:ind w:right="36" w:rightChars="15"/>
              <w:jc w:val="center"/>
              <w:textAlignment w:val="auto"/>
              <w:rPr>
                <w:rFonts w:hint="default" w:ascii="仿宋" w:hAnsi="仿宋" w:eastAsia="仿宋" w:cs="仿宋"/>
                <w:kern w:val="0"/>
                <w:sz w:val="21"/>
                <w:szCs w:val="21"/>
                <w:highlight w:val="none"/>
                <w:vertAlign w:val="baseline"/>
                <w:lang w:val="en-US" w:eastAsia="zh-CN"/>
              </w:rPr>
            </w:pPr>
            <w:r>
              <w:rPr>
                <w:rFonts w:hint="eastAsia" w:ascii="仿宋" w:hAnsi="仿宋" w:eastAsia="仿宋" w:cs="仿宋"/>
                <w:kern w:val="0"/>
                <w:sz w:val="21"/>
                <w:szCs w:val="21"/>
                <w:highlight w:val="none"/>
                <w:vertAlign w:val="baseline"/>
                <w:lang w:val="en-US" w:eastAsia="zh-CN"/>
              </w:rPr>
              <w:t>兑换方案承诺</w:t>
            </w:r>
          </w:p>
        </w:tc>
        <w:tc>
          <w:tcPr>
            <w:tcW w:w="437" w:type="pct"/>
            <w:vAlign w:val="center"/>
          </w:tcPr>
          <w:p w14:paraId="6C7E56DD">
            <w:pPr>
              <w:pStyle w:val="21"/>
              <w:keepNext w:val="0"/>
              <w:keepLines w:val="0"/>
              <w:pageBreakBefore w:val="0"/>
              <w:kinsoku/>
              <w:wordWrap/>
              <w:overflowPunct/>
              <w:topLinePunct w:val="0"/>
              <w:bidi w:val="0"/>
              <w:adjustRightInd/>
              <w:spacing w:line="360" w:lineRule="atLeast"/>
              <w:ind w:left="0" w:leftChars="0" w:right="0" w:rightChars="0"/>
              <w:jc w:val="center"/>
              <w:textAlignment w:val="auto"/>
              <w:rPr>
                <w:rFonts w:hint="default" w:ascii="仿宋" w:hAnsi="仿宋" w:eastAsia="仿宋" w:cs="仿宋"/>
                <w:kern w:val="0"/>
                <w:sz w:val="21"/>
                <w:szCs w:val="21"/>
                <w:highlight w:val="none"/>
                <w:vertAlign w:val="baseline"/>
                <w:lang w:val="en-US" w:eastAsia="zh-CN"/>
              </w:rPr>
            </w:pPr>
            <w:r>
              <w:rPr>
                <w:rFonts w:hint="eastAsia" w:ascii="仿宋" w:hAnsi="仿宋" w:eastAsia="仿宋" w:cs="仿宋"/>
                <w:kern w:val="0"/>
                <w:sz w:val="21"/>
                <w:szCs w:val="21"/>
                <w:highlight w:val="none"/>
                <w:vertAlign w:val="baseline"/>
                <w:lang w:val="en-US" w:eastAsia="zh-CN"/>
              </w:rPr>
              <w:t>3</w:t>
            </w:r>
          </w:p>
        </w:tc>
        <w:tc>
          <w:tcPr>
            <w:tcW w:w="3463" w:type="pct"/>
            <w:vAlign w:val="center"/>
          </w:tcPr>
          <w:p w14:paraId="2078182F">
            <w:pPr>
              <w:pStyle w:val="21"/>
              <w:keepNext w:val="0"/>
              <w:keepLines w:val="0"/>
              <w:pageBreakBefore w:val="0"/>
              <w:kinsoku/>
              <w:wordWrap/>
              <w:overflowPunct/>
              <w:topLinePunct w:val="0"/>
              <w:bidi w:val="0"/>
              <w:adjustRightInd/>
              <w:spacing w:line="360" w:lineRule="atLeast"/>
              <w:ind w:left="0" w:leftChars="0" w:right="-36" w:rightChars="-15"/>
              <w:jc w:val="both"/>
              <w:textAlignment w:val="auto"/>
              <w:rPr>
                <w:rFonts w:hint="eastAsia" w:ascii="仿宋" w:hAnsi="仿宋" w:eastAsia="仿宋" w:cs="仿宋"/>
                <w:kern w:val="0"/>
                <w:sz w:val="21"/>
                <w:szCs w:val="21"/>
                <w:highlight w:val="none"/>
                <w:vertAlign w:val="baseline"/>
                <w:lang w:val="en-US" w:eastAsia="zh-CN"/>
              </w:rPr>
            </w:pPr>
            <w:r>
              <w:rPr>
                <w:rFonts w:hint="eastAsia" w:ascii="仿宋" w:hAnsi="仿宋" w:eastAsia="仿宋" w:cs="仿宋"/>
                <w:kern w:val="0"/>
                <w:sz w:val="21"/>
                <w:szCs w:val="21"/>
                <w:highlight w:val="none"/>
                <w:vertAlign w:val="baseline"/>
                <w:lang w:val="en-US" w:eastAsia="zh-CN"/>
              </w:rPr>
              <w:t>供应商对兑换方案做出承诺，承诺内容包含：卡券可购买范围不限于蛋糕，可购买供应商全部门店内的所有商品，券内金额不必一次性消费完，可分次消费，且单次消费金额和次数不受限制。券可与现金同时使用，券的使用有效期长期有效。成交供应商所供产品须符合国家食品卫生标准。成交供应商提供的卡券在实际消费时，不受任何限制，可同时享受店面优惠，所能兑换的品类（蛋糕、烘焙产品、干果、牛奶、饮品等所有商品），提供承诺函</w:t>
            </w:r>
            <w:r>
              <w:rPr>
                <w:rFonts w:hint="eastAsia" w:ascii="仿宋" w:hAnsi="仿宋" w:eastAsia="仿宋" w:cs="仿宋"/>
                <w:sz w:val="21"/>
                <w:szCs w:val="21"/>
                <w:highlight w:val="none"/>
                <w:lang w:eastAsia="zh-CN"/>
              </w:rPr>
              <w:t>得</w:t>
            </w:r>
            <w:r>
              <w:rPr>
                <w:rFonts w:hint="eastAsia" w:ascii="仿宋" w:hAnsi="仿宋" w:eastAsia="仿宋" w:cs="仿宋"/>
                <w:kern w:val="0"/>
                <w:sz w:val="21"/>
                <w:szCs w:val="21"/>
                <w:highlight w:val="none"/>
                <w:vertAlign w:val="baseline"/>
                <w:lang w:val="en-US" w:eastAsia="zh-CN"/>
              </w:rPr>
              <w:t>3分。</w:t>
            </w:r>
          </w:p>
          <w:p w14:paraId="224053F6">
            <w:pPr>
              <w:pStyle w:val="21"/>
              <w:keepNext w:val="0"/>
              <w:keepLines w:val="0"/>
              <w:pageBreakBefore w:val="0"/>
              <w:kinsoku/>
              <w:wordWrap/>
              <w:overflowPunct/>
              <w:topLinePunct w:val="0"/>
              <w:bidi w:val="0"/>
              <w:adjustRightInd/>
              <w:spacing w:line="360" w:lineRule="atLeast"/>
              <w:ind w:left="0" w:leftChars="0" w:right="-36" w:rightChars="-15"/>
              <w:jc w:val="both"/>
              <w:textAlignment w:val="auto"/>
              <w:rPr>
                <w:rFonts w:hint="eastAsia" w:ascii="仿宋" w:hAnsi="仿宋" w:eastAsia="仿宋" w:cs="仿宋"/>
                <w:kern w:val="2"/>
                <w:sz w:val="21"/>
                <w:szCs w:val="21"/>
                <w:highlight w:val="none"/>
                <w:lang w:val="en-US" w:bidi="ar-SA"/>
              </w:rPr>
            </w:pPr>
            <w:r>
              <w:rPr>
                <w:rFonts w:hint="eastAsia" w:ascii="仿宋" w:hAnsi="仿宋" w:eastAsia="仿宋" w:cs="仿宋"/>
                <w:kern w:val="0"/>
                <w:sz w:val="21"/>
                <w:szCs w:val="21"/>
                <w:highlight w:val="none"/>
                <w:vertAlign w:val="baseline"/>
                <w:lang w:val="en-US" w:eastAsia="zh-CN"/>
              </w:rPr>
              <w:t>注：以上承诺函格式自拟，须加盖供应商公章，未提供或提供承诺内容不全的不得分。</w:t>
            </w:r>
          </w:p>
        </w:tc>
      </w:tr>
      <w:tr w14:paraId="1C68D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511" w:type="pct"/>
            <w:vMerge w:val="continue"/>
            <w:tcBorders>
              <w:right w:val="single" w:color="000000" w:sz="4" w:space="0"/>
            </w:tcBorders>
            <w:vAlign w:val="center"/>
          </w:tcPr>
          <w:p w14:paraId="4A6DA4BE">
            <w:pPr>
              <w:pStyle w:val="21"/>
              <w:keepNext w:val="0"/>
              <w:keepLines w:val="0"/>
              <w:pageBreakBefore w:val="0"/>
              <w:widowControl w:val="0"/>
              <w:kinsoku/>
              <w:wordWrap/>
              <w:overflowPunct/>
              <w:topLinePunct w:val="0"/>
              <w:autoSpaceDE w:val="0"/>
              <w:autoSpaceDN w:val="0"/>
              <w:bidi w:val="0"/>
              <w:adjustRightInd/>
              <w:spacing w:line="360" w:lineRule="atLeast"/>
              <w:ind w:right="-22" w:rightChars="-9"/>
              <w:jc w:val="center"/>
              <w:textAlignment w:val="auto"/>
              <w:rPr>
                <w:rFonts w:hint="eastAsia" w:ascii="仿宋" w:hAnsi="仿宋" w:eastAsia="仿宋" w:cs="仿宋"/>
                <w:kern w:val="0"/>
                <w:sz w:val="21"/>
                <w:szCs w:val="21"/>
                <w:highlight w:val="none"/>
                <w:vertAlign w:val="baseline"/>
              </w:rPr>
            </w:pPr>
          </w:p>
        </w:tc>
        <w:tc>
          <w:tcPr>
            <w:tcW w:w="588" w:type="pct"/>
            <w:tcBorders>
              <w:left w:val="single" w:color="000000" w:sz="4" w:space="0"/>
            </w:tcBorders>
            <w:vAlign w:val="center"/>
          </w:tcPr>
          <w:p w14:paraId="4D833F15">
            <w:pPr>
              <w:pStyle w:val="21"/>
              <w:keepNext w:val="0"/>
              <w:keepLines w:val="0"/>
              <w:pageBreakBefore w:val="0"/>
              <w:widowControl w:val="0"/>
              <w:kinsoku/>
              <w:wordWrap/>
              <w:overflowPunct/>
              <w:topLinePunct w:val="0"/>
              <w:autoSpaceDE w:val="0"/>
              <w:autoSpaceDN w:val="0"/>
              <w:bidi w:val="0"/>
              <w:adjustRightInd/>
              <w:spacing w:line="360" w:lineRule="atLeast"/>
              <w:ind w:right="36" w:rightChars="15"/>
              <w:jc w:val="center"/>
              <w:textAlignment w:val="auto"/>
              <w:rPr>
                <w:rFonts w:hint="eastAsia" w:ascii="仿宋" w:hAnsi="仿宋" w:eastAsia="仿宋" w:cs="仿宋"/>
                <w:kern w:val="0"/>
                <w:sz w:val="21"/>
                <w:szCs w:val="21"/>
                <w:highlight w:val="none"/>
                <w:vertAlign w:val="baseline"/>
                <w:lang w:val="en-US" w:eastAsia="zh-CN"/>
              </w:rPr>
            </w:pPr>
            <w:r>
              <w:rPr>
                <w:rFonts w:hint="eastAsia" w:ascii="仿宋" w:hAnsi="仿宋" w:eastAsia="仿宋" w:cs="仿宋"/>
                <w:kern w:val="0"/>
                <w:sz w:val="21"/>
                <w:szCs w:val="21"/>
                <w:highlight w:val="none"/>
                <w:vertAlign w:val="baseline"/>
                <w:lang w:val="en-US" w:eastAsia="zh-CN"/>
              </w:rPr>
              <w:t>质量安全保障方案</w:t>
            </w:r>
          </w:p>
        </w:tc>
        <w:tc>
          <w:tcPr>
            <w:tcW w:w="437" w:type="pct"/>
            <w:vAlign w:val="center"/>
          </w:tcPr>
          <w:p w14:paraId="7AA8A148">
            <w:pPr>
              <w:pStyle w:val="21"/>
              <w:keepNext w:val="0"/>
              <w:keepLines w:val="0"/>
              <w:pageBreakBefore w:val="0"/>
              <w:widowControl w:val="0"/>
              <w:kinsoku/>
              <w:wordWrap/>
              <w:overflowPunct/>
              <w:topLinePunct w:val="0"/>
              <w:autoSpaceDE w:val="0"/>
              <w:autoSpaceDN w:val="0"/>
              <w:bidi w:val="0"/>
              <w:adjustRightInd/>
              <w:spacing w:line="360" w:lineRule="atLeast"/>
              <w:ind w:left="0" w:leftChars="0" w:right="0" w:rightChars="0"/>
              <w:jc w:val="center"/>
              <w:textAlignment w:val="auto"/>
              <w:rPr>
                <w:rFonts w:hint="eastAsia" w:ascii="仿宋" w:hAnsi="仿宋" w:eastAsia="仿宋" w:cs="仿宋"/>
                <w:kern w:val="0"/>
                <w:sz w:val="21"/>
                <w:szCs w:val="21"/>
                <w:highlight w:val="none"/>
                <w:vertAlign w:val="baseline"/>
                <w:lang w:val="en-US" w:eastAsia="zh-CN"/>
              </w:rPr>
            </w:pPr>
            <w:r>
              <w:rPr>
                <w:rFonts w:hint="eastAsia" w:ascii="仿宋" w:hAnsi="仿宋" w:eastAsia="仿宋" w:cs="仿宋"/>
                <w:kern w:val="0"/>
                <w:sz w:val="21"/>
                <w:szCs w:val="21"/>
                <w:highlight w:val="none"/>
                <w:vertAlign w:val="baseline"/>
                <w:lang w:val="en-US" w:eastAsia="zh-CN"/>
              </w:rPr>
              <w:t>16</w:t>
            </w:r>
          </w:p>
        </w:tc>
        <w:tc>
          <w:tcPr>
            <w:tcW w:w="3463" w:type="pct"/>
            <w:vAlign w:val="top"/>
          </w:tcPr>
          <w:p w14:paraId="147613FF">
            <w:pPr>
              <w:keepNext w:val="0"/>
              <w:keepLines w:val="0"/>
              <w:pageBreakBefore w:val="0"/>
              <w:tabs>
                <w:tab w:val="center" w:pos="4153"/>
                <w:tab w:val="right" w:pos="8306"/>
              </w:tabs>
              <w:kinsoku/>
              <w:wordWrap/>
              <w:overflowPunct/>
              <w:topLinePunct w:val="0"/>
              <w:bidi w:val="0"/>
              <w:adjustRightInd/>
              <w:snapToGrid w:val="0"/>
              <w:spacing w:line="360" w:lineRule="atLeast"/>
              <w:ind w:right="-36" w:rightChars="-15"/>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根据投标人对本项目编制的质量安全保障方案进行评审：包括但不限于：①食材质量保障体系及质量目标；②食材质量控制方案；③食材储藏、保鲜指导管理方案；④食材安全管理制度；⑤食品运输方案；⑥食品卫生管理制度等；⑦食品销售方案；⑧不合格食品退市方案及措施。</w:t>
            </w:r>
            <w:r>
              <w:rPr>
                <w:rFonts w:hint="eastAsia" w:ascii="仿宋" w:hAnsi="仿宋" w:eastAsia="仿宋" w:cs="仿宋"/>
                <w:sz w:val="21"/>
                <w:szCs w:val="21"/>
                <w:highlight w:val="none"/>
              </w:rPr>
              <w:t>根据</w:t>
            </w:r>
            <w:r>
              <w:rPr>
                <w:rFonts w:hint="eastAsia" w:ascii="仿宋" w:hAnsi="仿宋" w:eastAsia="仿宋" w:cs="仿宋"/>
                <w:sz w:val="21"/>
                <w:szCs w:val="21"/>
                <w:highlight w:val="none"/>
                <w:lang w:eastAsia="zh-CN"/>
              </w:rPr>
              <w:t>供应商</w:t>
            </w:r>
            <w:r>
              <w:rPr>
                <w:rFonts w:hint="eastAsia" w:ascii="仿宋" w:hAnsi="仿宋" w:eastAsia="仿宋" w:cs="仿宋"/>
                <w:sz w:val="21"/>
                <w:szCs w:val="21"/>
                <w:highlight w:val="none"/>
              </w:rPr>
              <w:t>提供方案进行评分，全部满足要求无缺陷得</w:t>
            </w:r>
            <w:r>
              <w:rPr>
                <w:rFonts w:hint="eastAsia" w:ascii="仿宋" w:hAnsi="仿宋" w:eastAsia="仿宋" w:cs="仿宋"/>
                <w:sz w:val="21"/>
                <w:szCs w:val="21"/>
                <w:highlight w:val="none"/>
                <w:lang w:val="en-US" w:eastAsia="zh-CN"/>
              </w:rPr>
              <w:t>16</w:t>
            </w:r>
            <w:r>
              <w:rPr>
                <w:rFonts w:hint="eastAsia" w:ascii="仿宋" w:hAnsi="仿宋" w:eastAsia="仿宋" w:cs="仿宋"/>
                <w:sz w:val="21"/>
                <w:szCs w:val="21"/>
                <w:highlight w:val="none"/>
              </w:rPr>
              <w:t>分，若有一项未提供扣</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分。每项内每有一处内容缺陷扣1分（每小项最多扣</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分）。</w:t>
            </w:r>
          </w:p>
          <w:p w14:paraId="308AD5D9">
            <w:pPr>
              <w:pStyle w:val="21"/>
              <w:keepNext w:val="0"/>
              <w:keepLines w:val="0"/>
              <w:pageBreakBefore w:val="0"/>
              <w:widowControl w:val="0"/>
              <w:kinsoku/>
              <w:wordWrap/>
              <w:overflowPunct/>
              <w:topLinePunct w:val="0"/>
              <w:autoSpaceDE w:val="0"/>
              <w:autoSpaceDN w:val="0"/>
              <w:bidi w:val="0"/>
              <w:adjustRightInd/>
              <w:spacing w:line="360" w:lineRule="atLeast"/>
              <w:ind w:left="0" w:leftChars="0" w:right="-36" w:rightChars="-15"/>
              <w:textAlignment w:val="auto"/>
              <w:rPr>
                <w:rFonts w:hint="eastAsia" w:ascii="仿宋" w:hAnsi="仿宋" w:eastAsia="仿宋" w:cs="仿宋"/>
                <w:kern w:val="0"/>
                <w:sz w:val="21"/>
                <w:szCs w:val="21"/>
                <w:highlight w:val="none"/>
                <w:vertAlign w:val="baseline"/>
              </w:rPr>
            </w:pPr>
            <w:r>
              <w:rPr>
                <w:rFonts w:hint="eastAsia" w:ascii="仿宋" w:hAnsi="仿宋" w:eastAsia="仿宋" w:cs="仿宋"/>
                <w:kern w:val="2"/>
                <w:sz w:val="21"/>
                <w:szCs w:val="21"/>
                <w:highlight w:val="none"/>
                <w:lang w:val="en-US" w:bidi="ar-SA"/>
              </w:rPr>
              <w:t>(缺陷是指:方案内项目名称错误、项目实施地点错误、方案适用的行业规范，标准有误、方案前后表述不一致、方案内容表述含有语句不通顺影响方案理解、方案响应中含有不符合本项目明确的采购需求内容)。</w:t>
            </w:r>
          </w:p>
        </w:tc>
      </w:tr>
      <w:tr w14:paraId="3E6A8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1" w:type="pct"/>
            <w:vMerge w:val="continue"/>
            <w:tcBorders>
              <w:right w:val="single" w:color="000000" w:sz="4" w:space="0"/>
            </w:tcBorders>
            <w:vAlign w:val="center"/>
          </w:tcPr>
          <w:p w14:paraId="7B07993E">
            <w:pPr>
              <w:pStyle w:val="21"/>
              <w:keepNext w:val="0"/>
              <w:keepLines w:val="0"/>
              <w:pageBreakBefore w:val="0"/>
              <w:widowControl w:val="0"/>
              <w:kinsoku/>
              <w:wordWrap/>
              <w:overflowPunct/>
              <w:topLinePunct w:val="0"/>
              <w:autoSpaceDE w:val="0"/>
              <w:autoSpaceDN w:val="0"/>
              <w:bidi w:val="0"/>
              <w:adjustRightInd/>
              <w:spacing w:line="360" w:lineRule="atLeast"/>
              <w:ind w:right="-22" w:rightChars="-9"/>
              <w:jc w:val="center"/>
              <w:textAlignment w:val="auto"/>
              <w:rPr>
                <w:rFonts w:hint="eastAsia" w:ascii="仿宋" w:hAnsi="仿宋" w:eastAsia="仿宋" w:cs="仿宋"/>
                <w:kern w:val="0"/>
                <w:sz w:val="21"/>
                <w:szCs w:val="21"/>
                <w:highlight w:val="none"/>
                <w:vertAlign w:val="baseline"/>
              </w:rPr>
            </w:pPr>
          </w:p>
        </w:tc>
        <w:tc>
          <w:tcPr>
            <w:tcW w:w="588" w:type="pct"/>
            <w:tcBorders>
              <w:left w:val="single" w:color="000000" w:sz="4" w:space="0"/>
            </w:tcBorders>
            <w:vAlign w:val="center"/>
          </w:tcPr>
          <w:p w14:paraId="4634AF07">
            <w:pPr>
              <w:pStyle w:val="21"/>
              <w:keepNext w:val="0"/>
              <w:keepLines w:val="0"/>
              <w:pageBreakBefore w:val="0"/>
              <w:kinsoku/>
              <w:wordWrap/>
              <w:overflowPunct/>
              <w:topLinePunct w:val="0"/>
              <w:bidi w:val="0"/>
              <w:adjustRightInd/>
              <w:spacing w:line="360" w:lineRule="atLeast"/>
              <w:ind w:left="0" w:leftChars="0" w:right="0" w:rightChars="0"/>
              <w:jc w:val="center"/>
              <w:textAlignment w:val="auto"/>
              <w:rPr>
                <w:rFonts w:hint="eastAsia" w:ascii="仿宋" w:hAnsi="仿宋" w:eastAsia="仿宋" w:cs="仿宋"/>
                <w:kern w:val="0"/>
                <w:sz w:val="21"/>
                <w:szCs w:val="21"/>
                <w:highlight w:val="none"/>
                <w:vertAlign w:val="baseline"/>
                <w:lang w:val="en-US" w:eastAsia="zh-CN"/>
              </w:rPr>
            </w:pPr>
            <w:r>
              <w:rPr>
                <w:rFonts w:hint="eastAsia" w:ascii="仿宋" w:hAnsi="仿宋" w:eastAsia="仿宋" w:cs="仿宋"/>
                <w:kern w:val="0"/>
                <w:sz w:val="21"/>
                <w:szCs w:val="21"/>
                <w:highlight w:val="none"/>
                <w:vertAlign w:val="baseline"/>
                <w:lang w:val="en-US" w:eastAsia="zh-CN"/>
              </w:rPr>
              <w:t>售后服务方案</w:t>
            </w:r>
          </w:p>
        </w:tc>
        <w:tc>
          <w:tcPr>
            <w:tcW w:w="437" w:type="pct"/>
            <w:vAlign w:val="center"/>
          </w:tcPr>
          <w:p w14:paraId="6CFECF3A">
            <w:pPr>
              <w:pStyle w:val="21"/>
              <w:keepNext w:val="0"/>
              <w:keepLines w:val="0"/>
              <w:pageBreakBefore w:val="0"/>
              <w:kinsoku/>
              <w:wordWrap/>
              <w:overflowPunct/>
              <w:topLinePunct w:val="0"/>
              <w:bidi w:val="0"/>
              <w:adjustRightInd/>
              <w:spacing w:line="360" w:lineRule="atLeast"/>
              <w:ind w:left="0" w:leftChars="0" w:right="0" w:rightChars="0"/>
              <w:jc w:val="center"/>
              <w:textAlignment w:val="auto"/>
              <w:rPr>
                <w:rFonts w:hint="default" w:ascii="仿宋" w:hAnsi="仿宋" w:eastAsia="仿宋" w:cs="仿宋"/>
                <w:kern w:val="0"/>
                <w:sz w:val="21"/>
                <w:szCs w:val="21"/>
                <w:highlight w:val="none"/>
                <w:vertAlign w:val="baseline"/>
                <w:lang w:val="en-US" w:eastAsia="zh-CN"/>
              </w:rPr>
            </w:pPr>
            <w:r>
              <w:rPr>
                <w:rFonts w:hint="eastAsia" w:ascii="仿宋" w:hAnsi="仿宋" w:eastAsia="仿宋" w:cs="仿宋"/>
                <w:color w:val="000000"/>
                <w:sz w:val="21"/>
                <w:szCs w:val="21"/>
                <w:highlight w:val="none"/>
                <w:lang w:val="en-US" w:eastAsia="zh-CN" w:bidi="ar-SA"/>
              </w:rPr>
              <w:t>12</w:t>
            </w:r>
          </w:p>
        </w:tc>
        <w:tc>
          <w:tcPr>
            <w:tcW w:w="3463" w:type="pct"/>
            <w:vAlign w:val="center"/>
          </w:tcPr>
          <w:p w14:paraId="1A684DE2">
            <w:pPr>
              <w:keepNext w:val="0"/>
              <w:keepLines w:val="0"/>
              <w:pageBreakBefore w:val="0"/>
              <w:tabs>
                <w:tab w:val="center" w:pos="4153"/>
                <w:tab w:val="right" w:pos="8306"/>
              </w:tabs>
              <w:kinsoku/>
              <w:wordWrap/>
              <w:overflowPunct/>
              <w:topLinePunct w:val="0"/>
              <w:bidi w:val="0"/>
              <w:adjustRightInd/>
              <w:snapToGrid w:val="0"/>
              <w:spacing w:line="360" w:lineRule="atLeast"/>
              <w:ind w:right="-36" w:rightChars="-15"/>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根据投标人对本项目编制的售后服务方案评审，包括但不限于：①服务意识和态度；②售后响应时间和电话；③售后电话回访服务；④退换货方案（制定清晰的退换货流程、退换货条件、处理时限）</w:t>
            </w:r>
            <w:r>
              <w:rPr>
                <w:rFonts w:hint="eastAsia" w:ascii="仿宋" w:hAnsi="仿宋" w:eastAsia="仿宋" w:cs="仿宋"/>
                <w:sz w:val="21"/>
                <w:szCs w:val="21"/>
                <w:highlight w:val="none"/>
              </w:rPr>
              <w:t>。根据</w:t>
            </w:r>
            <w:r>
              <w:rPr>
                <w:rFonts w:hint="eastAsia" w:ascii="仿宋" w:hAnsi="仿宋" w:eastAsia="仿宋" w:cs="仿宋"/>
                <w:sz w:val="21"/>
                <w:szCs w:val="21"/>
                <w:highlight w:val="none"/>
                <w:lang w:eastAsia="zh-CN"/>
              </w:rPr>
              <w:t>供应商</w:t>
            </w:r>
            <w:r>
              <w:rPr>
                <w:rFonts w:hint="eastAsia" w:ascii="仿宋" w:hAnsi="仿宋" w:eastAsia="仿宋" w:cs="仿宋"/>
                <w:sz w:val="21"/>
                <w:szCs w:val="21"/>
                <w:highlight w:val="none"/>
              </w:rPr>
              <w:t>提供方案进行评分，全部满足要求无缺陷得</w:t>
            </w:r>
            <w:r>
              <w:rPr>
                <w:rFonts w:hint="eastAsia" w:ascii="仿宋" w:hAnsi="仿宋" w:eastAsia="仿宋" w:cs="仿宋"/>
                <w:sz w:val="21"/>
                <w:szCs w:val="21"/>
                <w:highlight w:val="none"/>
                <w:lang w:val="en-US" w:eastAsia="zh-CN"/>
              </w:rPr>
              <w:t>12</w:t>
            </w:r>
            <w:r>
              <w:rPr>
                <w:rFonts w:hint="eastAsia" w:ascii="仿宋" w:hAnsi="仿宋" w:eastAsia="仿宋" w:cs="仿宋"/>
                <w:sz w:val="21"/>
                <w:szCs w:val="21"/>
                <w:highlight w:val="none"/>
              </w:rPr>
              <w:t>分，若有一项未提供扣</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分。每项内每有一处内容缺陷扣</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分（每小项最多扣</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分）。</w:t>
            </w:r>
          </w:p>
          <w:p w14:paraId="791FA798">
            <w:pPr>
              <w:keepNext w:val="0"/>
              <w:keepLines w:val="0"/>
              <w:pageBreakBefore w:val="0"/>
              <w:tabs>
                <w:tab w:val="center" w:pos="4153"/>
                <w:tab w:val="right" w:pos="8306"/>
              </w:tabs>
              <w:kinsoku/>
              <w:wordWrap/>
              <w:overflowPunct/>
              <w:topLinePunct w:val="0"/>
              <w:bidi w:val="0"/>
              <w:adjustRightInd/>
              <w:snapToGrid w:val="0"/>
              <w:spacing w:line="360" w:lineRule="atLeast"/>
              <w:ind w:right="-36" w:rightChars="-15"/>
              <w:jc w:val="left"/>
              <w:textAlignment w:val="auto"/>
              <w:rPr>
                <w:rFonts w:hint="eastAsia" w:ascii="仿宋" w:hAnsi="仿宋" w:eastAsia="仿宋" w:cs="仿宋"/>
                <w:kern w:val="0"/>
                <w:sz w:val="21"/>
                <w:szCs w:val="21"/>
                <w:highlight w:val="none"/>
                <w:vertAlign w:val="baseline"/>
              </w:rPr>
            </w:pPr>
            <w:r>
              <w:rPr>
                <w:rFonts w:hint="eastAsia" w:ascii="仿宋" w:hAnsi="仿宋" w:eastAsia="仿宋" w:cs="仿宋"/>
                <w:kern w:val="2"/>
                <w:sz w:val="21"/>
                <w:szCs w:val="21"/>
                <w:highlight w:val="none"/>
                <w:lang w:val="en-US" w:bidi="ar-SA"/>
              </w:rPr>
              <w:t>(缺陷是指:方案内项目名称错误、项目实施地点错误、方案适用的行业规范，标准有误、方案前后表述不一致、方案内容表述含有语句不通顺影响方案理解、方案响应中含有不符合本项目明确的采购需求内容)。</w:t>
            </w:r>
          </w:p>
        </w:tc>
      </w:tr>
      <w:tr w14:paraId="1C5CA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511" w:type="pct"/>
            <w:vMerge w:val="continue"/>
            <w:tcBorders>
              <w:right w:val="single" w:color="000000" w:sz="4" w:space="0"/>
            </w:tcBorders>
            <w:vAlign w:val="center"/>
          </w:tcPr>
          <w:p w14:paraId="2B19F2F5">
            <w:pPr>
              <w:pStyle w:val="21"/>
              <w:keepNext w:val="0"/>
              <w:keepLines w:val="0"/>
              <w:pageBreakBefore w:val="0"/>
              <w:widowControl w:val="0"/>
              <w:kinsoku/>
              <w:wordWrap/>
              <w:overflowPunct/>
              <w:topLinePunct w:val="0"/>
              <w:autoSpaceDE w:val="0"/>
              <w:autoSpaceDN w:val="0"/>
              <w:bidi w:val="0"/>
              <w:adjustRightInd/>
              <w:spacing w:line="360" w:lineRule="atLeast"/>
              <w:ind w:right="-22" w:rightChars="-9"/>
              <w:jc w:val="center"/>
              <w:textAlignment w:val="auto"/>
              <w:rPr>
                <w:rFonts w:hint="eastAsia" w:ascii="仿宋" w:hAnsi="仿宋" w:eastAsia="仿宋" w:cs="仿宋"/>
                <w:kern w:val="0"/>
                <w:sz w:val="21"/>
                <w:szCs w:val="21"/>
                <w:highlight w:val="none"/>
                <w:vertAlign w:val="baseline"/>
              </w:rPr>
            </w:pPr>
          </w:p>
        </w:tc>
        <w:tc>
          <w:tcPr>
            <w:tcW w:w="588" w:type="pct"/>
            <w:tcBorders>
              <w:left w:val="single" w:color="000000" w:sz="4" w:space="0"/>
            </w:tcBorders>
            <w:vAlign w:val="center"/>
          </w:tcPr>
          <w:p w14:paraId="1B806FF1">
            <w:pPr>
              <w:keepNext w:val="0"/>
              <w:keepLines w:val="0"/>
              <w:pageBreakBefore w:val="0"/>
              <w:widowControl/>
              <w:kinsoku/>
              <w:wordWrap/>
              <w:overflowPunct/>
              <w:topLinePunct w:val="0"/>
              <w:autoSpaceDE/>
              <w:autoSpaceDN/>
              <w:bidi w:val="0"/>
              <w:adjustRightInd/>
              <w:spacing w:line="360" w:lineRule="atLeast"/>
              <w:jc w:val="center"/>
              <w:textAlignment w:val="auto"/>
              <w:rPr>
                <w:rFonts w:hint="eastAsia" w:ascii="仿宋" w:hAnsi="仿宋" w:eastAsia="仿宋" w:cs="仿宋"/>
                <w:color w:val="000000"/>
                <w:sz w:val="21"/>
                <w:szCs w:val="21"/>
                <w:highlight w:val="none"/>
                <w:lang w:val="en-US" w:bidi="ar-SA"/>
              </w:rPr>
            </w:pPr>
            <w:r>
              <w:rPr>
                <w:rFonts w:hint="eastAsia" w:ascii="仿宋" w:hAnsi="仿宋" w:eastAsia="仿宋" w:cs="仿宋"/>
                <w:color w:val="000000"/>
                <w:sz w:val="21"/>
                <w:szCs w:val="21"/>
                <w:highlight w:val="none"/>
                <w:lang w:val="en-US" w:eastAsia="zh-CN" w:bidi="ar-SA"/>
              </w:rPr>
              <w:t>应急预案</w:t>
            </w:r>
          </w:p>
        </w:tc>
        <w:tc>
          <w:tcPr>
            <w:tcW w:w="437" w:type="pct"/>
            <w:vAlign w:val="center"/>
          </w:tcPr>
          <w:p w14:paraId="166C2CEF">
            <w:pPr>
              <w:keepNext w:val="0"/>
              <w:keepLines w:val="0"/>
              <w:pageBreakBefore w:val="0"/>
              <w:widowControl/>
              <w:kinsoku/>
              <w:wordWrap/>
              <w:overflowPunct/>
              <w:topLinePunct w:val="0"/>
              <w:autoSpaceDE/>
              <w:autoSpaceDN/>
              <w:bidi w:val="0"/>
              <w:adjustRightInd/>
              <w:spacing w:line="360" w:lineRule="atLeast"/>
              <w:jc w:val="center"/>
              <w:textAlignment w:val="auto"/>
              <w:rPr>
                <w:rFonts w:hint="eastAsia" w:ascii="仿宋" w:hAnsi="仿宋" w:eastAsia="仿宋" w:cs="仿宋"/>
                <w:color w:val="000000"/>
                <w:sz w:val="21"/>
                <w:szCs w:val="21"/>
                <w:highlight w:val="none"/>
                <w:lang w:val="en-US" w:eastAsia="zh-CN" w:bidi="ar-SA"/>
              </w:rPr>
            </w:pPr>
            <w:r>
              <w:rPr>
                <w:rFonts w:hint="eastAsia" w:ascii="仿宋" w:hAnsi="仿宋" w:eastAsia="仿宋" w:cs="仿宋"/>
                <w:color w:val="000000"/>
                <w:sz w:val="21"/>
                <w:szCs w:val="21"/>
                <w:highlight w:val="none"/>
                <w:lang w:val="en-US" w:eastAsia="zh-CN" w:bidi="ar-SA"/>
              </w:rPr>
              <w:t>6</w:t>
            </w:r>
          </w:p>
        </w:tc>
        <w:tc>
          <w:tcPr>
            <w:tcW w:w="3463" w:type="pct"/>
            <w:vAlign w:val="center"/>
          </w:tcPr>
          <w:p w14:paraId="3BF73085">
            <w:pPr>
              <w:keepNext w:val="0"/>
              <w:keepLines w:val="0"/>
              <w:pageBreakBefore w:val="0"/>
              <w:tabs>
                <w:tab w:val="center" w:pos="4153"/>
                <w:tab w:val="right" w:pos="8306"/>
              </w:tabs>
              <w:kinsoku/>
              <w:wordWrap/>
              <w:overflowPunct/>
              <w:topLinePunct w:val="0"/>
              <w:bidi w:val="0"/>
              <w:adjustRightInd/>
              <w:snapToGrid w:val="0"/>
              <w:spacing w:line="360" w:lineRule="atLeast"/>
              <w:ind w:right="-36" w:rightChars="-15"/>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根据供应商对发生突发事件的应急处理预案等进行评审，包括但不限于：①</w:t>
            </w:r>
            <w:r>
              <w:rPr>
                <w:rFonts w:hint="eastAsia" w:ascii="仿宋" w:hAnsi="仿宋" w:eastAsia="仿宋" w:cs="仿宋"/>
                <w:sz w:val="21"/>
                <w:szCs w:val="21"/>
                <w:highlight w:val="none"/>
                <w:lang w:val="en-US"/>
              </w:rPr>
              <w:t>停水</w:t>
            </w:r>
            <w:r>
              <w:rPr>
                <w:rFonts w:hint="eastAsia" w:ascii="仿宋" w:hAnsi="仿宋" w:eastAsia="仿宋" w:cs="仿宋"/>
                <w:color w:val="121212"/>
                <w:sz w:val="21"/>
                <w:szCs w:val="21"/>
                <w:highlight w:val="none"/>
                <w:lang w:val="en-US"/>
              </w:rPr>
              <w:t>环节</w:t>
            </w:r>
            <w:r>
              <w:rPr>
                <w:rFonts w:hint="eastAsia" w:ascii="仿宋" w:hAnsi="仿宋" w:eastAsia="仿宋" w:cs="仿宋"/>
                <w:sz w:val="21"/>
                <w:szCs w:val="21"/>
                <w:highlight w:val="none"/>
                <w:lang w:val="en-US"/>
              </w:rPr>
              <w:t>应急处理预案及措施</w:t>
            </w:r>
            <w:r>
              <w:rPr>
                <w:rFonts w:hint="eastAsia" w:ascii="仿宋" w:hAnsi="仿宋" w:eastAsia="仿宋" w:cs="仿宋"/>
                <w:sz w:val="21"/>
                <w:szCs w:val="21"/>
                <w:highlight w:val="none"/>
                <w:lang w:val="en-US" w:eastAsia="zh-CN"/>
              </w:rPr>
              <w:t>；②</w:t>
            </w:r>
            <w:r>
              <w:rPr>
                <w:rFonts w:hint="eastAsia" w:ascii="仿宋" w:hAnsi="仿宋" w:eastAsia="仿宋" w:cs="仿宋"/>
                <w:sz w:val="21"/>
                <w:szCs w:val="21"/>
                <w:highlight w:val="none"/>
                <w:lang w:val="en-US"/>
              </w:rPr>
              <w:t>停电</w:t>
            </w:r>
            <w:r>
              <w:rPr>
                <w:rFonts w:hint="eastAsia" w:ascii="仿宋" w:hAnsi="仿宋" w:eastAsia="仿宋" w:cs="仿宋"/>
                <w:color w:val="121212"/>
                <w:sz w:val="21"/>
                <w:szCs w:val="21"/>
                <w:highlight w:val="none"/>
                <w:lang w:val="en-US"/>
              </w:rPr>
              <w:t>环节</w:t>
            </w:r>
            <w:r>
              <w:rPr>
                <w:rFonts w:hint="eastAsia" w:ascii="仿宋" w:hAnsi="仿宋" w:eastAsia="仿宋" w:cs="仿宋"/>
                <w:sz w:val="21"/>
                <w:szCs w:val="21"/>
                <w:highlight w:val="none"/>
                <w:lang w:val="en-US"/>
              </w:rPr>
              <w:t>应急处理预案及措施</w:t>
            </w:r>
            <w:r>
              <w:rPr>
                <w:rFonts w:hint="eastAsia" w:ascii="仿宋" w:hAnsi="仿宋" w:eastAsia="仿宋" w:cs="仿宋"/>
                <w:sz w:val="21"/>
                <w:szCs w:val="21"/>
                <w:highlight w:val="none"/>
                <w:lang w:val="en-US" w:eastAsia="zh-CN"/>
              </w:rPr>
              <w:t>；③</w:t>
            </w:r>
            <w:r>
              <w:rPr>
                <w:rFonts w:hint="eastAsia" w:ascii="仿宋" w:hAnsi="仿宋" w:eastAsia="仿宋" w:cs="仿宋"/>
                <w:sz w:val="21"/>
                <w:szCs w:val="21"/>
                <w:highlight w:val="none"/>
                <w:lang w:val="en-US"/>
              </w:rPr>
              <w:t>食品中毒应急处理预案及措施</w:t>
            </w:r>
            <w:r>
              <w:rPr>
                <w:rFonts w:hint="eastAsia" w:ascii="仿宋" w:hAnsi="仿宋" w:eastAsia="仿宋" w:cs="仿宋"/>
                <w:sz w:val="21"/>
                <w:szCs w:val="21"/>
                <w:highlight w:val="none"/>
              </w:rPr>
              <w:t>。根据</w:t>
            </w:r>
            <w:r>
              <w:rPr>
                <w:rFonts w:hint="eastAsia" w:ascii="仿宋" w:hAnsi="仿宋" w:eastAsia="仿宋" w:cs="仿宋"/>
                <w:sz w:val="21"/>
                <w:szCs w:val="21"/>
                <w:highlight w:val="none"/>
                <w:lang w:eastAsia="zh-CN"/>
              </w:rPr>
              <w:t>供应商</w:t>
            </w:r>
            <w:r>
              <w:rPr>
                <w:rFonts w:hint="eastAsia" w:ascii="仿宋" w:hAnsi="仿宋" w:eastAsia="仿宋" w:cs="仿宋"/>
                <w:sz w:val="21"/>
                <w:szCs w:val="21"/>
                <w:highlight w:val="none"/>
              </w:rPr>
              <w:t>提供方案进行评分，全部满足要求无缺陷得</w:t>
            </w:r>
            <w:r>
              <w:rPr>
                <w:rFonts w:hint="eastAsia" w:ascii="仿宋" w:hAnsi="仿宋" w:eastAsia="仿宋" w:cs="仿宋"/>
                <w:sz w:val="21"/>
                <w:szCs w:val="21"/>
                <w:highlight w:val="none"/>
                <w:lang w:val="en-US" w:eastAsia="zh-CN"/>
              </w:rPr>
              <w:t>6</w:t>
            </w:r>
            <w:r>
              <w:rPr>
                <w:rFonts w:hint="eastAsia" w:ascii="仿宋" w:hAnsi="仿宋" w:eastAsia="仿宋" w:cs="仿宋"/>
                <w:sz w:val="21"/>
                <w:szCs w:val="21"/>
                <w:highlight w:val="none"/>
              </w:rPr>
              <w:t>分，若有一项未提供扣</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分。每项内每有一处内容缺陷扣</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分（每小项最多扣</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分）。</w:t>
            </w:r>
          </w:p>
          <w:p w14:paraId="228D84DA">
            <w:pPr>
              <w:pStyle w:val="28"/>
              <w:keepNext w:val="0"/>
              <w:keepLines w:val="0"/>
              <w:pageBreakBefore w:val="0"/>
              <w:kinsoku/>
              <w:wordWrap/>
              <w:overflowPunct/>
              <w:topLinePunct w:val="0"/>
              <w:bidi w:val="0"/>
              <w:adjustRightInd/>
              <w:spacing w:before="0" w:beforeAutospacing="0" w:after="0" w:afterAutospacing="0" w:line="360" w:lineRule="atLeast"/>
              <w:ind w:left="0" w:leftChars="0" w:right="0" w:rightChars="0"/>
              <w:textAlignment w:val="auto"/>
              <w:rPr>
                <w:rFonts w:hint="eastAsia" w:ascii="仿宋" w:hAnsi="仿宋" w:eastAsia="仿宋" w:cs="仿宋"/>
                <w:sz w:val="21"/>
                <w:szCs w:val="21"/>
                <w:highlight w:val="none"/>
                <w:lang w:val="en-US" w:eastAsia="zh-CN"/>
              </w:rPr>
            </w:pPr>
            <w:r>
              <w:rPr>
                <w:rFonts w:hint="eastAsia" w:ascii="仿宋" w:hAnsi="仿宋" w:eastAsia="仿宋" w:cs="仿宋"/>
                <w:kern w:val="2"/>
                <w:sz w:val="21"/>
                <w:szCs w:val="21"/>
                <w:highlight w:val="none"/>
                <w:lang w:val="en-US" w:bidi="ar-SA"/>
              </w:rPr>
              <w:t>(缺陷是指:方案内项目名称错误、项目实施地点错误、方案适用的行业规范，标准有误、方案前后表述不一致、方案内容表述含有语句不通顺影响方案理解、方案响应中含有不符合本项目明确的采购需求内容)。</w:t>
            </w:r>
          </w:p>
        </w:tc>
      </w:tr>
    </w:tbl>
    <w:p w14:paraId="415AA381">
      <w:pPr>
        <w:keepNext w:val="0"/>
        <w:keepLines w:val="0"/>
        <w:pageBreakBefore w:val="0"/>
        <w:widowControl w:val="0"/>
        <w:numPr>
          <w:ilvl w:val="1"/>
          <w:numId w:val="13"/>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评审标准中应考虑下列因素：</w:t>
      </w:r>
    </w:p>
    <w:p w14:paraId="4A5741EC">
      <w:pPr>
        <w:keepNext w:val="0"/>
        <w:keepLines w:val="0"/>
        <w:pageBreakBefore w:val="0"/>
        <w:widowControl w:val="0"/>
        <w:numPr>
          <w:ilvl w:val="2"/>
          <w:numId w:val="13"/>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落实中小企业政府采购政策的价格调整：</w:t>
      </w:r>
    </w:p>
    <w:p w14:paraId="6A201CBE">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（1）对于未预留份额专门面向中小企业采购的采购项目，以及预留份额项目中的非预留部分采购包，根据《政府采购促进中小企业发展管理办法》财库〔2020〕46号、《财政部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响应文件中提交了《中小企业声明函》、《残疾人福利性单位声明函》或省级以上监狱管理局、戒毒管理局（含新疆生产建设兵团）出具的属于监狱企业的证明文件的供应商，其最后报价扣除</w:t>
      </w:r>
      <w:r>
        <w:rPr>
          <w:rFonts w:hint="eastAsia" w:ascii="仿宋" w:hAnsi="仿宋" w:eastAsia="仿宋" w:cs="仿宋"/>
          <w:sz w:val="24"/>
          <w:szCs w:val="24"/>
          <w:highlight w:val="none"/>
          <w:u w:val="single"/>
          <w:lang w:val="en-US" w:eastAsia="zh-CN"/>
        </w:rPr>
        <w:t xml:space="preserve"> 10 % </w:t>
      </w:r>
      <w:r>
        <w:rPr>
          <w:rFonts w:hint="eastAsia" w:ascii="仿宋" w:hAnsi="仿宋" w:eastAsia="仿宋" w:cs="仿宋"/>
          <w:sz w:val="24"/>
          <w:szCs w:val="24"/>
          <w:highlight w:val="none"/>
          <w:lang w:val="en-US" w:eastAsia="zh-CN"/>
        </w:rPr>
        <w:t>后参与评审。对于同时属于小微企业、监狱企业或残疾人福利性单位的，不重复进行最后报价扣除。（不适用本项目）</w:t>
      </w:r>
    </w:p>
    <w:p w14:paraId="70770D9A">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hint="eastAsia" w:ascii="仿宋" w:hAnsi="仿宋" w:eastAsia="仿宋" w:cs="仿宋"/>
          <w:sz w:val="24"/>
          <w:szCs w:val="24"/>
          <w:highlight w:val="none"/>
          <w:u w:val="single"/>
          <w:lang w:val="en-US" w:eastAsia="zh-CN"/>
        </w:rPr>
        <w:t xml:space="preserve"> 30 %</w:t>
      </w:r>
      <w:r>
        <w:rPr>
          <w:rFonts w:hint="eastAsia" w:ascii="仿宋" w:hAnsi="仿宋" w:eastAsia="仿宋" w:cs="仿宋"/>
          <w:sz w:val="24"/>
          <w:szCs w:val="24"/>
          <w:highlight w:val="none"/>
          <w:lang w:val="en-US" w:eastAsia="zh-CN"/>
        </w:rPr>
        <w:t>以上的联合体或者大中型企业的报价给予</w:t>
      </w:r>
      <w:r>
        <w:rPr>
          <w:rFonts w:hint="eastAsia" w:ascii="仿宋" w:hAnsi="仿宋" w:eastAsia="仿宋" w:cs="仿宋"/>
          <w:sz w:val="24"/>
          <w:szCs w:val="24"/>
          <w:highlight w:val="none"/>
          <w:u w:val="single"/>
          <w:lang w:val="en-US" w:eastAsia="zh-CN"/>
        </w:rPr>
        <w:t xml:space="preserve"> 4% </w:t>
      </w:r>
      <w:r>
        <w:rPr>
          <w:rFonts w:hint="eastAsia" w:ascii="仿宋" w:hAnsi="仿宋" w:eastAsia="仿宋" w:cs="仿宋"/>
          <w:sz w:val="24"/>
          <w:szCs w:val="24"/>
          <w:highlight w:val="none"/>
          <w:lang w:val="en-US" w:eastAsia="zh-CN"/>
        </w:rPr>
        <w:t>的扣除，用扣除后的价格参加评审。</w:t>
      </w:r>
    </w:p>
    <w:p w14:paraId="079CD057">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（3）组成联合体或者接受分包的小微企业与联合体内其他企业、分包企业之间存在直接控股、管理关系的，不享受价格扣除优惠政策。</w:t>
      </w:r>
    </w:p>
    <w:p w14:paraId="3AABE53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（4）价格扣除比例对小型企业和微型企业同等对待，不作区分。</w:t>
      </w:r>
    </w:p>
    <w:p w14:paraId="42EA008A">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（5）中小企业参加政府采购活动，应当按照采购文件给定的格式出具《中小企业声明函》，否则不得享受相关中小企业扶持政策。</w:t>
      </w:r>
    </w:p>
    <w:p w14:paraId="1DD2572A">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（6）监狱企业提供了由省级以上监狱管理局、戒毒管理局（含新疆生产建设兵团）出具的属于监狱企业的证明文件的，视同小微企业。</w:t>
      </w:r>
    </w:p>
    <w:p w14:paraId="33AADC0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（7）残疾人福利性单位按采购文件要求提供了《残疾人福利性单位声明函》（见附件）的，视同小微企业。</w:t>
      </w:r>
    </w:p>
    <w:p w14:paraId="373605FF">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（8）若供应商同时属于小型或微型企业、监狱企业、残疾人福利性单位中的两种及以上，将不重复享受小微企业价格扣减的优惠政策。</w:t>
      </w:r>
    </w:p>
    <w:p w14:paraId="6D7DAB09">
      <w:pPr>
        <w:keepNext w:val="0"/>
        <w:keepLines w:val="0"/>
        <w:pageBreakBefore w:val="0"/>
        <w:widowControl w:val="0"/>
        <w:numPr>
          <w:ilvl w:val="2"/>
          <w:numId w:val="13"/>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highlight w:val="none"/>
          <w:lang w:val="en-US" w:eastAsia="zh-CN"/>
        </w:rPr>
        <w:t>落实</w:t>
      </w:r>
      <w:r>
        <w:rPr>
          <w:rFonts w:hint="eastAsia" w:ascii="仿宋" w:hAnsi="仿宋" w:eastAsia="仿宋" w:cs="仿宋"/>
          <w:sz w:val="24"/>
          <w:szCs w:val="24"/>
          <w:highlight w:val="none"/>
          <w:lang w:val="en-US" w:eastAsia="zh-CN"/>
        </w:rPr>
        <w:t>对本国产品的支持政策的价格调整：</w:t>
      </w:r>
    </w:p>
    <w:p w14:paraId="532E403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14:paraId="3662A20F">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本国产品标准的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7DBB113">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准确界定产品在中国境内生产。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00D258DE">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（3）对本国产品的支持政策。政府采购活动中既有本国产品又有非本国产品参与竞争的，依法对本国产品给予价格评审优惠，对本国产品的报价给予20%的价格扣除，用扣除后的价格参与评审。</w:t>
      </w:r>
    </w:p>
    <w:p w14:paraId="2941773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C10C323">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认真审查有关证明文件。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27652B18">
      <w:pPr>
        <w:keepNext w:val="0"/>
        <w:keepLines w:val="0"/>
        <w:pageBreakBefore w:val="0"/>
        <w:widowControl w:val="0"/>
        <w:numPr>
          <w:ilvl w:val="2"/>
          <w:numId w:val="13"/>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供应商所投产品如被列入财政部与国家主管部门颁发的节能产品目录或环境标志产品目录，应提供相关证明，在评标时予以优先采购，具体优惠措施为：</w:t>
      </w:r>
      <w:r>
        <w:rPr>
          <w:rFonts w:hint="eastAsia" w:ascii="仿宋" w:hAnsi="仿宋" w:eastAsia="仿宋" w:cs="仿宋"/>
          <w:sz w:val="24"/>
          <w:szCs w:val="24"/>
          <w:highlight w:val="none"/>
          <w:u w:val="single"/>
          <w:lang w:val="en-US" w:eastAsia="zh-CN"/>
        </w:rPr>
        <w:t>综合得分相同时排名优先。</w:t>
      </w:r>
    </w:p>
    <w:p w14:paraId="63621E79">
      <w:pPr>
        <w:keepNext w:val="0"/>
        <w:keepLines w:val="0"/>
        <w:pageBreakBefore w:val="0"/>
        <w:widowControl w:val="0"/>
        <w:numPr>
          <w:ilvl w:val="2"/>
          <w:numId w:val="13"/>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供应商所投产品列入无线局域网产品清单，应提供相关证明，在评标时予以优先采购，具体优惠措施为：</w:t>
      </w:r>
      <w:r>
        <w:rPr>
          <w:rFonts w:hint="eastAsia" w:ascii="仿宋" w:hAnsi="仿宋" w:eastAsia="仿宋" w:cs="仿宋"/>
          <w:sz w:val="24"/>
          <w:szCs w:val="24"/>
          <w:highlight w:val="none"/>
          <w:u w:val="single"/>
          <w:lang w:val="en-US" w:eastAsia="zh-CN"/>
        </w:rPr>
        <w:t>综合得分相同时排名优先。</w:t>
      </w:r>
    </w:p>
    <w:p w14:paraId="227764DB">
      <w:pPr>
        <w:keepNext w:val="0"/>
        <w:keepLines w:val="0"/>
        <w:pageBreakBefore w:val="0"/>
        <w:widowControl w:val="0"/>
        <w:numPr>
          <w:ilvl w:val="2"/>
          <w:numId w:val="13"/>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如采购人所采购产品为政府强制采购的节能产品，供应商所投产品的品牌及型号必须为清单中有效期内产品并提供证明文件，否则其响应将作为无效响应被拒绝。</w:t>
      </w:r>
    </w:p>
    <w:p w14:paraId="5A5A9B8F">
      <w:pPr>
        <w:keepNext w:val="0"/>
        <w:keepLines w:val="0"/>
        <w:pageBreakBefore w:val="0"/>
        <w:widowControl w:val="0"/>
        <w:numPr>
          <w:ilvl w:val="2"/>
          <w:numId w:val="13"/>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根据《关于运用政府采购政策支持脱贫攻坚的通知》（财库〔2019〕27号）的规定，采购人采购农副产品的，对产地在国家级贫困地区的农副产品的优先采购措施：</w:t>
      </w:r>
      <w:r>
        <w:rPr>
          <w:rFonts w:hint="eastAsia" w:ascii="仿宋" w:hAnsi="仿宋" w:eastAsia="仿宋" w:cs="仿宋"/>
          <w:sz w:val="24"/>
          <w:szCs w:val="24"/>
          <w:highlight w:val="none"/>
          <w:u w:val="single"/>
          <w:lang w:val="en-US" w:eastAsia="zh-CN"/>
        </w:rPr>
        <w:t xml:space="preserve">  综合得分相同时排名优先。</w:t>
      </w:r>
    </w:p>
    <w:p w14:paraId="44A5CF77">
      <w:pPr>
        <w:keepNext w:val="0"/>
        <w:keepLines w:val="0"/>
        <w:pageBreakBefore w:val="0"/>
        <w:widowControl w:val="0"/>
        <w:numPr>
          <w:ilvl w:val="1"/>
          <w:numId w:val="13"/>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同品牌同型号处理办法：</w:t>
      </w:r>
    </w:p>
    <w:p w14:paraId="7EAF0505">
      <w:pPr>
        <w:keepNext w:val="0"/>
        <w:keepLines w:val="0"/>
        <w:pageBreakBefore w:val="0"/>
        <w:widowControl w:val="0"/>
        <w:numPr>
          <w:ilvl w:val="2"/>
          <w:numId w:val="13"/>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采用综合评标法，则：提供相同品牌相同型号产品（单一产品或核心产品品牌型号相同）且通过资格审查、符合性审查且提交最后报价的不同供应商，按一家供应商计算，评审后得分最高的同品牌同型号供应商获得成交人推荐资格；评审得分相同的，按最后报价最低的获得成交人推荐资格；评审得分和最后报价均相同的，按技术评审得分最高的获得成交人推荐资格，评审得分、最后报价和技术评审得分三项均相同的由磋商小组采取随机抽取方式确定，其他同品牌同型号供应商不作为成交候选人。</w:t>
      </w:r>
    </w:p>
    <w:p w14:paraId="34E0669E">
      <w:pPr>
        <w:keepNext w:val="0"/>
        <w:keepLines w:val="0"/>
        <w:pageBreakBefore w:val="0"/>
        <w:widowControl w:val="0"/>
        <w:numPr>
          <w:ilvl w:val="2"/>
          <w:numId w:val="13"/>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如一个分包内包含多种产品的，采购人或采购代理机构将在</w:t>
      </w:r>
      <w:r>
        <w:rPr>
          <w:rFonts w:hint="eastAsia" w:ascii="仿宋" w:hAnsi="仿宋" w:eastAsia="仿宋" w:cs="仿宋"/>
          <w:sz w:val="24"/>
          <w:szCs w:val="24"/>
          <w:highlight w:val="none"/>
          <w:u w:val="single"/>
          <w:lang w:val="en-US" w:eastAsia="zh-CN"/>
        </w:rPr>
        <w:t>供应商须知前附表</w:t>
      </w:r>
      <w:r>
        <w:rPr>
          <w:rFonts w:hint="eastAsia" w:ascii="仿宋" w:hAnsi="仿宋" w:eastAsia="仿宋" w:cs="仿宋"/>
          <w:sz w:val="24"/>
          <w:szCs w:val="24"/>
          <w:highlight w:val="none"/>
          <w:lang w:val="en-US" w:eastAsia="zh-CN"/>
        </w:rPr>
        <w:t xml:space="preserve">中载明核心产品，多家供应商提供的所有核心产品品牌型号均相同的，按前款规定处理。 </w:t>
      </w:r>
    </w:p>
    <w:p w14:paraId="77E4DD1A">
      <w:pPr>
        <w:keepNext w:val="0"/>
        <w:keepLines w:val="0"/>
        <w:pageBreakBefore w:val="0"/>
        <w:widowControl w:val="0"/>
        <w:numPr>
          <w:ilvl w:val="0"/>
          <w:numId w:val="13"/>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确定中标候选人名单</w:t>
      </w:r>
    </w:p>
    <w:p w14:paraId="5AA059EC">
      <w:pPr>
        <w:keepNext w:val="0"/>
        <w:keepLines w:val="0"/>
        <w:pageBreakBefore w:val="0"/>
        <w:widowControl w:val="0"/>
        <w:numPr>
          <w:ilvl w:val="1"/>
          <w:numId w:val="13"/>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采用综合评分法时，评标结果按评审后得分由高到低顺序排列。评审得分最高的供应商为排名第一的成交候选人。评审得分相同的，按照最后报价由低到高的顺序推荐。评审得分且最后报价相同的，按照技术指标优劣顺序推荐。</w:t>
      </w:r>
    </w:p>
    <w:p w14:paraId="44F0741C">
      <w:pPr>
        <w:keepNext w:val="0"/>
        <w:keepLines w:val="0"/>
        <w:pageBreakBefore w:val="0"/>
        <w:widowControl w:val="0"/>
        <w:numPr>
          <w:ilvl w:val="1"/>
          <w:numId w:val="13"/>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磋商小组要对评分汇总情况进行复核，特别是对排名第一的、报价最低的、响应文件被认定为无效的情形进行重点复核。</w:t>
      </w:r>
    </w:p>
    <w:p w14:paraId="13D64016">
      <w:pPr>
        <w:keepNext w:val="0"/>
        <w:keepLines w:val="0"/>
        <w:pageBreakBefore w:val="0"/>
        <w:widowControl w:val="0"/>
        <w:numPr>
          <w:ilvl w:val="1"/>
          <w:numId w:val="13"/>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磋商小组应当根据综合评分情况，按照评审得分由高到低顺序推荐3名以上成交候选供应商，并编写评审报告。符合《政府采购竞争性磋商采购方式管理暂行办法》（财库〔2014〕214号）第二十一条第三款情形的，可以推荐2家成交候选供应商。</w:t>
      </w:r>
    </w:p>
    <w:p w14:paraId="0E1AF27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highlight w:val="none"/>
          <w:lang w:val="en-US" w:eastAsia="zh-CN"/>
        </w:rPr>
      </w:pPr>
    </w:p>
    <w:p w14:paraId="15DDE9F1">
      <w:pPr>
        <w:pStyle w:val="29"/>
        <w:rPr>
          <w:rFonts w:hint="eastAsia" w:ascii="仿宋" w:hAnsi="仿宋" w:eastAsia="仿宋" w:cs="仿宋"/>
          <w:sz w:val="24"/>
          <w:szCs w:val="24"/>
          <w:highlight w:val="none"/>
          <w:lang w:val="en-US" w:eastAsia="zh-CN"/>
        </w:rPr>
      </w:pPr>
    </w:p>
    <w:p w14:paraId="15DF53F1">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4C1F2F95">
      <w:pPr>
        <w:pStyle w:val="29"/>
        <w:numPr>
          <w:ilvl w:val="0"/>
          <w:numId w:val="4"/>
        </w:numPr>
        <w:bidi w:val="0"/>
        <w:jc w:val="center"/>
        <w:outlineLvl w:val="0"/>
        <w:rPr>
          <w:rFonts w:hint="eastAsia" w:ascii="仿宋" w:hAnsi="仿宋" w:eastAsia="仿宋" w:cs="仿宋"/>
          <w:b/>
          <w:bCs/>
          <w:sz w:val="32"/>
          <w:szCs w:val="32"/>
          <w:highlight w:val="none"/>
          <w:lang w:val="en-US" w:eastAsia="zh-CN"/>
        </w:rPr>
      </w:pPr>
      <w:bookmarkStart w:id="33" w:name="_Toc8139"/>
      <w:r>
        <w:rPr>
          <w:rFonts w:hint="eastAsia" w:ascii="仿宋" w:hAnsi="仿宋" w:eastAsia="仿宋" w:cs="仿宋"/>
          <w:b/>
          <w:bCs/>
          <w:sz w:val="32"/>
          <w:szCs w:val="32"/>
          <w:highlight w:val="none"/>
          <w:lang w:val="en-US" w:eastAsia="zh-CN"/>
        </w:rPr>
        <w:t>响应文件格式</w:t>
      </w:r>
      <w:bookmarkEnd w:id="33"/>
    </w:p>
    <w:p w14:paraId="20B736A6">
      <w:pPr>
        <w:pStyle w:val="29"/>
        <w:rPr>
          <w:rFonts w:hint="eastAsia" w:ascii="仿宋" w:hAnsi="仿宋" w:eastAsia="仿宋" w:cs="仿宋"/>
          <w:highlight w:val="none"/>
          <w:lang w:val="en-US" w:eastAsia="zh-CN"/>
        </w:rPr>
      </w:pPr>
    </w:p>
    <w:p w14:paraId="588E812E">
      <w:pPr>
        <w:pStyle w:val="29"/>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供应商编制文件须知</w:t>
      </w:r>
    </w:p>
    <w:p w14:paraId="7FBD7090">
      <w:pPr>
        <w:pStyle w:val="29"/>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1.为保证评标工作的顺利进行，各供应商需参照如下的格式，认真进行响应文件的编写工作。需建立详细的目录。</w:t>
      </w:r>
    </w:p>
    <w:p w14:paraId="28FF0DAC">
      <w:pPr>
        <w:pStyle w:val="29"/>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2.各供应商提交文件中涉及商业机密的，应明确标明，采购人及最终用户将给予保密处理，否则视为公开资料。</w:t>
      </w:r>
    </w:p>
    <w:p w14:paraId="77FF4528">
      <w:pPr>
        <w:pStyle w:val="29"/>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3.本采购文件中所要求加盖的供应商公章是指与供应商名称全称相一致的“行政公章”，不得加盖其它“合同专用章、投标专用章、财务专用章”等非行政公章；“签字”是指供应商法定代表人（单位负责人）或授权委托人在采购文件规定处亲笔写上本人姓名（含电子签名）；“法定代表人（单位负责人）签章或印鉴”是指供应商法定代表人（单位负责人）在磋商文件规定处加盖个人名章、手签章、印鉴等。</w:t>
      </w:r>
    </w:p>
    <w:p w14:paraId="7A74E805">
      <w:pPr>
        <w:pStyle w:val="29"/>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4.“法定代表人（单位负责人）”指供应商营业执照或登记证书载明的“法定代表人”、“负责人”、“执行事务合伙人”、“投资人”等。</w:t>
      </w:r>
    </w:p>
    <w:p w14:paraId="2552E1E5">
      <w:pPr>
        <w:pStyle w:val="29"/>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5.全部声明和问题的回答及所附材料必须是真实的、准确的和完整的。</w:t>
      </w:r>
    </w:p>
    <w:p w14:paraId="7C39FDF4">
      <w:pPr>
        <w:pStyle w:val="29"/>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6.以联合体参加的，除采购文件格式中要求外，采购文件要求的供应商盖章处应按加盖联合体协议中约定的联合体牵头人公章或所有联合体成员公章。</w:t>
      </w:r>
    </w:p>
    <w:p w14:paraId="422C61A0">
      <w:pPr>
        <w:rPr>
          <w:rFonts w:hint="eastAsia" w:ascii="仿宋" w:hAnsi="仿宋" w:eastAsia="仿宋" w:cs="仿宋"/>
          <w:highlight w:val="none"/>
          <w:lang w:val="en-US" w:eastAsia="zh-CN"/>
        </w:rPr>
      </w:pPr>
    </w:p>
    <w:p w14:paraId="4A6CEF2F">
      <w:pPr>
        <w:pStyle w:val="29"/>
        <w:rPr>
          <w:rFonts w:hint="eastAsia" w:ascii="仿宋" w:hAnsi="仿宋" w:eastAsia="仿宋" w:cs="仿宋"/>
          <w:highlight w:val="none"/>
          <w:lang w:val="en-US" w:eastAsia="zh-CN"/>
        </w:rPr>
      </w:pPr>
    </w:p>
    <w:p w14:paraId="0D8E169C">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6CE2734B">
      <w:pPr>
        <w:keepNext w:val="0"/>
        <w:keepLines w:val="0"/>
        <w:widowControl/>
        <w:suppressLineNumbers w:val="0"/>
        <w:jc w:val="left"/>
        <w:outlineLvl w:val="1"/>
        <w:rPr>
          <w:rFonts w:hint="eastAsia" w:ascii="仿宋" w:hAnsi="仿宋" w:eastAsia="仿宋" w:cs="仿宋"/>
          <w:b/>
          <w:bCs/>
          <w:color w:val="000000"/>
          <w:kern w:val="0"/>
          <w:sz w:val="24"/>
          <w:szCs w:val="24"/>
          <w:highlight w:val="none"/>
          <w:lang w:val="en-US" w:eastAsia="zh-CN" w:bidi="ar"/>
        </w:rPr>
      </w:pPr>
      <w:bookmarkStart w:id="34" w:name="_Toc14175"/>
      <w:bookmarkStart w:id="35" w:name="_Toc24875"/>
      <w:r>
        <w:rPr>
          <w:rFonts w:hint="eastAsia" w:ascii="仿宋" w:hAnsi="仿宋" w:eastAsia="仿宋" w:cs="仿宋"/>
          <w:b/>
          <w:bCs/>
          <w:color w:val="000000"/>
          <w:kern w:val="0"/>
          <w:sz w:val="24"/>
          <w:szCs w:val="24"/>
          <w:highlight w:val="none"/>
          <w:lang w:val="en-US" w:eastAsia="zh-CN" w:bidi="ar"/>
        </w:rPr>
        <w:t>投标文件封面（参考格式）</w:t>
      </w:r>
      <w:bookmarkEnd w:id="34"/>
      <w:bookmarkEnd w:id="35"/>
    </w:p>
    <w:p w14:paraId="0BC61745">
      <w:pPr>
        <w:keepNext w:val="0"/>
        <w:keepLines w:val="0"/>
        <w:widowControl/>
        <w:suppressLineNumbers w:val="0"/>
        <w:jc w:val="left"/>
        <w:rPr>
          <w:rFonts w:hint="eastAsia" w:ascii="仿宋" w:hAnsi="仿宋" w:eastAsia="仿宋" w:cs="仿宋"/>
          <w:b/>
          <w:bCs/>
          <w:color w:val="000000"/>
          <w:kern w:val="0"/>
          <w:sz w:val="84"/>
          <w:szCs w:val="84"/>
          <w:highlight w:val="none"/>
          <w:lang w:val="en-US" w:eastAsia="zh-CN" w:bidi="ar"/>
        </w:rPr>
      </w:pPr>
    </w:p>
    <w:p w14:paraId="033F48AB">
      <w:pPr>
        <w:pStyle w:val="30"/>
        <w:rPr>
          <w:rFonts w:hint="eastAsia" w:ascii="仿宋" w:hAnsi="仿宋" w:eastAsia="仿宋" w:cs="仿宋"/>
          <w:highlight w:val="none"/>
          <w:lang w:val="en-US" w:eastAsia="zh-CN"/>
        </w:rPr>
      </w:pPr>
    </w:p>
    <w:p w14:paraId="4ABD213D">
      <w:pPr>
        <w:keepNext w:val="0"/>
        <w:keepLines w:val="0"/>
        <w:widowControl/>
        <w:suppressLineNumbers w:val="0"/>
        <w:jc w:val="center"/>
        <w:rPr>
          <w:rFonts w:hint="eastAsia" w:ascii="仿宋" w:hAnsi="仿宋" w:eastAsia="仿宋" w:cs="仿宋"/>
          <w:highlight w:val="none"/>
        </w:rPr>
      </w:pPr>
      <w:r>
        <w:rPr>
          <w:rFonts w:hint="eastAsia" w:ascii="仿宋" w:hAnsi="仿宋" w:eastAsia="仿宋" w:cs="仿宋"/>
          <w:b/>
          <w:bCs/>
          <w:color w:val="000000"/>
          <w:kern w:val="0"/>
          <w:sz w:val="84"/>
          <w:szCs w:val="84"/>
          <w:highlight w:val="none"/>
          <w:lang w:val="en-US" w:eastAsia="zh-CN" w:bidi="ar"/>
        </w:rPr>
        <w:t>响应文件</w:t>
      </w:r>
    </w:p>
    <w:p w14:paraId="009BD316">
      <w:pPr>
        <w:keepNext w:val="0"/>
        <w:keepLines w:val="0"/>
        <w:widowControl/>
        <w:suppressLineNumbers w:val="0"/>
        <w:jc w:val="left"/>
        <w:rPr>
          <w:rFonts w:hint="eastAsia" w:ascii="仿宋" w:hAnsi="仿宋" w:eastAsia="仿宋" w:cs="仿宋"/>
          <w:b/>
          <w:bCs/>
          <w:color w:val="000000"/>
          <w:kern w:val="0"/>
          <w:sz w:val="52"/>
          <w:szCs w:val="52"/>
          <w:highlight w:val="none"/>
          <w:lang w:val="en-US" w:eastAsia="zh-CN" w:bidi="ar"/>
        </w:rPr>
      </w:pPr>
    </w:p>
    <w:p w14:paraId="2F2D4A96">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b/>
          <w:bCs/>
          <w:color w:val="000000"/>
          <w:kern w:val="0"/>
          <w:sz w:val="52"/>
          <w:szCs w:val="52"/>
          <w:highlight w:val="none"/>
          <w:lang w:val="en-US" w:eastAsia="zh-CN" w:bidi="ar"/>
        </w:rPr>
        <w:t xml:space="preserve"> </w:t>
      </w:r>
    </w:p>
    <w:p w14:paraId="30ED18CF">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p>
    <w:p w14:paraId="32DF2AF7">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p>
    <w:p w14:paraId="5DD08863">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p>
    <w:p w14:paraId="408BB148">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b/>
          <w:bCs/>
          <w:color w:val="000000"/>
          <w:kern w:val="0"/>
          <w:sz w:val="31"/>
          <w:szCs w:val="31"/>
          <w:highlight w:val="none"/>
          <w:lang w:val="en-US" w:eastAsia="zh-CN" w:bidi="ar"/>
        </w:rPr>
        <w:t xml:space="preserve">项目名称: </w:t>
      </w:r>
    </w:p>
    <w:p w14:paraId="7FE603B4">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b/>
          <w:bCs/>
          <w:color w:val="000000"/>
          <w:kern w:val="0"/>
          <w:sz w:val="31"/>
          <w:szCs w:val="31"/>
          <w:highlight w:val="none"/>
          <w:lang w:val="en-US" w:eastAsia="zh-CN" w:bidi="ar"/>
        </w:rPr>
        <w:t xml:space="preserve">项目编号/包号： </w:t>
      </w:r>
    </w:p>
    <w:p w14:paraId="5848284F">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p>
    <w:p w14:paraId="3A7D74E3">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p>
    <w:p w14:paraId="773B1245">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p>
    <w:p w14:paraId="24A891B5">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r>
        <w:rPr>
          <w:rFonts w:hint="eastAsia" w:ascii="仿宋" w:hAnsi="仿宋" w:eastAsia="仿宋" w:cs="仿宋"/>
          <w:b/>
          <w:bCs/>
          <w:color w:val="000000"/>
          <w:kern w:val="0"/>
          <w:sz w:val="31"/>
          <w:szCs w:val="31"/>
          <w:highlight w:val="none"/>
          <w:lang w:val="en-US" w:eastAsia="zh-CN" w:bidi="ar"/>
        </w:rPr>
        <w:t>供应商名称（盖公章）：</w:t>
      </w:r>
    </w:p>
    <w:p w14:paraId="683E8AB7">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r>
        <w:rPr>
          <w:rFonts w:hint="eastAsia" w:ascii="仿宋" w:hAnsi="仿宋" w:eastAsia="仿宋" w:cs="仿宋"/>
          <w:b/>
          <w:bCs/>
          <w:color w:val="000000"/>
          <w:kern w:val="0"/>
          <w:sz w:val="31"/>
          <w:szCs w:val="31"/>
          <w:highlight w:val="none"/>
          <w:lang w:val="en-US" w:eastAsia="zh-CN" w:bidi="ar"/>
        </w:rPr>
        <w:t>法定代表人或其授权代表（签字或印鉴）：</w:t>
      </w:r>
    </w:p>
    <w:p w14:paraId="55C446B6">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p>
    <w:p w14:paraId="39870552">
      <w:pPr>
        <w:rPr>
          <w:rFonts w:hint="eastAsia" w:ascii="仿宋" w:hAnsi="仿宋" w:eastAsia="仿宋" w:cs="仿宋"/>
          <w:b/>
          <w:bCs/>
          <w:color w:val="000000"/>
          <w:kern w:val="0"/>
          <w:sz w:val="31"/>
          <w:szCs w:val="31"/>
          <w:highlight w:val="none"/>
          <w:lang w:val="en-US" w:eastAsia="zh-CN" w:bidi="ar"/>
        </w:rPr>
      </w:pPr>
      <w:r>
        <w:rPr>
          <w:rFonts w:hint="eastAsia" w:ascii="仿宋" w:hAnsi="仿宋" w:eastAsia="仿宋" w:cs="仿宋"/>
          <w:b/>
          <w:bCs/>
          <w:color w:val="000000"/>
          <w:kern w:val="0"/>
          <w:sz w:val="31"/>
          <w:szCs w:val="31"/>
          <w:highlight w:val="none"/>
          <w:lang w:val="en-US" w:eastAsia="zh-CN" w:bidi="ar"/>
        </w:rPr>
        <w:br w:type="page"/>
      </w:r>
    </w:p>
    <w:p w14:paraId="108FE65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 xml:space="preserve">1   满足《中华人民共和国政府采购法》第二十二条规定及法律法规的其他规定 </w:t>
      </w:r>
    </w:p>
    <w:p w14:paraId="5F4CF94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lang w:val="en-US" w:eastAsia="zh-CN" w:bidi="ar"/>
        </w:rPr>
      </w:pPr>
    </w:p>
    <w:p w14:paraId="240C7696">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附件 1-1 法人或者其他组织的营业执照等证明文件或自然人的身份证明复印件;</w:t>
      </w:r>
    </w:p>
    <w:p w14:paraId="021EEB47">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kern w:val="0"/>
          <w:sz w:val="24"/>
          <w:szCs w:val="24"/>
          <w:highlight w:val="none"/>
          <w:lang w:val="en-US" w:eastAsia="zh-CN" w:bidi="ar"/>
        </w:rPr>
      </w:pPr>
    </w:p>
    <w:p w14:paraId="160171C9">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kern w:val="0"/>
          <w:sz w:val="24"/>
          <w:szCs w:val="24"/>
          <w:highlight w:val="none"/>
          <w:lang w:val="en-US" w:eastAsia="zh-CN" w:bidi="ar"/>
        </w:rPr>
      </w:pPr>
    </w:p>
    <w:p w14:paraId="0EB0C2F3">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7E56361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 xml:space="preserve">附件 </w:t>
      </w:r>
      <w:r>
        <w:rPr>
          <w:rFonts w:hint="eastAsia" w:ascii="仿宋" w:hAnsi="仿宋" w:eastAsia="仿宋" w:cs="仿宋"/>
          <w:color w:val="000000"/>
          <w:kern w:val="0"/>
          <w:sz w:val="24"/>
          <w:highlight w:val="none"/>
          <w:u w:val="none"/>
          <w:lang w:val="en-US" w:eastAsia="zh-CN" w:bidi="ar"/>
        </w:rPr>
        <w:t>1</w:t>
      </w:r>
      <w:r>
        <w:rPr>
          <w:rFonts w:hint="eastAsia" w:ascii="仿宋" w:hAnsi="仿宋" w:eastAsia="仿宋" w:cs="仿宋"/>
          <w:color w:val="000000"/>
          <w:kern w:val="0"/>
          <w:sz w:val="24"/>
          <w:highlight w:val="none"/>
          <w:u w:val="none"/>
          <w:lang w:bidi="ar"/>
        </w:rPr>
        <w:t>-</w:t>
      </w:r>
      <w:r>
        <w:rPr>
          <w:rFonts w:hint="eastAsia" w:ascii="仿宋" w:hAnsi="仿宋" w:eastAsia="仿宋" w:cs="仿宋"/>
          <w:color w:val="000000"/>
          <w:kern w:val="0"/>
          <w:sz w:val="24"/>
          <w:highlight w:val="none"/>
          <w:u w:val="none"/>
          <w:lang w:val="en-US" w:eastAsia="zh-CN" w:bidi="ar"/>
        </w:rPr>
        <w:t>2</w:t>
      </w:r>
      <w:r>
        <w:rPr>
          <w:rFonts w:hint="eastAsia" w:ascii="仿宋" w:hAnsi="仿宋" w:eastAsia="仿宋" w:cs="仿宋"/>
          <w:color w:val="000000"/>
          <w:kern w:val="0"/>
          <w:sz w:val="24"/>
          <w:highlight w:val="none"/>
          <w:u w:val="none"/>
          <w:lang w:bidi="ar"/>
        </w:rPr>
        <w:t xml:space="preserve"> </w:t>
      </w:r>
      <w:r>
        <w:rPr>
          <w:rFonts w:hint="eastAsia" w:ascii="仿宋" w:hAnsi="仿宋" w:eastAsia="仿宋" w:cs="仿宋"/>
          <w:color w:val="000000"/>
          <w:kern w:val="0"/>
          <w:sz w:val="24"/>
          <w:highlight w:val="none"/>
          <w:u w:val="none"/>
          <w:lang w:eastAsia="zh-CN" w:bidi="ar"/>
        </w:rPr>
        <w:t>供应商</w:t>
      </w:r>
      <w:r>
        <w:rPr>
          <w:rFonts w:hint="eastAsia" w:ascii="仿宋" w:hAnsi="仿宋" w:eastAsia="仿宋" w:cs="仿宋"/>
          <w:color w:val="000000"/>
          <w:kern w:val="0"/>
          <w:sz w:val="24"/>
          <w:highlight w:val="none"/>
          <w:u w:val="none"/>
          <w:lang w:bidi="ar"/>
        </w:rPr>
        <w:t>具有良好的商业信誉和健全的财务会计制度的证明文件</w:t>
      </w:r>
    </w:p>
    <w:p w14:paraId="78C4D82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说明：</w:t>
      </w:r>
    </w:p>
    <w:p w14:paraId="5138B842">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highlight w:val="none"/>
          <w:u w:val="none"/>
          <w:lang w:eastAsia="zh-CN" w:bidi="ar"/>
        </w:rPr>
      </w:pPr>
      <w:bookmarkStart w:id="36" w:name="_Toc17403"/>
      <w:bookmarkStart w:id="37" w:name="_Toc29059"/>
      <w:r>
        <w:rPr>
          <w:rFonts w:hint="eastAsia" w:ascii="仿宋" w:hAnsi="仿宋" w:eastAsia="仿宋" w:cs="仿宋"/>
          <w:color w:val="000000"/>
          <w:kern w:val="0"/>
          <w:sz w:val="24"/>
          <w:highlight w:val="none"/>
          <w:u w:val="none"/>
          <w:lang w:bidi="ar"/>
        </w:rPr>
        <w:t>1、</w:t>
      </w:r>
      <w:bookmarkEnd w:id="36"/>
      <w:bookmarkEnd w:id="37"/>
      <w:r>
        <w:rPr>
          <w:rFonts w:hint="eastAsia" w:ascii="仿宋" w:hAnsi="仿宋" w:eastAsia="仿宋" w:cs="仿宋"/>
          <w:color w:val="000000"/>
          <w:kern w:val="0"/>
          <w:sz w:val="24"/>
          <w:highlight w:val="none"/>
          <w:u w:val="none"/>
          <w:lang w:bidi="ar"/>
        </w:rPr>
        <w:t>扫描件并加盖本单位电子公章</w:t>
      </w:r>
      <w:r>
        <w:rPr>
          <w:rFonts w:hint="eastAsia" w:ascii="仿宋" w:hAnsi="仿宋" w:eastAsia="仿宋" w:cs="仿宋"/>
          <w:color w:val="000000"/>
          <w:kern w:val="0"/>
          <w:sz w:val="24"/>
          <w:highlight w:val="none"/>
          <w:u w:val="none"/>
          <w:lang w:eastAsia="zh-CN" w:bidi="ar"/>
        </w:rPr>
        <w:t>。</w:t>
      </w:r>
    </w:p>
    <w:p w14:paraId="0552ACE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2、采购人、采购代理机构保留审核原件的权利。</w:t>
      </w:r>
    </w:p>
    <w:p w14:paraId="5A0CC01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p>
    <w:p w14:paraId="2EDDEDD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br w:type="page"/>
      </w:r>
    </w:p>
    <w:p w14:paraId="705A050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附件</w:t>
      </w:r>
      <w:r>
        <w:rPr>
          <w:rFonts w:hint="eastAsia" w:ascii="仿宋" w:hAnsi="仿宋" w:eastAsia="仿宋" w:cs="仿宋"/>
          <w:color w:val="000000"/>
          <w:kern w:val="0"/>
          <w:sz w:val="24"/>
          <w:highlight w:val="none"/>
          <w:u w:val="none"/>
          <w:lang w:val="en-US" w:eastAsia="zh-CN" w:bidi="ar"/>
        </w:rPr>
        <w:t>1</w:t>
      </w:r>
      <w:r>
        <w:rPr>
          <w:rFonts w:hint="eastAsia" w:ascii="仿宋" w:hAnsi="仿宋" w:eastAsia="仿宋" w:cs="仿宋"/>
          <w:color w:val="000000"/>
          <w:kern w:val="0"/>
          <w:sz w:val="24"/>
          <w:highlight w:val="none"/>
          <w:u w:val="none"/>
          <w:lang w:bidi="ar"/>
        </w:rPr>
        <w:t>-</w:t>
      </w:r>
      <w:r>
        <w:rPr>
          <w:rFonts w:hint="eastAsia" w:ascii="仿宋" w:hAnsi="仿宋" w:eastAsia="仿宋" w:cs="仿宋"/>
          <w:color w:val="000000"/>
          <w:kern w:val="0"/>
          <w:sz w:val="24"/>
          <w:highlight w:val="none"/>
          <w:u w:val="none"/>
          <w:lang w:val="en-US" w:eastAsia="zh-CN" w:bidi="ar"/>
        </w:rPr>
        <w:t>3</w:t>
      </w:r>
      <w:r>
        <w:rPr>
          <w:rFonts w:hint="eastAsia" w:ascii="仿宋" w:hAnsi="仿宋" w:eastAsia="仿宋" w:cs="仿宋"/>
          <w:color w:val="000000"/>
          <w:kern w:val="0"/>
          <w:sz w:val="24"/>
          <w:highlight w:val="none"/>
          <w:u w:val="none"/>
          <w:lang w:bidi="ar"/>
        </w:rPr>
        <w:t xml:space="preserve"> </w:t>
      </w:r>
      <w:r>
        <w:rPr>
          <w:rFonts w:hint="eastAsia" w:ascii="仿宋" w:hAnsi="仿宋" w:eastAsia="仿宋" w:cs="仿宋"/>
          <w:color w:val="000000"/>
          <w:kern w:val="0"/>
          <w:sz w:val="24"/>
          <w:highlight w:val="none"/>
          <w:u w:val="none"/>
          <w:lang w:val="en-US" w:eastAsia="zh-CN" w:bidi="ar"/>
        </w:rPr>
        <w:t xml:space="preserve"> </w:t>
      </w:r>
      <w:r>
        <w:rPr>
          <w:rFonts w:hint="eastAsia" w:ascii="仿宋" w:hAnsi="仿宋" w:eastAsia="仿宋" w:cs="仿宋"/>
          <w:color w:val="000000"/>
          <w:kern w:val="0"/>
          <w:sz w:val="24"/>
          <w:highlight w:val="none"/>
          <w:u w:val="none"/>
          <w:lang w:eastAsia="zh-CN" w:bidi="ar"/>
        </w:rPr>
        <w:t>供应商</w:t>
      </w:r>
      <w:r>
        <w:rPr>
          <w:rFonts w:hint="eastAsia" w:ascii="仿宋" w:hAnsi="仿宋" w:eastAsia="仿宋" w:cs="仿宋"/>
          <w:color w:val="000000"/>
          <w:kern w:val="0"/>
          <w:sz w:val="24"/>
          <w:highlight w:val="none"/>
          <w:u w:val="none"/>
          <w:lang w:bidi="ar"/>
        </w:rPr>
        <w:t>缴纳税收的证明</w:t>
      </w:r>
    </w:p>
    <w:p w14:paraId="2F16EE3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说明：</w:t>
      </w:r>
    </w:p>
    <w:p w14:paraId="248702F8">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highlight w:val="none"/>
          <w:u w:val="none"/>
          <w:lang w:eastAsia="zh-CN" w:bidi="ar"/>
        </w:rPr>
      </w:pPr>
      <w:bookmarkStart w:id="38" w:name="_Toc27172"/>
      <w:bookmarkStart w:id="39" w:name="_Toc4614"/>
      <w:r>
        <w:rPr>
          <w:rFonts w:hint="eastAsia" w:ascii="仿宋" w:hAnsi="仿宋" w:eastAsia="仿宋" w:cs="仿宋"/>
          <w:color w:val="000000"/>
          <w:kern w:val="0"/>
          <w:sz w:val="24"/>
          <w:highlight w:val="none"/>
          <w:u w:val="none"/>
          <w:lang w:bidi="ar"/>
        </w:rPr>
        <w:t>1、扫描件并加盖本单位电子公章</w:t>
      </w:r>
      <w:r>
        <w:rPr>
          <w:rFonts w:hint="eastAsia" w:ascii="仿宋" w:hAnsi="仿宋" w:eastAsia="仿宋" w:cs="仿宋"/>
          <w:color w:val="000000"/>
          <w:kern w:val="0"/>
          <w:sz w:val="24"/>
          <w:highlight w:val="none"/>
          <w:u w:val="none"/>
          <w:lang w:eastAsia="zh-CN" w:bidi="ar"/>
        </w:rPr>
        <w:t>。</w:t>
      </w:r>
    </w:p>
    <w:p w14:paraId="25476FF6">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2、采购人、采购代理机构保留审核原件的权利。</w:t>
      </w:r>
    </w:p>
    <w:p w14:paraId="21DBEF71">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br w:type="page"/>
      </w:r>
      <w:bookmarkEnd w:id="38"/>
      <w:bookmarkEnd w:id="39"/>
    </w:p>
    <w:p w14:paraId="0434EB3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附件</w:t>
      </w:r>
      <w:r>
        <w:rPr>
          <w:rFonts w:hint="eastAsia" w:ascii="仿宋" w:hAnsi="仿宋" w:eastAsia="仿宋" w:cs="仿宋"/>
          <w:color w:val="000000"/>
          <w:kern w:val="0"/>
          <w:sz w:val="24"/>
          <w:highlight w:val="none"/>
          <w:u w:val="none"/>
          <w:lang w:val="en-US" w:eastAsia="zh-CN" w:bidi="ar"/>
        </w:rPr>
        <w:t>1</w:t>
      </w:r>
      <w:r>
        <w:rPr>
          <w:rFonts w:hint="eastAsia" w:ascii="仿宋" w:hAnsi="仿宋" w:eastAsia="仿宋" w:cs="仿宋"/>
          <w:color w:val="000000"/>
          <w:kern w:val="0"/>
          <w:sz w:val="24"/>
          <w:highlight w:val="none"/>
          <w:u w:val="none"/>
          <w:lang w:bidi="ar"/>
        </w:rPr>
        <w:t>-</w:t>
      </w:r>
      <w:r>
        <w:rPr>
          <w:rFonts w:hint="eastAsia" w:ascii="仿宋" w:hAnsi="仿宋" w:eastAsia="仿宋" w:cs="仿宋"/>
          <w:color w:val="000000"/>
          <w:kern w:val="0"/>
          <w:sz w:val="24"/>
          <w:highlight w:val="none"/>
          <w:u w:val="none"/>
          <w:lang w:val="en-US" w:eastAsia="zh-CN" w:bidi="ar"/>
        </w:rPr>
        <w:t>4</w:t>
      </w:r>
      <w:r>
        <w:rPr>
          <w:rFonts w:hint="eastAsia" w:ascii="仿宋" w:hAnsi="仿宋" w:eastAsia="仿宋" w:cs="仿宋"/>
          <w:color w:val="000000"/>
          <w:kern w:val="0"/>
          <w:sz w:val="24"/>
          <w:highlight w:val="none"/>
          <w:u w:val="none"/>
          <w:lang w:bidi="ar"/>
        </w:rPr>
        <w:t xml:space="preserve"> </w:t>
      </w:r>
      <w:r>
        <w:rPr>
          <w:rFonts w:hint="eastAsia" w:ascii="仿宋" w:hAnsi="仿宋" w:eastAsia="仿宋" w:cs="仿宋"/>
          <w:color w:val="000000"/>
          <w:kern w:val="0"/>
          <w:sz w:val="24"/>
          <w:highlight w:val="none"/>
          <w:u w:val="none"/>
          <w:lang w:val="en-US" w:eastAsia="zh-CN" w:bidi="ar"/>
        </w:rPr>
        <w:t xml:space="preserve"> </w:t>
      </w:r>
      <w:r>
        <w:rPr>
          <w:rFonts w:hint="eastAsia" w:ascii="仿宋" w:hAnsi="仿宋" w:eastAsia="仿宋" w:cs="仿宋"/>
          <w:color w:val="000000"/>
          <w:kern w:val="0"/>
          <w:sz w:val="24"/>
          <w:highlight w:val="none"/>
          <w:u w:val="none"/>
          <w:lang w:eastAsia="zh-CN" w:bidi="ar"/>
        </w:rPr>
        <w:t>供应商</w:t>
      </w:r>
      <w:r>
        <w:rPr>
          <w:rFonts w:hint="eastAsia" w:ascii="仿宋" w:hAnsi="仿宋" w:eastAsia="仿宋" w:cs="仿宋"/>
          <w:color w:val="000000"/>
          <w:kern w:val="0"/>
          <w:sz w:val="24"/>
          <w:highlight w:val="none"/>
          <w:u w:val="none"/>
          <w:lang w:bidi="ar"/>
        </w:rPr>
        <w:t>为职工缴纳社会保险的证明</w:t>
      </w:r>
    </w:p>
    <w:p w14:paraId="33C4581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说明：</w:t>
      </w:r>
    </w:p>
    <w:p w14:paraId="7A06DDB6">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highlight w:val="none"/>
          <w:u w:val="none"/>
          <w:lang w:eastAsia="zh-CN" w:bidi="ar"/>
        </w:rPr>
      </w:pPr>
      <w:r>
        <w:rPr>
          <w:rFonts w:hint="eastAsia" w:ascii="仿宋" w:hAnsi="仿宋" w:eastAsia="仿宋" w:cs="仿宋"/>
          <w:color w:val="000000"/>
          <w:kern w:val="0"/>
          <w:sz w:val="24"/>
          <w:highlight w:val="none"/>
          <w:u w:val="none"/>
          <w:lang w:bidi="ar"/>
        </w:rPr>
        <w:t>1、扫描件并加盖本单位电子公章</w:t>
      </w:r>
      <w:r>
        <w:rPr>
          <w:rFonts w:hint="eastAsia" w:ascii="仿宋" w:hAnsi="仿宋" w:eastAsia="仿宋" w:cs="仿宋"/>
          <w:color w:val="000000"/>
          <w:kern w:val="0"/>
          <w:sz w:val="24"/>
          <w:highlight w:val="none"/>
          <w:u w:val="none"/>
          <w:lang w:eastAsia="zh-CN" w:bidi="ar"/>
        </w:rPr>
        <w:t>。</w:t>
      </w:r>
    </w:p>
    <w:p w14:paraId="13EC206E">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2、采购人、采购代理机构保留审核原件的权利。</w:t>
      </w:r>
    </w:p>
    <w:p w14:paraId="3829E59F">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highlight w:val="none"/>
          <w:u w:val="none"/>
          <w:lang w:bidi="ar"/>
        </w:rPr>
      </w:pPr>
    </w:p>
    <w:p w14:paraId="5CDF6A51">
      <w:pPr>
        <w:rPr>
          <w:rFonts w:hint="eastAsia" w:ascii="仿宋" w:hAnsi="仿宋" w:eastAsia="仿宋" w:cs="仿宋"/>
          <w:color w:val="000000"/>
          <w:kern w:val="0"/>
          <w:sz w:val="24"/>
          <w:highlight w:val="none"/>
          <w:u w:val="none"/>
          <w:lang w:bidi="ar"/>
        </w:rPr>
      </w:pPr>
    </w:p>
    <w:p w14:paraId="6471C892">
      <w:pPr>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br w:type="page"/>
      </w:r>
    </w:p>
    <w:p w14:paraId="5B2C41AD">
      <w:pPr>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 xml:space="preserve">附件 </w:t>
      </w:r>
      <w:r>
        <w:rPr>
          <w:rFonts w:hint="eastAsia" w:ascii="仿宋" w:hAnsi="仿宋" w:eastAsia="仿宋" w:cs="仿宋"/>
          <w:color w:val="000000"/>
          <w:kern w:val="0"/>
          <w:sz w:val="24"/>
          <w:highlight w:val="none"/>
          <w:u w:val="none"/>
          <w:lang w:val="en-US" w:eastAsia="zh-CN" w:bidi="ar"/>
        </w:rPr>
        <w:t>1</w:t>
      </w:r>
      <w:r>
        <w:rPr>
          <w:rFonts w:hint="eastAsia" w:ascii="仿宋" w:hAnsi="仿宋" w:eastAsia="仿宋" w:cs="仿宋"/>
          <w:color w:val="000000"/>
          <w:kern w:val="0"/>
          <w:sz w:val="24"/>
          <w:highlight w:val="none"/>
          <w:u w:val="none"/>
          <w:lang w:bidi="ar"/>
        </w:rPr>
        <w:t>-</w:t>
      </w:r>
      <w:r>
        <w:rPr>
          <w:rFonts w:hint="eastAsia" w:ascii="仿宋" w:hAnsi="仿宋" w:eastAsia="仿宋" w:cs="仿宋"/>
          <w:color w:val="000000"/>
          <w:kern w:val="0"/>
          <w:sz w:val="24"/>
          <w:highlight w:val="none"/>
          <w:u w:val="none"/>
          <w:lang w:val="en-US" w:eastAsia="zh-CN" w:bidi="ar"/>
        </w:rPr>
        <w:t>5</w:t>
      </w:r>
      <w:r>
        <w:rPr>
          <w:rFonts w:hint="eastAsia" w:ascii="仿宋" w:hAnsi="仿宋" w:eastAsia="仿宋" w:cs="仿宋"/>
          <w:color w:val="000000"/>
          <w:kern w:val="0"/>
          <w:sz w:val="24"/>
          <w:highlight w:val="none"/>
          <w:u w:val="none"/>
          <w:lang w:bidi="ar"/>
        </w:rPr>
        <w:t xml:space="preserve"> </w:t>
      </w:r>
      <w:r>
        <w:rPr>
          <w:rFonts w:hint="eastAsia" w:ascii="仿宋" w:hAnsi="仿宋" w:eastAsia="仿宋" w:cs="仿宋"/>
          <w:color w:val="000000"/>
          <w:kern w:val="0"/>
          <w:sz w:val="24"/>
          <w:highlight w:val="none"/>
          <w:u w:val="none"/>
          <w:lang w:eastAsia="zh-CN" w:bidi="ar"/>
        </w:rPr>
        <w:t>供应商</w:t>
      </w:r>
      <w:r>
        <w:rPr>
          <w:rFonts w:hint="eastAsia" w:ascii="仿宋" w:hAnsi="仿宋" w:eastAsia="仿宋" w:cs="仿宋"/>
          <w:color w:val="000000"/>
          <w:kern w:val="0"/>
          <w:sz w:val="24"/>
          <w:highlight w:val="none"/>
          <w:u w:val="none"/>
          <w:lang w:bidi="ar"/>
        </w:rPr>
        <w:t>资格声明书</w:t>
      </w:r>
    </w:p>
    <w:p w14:paraId="41EE0D3B">
      <w:pPr>
        <w:rPr>
          <w:rFonts w:hint="eastAsia" w:ascii="仿宋" w:hAnsi="仿宋" w:eastAsia="仿宋" w:cs="仿宋"/>
          <w:color w:val="000000"/>
          <w:kern w:val="0"/>
          <w:sz w:val="24"/>
          <w:highlight w:val="none"/>
          <w:u w:val="none"/>
          <w:lang w:bidi="ar"/>
        </w:rPr>
      </w:pPr>
    </w:p>
    <w:p w14:paraId="1E90D4E6">
      <w:pPr>
        <w:keepNext w:val="0"/>
        <w:keepLines w:val="0"/>
        <w:widowControl/>
        <w:suppressLineNumbers w:val="0"/>
        <w:jc w:val="center"/>
        <w:rPr>
          <w:rFonts w:hint="eastAsia" w:ascii="仿宋" w:hAnsi="仿宋" w:eastAsia="仿宋" w:cs="仿宋"/>
          <w:b w:val="0"/>
          <w:bCs w:val="0"/>
          <w:sz w:val="32"/>
          <w:szCs w:val="32"/>
          <w:highlight w:val="none"/>
        </w:rPr>
      </w:pPr>
      <w:r>
        <w:rPr>
          <w:rFonts w:hint="eastAsia" w:ascii="仿宋" w:hAnsi="仿宋" w:eastAsia="仿宋" w:cs="仿宋"/>
          <w:b w:val="0"/>
          <w:bCs w:val="0"/>
          <w:color w:val="000000"/>
          <w:kern w:val="0"/>
          <w:sz w:val="32"/>
          <w:szCs w:val="32"/>
          <w:highlight w:val="none"/>
          <w:lang w:val="en-US" w:eastAsia="zh-CN" w:bidi="ar"/>
        </w:rPr>
        <w:t>供应商资格声明书</w:t>
      </w:r>
    </w:p>
    <w:p w14:paraId="00226A09">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p w14:paraId="772ACF6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致：</w:t>
      </w:r>
      <w:r>
        <w:rPr>
          <w:rFonts w:hint="eastAsia" w:ascii="仿宋" w:hAnsi="仿宋" w:eastAsia="仿宋" w:cs="仿宋"/>
          <w:color w:val="000000"/>
          <w:kern w:val="0"/>
          <w:sz w:val="24"/>
          <w:szCs w:val="24"/>
          <w:highlight w:val="none"/>
          <w:u w:val="single"/>
          <w:lang w:val="en-US" w:eastAsia="zh-CN" w:bidi="ar"/>
        </w:rPr>
        <w:t xml:space="preserve">采购人或采购代理机构 </w:t>
      </w:r>
    </w:p>
    <w:p w14:paraId="23DC4CC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在参与本次项目采购活动中，我单位承诺： </w:t>
      </w:r>
    </w:p>
    <w:p w14:paraId="1A58464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（一）具有良好的商业信誉和健全的财务会计制度； </w:t>
      </w:r>
    </w:p>
    <w:p w14:paraId="460251F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（二）具有履行合同所必需的设备和专业技术能力； </w:t>
      </w:r>
    </w:p>
    <w:p w14:paraId="01E7C6B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（三）有依法缴纳税收和社会保障资金的良好记录； </w:t>
      </w:r>
    </w:p>
    <w:p w14:paraId="4024788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四）参加政府采购活动前三年内，在经营活动中没有重大违法记录（重大违法记录指因违法经营受到刑事处罚或者责令停产停业、吊销许可证或者执照、较大数额罚款（较大数额罚款是指200万元以上罚款）等行政处罚，不包括因违法经营被禁止在一定期限内参加政府采购活动，但期限已经届满的情形）； </w:t>
      </w:r>
    </w:p>
    <w:p w14:paraId="3E31608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（五）我单位不属于政府采购法律、行政法规规定的公益一类事业单位、或使用事业编制且由财政拨款保障的群团组织（仅适用于政府购买服务项目）； </w:t>
      </w:r>
    </w:p>
    <w:p w14:paraId="6883D74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（六）我单位不存在为采购项目提供规范编制或者项目管理、监理、检测等服务后，再参加该采购项目的其他采购活动的情形（单一来源采购项目除外）； </w:t>
      </w:r>
    </w:p>
    <w:p w14:paraId="385BC15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上述声明真实有效，否则我方负全部责任。 </w:t>
      </w:r>
    </w:p>
    <w:p w14:paraId="731FD21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27F96CE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08053A9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供应商名称：  </w:t>
      </w:r>
      <w:r>
        <w:rPr>
          <w:rFonts w:hint="eastAsia" w:ascii="仿宋" w:hAnsi="仿宋" w:eastAsia="仿宋" w:cs="仿宋"/>
          <w:i w:val="0"/>
          <w:iCs w:val="0"/>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u w:val="single"/>
          <w:lang w:val="en-US" w:eastAsia="zh-CN" w:bidi="ar"/>
        </w:rPr>
        <w:t>（加盖公章）</w:t>
      </w:r>
    </w:p>
    <w:p w14:paraId="53679E0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法定代表人或其授权代理人：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u w:val="single"/>
          <w:lang w:val="en-US" w:eastAsia="zh-CN" w:bidi="ar"/>
        </w:rPr>
        <w:tab/>
      </w:r>
      <w:r>
        <w:rPr>
          <w:rFonts w:hint="eastAsia" w:ascii="仿宋" w:hAnsi="仿宋" w:eastAsia="仿宋" w:cs="仿宋"/>
          <w:color w:val="000000"/>
          <w:kern w:val="0"/>
          <w:sz w:val="24"/>
          <w:szCs w:val="24"/>
          <w:highlight w:val="none"/>
          <w:u w:val="single"/>
          <w:lang w:val="en-US" w:eastAsia="zh-CN" w:bidi="ar"/>
        </w:rPr>
        <w:t>（签字或印鉴）</w:t>
      </w:r>
      <w:r>
        <w:rPr>
          <w:rFonts w:hint="eastAsia" w:ascii="仿宋" w:hAnsi="仿宋" w:eastAsia="仿宋" w:cs="仿宋"/>
          <w:color w:val="000000"/>
          <w:kern w:val="0"/>
          <w:sz w:val="24"/>
          <w:szCs w:val="24"/>
          <w:highlight w:val="none"/>
          <w:lang w:val="en-US" w:eastAsia="zh-CN" w:bidi="ar"/>
        </w:rPr>
        <w:tab/>
      </w:r>
    </w:p>
    <w:p w14:paraId="7DC31DB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日期：</w:t>
      </w:r>
      <w:r>
        <w:rPr>
          <w:rFonts w:hint="eastAsia" w:ascii="仿宋" w:hAnsi="仿宋" w:eastAsia="仿宋" w:cs="仿宋"/>
          <w:color w:val="000000"/>
          <w:kern w:val="0"/>
          <w:sz w:val="24"/>
          <w:szCs w:val="24"/>
          <w:highlight w:val="none"/>
          <w:u w:val="single"/>
          <w:lang w:val="en-US" w:eastAsia="zh-CN" w:bidi="ar"/>
        </w:rPr>
        <w:t xml:space="preserve">    年    月    日</w:t>
      </w:r>
    </w:p>
    <w:p w14:paraId="02C246C6">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p>
    <w:p w14:paraId="553D080A">
      <w:pPr>
        <w:rPr>
          <w:rFonts w:hint="eastAsia" w:ascii="仿宋" w:hAnsi="仿宋" w:eastAsia="仿宋" w:cs="仿宋"/>
          <w:color w:val="000000"/>
          <w:kern w:val="0"/>
          <w:sz w:val="24"/>
          <w:szCs w:val="24"/>
          <w:highlight w:val="none"/>
          <w:lang w:val="en-US" w:eastAsia="zh-CN" w:bidi="ar"/>
        </w:rPr>
      </w:pPr>
      <w:bookmarkStart w:id="40" w:name="_Toc14014"/>
      <w:bookmarkStart w:id="41" w:name="_Toc21978"/>
      <w:r>
        <w:rPr>
          <w:rFonts w:hint="eastAsia" w:ascii="仿宋" w:hAnsi="仿宋" w:eastAsia="仿宋" w:cs="仿宋"/>
          <w:color w:val="000000"/>
          <w:kern w:val="0"/>
          <w:sz w:val="24"/>
          <w:szCs w:val="24"/>
          <w:highlight w:val="none"/>
          <w:lang w:val="en-US" w:eastAsia="zh-CN" w:bidi="ar"/>
        </w:rPr>
        <w:br w:type="page"/>
      </w:r>
    </w:p>
    <w:p w14:paraId="40ED3BA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2 落实政府采购政策需满足的资格要求（如有）</w:t>
      </w:r>
      <w:bookmarkEnd w:id="40"/>
      <w:bookmarkEnd w:id="41"/>
      <w:r>
        <w:rPr>
          <w:rFonts w:hint="eastAsia" w:ascii="仿宋" w:hAnsi="仿宋" w:eastAsia="仿宋" w:cs="仿宋"/>
          <w:color w:val="000000"/>
          <w:kern w:val="0"/>
          <w:sz w:val="24"/>
          <w:szCs w:val="24"/>
          <w:highlight w:val="none"/>
          <w:lang w:val="en-US" w:eastAsia="zh-CN" w:bidi="ar"/>
        </w:rPr>
        <w:t xml:space="preserve"> </w:t>
      </w:r>
    </w:p>
    <w:p w14:paraId="7533F75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2-1 中小企业声明函 </w:t>
      </w:r>
    </w:p>
    <w:p w14:paraId="07A3FC0D">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 xml:space="preserve">说明： </w:t>
      </w:r>
    </w:p>
    <w:p w14:paraId="5BE88637">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 xml:space="preserve">（1）如本项目（标项/包）不专门面向中小企业预留采购份额，资格证明文件部分无需提供《中小企业声明函》。 </w:t>
      </w:r>
    </w:p>
    <w:p w14:paraId="04860EC7">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 xml:space="preserve">（2）如本项目（标项/包）专门面向中小/小微企业采购，须提供《中小企业声明函》或《残疾人福利性单位声明函》，或提供由省级以上监狱管理局、戒毒管理局（含新疆生产建设兵团）出具的属于监狱企业的证明文件。《中小企业声明函》或《残疾人福利性单位声明函》格式不得修改，否则不得享受相关中小企业扶持政策。供应商根据项目属性选择申明函格式。 </w:t>
      </w:r>
    </w:p>
    <w:p w14:paraId="0B1526B7">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 xml:space="preserve">（3）如本项目（标项/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供应商因落实政府采购政策拟进行分包的，必须提供《拟分包情况说明》及《分包意向协议》，否则无须提供），且建议在资格证明文件部分提供。 </w:t>
      </w:r>
    </w:p>
    <w:p w14:paraId="70644B07">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4）如本项目（标项/包）预留部分采购项目预算专门面向中小企业采购，且要求供应商以联合体形式参加采购活动，投标文件中除须提供《中小企业声明函》或《残疾人福利性单位声明函》或由省级以上监狱管理局、戒毒管理局（含新疆生产 建设兵团）出具的属于监狱企业的证明文件，还须同时提供《联合协议》（供应商因落实政府采购政策拟进行联合体投标的，必须提供《联合协议》，否则无须提供）。</w:t>
      </w:r>
    </w:p>
    <w:p w14:paraId="3A6577AD">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 xml:space="preserve">（5）中小企业声明函填写注意事项 </w:t>
      </w:r>
    </w:p>
    <w:p w14:paraId="5360C988">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 xml:space="preserve">1）中小企业参加政府采购活动，应当出具此格式文件。《中小企业声明函》由参加政府采购活动的供应商出具。联合体投标的，《中小企业声明函》由牵头人出具。 </w:t>
      </w:r>
    </w:p>
    <w:p w14:paraId="74A4FB50">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2）对于联合体中由中小企业承担的部分，或者分包给中小企业的部分，必须全</w:t>
      </w:r>
    </w:p>
    <w:p w14:paraId="78EA5CDF">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部由中小企业制造、承建或者承接。供应商应当在声明函“标的名称”部分标明</w:t>
      </w:r>
    </w:p>
    <w:p w14:paraId="146BE9A5">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 xml:space="preserve">联合体中中小企业承担的具体内容或者中小企业的具体分包内容。 </w:t>
      </w:r>
    </w:p>
    <w:p w14:paraId="1C52548B">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 xml:space="preserve">3）对于多标的的采购项目，供应商应充分、准确地了解所投产品制造企业、提供服务的承接企业、工程承接企业信息。对相关情况了解不清楚的，不建议填报本声明函。 </w:t>
      </w:r>
    </w:p>
    <w:p w14:paraId="2215CA6D">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前附表》，如在该程序中未找到本采购文件规定的中小企业划分标准所属行业，则按照《关于印发中小企业划型标准规定的通知（工信部联企业﹝2011﹞300 号）》及本采购文件规定的中小企业划分标准所属行业执行。</w:t>
      </w:r>
      <w:r>
        <w:rPr>
          <w:rFonts w:hint="eastAsia" w:ascii="仿宋" w:hAnsi="仿宋" w:eastAsia="仿宋" w:cs="仿宋"/>
          <w:b w:val="0"/>
          <w:bCs w:val="0"/>
          <w:color w:val="000000"/>
          <w:kern w:val="0"/>
          <w:sz w:val="24"/>
          <w:szCs w:val="24"/>
          <w:highlight w:val="none"/>
          <w:lang w:val="en-US" w:eastAsia="zh-CN" w:bidi="ar"/>
        </w:rPr>
        <w:br w:type="page"/>
      </w:r>
    </w:p>
    <w:p w14:paraId="3728D5E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val="en-US" w:eastAsia="zh-CN" w:bidi="ar"/>
        </w:rPr>
        <w:t>中小企业声明函（工程、服务）</w:t>
      </w:r>
    </w:p>
    <w:p w14:paraId="221C05A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13C58B2F">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本公司（联合体）郑重声明，根据《政府采购促进中小企业发展管理办法》 </w:t>
      </w:r>
    </w:p>
    <w:p w14:paraId="0F71D4C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（财库﹝2020﹞46号）的规定，本公司（联合体）参加</w:t>
      </w:r>
      <w:r>
        <w:rPr>
          <w:rFonts w:hint="eastAsia" w:ascii="仿宋" w:hAnsi="仿宋" w:eastAsia="仿宋" w:cs="仿宋"/>
          <w:i/>
          <w:iCs/>
          <w:color w:val="000000"/>
          <w:kern w:val="0"/>
          <w:sz w:val="24"/>
          <w:szCs w:val="24"/>
          <w:highlight w:val="none"/>
          <w:u w:val="single"/>
          <w:lang w:val="en-US" w:eastAsia="zh-CN" w:bidi="ar"/>
        </w:rPr>
        <w:t>（单位名称）</w:t>
      </w:r>
      <w:r>
        <w:rPr>
          <w:rFonts w:hint="eastAsia" w:ascii="仿宋" w:hAnsi="仿宋" w:eastAsia="仿宋" w:cs="仿宋"/>
          <w:color w:val="000000"/>
          <w:kern w:val="0"/>
          <w:sz w:val="24"/>
          <w:szCs w:val="24"/>
          <w:highlight w:val="none"/>
          <w:lang w:val="en-US" w:eastAsia="zh-CN" w:bidi="ar"/>
        </w:rPr>
        <w:t>的</w:t>
      </w:r>
      <w:r>
        <w:rPr>
          <w:rFonts w:hint="eastAsia" w:ascii="仿宋" w:hAnsi="仿宋" w:eastAsia="仿宋" w:cs="仿宋"/>
          <w:i/>
          <w:iCs/>
          <w:color w:val="000000"/>
          <w:kern w:val="0"/>
          <w:sz w:val="24"/>
          <w:szCs w:val="24"/>
          <w:highlight w:val="none"/>
          <w:u w:val="single"/>
          <w:lang w:val="en-US" w:eastAsia="zh-CN" w:bidi="ar"/>
        </w:rPr>
        <w:t>（项目名称）</w:t>
      </w:r>
      <w:r>
        <w:rPr>
          <w:rFonts w:hint="eastAsia" w:ascii="仿宋" w:hAnsi="仿宋" w:eastAsia="仿宋" w:cs="仿宋"/>
          <w:color w:val="000000"/>
          <w:kern w:val="0"/>
          <w:sz w:val="24"/>
          <w:szCs w:val="24"/>
          <w:highlight w:val="none"/>
          <w:lang w:val="en-US" w:eastAsia="zh-CN" w:bidi="ar"/>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048A9CF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1. </w:t>
      </w:r>
      <w:r>
        <w:rPr>
          <w:rFonts w:hint="eastAsia" w:ascii="仿宋" w:hAnsi="仿宋" w:eastAsia="仿宋" w:cs="仿宋"/>
          <w:b/>
          <w:bCs/>
          <w:color w:val="000000"/>
          <w:kern w:val="0"/>
          <w:sz w:val="24"/>
          <w:szCs w:val="24"/>
          <w:highlight w:val="none"/>
          <w:u w:val="single"/>
          <w:lang w:val="en-US" w:eastAsia="zh-CN" w:bidi="ar"/>
        </w:rPr>
        <w:t>新疆职业大学职工生日蛋糕供应服务采购项目（二次）</w:t>
      </w:r>
      <w:r>
        <w:rPr>
          <w:rFonts w:hint="eastAsia" w:ascii="仿宋" w:hAnsi="仿宋" w:eastAsia="仿宋" w:cs="仿宋"/>
          <w:color w:val="000000"/>
          <w:kern w:val="0"/>
          <w:sz w:val="24"/>
          <w:szCs w:val="24"/>
          <w:highlight w:val="none"/>
          <w:lang w:val="en-US" w:eastAsia="zh-CN" w:bidi="ar"/>
        </w:rPr>
        <w:t>，属于</w:t>
      </w:r>
      <w:r>
        <w:rPr>
          <w:rFonts w:hint="eastAsia" w:ascii="仿宋" w:hAnsi="仿宋" w:eastAsia="仿宋" w:cs="仿宋"/>
          <w:b/>
          <w:bCs/>
          <w:sz w:val="24"/>
          <w:szCs w:val="24"/>
          <w:highlight w:val="none"/>
          <w:u w:val="single"/>
          <w:lang w:val="en-US" w:eastAsia="zh-CN"/>
        </w:rPr>
        <w:t>批发业</w:t>
      </w:r>
      <w:bookmarkStart w:id="90" w:name="_GoBack"/>
      <w:bookmarkEnd w:id="90"/>
      <w:r>
        <w:rPr>
          <w:rFonts w:hint="eastAsia" w:ascii="仿宋" w:hAnsi="仿宋" w:eastAsia="仿宋" w:cs="仿宋"/>
          <w:color w:val="000000"/>
          <w:kern w:val="0"/>
          <w:sz w:val="24"/>
          <w:szCs w:val="24"/>
          <w:highlight w:val="none"/>
          <w:lang w:val="en-US" w:eastAsia="zh-CN" w:bidi="ar"/>
        </w:rPr>
        <w:t>；承建（承接）企业为</w:t>
      </w:r>
      <w:r>
        <w:rPr>
          <w:rFonts w:hint="eastAsia" w:ascii="仿宋" w:hAnsi="仿宋" w:eastAsia="仿宋" w:cs="仿宋"/>
          <w:i/>
          <w:iCs/>
          <w:color w:val="000000"/>
          <w:kern w:val="0"/>
          <w:sz w:val="24"/>
          <w:szCs w:val="24"/>
          <w:highlight w:val="none"/>
          <w:u w:val="single"/>
          <w:lang w:val="en-US" w:eastAsia="zh-CN" w:bidi="ar"/>
        </w:rPr>
        <w:t>（企业名称）</w:t>
      </w:r>
      <w:r>
        <w:rPr>
          <w:rFonts w:hint="eastAsia" w:ascii="仿宋" w:hAnsi="仿宋" w:eastAsia="仿宋" w:cs="仿宋"/>
          <w:color w:val="000000"/>
          <w:kern w:val="0"/>
          <w:sz w:val="24"/>
          <w:szCs w:val="24"/>
          <w:highlight w:val="none"/>
          <w:lang w:val="en-US" w:eastAsia="zh-CN" w:bidi="ar"/>
        </w:rPr>
        <w:t>，从业人员</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人，营业收入为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万元，资产总额</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为万元，属于</w:t>
      </w:r>
      <w:r>
        <w:rPr>
          <w:rFonts w:hint="eastAsia" w:ascii="仿宋" w:hAnsi="仿宋" w:eastAsia="仿宋" w:cs="仿宋"/>
          <w:i/>
          <w:iCs/>
          <w:color w:val="000000"/>
          <w:kern w:val="0"/>
          <w:sz w:val="24"/>
          <w:szCs w:val="24"/>
          <w:highlight w:val="none"/>
          <w:u w:val="single"/>
          <w:lang w:val="en-US" w:eastAsia="zh-CN" w:bidi="ar"/>
        </w:rPr>
        <w:t>（中型企业、小型企业、微型企业）</w:t>
      </w:r>
      <w:r>
        <w:rPr>
          <w:rFonts w:hint="eastAsia" w:ascii="仿宋" w:hAnsi="仿宋" w:eastAsia="仿宋" w:cs="仿宋"/>
          <w:color w:val="000000"/>
          <w:kern w:val="0"/>
          <w:sz w:val="24"/>
          <w:szCs w:val="24"/>
          <w:highlight w:val="none"/>
          <w:lang w:val="en-US" w:eastAsia="zh-CN" w:bidi="ar"/>
        </w:rPr>
        <w:t xml:space="preserve">； </w:t>
      </w:r>
    </w:p>
    <w:p w14:paraId="3EF8AF1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 </w:t>
      </w:r>
      <w:r>
        <w:rPr>
          <w:rFonts w:hint="eastAsia" w:ascii="仿宋" w:hAnsi="仿宋" w:eastAsia="仿宋" w:cs="仿宋"/>
          <w:i/>
          <w:iCs/>
          <w:color w:val="000000"/>
          <w:kern w:val="0"/>
          <w:sz w:val="24"/>
          <w:szCs w:val="24"/>
          <w:highlight w:val="none"/>
          <w:u w:val="single"/>
          <w:lang w:val="en-US" w:eastAsia="zh-CN" w:bidi="ar"/>
        </w:rPr>
        <w:t>（标的名称）</w:t>
      </w:r>
      <w:r>
        <w:rPr>
          <w:rFonts w:hint="eastAsia" w:ascii="仿宋" w:hAnsi="仿宋" w:eastAsia="仿宋" w:cs="仿宋"/>
          <w:color w:val="000000"/>
          <w:kern w:val="0"/>
          <w:sz w:val="24"/>
          <w:szCs w:val="24"/>
          <w:highlight w:val="none"/>
          <w:lang w:val="en-US" w:eastAsia="zh-CN" w:bidi="ar"/>
        </w:rPr>
        <w:t>，属于</w:t>
      </w:r>
      <w:r>
        <w:rPr>
          <w:rFonts w:hint="eastAsia" w:ascii="仿宋" w:hAnsi="仿宋" w:eastAsia="仿宋" w:cs="仿宋"/>
          <w:i/>
          <w:iCs/>
          <w:color w:val="000000"/>
          <w:kern w:val="0"/>
          <w:sz w:val="24"/>
          <w:szCs w:val="24"/>
          <w:highlight w:val="none"/>
          <w:u w:val="single"/>
          <w:lang w:val="en-US" w:eastAsia="zh-CN" w:bidi="ar"/>
        </w:rPr>
        <w:t>（采购文件中明确的所属行业）</w:t>
      </w:r>
      <w:r>
        <w:rPr>
          <w:rFonts w:hint="eastAsia" w:ascii="仿宋" w:hAnsi="仿宋" w:eastAsia="仿宋" w:cs="仿宋"/>
          <w:color w:val="000000"/>
          <w:kern w:val="0"/>
          <w:sz w:val="24"/>
          <w:szCs w:val="24"/>
          <w:highlight w:val="none"/>
          <w:lang w:val="en-US" w:eastAsia="zh-CN" w:bidi="ar"/>
        </w:rPr>
        <w:t>；承建（承接）企业</w:t>
      </w:r>
    </w:p>
    <w:p w14:paraId="707BE54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为</w:t>
      </w:r>
      <w:r>
        <w:rPr>
          <w:rFonts w:hint="eastAsia" w:ascii="仿宋" w:hAnsi="仿宋" w:eastAsia="仿宋" w:cs="仿宋"/>
          <w:i/>
          <w:iCs/>
          <w:color w:val="000000"/>
          <w:kern w:val="0"/>
          <w:sz w:val="24"/>
          <w:szCs w:val="24"/>
          <w:highlight w:val="none"/>
          <w:u w:val="single"/>
          <w:lang w:val="en-US" w:eastAsia="zh-CN" w:bidi="ar"/>
        </w:rPr>
        <w:t>（企业名称）</w:t>
      </w:r>
      <w:r>
        <w:rPr>
          <w:rFonts w:hint="eastAsia" w:ascii="仿宋" w:hAnsi="仿宋" w:eastAsia="仿宋" w:cs="仿宋"/>
          <w:color w:val="000000"/>
          <w:kern w:val="0"/>
          <w:sz w:val="24"/>
          <w:szCs w:val="24"/>
          <w:highlight w:val="none"/>
          <w:lang w:val="en-US" w:eastAsia="zh-CN" w:bidi="ar"/>
        </w:rPr>
        <w:t>，从业人员</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人，营业收入为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万元，资产总额</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为万元，属于</w:t>
      </w:r>
      <w:r>
        <w:rPr>
          <w:rFonts w:hint="eastAsia" w:ascii="仿宋" w:hAnsi="仿宋" w:eastAsia="仿宋" w:cs="仿宋"/>
          <w:i/>
          <w:iCs/>
          <w:color w:val="000000"/>
          <w:kern w:val="0"/>
          <w:sz w:val="24"/>
          <w:szCs w:val="24"/>
          <w:highlight w:val="none"/>
          <w:u w:val="single"/>
          <w:lang w:val="en-US" w:eastAsia="zh-CN" w:bidi="ar"/>
        </w:rPr>
        <w:t>（中型企业、小型企业、微型企业）</w:t>
      </w:r>
      <w:r>
        <w:rPr>
          <w:rFonts w:hint="eastAsia" w:ascii="仿宋" w:hAnsi="仿宋" w:eastAsia="仿宋" w:cs="仿宋"/>
          <w:color w:val="000000"/>
          <w:kern w:val="0"/>
          <w:sz w:val="24"/>
          <w:szCs w:val="24"/>
          <w:highlight w:val="none"/>
          <w:lang w:val="en-US" w:eastAsia="zh-CN" w:bidi="ar"/>
        </w:rPr>
        <w:t xml:space="preserve">；； </w:t>
      </w:r>
    </w:p>
    <w:p w14:paraId="0629B61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 </w:t>
      </w:r>
    </w:p>
    <w:p w14:paraId="4131710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以上企业，不属于大企业的分支机构，不存在控股股东为大企业的情形， </w:t>
      </w:r>
    </w:p>
    <w:p w14:paraId="21C6EFB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也不存在与大企业的负责人为同一人的情形。 </w:t>
      </w:r>
    </w:p>
    <w:p w14:paraId="1285770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本企业对上述声明内容的真实性负责。如有虚假，将依法承担相应责任。</w:t>
      </w:r>
    </w:p>
    <w:p w14:paraId="79F59CCF">
      <w:pPr>
        <w:pStyle w:val="28"/>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 xml:space="preserve"> </w:t>
      </w:r>
    </w:p>
    <w:p w14:paraId="0AC94C30">
      <w:pPr>
        <w:pStyle w:val="28"/>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000000"/>
          <w:spacing w:val="0"/>
          <w:sz w:val="24"/>
          <w:szCs w:val="24"/>
          <w:highlight w:val="none"/>
          <w:u w:val="single"/>
          <w:lang w:val="en-US" w:eastAsia="zh-CN"/>
        </w:rPr>
      </w:pPr>
      <w:r>
        <w:rPr>
          <w:rFonts w:hint="eastAsia" w:ascii="仿宋" w:hAnsi="仿宋" w:eastAsia="仿宋" w:cs="仿宋"/>
          <w:i w:val="0"/>
          <w:iCs w:val="0"/>
          <w:caps w:val="0"/>
          <w:color w:val="000000"/>
          <w:spacing w:val="0"/>
          <w:sz w:val="24"/>
          <w:szCs w:val="24"/>
          <w:highlight w:val="none"/>
          <w:lang w:val="en-US" w:eastAsia="zh-CN"/>
        </w:rPr>
        <w:t xml:space="preserve">             </w:t>
      </w:r>
      <w:r>
        <w:rPr>
          <w:rFonts w:hint="eastAsia" w:ascii="仿宋" w:hAnsi="仿宋" w:eastAsia="仿宋" w:cs="仿宋"/>
          <w:i w:val="0"/>
          <w:iCs w:val="0"/>
          <w:caps w:val="0"/>
          <w:color w:val="000000"/>
          <w:spacing w:val="0"/>
          <w:sz w:val="24"/>
          <w:szCs w:val="24"/>
          <w:highlight w:val="none"/>
        </w:rPr>
        <w:t>企业名称（盖章）：</w:t>
      </w:r>
      <w:r>
        <w:rPr>
          <w:rFonts w:hint="eastAsia" w:ascii="仿宋" w:hAnsi="仿宋" w:eastAsia="仿宋" w:cs="仿宋"/>
          <w:i w:val="0"/>
          <w:iCs w:val="0"/>
          <w:caps w:val="0"/>
          <w:color w:val="000000"/>
          <w:spacing w:val="0"/>
          <w:sz w:val="24"/>
          <w:szCs w:val="24"/>
          <w:highlight w:val="none"/>
          <w:u w:val="single"/>
          <w:lang w:val="en-US" w:eastAsia="zh-CN"/>
        </w:rPr>
        <w:t xml:space="preserve">          </w:t>
      </w:r>
    </w:p>
    <w:p w14:paraId="2BA963CB">
      <w:pPr>
        <w:pStyle w:val="28"/>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5520" w:firstLineChars="2300"/>
        <w:jc w:val="both"/>
        <w:textAlignment w:val="auto"/>
        <w:rPr>
          <w:rFonts w:hint="eastAsia" w:ascii="仿宋" w:hAnsi="仿宋" w:eastAsia="仿宋" w:cs="仿宋"/>
          <w:i w:val="0"/>
          <w:iCs w:val="0"/>
          <w:caps w:val="0"/>
          <w:color w:val="000000"/>
          <w:spacing w:val="0"/>
          <w:sz w:val="27"/>
          <w:szCs w:val="27"/>
          <w:highlight w:val="none"/>
          <w:u w:val="single"/>
          <w:lang w:val="en-US" w:eastAsia="zh-CN"/>
        </w:rPr>
      </w:pPr>
      <w:r>
        <w:rPr>
          <w:rFonts w:hint="eastAsia" w:ascii="仿宋" w:hAnsi="仿宋" w:eastAsia="仿宋" w:cs="仿宋"/>
          <w:i w:val="0"/>
          <w:iCs w:val="0"/>
          <w:caps w:val="0"/>
          <w:color w:val="000000"/>
          <w:spacing w:val="0"/>
          <w:sz w:val="24"/>
          <w:szCs w:val="24"/>
          <w:highlight w:val="none"/>
        </w:rPr>
        <w:t>日期：</w:t>
      </w:r>
      <w:r>
        <w:rPr>
          <w:rFonts w:hint="eastAsia" w:ascii="仿宋" w:hAnsi="仿宋" w:eastAsia="仿宋" w:cs="仿宋"/>
          <w:i w:val="0"/>
          <w:iCs w:val="0"/>
          <w:caps w:val="0"/>
          <w:color w:val="000000"/>
          <w:spacing w:val="0"/>
          <w:sz w:val="24"/>
          <w:szCs w:val="24"/>
          <w:highlight w:val="none"/>
          <w:u w:val="single"/>
          <w:lang w:val="en-US" w:eastAsia="zh-CN"/>
        </w:rPr>
        <w:t xml:space="preserve">         </w:t>
      </w:r>
    </w:p>
    <w:p w14:paraId="0EECADAB">
      <w:pPr>
        <w:rPr>
          <w:rFonts w:hint="eastAsia" w:ascii="仿宋" w:hAnsi="仿宋" w:eastAsia="仿宋" w:cs="仿宋"/>
          <w:b w:val="0"/>
          <w:bCs w:val="0"/>
          <w:color w:val="000000"/>
          <w:kern w:val="0"/>
          <w:sz w:val="21"/>
          <w:szCs w:val="21"/>
          <w:highlight w:val="none"/>
          <w:lang w:val="en-US" w:eastAsia="zh-CN" w:bidi="ar"/>
        </w:rPr>
      </w:pPr>
    </w:p>
    <w:p w14:paraId="2E8B67BF">
      <w:pPr>
        <w:rPr>
          <w:rFonts w:hint="eastAsia" w:ascii="仿宋" w:hAnsi="仿宋" w:eastAsia="仿宋" w:cs="仿宋"/>
          <w:b w:val="0"/>
          <w:bCs w:val="0"/>
          <w:color w:val="000000"/>
          <w:kern w:val="0"/>
          <w:sz w:val="21"/>
          <w:szCs w:val="21"/>
          <w:highlight w:val="none"/>
          <w:lang w:val="en-US" w:eastAsia="zh-CN" w:bidi="ar"/>
        </w:rPr>
      </w:pPr>
    </w:p>
    <w:p w14:paraId="54CBA7FD">
      <w:pPr>
        <w:rPr>
          <w:rFonts w:hint="eastAsia" w:ascii="仿宋" w:hAnsi="仿宋" w:eastAsia="仿宋" w:cs="仿宋"/>
          <w:b w:val="0"/>
          <w:bCs w:val="0"/>
          <w:color w:val="000000"/>
          <w:kern w:val="0"/>
          <w:sz w:val="21"/>
          <w:szCs w:val="21"/>
          <w:highlight w:val="none"/>
          <w:lang w:val="en-US" w:eastAsia="zh-CN" w:bidi="ar"/>
        </w:rPr>
      </w:pPr>
    </w:p>
    <w:p w14:paraId="1C52CB4C">
      <w:pPr>
        <w:rPr>
          <w:rFonts w:hint="eastAsia" w:ascii="仿宋" w:hAnsi="仿宋" w:eastAsia="仿宋" w:cs="仿宋"/>
          <w:b w:val="0"/>
          <w:bCs w:val="0"/>
          <w:color w:val="000000"/>
          <w:kern w:val="0"/>
          <w:sz w:val="21"/>
          <w:szCs w:val="21"/>
          <w:highlight w:val="none"/>
          <w:lang w:val="en-US" w:eastAsia="zh-CN" w:bidi="ar"/>
        </w:rPr>
      </w:pPr>
    </w:p>
    <w:p w14:paraId="4A0ACC8E">
      <w:pPr>
        <w:rPr>
          <w:rFonts w:hint="eastAsia" w:ascii="仿宋" w:hAnsi="仿宋" w:eastAsia="仿宋" w:cs="仿宋"/>
          <w:b w:val="0"/>
          <w:bCs w:val="0"/>
          <w:color w:val="000000"/>
          <w:kern w:val="0"/>
          <w:sz w:val="21"/>
          <w:szCs w:val="21"/>
          <w:highlight w:val="none"/>
          <w:lang w:val="en-US" w:eastAsia="zh-CN" w:bidi="ar"/>
        </w:rPr>
      </w:pPr>
    </w:p>
    <w:p w14:paraId="6D2C9426">
      <w:pPr>
        <w:rPr>
          <w:rFonts w:hint="eastAsia" w:ascii="仿宋" w:hAnsi="仿宋" w:eastAsia="仿宋" w:cs="仿宋"/>
          <w:b w:val="0"/>
          <w:bCs w:val="0"/>
          <w:color w:val="000000"/>
          <w:kern w:val="0"/>
          <w:sz w:val="21"/>
          <w:szCs w:val="21"/>
          <w:highlight w:val="none"/>
          <w:lang w:val="en-US" w:eastAsia="zh-CN" w:bidi="ar"/>
        </w:rPr>
      </w:pPr>
    </w:p>
    <w:p w14:paraId="190B331D">
      <w:pPr>
        <w:rPr>
          <w:rFonts w:hint="eastAsia" w:ascii="仿宋" w:hAnsi="仿宋" w:eastAsia="仿宋" w:cs="仿宋"/>
          <w:b w:val="0"/>
          <w:bCs w:val="0"/>
          <w:color w:val="000000"/>
          <w:kern w:val="0"/>
          <w:sz w:val="21"/>
          <w:szCs w:val="21"/>
          <w:highlight w:val="none"/>
          <w:lang w:val="en-US" w:eastAsia="zh-CN" w:bidi="ar"/>
        </w:rPr>
      </w:pPr>
    </w:p>
    <w:p w14:paraId="3157FF38">
      <w:pPr>
        <w:rPr>
          <w:rFonts w:hint="eastAsia" w:ascii="仿宋" w:hAnsi="仿宋" w:eastAsia="仿宋" w:cs="仿宋"/>
          <w:b w:val="0"/>
          <w:bCs w:val="0"/>
          <w:color w:val="000000"/>
          <w:kern w:val="0"/>
          <w:sz w:val="21"/>
          <w:szCs w:val="21"/>
          <w:highlight w:val="none"/>
          <w:lang w:val="en-US" w:eastAsia="zh-CN" w:bidi="ar"/>
        </w:rPr>
      </w:pPr>
      <w:r>
        <w:rPr>
          <w:rFonts w:hint="eastAsia" w:ascii="仿宋" w:hAnsi="仿宋" w:eastAsia="仿宋" w:cs="仿宋"/>
          <w:b w:val="0"/>
          <w:bCs w:val="0"/>
          <w:color w:val="000000"/>
          <w:kern w:val="0"/>
          <w:sz w:val="21"/>
          <w:szCs w:val="21"/>
          <w:highlight w:val="none"/>
          <w:lang w:val="en-US" w:eastAsia="zh-CN" w:bidi="ar"/>
        </w:rPr>
        <w:t>从业人员、营业收入、资产总额填报上一年度数据，无上一年度数据的新成立企业可不填报。</w:t>
      </w:r>
    </w:p>
    <w:p w14:paraId="500D84A4">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436A2B14">
      <w:pPr>
        <w:keepNext w:val="0"/>
        <w:keepLines w:val="0"/>
        <w:widowControl/>
        <w:suppressLineNumbers w:val="0"/>
        <w:jc w:val="center"/>
        <w:rPr>
          <w:rFonts w:hint="eastAsia" w:ascii="仿宋" w:hAnsi="仿宋" w:eastAsia="仿宋" w:cs="仿宋"/>
          <w:b/>
          <w:bCs/>
          <w:color w:val="000000"/>
          <w:kern w:val="0"/>
          <w:sz w:val="32"/>
          <w:szCs w:val="32"/>
          <w:highlight w:val="none"/>
          <w:lang w:val="en-US" w:eastAsia="zh-CN" w:bidi="ar"/>
        </w:rPr>
      </w:pPr>
      <w:r>
        <w:rPr>
          <w:rFonts w:hint="eastAsia" w:ascii="仿宋" w:hAnsi="仿宋" w:eastAsia="仿宋" w:cs="仿宋"/>
          <w:b/>
          <w:bCs/>
          <w:color w:val="000000"/>
          <w:kern w:val="0"/>
          <w:sz w:val="32"/>
          <w:szCs w:val="32"/>
          <w:highlight w:val="none"/>
          <w:lang w:val="en-US" w:eastAsia="zh-CN" w:bidi="ar"/>
        </w:rPr>
        <w:t>残疾人福利性单位声明函格式</w:t>
      </w:r>
    </w:p>
    <w:p w14:paraId="6DEE5643">
      <w:pPr>
        <w:keepNext w:val="0"/>
        <w:keepLines w:val="0"/>
        <w:widowControl/>
        <w:suppressLineNumbers w:val="0"/>
        <w:jc w:val="center"/>
        <w:rPr>
          <w:rFonts w:hint="eastAsia" w:ascii="仿宋" w:hAnsi="仿宋" w:eastAsia="仿宋" w:cs="仿宋"/>
          <w:b/>
          <w:bCs/>
          <w:color w:val="000000"/>
          <w:kern w:val="0"/>
          <w:sz w:val="32"/>
          <w:szCs w:val="32"/>
          <w:highlight w:val="none"/>
          <w:lang w:val="en-US" w:eastAsia="zh-CN" w:bidi="ar"/>
        </w:rPr>
      </w:pPr>
    </w:p>
    <w:p w14:paraId="73E9BDD7">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本单位郑重声明，根据《财政部民政部中国残疾人联合会关于促进残疾人就业政府采购政策的通知》（财库〔2017〕 141 号）的规定，本单位</w:t>
      </w:r>
      <w:r>
        <w:rPr>
          <w:rFonts w:hint="eastAsia" w:ascii="仿宋" w:hAnsi="仿宋" w:eastAsia="仿宋" w:cs="仿宋"/>
          <w:b/>
          <w:bCs/>
          <w:color w:val="000000"/>
          <w:kern w:val="0"/>
          <w:sz w:val="24"/>
          <w:szCs w:val="24"/>
          <w:highlight w:val="none"/>
          <w:lang w:val="en-US" w:eastAsia="zh-CN" w:bidi="ar"/>
        </w:rPr>
        <w:t>（请进行勾选）</w:t>
      </w:r>
      <w:r>
        <w:rPr>
          <w:rFonts w:hint="eastAsia" w:ascii="仿宋" w:hAnsi="仿宋" w:eastAsia="仿宋" w:cs="仿宋"/>
          <w:color w:val="000000"/>
          <w:kern w:val="0"/>
          <w:sz w:val="24"/>
          <w:szCs w:val="24"/>
          <w:highlight w:val="none"/>
          <w:lang w:val="en-US" w:eastAsia="zh-CN" w:bidi="ar"/>
        </w:rPr>
        <w:t xml:space="preserve">： </w:t>
      </w:r>
    </w:p>
    <w:p w14:paraId="698DF8FA">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 xml:space="preserve">□不属于符合条件的残疾人福利性单位。 </w:t>
      </w:r>
    </w:p>
    <w:p w14:paraId="2ED0FD3F">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□属于符合条件的残疾人福利性单位，</w:t>
      </w:r>
      <w:r>
        <w:rPr>
          <w:rFonts w:hint="eastAsia" w:ascii="仿宋" w:hAnsi="仿宋" w:eastAsia="仿宋" w:cs="仿宋"/>
          <w:color w:val="000000"/>
          <w:kern w:val="0"/>
          <w:sz w:val="24"/>
          <w:szCs w:val="24"/>
          <w:highlight w:val="none"/>
          <w:lang w:val="en-US" w:eastAsia="zh-CN" w:bidi="ar"/>
        </w:rPr>
        <w:t>且本单位参加</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单位的</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项目采购活动提供本单位制造的货物（由本单位承担工程/提供服务），或者提供其他残疾人福利性单位制造的货物（不包括使用非残疾人福利性单位注册商标的货物）。 </w:t>
      </w:r>
    </w:p>
    <w:p w14:paraId="62D98CAA">
      <w:pPr>
        <w:keepNext w:val="0"/>
        <w:keepLines w:val="0"/>
        <w:pageBreakBefore w:val="0"/>
        <w:widowControl/>
        <w:suppressLineNumbers w:val="0"/>
        <w:kinsoku/>
        <w:wordWrap/>
        <w:overflowPunct/>
        <w:topLinePunct w:val="0"/>
        <w:autoSpaceDE/>
        <w:autoSpaceDN/>
        <w:bidi w:val="0"/>
        <w:adjustRightInd/>
        <w:snapToGrid/>
        <w:spacing w:line="500" w:lineRule="exact"/>
        <w:ind w:firstLine="723" w:firstLineChars="300"/>
        <w:jc w:val="left"/>
        <w:textAlignment w:val="auto"/>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 xml:space="preserve">本单位对上述声明的真实性负责。如有虚假，将依法承担相应责任。 </w:t>
      </w:r>
    </w:p>
    <w:p w14:paraId="6474AD5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683D6E9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2EFE493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             单位名称（盖章）：</w:t>
      </w:r>
    </w:p>
    <w:p w14:paraId="7858970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                         日期：</w:t>
      </w:r>
    </w:p>
    <w:p w14:paraId="69D81927">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39D8C413">
      <w:pPr>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2-3 其它落实政府采购政策的资格要求（如有）</w:t>
      </w:r>
    </w:p>
    <w:p w14:paraId="00D569ED">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14:paraId="6855E355">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14:paraId="780E82CE">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264240A1">
      <w:pPr>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3  本项目的特定资格要求（如有） </w:t>
      </w:r>
    </w:p>
    <w:p w14:paraId="4D092A19">
      <w:pPr>
        <w:keepNext/>
        <w:keepLines/>
        <w:widowControl w:val="0"/>
        <w:spacing w:before="260" w:after="260" w:line="360" w:lineRule="auto"/>
        <w:jc w:val="center"/>
        <w:outlineLvl w:val="2"/>
        <w:rPr>
          <w:rFonts w:hint="eastAsia" w:ascii="仿宋" w:hAnsi="仿宋" w:eastAsia="仿宋" w:cs="仿宋"/>
          <w:b/>
          <w:bCs/>
          <w:kern w:val="2"/>
          <w:sz w:val="32"/>
          <w:szCs w:val="28"/>
          <w:highlight w:val="none"/>
          <w:lang w:val="en-US" w:eastAsia="zh-CN" w:bidi="ar-SA"/>
        </w:rPr>
      </w:pPr>
      <w:r>
        <w:rPr>
          <w:rFonts w:hint="eastAsia" w:ascii="仿宋" w:hAnsi="仿宋" w:eastAsia="仿宋" w:cs="仿宋"/>
          <w:b/>
          <w:bCs/>
          <w:kern w:val="2"/>
          <w:sz w:val="32"/>
          <w:szCs w:val="32"/>
          <w:highlight w:val="none"/>
          <w:lang w:val="en-US" w:eastAsia="zh-CN" w:bidi="ar-SA"/>
        </w:rPr>
        <w:t>3-1供应商无直接控股、管理关系书面声明函</w:t>
      </w:r>
    </w:p>
    <w:p w14:paraId="231E2CB9">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一、下述公司负责人与我公司单位负责人为同一人：（如无则本项填写“无”）  </w:t>
      </w:r>
    </w:p>
    <w:p w14:paraId="7506FB29">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u w:val="single"/>
        </w:rPr>
        <w:t xml:space="preserve">                              </w:t>
      </w:r>
    </w:p>
    <w:p w14:paraId="0397B614">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u w:val="single"/>
        </w:rPr>
        <w:t xml:space="preserve">                              </w:t>
      </w:r>
    </w:p>
    <w:p w14:paraId="50FDE950">
      <w:pPr>
        <w:snapToGrid w:val="0"/>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3.</w:t>
      </w:r>
      <w:r>
        <w:rPr>
          <w:rFonts w:hint="eastAsia" w:ascii="仿宋" w:hAnsi="仿宋" w:eastAsia="仿宋" w:cs="仿宋"/>
          <w:sz w:val="24"/>
          <w:szCs w:val="24"/>
          <w:highlight w:val="none"/>
          <w:u w:val="single"/>
        </w:rPr>
        <w:t xml:space="preserve">                              </w:t>
      </w:r>
    </w:p>
    <w:p w14:paraId="0B227994">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……（可自行添加）</w:t>
      </w:r>
    </w:p>
    <w:p w14:paraId="4A9A63C3">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二、我公司与下述公司存在直接控股关系：（如无则本项填写“无”） </w:t>
      </w:r>
    </w:p>
    <w:p w14:paraId="6D788C07">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u w:val="single"/>
        </w:rPr>
        <w:t xml:space="preserve">                              </w:t>
      </w:r>
    </w:p>
    <w:p w14:paraId="54DF477C">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u w:val="single"/>
        </w:rPr>
        <w:t xml:space="preserve">                              </w:t>
      </w:r>
    </w:p>
    <w:p w14:paraId="51AC818A">
      <w:pPr>
        <w:snapToGrid w:val="0"/>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3.</w:t>
      </w:r>
      <w:r>
        <w:rPr>
          <w:rFonts w:hint="eastAsia" w:ascii="仿宋" w:hAnsi="仿宋" w:eastAsia="仿宋" w:cs="仿宋"/>
          <w:sz w:val="24"/>
          <w:szCs w:val="24"/>
          <w:highlight w:val="none"/>
          <w:u w:val="single"/>
        </w:rPr>
        <w:t xml:space="preserve">                              </w:t>
      </w:r>
    </w:p>
    <w:p w14:paraId="196B4337">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……（可自行添加）</w:t>
      </w:r>
    </w:p>
    <w:p w14:paraId="634FEECA">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三、我公司与下述公司存在直接管理关系：（如无则本项填写“无”） </w:t>
      </w:r>
    </w:p>
    <w:p w14:paraId="2105E91C">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u w:val="single"/>
        </w:rPr>
        <w:t xml:space="preserve">                              </w:t>
      </w:r>
    </w:p>
    <w:p w14:paraId="3CEBEECA">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u w:val="single"/>
        </w:rPr>
        <w:t xml:space="preserve">                              </w:t>
      </w:r>
    </w:p>
    <w:p w14:paraId="291E3830">
      <w:pPr>
        <w:snapToGrid w:val="0"/>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3.</w:t>
      </w:r>
      <w:r>
        <w:rPr>
          <w:rFonts w:hint="eastAsia" w:ascii="仿宋" w:hAnsi="仿宋" w:eastAsia="仿宋" w:cs="仿宋"/>
          <w:sz w:val="24"/>
          <w:szCs w:val="24"/>
          <w:highlight w:val="none"/>
          <w:u w:val="single"/>
        </w:rPr>
        <w:t xml:space="preserve">                              </w:t>
      </w:r>
    </w:p>
    <w:p w14:paraId="449A95E7">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……（可自行添加）</w:t>
      </w:r>
    </w:p>
    <w:p w14:paraId="74FB4E9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我单位郑重声明：与本单位负责人为同一人或者与本单位存在直接控股关系、管理关系的</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未参加</w:t>
      </w:r>
      <w:r>
        <w:rPr>
          <w:rFonts w:hint="eastAsia" w:ascii="仿宋" w:hAnsi="仿宋" w:eastAsia="仿宋" w:cs="仿宋"/>
          <w:sz w:val="24"/>
          <w:szCs w:val="24"/>
          <w:highlight w:val="none"/>
          <w:u w:val="single"/>
        </w:rPr>
        <w:t xml:space="preserve">  （项目名称、项目编号、包/标段号）    </w:t>
      </w:r>
      <w:r>
        <w:rPr>
          <w:rFonts w:hint="eastAsia" w:ascii="仿宋" w:hAnsi="仿宋" w:eastAsia="仿宋" w:cs="仿宋"/>
          <w:sz w:val="24"/>
          <w:szCs w:val="24"/>
          <w:highlight w:val="none"/>
        </w:rPr>
        <w:t>同一合同项下的投标。</w:t>
      </w:r>
    </w:p>
    <w:p w14:paraId="6E6CB82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我单位保证上述声明真实、有效、可查。</w:t>
      </w:r>
    </w:p>
    <w:p w14:paraId="3B1BDBE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特此声明。 </w:t>
      </w:r>
    </w:p>
    <w:p w14:paraId="629DE7DB">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highlight w:val="none"/>
        </w:rPr>
      </w:pPr>
    </w:p>
    <w:p w14:paraId="559924E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lang w:val="en-US" w:eastAsia="zh-CN"/>
        </w:rPr>
        <w:t>供应商名称：</w:t>
      </w:r>
      <w:r>
        <w:rPr>
          <w:rFonts w:hint="eastAsia" w:ascii="仿宋" w:hAnsi="仿宋" w:eastAsia="仿宋" w:cs="仿宋"/>
          <w:sz w:val="24"/>
          <w:szCs w:val="24"/>
          <w:highlight w:val="none"/>
          <w:u w:val="single"/>
          <w:lang w:val="en-US" w:eastAsia="zh-CN"/>
        </w:rPr>
        <w:t xml:space="preserve">               （加盖单位公章）</w:t>
      </w:r>
    </w:p>
    <w:p w14:paraId="6D782F2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法定代表人或授权代表：</w:t>
      </w:r>
      <w:r>
        <w:rPr>
          <w:rFonts w:hint="eastAsia" w:ascii="仿宋" w:hAnsi="仿宋" w:eastAsia="仿宋" w:cs="仿宋"/>
          <w:sz w:val="24"/>
          <w:szCs w:val="24"/>
          <w:highlight w:val="none"/>
          <w:u w:val="single"/>
          <w:lang w:val="en-US" w:eastAsia="zh-CN"/>
        </w:rPr>
        <w:t xml:space="preserve">             （签字或印鉴）</w:t>
      </w:r>
    </w:p>
    <w:p w14:paraId="5CD0530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w:t>
      </w:r>
    </w:p>
    <w:p w14:paraId="5844348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highlight w:val="none"/>
        </w:rPr>
      </w:pPr>
    </w:p>
    <w:p w14:paraId="7FA22D6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注：1、单位负责人，是指单位法定代表人或者法律、行政法规规定代表单位行使职权的主要负责人。</w:t>
      </w:r>
    </w:p>
    <w:p w14:paraId="2AC22F6F">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直接控股关系，是指单位或个人股东的直接控股关系；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w:t>
      </w:r>
    </w:p>
    <w:p w14:paraId="4777A29C">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3、直接管理关系，是指不具有出资持股关系的其他单位之间存在的直接管理与被管理关系，如上下级关系的事业单位和团体组织。</w:t>
      </w:r>
    </w:p>
    <w:p w14:paraId="08F5E8B8">
      <w:pPr>
        <w:rPr>
          <w:rFonts w:hint="eastAsia" w:ascii="仿宋" w:hAnsi="仿宋" w:eastAsia="仿宋" w:cs="仿宋"/>
          <w:b w:val="0"/>
          <w:bCs w:val="0"/>
          <w:color w:val="000000"/>
          <w:kern w:val="0"/>
          <w:sz w:val="24"/>
          <w:szCs w:val="24"/>
          <w:highlight w:val="none"/>
          <w:lang w:val="en-US" w:eastAsia="zh-CN" w:bidi="ar"/>
        </w:rPr>
      </w:pPr>
    </w:p>
    <w:p w14:paraId="7DB2204B">
      <w:pPr>
        <w:rPr>
          <w:rFonts w:hint="eastAsia" w:ascii="仿宋" w:hAnsi="仿宋" w:eastAsia="仿宋" w:cs="仿宋"/>
          <w:b w:val="0"/>
          <w:bCs w:val="0"/>
          <w:color w:val="000000"/>
          <w:kern w:val="0"/>
          <w:sz w:val="24"/>
          <w:szCs w:val="24"/>
          <w:highlight w:val="none"/>
          <w:lang w:val="en-US" w:eastAsia="zh-CN" w:bidi="ar"/>
        </w:rPr>
      </w:pPr>
    </w:p>
    <w:p w14:paraId="74C86098">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45C8D1FA">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3-2其它本项目的特定资格要求（如有）</w:t>
      </w:r>
      <w:r>
        <w:rPr>
          <w:rFonts w:hint="eastAsia" w:ascii="仿宋" w:hAnsi="仿宋" w:eastAsia="仿宋" w:cs="仿宋"/>
          <w:b w:val="0"/>
          <w:bCs w:val="0"/>
          <w:color w:val="000000"/>
          <w:kern w:val="0"/>
          <w:sz w:val="24"/>
          <w:szCs w:val="24"/>
          <w:highlight w:val="none"/>
          <w:lang w:val="en-US" w:eastAsia="zh-CN" w:bidi="ar"/>
        </w:rPr>
        <w:br w:type="page"/>
      </w:r>
    </w:p>
    <w:p w14:paraId="5760D08E">
      <w:pPr>
        <w:keepNext w:val="0"/>
        <w:keepLines w:val="0"/>
        <w:widowControl/>
        <w:suppressLineNumbers w:val="0"/>
        <w:jc w:val="left"/>
        <w:rPr>
          <w:rFonts w:hint="eastAsia" w:ascii="仿宋" w:hAnsi="仿宋" w:eastAsia="仿宋" w:cs="仿宋"/>
          <w:sz w:val="24"/>
          <w:szCs w:val="24"/>
          <w:highlight w:val="none"/>
          <w:lang w:val="en-US"/>
        </w:rPr>
      </w:pPr>
      <w:r>
        <w:rPr>
          <w:rFonts w:hint="eastAsia" w:ascii="仿宋" w:hAnsi="仿宋" w:eastAsia="仿宋" w:cs="仿宋"/>
          <w:color w:val="000000"/>
          <w:kern w:val="0"/>
          <w:sz w:val="24"/>
          <w:szCs w:val="24"/>
          <w:highlight w:val="none"/>
          <w:lang w:val="en-US" w:eastAsia="zh-CN" w:bidi="ar"/>
        </w:rPr>
        <w:t>4  保证金凭证/交款单据电子件/保函</w:t>
      </w:r>
    </w:p>
    <w:p w14:paraId="6BD4EEC4">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14:paraId="70342543">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14:paraId="59C7B2ED">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14:paraId="76356F47">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2C304EDB">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5  投标书 </w:t>
      </w:r>
    </w:p>
    <w:p w14:paraId="07882E8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highlight w:val="none"/>
          <w:lang w:val="en-US" w:eastAsia="zh-CN" w:bidi="ar"/>
        </w:rPr>
      </w:pPr>
    </w:p>
    <w:p w14:paraId="530162C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val="en-US" w:eastAsia="zh-CN" w:bidi="ar"/>
        </w:rPr>
        <w:t>投标书</w:t>
      </w:r>
    </w:p>
    <w:p w14:paraId="01D2FF8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52C8DA5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致：</w:t>
      </w:r>
      <w:r>
        <w:rPr>
          <w:rFonts w:hint="eastAsia" w:ascii="仿宋" w:hAnsi="仿宋" w:eastAsia="仿宋" w:cs="仿宋"/>
          <w:color w:val="000000"/>
          <w:kern w:val="0"/>
          <w:sz w:val="24"/>
          <w:szCs w:val="24"/>
          <w:highlight w:val="none"/>
          <w:u w:val="single"/>
          <w:lang w:val="en-US" w:eastAsia="zh-CN" w:bidi="ar"/>
        </w:rPr>
        <w:t>（采购人或采购代理机构）</w:t>
      </w:r>
      <w:r>
        <w:rPr>
          <w:rFonts w:hint="eastAsia" w:ascii="仿宋" w:hAnsi="仿宋" w:eastAsia="仿宋" w:cs="仿宋"/>
          <w:color w:val="000000"/>
          <w:kern w:val="0"/>
          <w:sz w:val="24"/>
          <w:szCs w:val="24"/>
          <w:highlight w:val="none"/>
          <w:lang w:val="en-US" w:eastAsia="zh-CN" w:bidi="ar"/>
        </w:rPr>
        <w:t xml:space="preserve"> </w:t>
      </w:r>
    </w:p>
    <w:p w14:paraId="0E56C95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我方参加你方就</w:t>
      </w:r>
      <w:r>
        <w:rPr>
          <w:rFonts w:hint="eastAsia" w:ascii="仿宋" w:hAnsi="仿宋" w:eastAsia="仿宋" w:cs="仿宋"/>
          <w:color w:val="000000"/>
          <w:kern w:val="0"/>
          <w:sz w:val="24"/>
          <w:szCs w:val="24"/>
          <w:highlight w:val="none"/>
          <w:u w:val="single"/>
          <w:lang w:val="en-US" w:eastAsia="zh-CN" w:bidi="ar"/>
        </w:rPr>
        <w:t>（项目名称、项目编号、包/标段号）</w:t>
      </w:r>
      <w:r>
        <w:rPr>
          <w:rFonts w:hint="eastAsia" w:ascii="仿宋" w:hAnsi="仿宋" w:eastAsia="仿宋" w:cs="仿宋"/>
          <w:color w:val="000000"/>
          <w:kern w:val="0"/>
          <w:sz w:val="24"/>
          <w:szCs w:val="24"/>
          <w:highlight w:val="none"/>
          <w:lang w:val="en-US" w:eastAsia="zh-CN" w:bidi="ar"/>
        </w:rPr>
        <w:t xml:space="preserve">组织的采购活动，并对此项目进行投标响应。 </w:t>
      </w:r>
    </w:p>
    <w:p w14:paraId="3A1A5F0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sz w:val="24"/>
          <w:szCs w:val="24"/>
          <w:highlight w:val="none"/>
        </w:rPr>
      </w:pPr>
      <w:bookmarkStart w:id="42" w:name="_Toc962"/>
      <w:bookmarkStart w:id="43" w:name="_Toc31541"/>
      <w:r>
        <w:rPr>
          <w:rFonts w:hint="eastAsia" w:ascii="仿宋" w:hAnsi="仿宋" w:eastAsia="仿宋" w:cs="仿宋"/>
          <w:color w:val="000000"/>
          <w:kern w:val="0"/>
          <w:sz w:val="24"/>
          <w:szCs w:val="24"/>
          <w:highlight w:val="none"/>
          <w:lang w:val="en-US" w:eastAsia="zh-CN" w:bidi="ar"/>
        </w:rPr>
        <w:t>1. 我方已详细审查全部采购文件，自愿参与投标响应并承诺如下：</w:t>
      </w:r>
      <w:bookmarkEnd w:id="42"/>
      <w:bookmarkEnd w:id="43"/>
      <w:r>
        <w:rPr>
          <w:rFonts w:hint="eastAsia" w:ascii="仿宋" w:hAnsi="仿宋" w:eastAsia="仿宋" w:cs="仿宋"/>
          <w:color w:val="000000"/>
          <w:kern w:val="0"/>
          <w:sz w:val="24"/>
          <w:szCs w:val="24"/>
          <w:highlight w:val="none"/>
          <w:lang w:val="en-US" w:eastAsia="zh-CN" w:bidi="ar"/>
        </w:rPr>
        <w:t xml:space="preserve"> </w:t>
      </w:r>
    </w:p>
    <w:p w14:paraId="5275473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（1）本响应有效期为自提交响应文件的截止之日起</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个日历日。 </w:t>
      </w:r>
    </w:p>
    <w:p w14:paraId="749035F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（2）除合同条款及采购需求偏离表列出的偏离外，我方响应采购文件的全部要求。 </w:t>
      </w:r>
    </w:p>
    <w:p w14:paraId="3F5AD99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（3）我方已提供的全部文件资料是真实、准确的，并对此承担一切法律后果。 </w:t>
      </w:r>
    </w:p>
    <w:p w14:paraId="0F10A89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（4）如我方成交，我方将在法律规定的期限内与你方签订合同，按照采购文件要求提交履约保证金，并在合同约定的期限内完成合同规定的全部义务。 </w:t>
      </w:r>
    </w:p>
    <w:p w14:paraId="6DD3F90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sz w:val="24"/>
          <w:szCs w:val="24"/>
          <w:highlight w:val="none"/>
        </w:rPr>
      </w:pPr>
      <w:bookmarkStart w:id="44" w:name="_Toc7839"/>
      <w:bookmarkStart w:id="45" w:name="_Toc30568"/>
      <w:r>
        <w:rPr>
          <w:rFonts w:hint="eastAsia" w:ascii="仿宋" w:hAnsi="仿宋" w:eastAsia="仿宋" w:cs="仿宋"/>
          <w:color w:val="000000"/>
          <w:kern w:val="0"/>
          <w:sz w:val="24"/>
          <w:szCs w:val="24"/>
          <w:highlight w:val="none"/>
          <w:lang w:val="en-US" w:eastAsia="zh-CN" w:bidi="ar"/>
        </w:rPr>
        <w:t>2. 其他补充条款（如有）：</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w:t>
      </w:r>
      <w:bookmarkEnd w:id="44"/>
      <w:bookmarkEnd w:id="45"/>
      <w:r>
        <w:rPr>
          <w:rFonts w:hint="eastAsia" w:ascii="仿宋" w:hAnsi="仿宋" w:eastAsia="仿宋" w:cs="仿宋"/>
          <w:color w:val="000000"/>
          <w:kern w:val="0"/>
          <w:sz w:val="24"/>
          <w:szCs w:val="24"/>
          <w:highlight w:val="none"/>
          <w:lang w:val="en-US" w:eastAsia="zh-CN" w:bidi="ar"/>
        </w:rPr>
        <w:t xml:space="preserve"> </w:t>
      </w:r>
    </w:p>
    <w:p w14:paraId="79A831F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与本投标有关的一切正式往来信函请寄： </w:t>
      </w:r>
    </w:p>
    <w:p w14:paraId="03118A3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地址</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传真</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00AA323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电话</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电子函件</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7D001A6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5B04C21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供应商名称（加盖公章） </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218322A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日期：</w:t>
      </w:r>
      <w:r>
        <w:rPr>
          <w:rFonts w:hint="eastAsia" w:ascii="仿宋" w:hAnsi="仿宋" w:eastAsia="仿宋" w:cs="仿宋"/>
          <w:color w:val="000000"/>
          <w:kern w:val="0"/>
          <w:sz w:val="24"/>
          <w:szCs w:val="24"/>
          <w:highlight w:val="none"/>
          <w:u w:val="single"/>
          <w:lang w:val="en-US" w:eastAsia="zh-CN" w:bidi="ar"/>
        </w:rPr>
        <w:t xml:space="preserve">     年     月    日</w:t>
      </w:r>
    </w:p>
    <w:p w14:paraId="0B74CAA2">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555A898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sz w:val="24"/>
          <w:szCs w:val="24"/>
          <w:highlight w:val="none"/>
        </w:rPr>
      </w:pPr>
      <w:bookmarkStart w:id="46" w:name="_Toc19816"/>
      <w:bookmarkStart w:id="47" w:name="_Toc26890"/>
      <w:r>
        <w:rPr>
          <w:rFonts w:hint="eastAsia" w:ascii="仿宋" w:hAnsi="仿宋" w:eastAsia="仿宋" w:cs="仿宋"/>
          <w:color w:val="000000"/>
          <w:kern w:val="0"/>
          <w:sz w:val="24"/>
          <w:szCs w:val="24"/>
          <w:highlight w:val="none"/>
          <w:lang w:val="en-US" w:eastAsia="zh-CN" w:bidi="ar"/>
        </w:rPr>
        <w:t>6  授权委托书</w:t>
      </w:r>
      <w:bookmarkEnd w:id="46"/>
      <w:bookmarkEnd w:id="47"/>
      <w:r>
        <w:rPr>
          <w:rFonts w:hint="eastAsia" w:ascii="仿宋" w:hAnsi="仿宋" w:eastAsia="仿宋" w:cs="仿宋"/>
          <w:color w:val="000000"/>
          <w:kern w:val="0"/>
          <w:sz w:val="24"/>
          <w:szCs w:val="24"/>
          <w:highlight w:val="none"/>
          <w:lang w:val="en-US" w:eastAsia="zh-CN" w:bidi="ar"/>
        </w:rPr>
        <w:t xml:space="preserve"> </w:t>
      </w:r>
    </w:p>
    <w:p w14:paraId="4426C10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highlight w:val="none"/>
          <w:lang w:val="en-US" w:eastAsia="zh-CN" w:bidi="ar"/>
        </w:rPr>
      </w:pPr>
      <w:r>
        <w:rPr>
          <w:rFonts w:hint="eastAsia" w:ascii="仿宋" w:hAnsi="仿宋" w:eastAsia="仿宋" w:cs="仿宋"/>
          <w:b/>
          <w:bCs/>
          <w:color w:val="000000"/>
          <w:kern w:val="0"/>
          <w:sz w:val="32"/>
          <w:szCs w:val="32"/>
          <w:highlight w:val="none"/>
          <w:lang w:val="en-US" w:eastAsia="zh-CN" w:bidi="ar"/>
        </w:rPr>
        <w:t>授权委托书</w:t>
      </w:r>
    </w:p>
    <w:p w14:paraId="22B5A195">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本人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（姓名）系</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（供应商名称）的法定代表人（单位负责人），现委托</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（姓名）为我方代理人。代理人根据授权，以我方名义签署、澄清确认、递交、撤回、修改</w:t>
      </w:r>
      <w:r>
        <w:rPr>
          <w:rFonts w:hint="eastAsia" w:ascii="仿宋" w:hAnsi="仿宋" w:eastAsia="仿宋" w:cs="仿宋"/>
          <w:color w:val="000000"/>
          <w:kern w:val="0"/>
          <w:sz w:val="24"/>
          <w:szCs w:val="24"/>
          <w:highlight w:val="none"/>
          <w:u w:val="single"/>
          <w:lang w:val="en-US" w:eastAsia="zh-CN" w:bidi="ar"/>
        </w:rPr>
        <w:t xml:space="preserve">        （项目名称、项目编号、包/标段号）</w:t>
      </w:r>
      <w:r>
        <w:rPr>
          <w:rFonts w:hint="eastAsia" w:ascii="仿宋" w:hAnsi="仿宋" w:eastAsia="仿宋" w:cs="仿宋"/>
          <w:color w:val="000000"/>
          <w:kern w:val="0"/>
          <w:sz w:val="24"/>
          <w:szCs w:val="24"/>
          <w:highlight w:val="none"/>
          <w:lang w:val="en-US" w:eastAsia="zh-CN" w:bidi="ar"/>
        </w:rPr>
        <w:t xml:space="preserve">响应文件和处理有关事宜，其法律后果由我方承担。 </w:t>
      </w:r>
    </w:p>
    <w:p w14:paraId="39C24B7A">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委托期限：自本授权委托书签署之日起至响应有效期届满之日止。 </w:t>
      </w:r>
    </w:p>
    <w:p w14:paraId="3425AF2D">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代理人无转委托权。 </w:t>
      </w:r>
    </w:p>
    <w:p w14:paraId="0A806F9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供应商名称（加盖公章）：</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52432F1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法定代表人（单位负责人）（签字或印鉴）：</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0A9EA08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委托代理人（签字或印鉴）：</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6C5BD0F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日期：</w:t>
      </w:r>
      <w:r>
        <w:rPr>
          <w:rFonts w:hint="eastAsia" w:ascii="仿宋" w:hAnsi="仿宋" w:eastAsia="仿宋" w:cs="仿宋"/>
          <w:color w:val="000000"/>
          <w:kern w:val="0"/>
          <w:sz w:val="24"/>
          <w:szCs w:val="24"/>
          <w:highlight w:val="none"/>
          <w:u w:val="single"/>
          <w:lang w:val="en-US" w:eastAsia="zh-CN" w:bidi="ar"/>
        </w:rPr>
        <w:t xml:space="preserve">   年    月    日</w:t>
      </w:r>
      <w:r>
        <w:rPr>
          <w:rFonts w:hint="eastAsia" w:ascii="仿宋" w:hAnsi="仿宋" w:eastAsia="仿宋" w:cs="仿宋"/>
          <w:color w:val="000000"/>
          <w:kern w:val="0"/>
          <w:sz w:val="24"/>
          <w:szCs w:val="24"/>
          <w:highlight w:val="none"/>
          <w:lang w:val="en-US" w:eastAsia="zh-CN" w:bidi="ar"/>
        </w:rPr>
        <w:t xml:space="preserve"> </w:t>
      </w:r>
    </w:p>
    <w:p w14:paraId="0610030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620CC1A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法定代表人（单位负责人）有效期内的身份证</w:t>
      </w:r>
      <w:r>
        <w:rPr>
          <w:rFonts w:hint="eastAsia" w:ascii="仿宋" w:hAnsi="仿宋" w:eastAsia="仿宋" w:cs="仿宋"/>
          <w:b/>
          <w:bCs/>
          <w:color w:val="000000"/>
          <w:kern w:val="0"/>
          <w:sz w:val="24"/>
          <w:szCs w:val="24"/>
          <w:highlight w:val="none"/>
          <w:lang w:val="en-US" w:eastAsia="zh-CN" w:bidi="ar"/>
        </w:rPr>
        <w:t>正反面</w:t>
      </w:r>
      <w:r>
        <w:rPr>
          <w:rFonts w:hint="eastAsia" w:ascii="仿宋" w:hAnsi="仿宋" w:eastAsia="仿宋" w:cs="仿宋"/>
          <w:color w:val="000000"/>
          <w:kern w:val="0"/>
          <w:sz w:val="24"/>
          <w:szCs w:val="24"/>
          <w:highlight w:val="none"/>
          <w:lang w:val="en-US" w:eastAsia="zh-CN" w:bidi="ar"/>
        </w:rPr>
        <w:t xml:space="preserve">复印件：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F76E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4261" w:type="dxa"/>
          </w:tcPr>
          <w:p w14:paraId="7C7FD04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vertAlign w:val="baseline"/>
                <w:lang w:val="en-US" w:eastAsia="zh-CN" w:bidi="ar"/>
              </w:rPr>
            </w:pPr>
          </w:p>
        </w:tc>
        <w:tc>
          <w:tcPr>
            <w:tcW w:w="4261" w:type="dxa"/>
          </w:tcPr>
          <w:p w14:paraId="5A7FD6D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vertAlign w:val="baseline"/>
                <w:lang w:val="en-US" w:eastAsia="zh-CN" w:bidi="ar"/>
              </w:rPr>
            </w:pPr>
          </w:p>
        </w:tc>
      </w:tr>
    </w:tbl>
    <w:p w14:paraId="2C6A9CB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委托代理人有效期内的身份证</w:t>
      </w:r>
      <w:r>
        <w:rPr>
          <w:rFonts w:hint="eastAsia" w:ascii="仿宋" w:hAnsi="仿宋" w:eastAsia="仿宋" w:cs="仿宋"/>
          <w:b/>
          <w:bCs/>
          <w:color w:val="000000"/>
          <w:kern w:val="0"/>
          <w:sz w:val="24"/>
          <w:szCs w:val="24"/>
          <w:highlight w:val="none"/>
          <w:lang w:val="en-US" w:eastAsia="zh-CN" w:bidi="ar"/>
        </w:rPr>
        <w:t>正反面</w:t>
      </w:r>
      <w:r>
        <w:rPr>
          <w:rFonts w:hint="eastAsia" w:ascii="仿宋" w:hAnsi="仿宋" w:eastAsia="仿宋" w:cs="仿宋"/>
          <w:color w:val="000000"/>
          <w:kern w:val="0"/>
          <w:sz w:val="24"/>
          <w:szCs w:val="24"/>
          <w:highlight w:val="none"/>
          <w:lang w:val="en-US" w:eastAsia="zh-CN" w:bidi="ar"/>
        </w:rPr>
        <w:t xml:space="preserve">复印件：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79A4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4261" w:type="dxa"/>
          </w:tcPr>
          <w:p w14:paraId="1A53C6A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vertAlign w:val="baseline"/>
                <w:lang w:val="en-US" w:eastAsia="zh-CN" w:bidi="ar"/>
              </w:rPr>
            </w:pPr>
          </w:p>
        </w:tc>
        <w:tc>
          <w:tcPr>
            <w:tcW w:w="4261" w:type="dxa"/>
          </w:tcPr>
          <w:p w14:paraId="6B627AB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vertAlign w:val="baseline"/>
                <w:lang w:val="en-US" w:eastAsia="zh-CN" w:bidi="ar"/>
              </w:rPr>
            </w:pPr>
          </w:p>
        </w:tc>
      </w:tr>
    </w:tbl>
    <w:p w14:paraId="2FDF25A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说明：1.若供应商为事业单位或其他组织或分支机构（仅当采购文件注明允许分支机构投标的），则法定代表人（单位负责人）处的签署人可为单位负责人。 </w:t>
      </w:r>
    </w:p>
    <w:p w14:paraId="482BB55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2.若投标文件中签字之处均为法定代表人（单位负责人）本人签署，则可不提供本《授权委托书》，但须提供《法定代表人（单位负责人）身份证明》。 </w:t>
      </w:r>
    </w:p>
    <w:p w14:paraId="1842049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sz w:val="24"/>
          <w:szCs w:val="24"/>
          <w:highlight w:val="none"/>
        </w:rPr>
      </w:pPr>
      <w:bookmarkStart w:id="48" w:name="_Toc19808"/>
      <w:bookmarkStart w:id="49" w:name="_Toc24165"/>
      <w:r>
        <w:rPr>
          <w:rFonts w:hint="eastAsia" w:ascii="仿宋" w:hAnsi="仿宋" w:eastAsia="仿宋" w:cs="仿宋"/>
          <w:color w:val="000000"/>
          <w:kern w:val="0"/>
          <w:sz w:val="24"/>
          <w:szCs w:val="24"/>
          <w:highlight w:val="none"/>
          <w:lang w:val="en-US" w:eastAsia="zh-CN" w:bidi="ar"/>
        </w:rPr>
        <w:t>3.供应商为自然人的情形，可不提供本《授权委托书》。</w:t>
      </w:r>
      <w:bookmarkEnd w:id="48"/>
      <w:bookmarkEnd w:id="49"/>
    </w:p>
    <w:p w14:paraId="48F771BA">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005084D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val="en-US" w:eastAsia="zh-CN" w:bidi="ar"/>
        </w:rPr>
        <w:t>附：法定代表人（单位负责人）身份证明</w:t>
      </w:r>
    </w:p>
    <w:p w14:paraId="6D29FF9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629D35F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致：</w:t>
      </w:r>
      <w:r>
        <w:rPr>
          <w:rFonts w:hint="eastAsia" w:ascii="仿宋" w:hAnsi="仿宋" w:eastAsia="仿宋" w:cs="仿宋"/>
          <w:color w:val="000000"/>
          <w:kern w:val="0"/>
          <w:sz w:val="24"/>
          <w:szCs w:val="24"/>
          <w:highlight w:val="none"/>
          <w:u w:val="single"/>
          <w:lang w:val="en-US" w:eastAsia="zh-CN" w:bidi="ar"/>
        </w:rPr>
        <w:t xml:space="preserve">（采购人或采购代理机构） </w:t>
      </w:r>
    </w:p>
    <w:p w14:paraId="0CA91213">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兹证明， </w:t>
      </w:r>
    </w:p>
    <w:p w14:paraId="70FB1D8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000000"/>
          <w:kern w:val="0"/>
          <w:sz w:val="24"/>
          <w:szCs w:val="24"/>
          <w:highlight w:val="none"/>
          <w:u w:val="single"/>
          <w:lang w:val="en-US" w:eastAsia="zh-CN" w:bidi="ar"/>
        </w:rPr>
      </w:pPr>
      <w:r>
        <w:rPr>
          <w:rFonts w:hint="eastAsia" w:ascii="仿宋" w:hAnsi="仿宋" w:eastAsia="仿宋" w:cs="仿宋"/>
          <w:color w:val="000000"/>
          <w:kern w:val="0"/>
          <w:sz w:val="24"/>
          <w:szCs w:val="24"/>
          <w:highlight w:val="none"/>
          <w:lang w:val="en-US" w:eastAsia="zh-CN" w:bidi="ar"/>
        </w:rPr>
        <w:t>姓名：</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性别：</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年龄：</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职务：</w:t>
      </w:r>
      <w:r>
        <w:rPr>
          <w:rFonts w:hint="eastAsia" w:ascii="仿宋" w:hAnsi="仿宋" w:eastAsia="仿宋" w:cs="仿宋"/>
          <w:color w:val="000000"/>
          <w:kern w:val="0"/>
          <w:sz w:val="24"/>
          <w:szCs w:val="24"/>
          <w:highlight w:val="none"/>
          <w:u w:val="single"/>
          <w:lang w:val="en-US" w:eastAsia="zh-CN" w:bidi="ar"/>
        </w:rPr>
        <w:t xml:space="preserve">     </w:t>
      </w:r>
    </w:p>
    <w:p w14:paraId="7EE10A01">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系</w:t>
      </w:r>
      <w:r>
        <w:rPr>
          <w:rFonts w:hint="eastAsia" w:ascii="仿宋" w:hAnsi="仿宋" w:eastAsia="仿宋" w:cs="仿宋"/>
          <w:color w:val="000000"/>
          <w:kern w:val="0"/>
          <w:sz w:val="24"/>
          <w:szCs w:val="24"/>
          <w:highlight w:val="none"/>
          <w:u w:val="single"/>
          <w:lang w:val="en-US" w:eastAsia="zh-CN" w:bidi="ar"/>
        </w:rPr>
        <w:t xml:space="preserve">       （供应商名称）</w:t>
      </w:r>
      <w:r>
        <w:rPr>
          <w:rFonts w:hint="eastAsia" w:ascii="仿宋" w:hAnsi="仿宋" w:eastAsia="仿宋" w:cs="仿宋"/>
          <w:color w:val="000000"/>
          <w:kern w:val="0"/>
          <w:sz w:val="24"/>
          <w:szCs w:val="24"/>
          <w:highlight w:val="none"/>
          <w:lang w:val="en-US" w:eastAsia="zh-CN" w:bidi="ar"/>
        </w:rPr>
        <w:t xml:space="preserve">的法定代表人（单位负责人）。 </w:t>
      </w:r>
    </w:p>
    <w:p w14:paraId="44A9898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5AC359F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501D256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附：法定代表人（单位负责人）有效期内的身份证</w:t>
      </w:r>
      <w:r>
        <w:rPr>
          <w:rFonts w:hint="eastAsia" w:ascii="仿宋" w:hAnsi="仿宋" w:eastAsia="仿宋" w:cs="仿宋"/>
          <w:b/>
          <w:bCs/>
          <w:color w:val="000000"/>
          <w:kern w:val="0"/>
          <w:sz w:val="24"/>
          <w:szCs w:val="24"/>
          <w:highlight w:val="none"/>
          <w:lang w:val="en-US" w:eastAsia="zh-CN" w:bidi="ar"/>
        </w:rPr>
        <w:t>正反面</w:t>
      </w:r>
      <w:r>
        <w:rPr>
          <w:rFonts w:hint="eastAsia" w:ascii="仿宋" w:hAnsi="仿宋" w:eastAsia="仿宋" w:cs="仿宋"/>
          <w:color w:val="000000"/>
          <w:kern w:val="0"/>
          <w:sz w:val="24"/>
          <w:szCs w:val="24"/>
          <w:highlight w:val="none"/>
          <w:lang w:val="en-US" w:eastAsia="zh-CN" w:bidi="ar"/>
        </w:rPr>
        <w:t xml:space="preserve">复印件。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38A6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4261" w:type="dxa"/>
          </w:tcPr>
          <w:p w14:paraId="661FBCC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4261" w:type="dxa"/>
          </w:tcPr>
          <w:p w14:paraId="1E7E9FB8">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vertAlign w:val="baseline"/>
                <w:lang w:val="en-US" w:eastAsia="zh-CN" w:bidi="ar"/>
              </w:rPr>
            </w:pPr>
          </w:p>
        </w:tc>
      </w:tr>
    </w:tbl>
    <w:p w14:paraId="3920822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lang w:val="en-US" w:eastAsia="zh-CN" w:bidi="ar"/>
        </w:rPr>
      </w:pPr>
    </w:p>
    <w:p w14:paraId="2BE19C2D">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lang w:val="en-US" w:eastAsia="zh-CN" w:bidi="ar"/>
        </w:rPr>
      </w:pPr>
    </w:p>
    <w:p w14:paraId="0653826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供应商名称（加盖公章）：</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401A20E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法定代表人（单位负责人）（签字或印鉴）：</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5025223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日期：</w:t>
      </w:r>
      <w:r>
        <w:rPr>
          <w:rFonts w:hint="eastAsia" w:ascii="仿宋" w:hAnsi="仿宋" w:eastAsia="仿宋" w:cs="仿宋"/>
          <w:color w:val="000000"/>
          <w:kern w:val="0"/>
          <w:sz w:val="24"/>
          <w:szCs w:val="24"/>
          <w:highlight w:val="none"/>
          <w:u w:val="single"/>
          <w:lang w:val="en-US" w:eastAsia="zh-CN" w:bidi="ar"/>
        </w:rPr>
        <w:t xml:space="preserve">    年    月    日</w:t>
      </w:r>
    </w:p>
    <w:p w14:paraId="018159C3">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lang w:val="en-US" w:eastAsia="zh-CN" w:bidi="ar"/>
        </w:rPr>
      </w:pPr>
    </w:p>
    <w:p w14:paraId="55107E68">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71ECD1DB">
      <w:pPr>
        <w:outlineLvl w:val="1"/>
        <w:rPr>
          <w:rFonts w:hint="eastAsia" w:ascii="仿宋" w:hAnsi="仿宋" w:eastAsia="仿宋" w:cs="仿宋"/>
          <w:sz w:val="24"/>
          <w:szCs w:val="24"/>
          <w:highlight w:val="none"/>
          <w:lang w:val="en-US" w:eastAsia="zh-CN"/>
        </w:rPr>
      </w:pPr>
      <w:bookmarkStart w:id="50" w:name="_Toc18742"/>
      <w:bookmarkStart w:id="51" w:name="_Toc26817"/>
      <w:r>
        <w:rPr>
          <w:rFonts w:hint="eastAsia" w:ascii="仿宋" w:hAnsi="仿宋" w:eastAsia="仿宋" w:cs="仿宋"/>
          <w:sz w:val="24"/>
          <w:szCs w:val="24"/>
          <w:highlight w:val="none"/>
          <w:lang w:val="en-US" w:eastAsia="zh-CN"/>
        </w:rPr>
        <w:t>7  报价一览表</w:t>
      </w:r>
      <w:bookmarkEnd w:id="50"/>
      <w:bookmarkEnd w:id="51"/>
    </w:p>
    <w:p w14:paraId="562A3465">
      <w:pPr>
        <w:rPr>
          <w:rFonts w:hint="eastAsia" w:ascii="仿宋" w:hAnsi="仿宋" w:eastAsia="仿宋" w:cs="仿宋"/>
          <w:highlight w:val="none"/>
          <w:lang w:val="en-US" w:eastAsia="zh-CN"/>
        </w:rPr>
      </w:pPr>
    </w:p>
    <w:p w14:paraId="25F3397C">
      <w:pPr>
        <w:jc w:val="center"/>
        <w:rPr>
          <w:rFonts w:hint="eastAsia" w:ascii="仿宋" w:hAnsi="仿宋" w:eastAsia="仿宋" w:cs="仿宋"/>
          <w:highlight w:val="none"/>
          <w:lang w:val="en-US" w:eastAsia="zh-CN"/>
        </w:rPr>
      </w:pPr>
      <w:r>
        <w:rPr>
          <w:rFonts w:hint="eastAsia" w:ascii="仿宋" w:hAnsi="仿宋" w:eastAsia="仿宋" w:cs="仿宋"/>
          <w:b/>
          <w:bCs/>
          <w:sz w:val="32"/>
          <w:szCs w:val="32"/>
          <w:highlight w:val="none"/>
          <w:lang w:val="en-US" w:eastAsia="zh-CN"/>
        </w:rPr>
        <w:t>首次报价表</w:t>
      </w:r>
    </w:p>
    <w:p w14:paraId="0EE677C6">
      <w:pPr>
        <w:rPr>
          <w:rFonts w:hint="eastAsia" w:ascii="仿宋" w:hAnsi="仿宋" w:eastAsia="仿宋" w:cs="仿宋"/>
          <w:highlight w:val="none"/>
          <w:lang w:val="en-US" w:eastAsia="zh-CN"/>
        </w:rPr>
      </w:pPr>
    </w:p>
    <w:p w14:paraId="56181771">
      <w:pPr>
        <w:rPr>
          <w:rFonts w:hint="eastAsia" w:ascii="仿宋" w:hAnsi="仿宋" w:eastAsia="仿宋" w:cs="仿宋"/>
          <w:highlight w:val="none"/>
          <w:lang w:val="en-US" w:eastAsia="zh-CN"/>
        </w:rPr>
      </w:pPr>
      <w:r>
        <w:rPr>
          <w:rFonts w:hint="eastAsia" w:ascii="仿宋" w:hAnsi="仿宋" w:eastAsia="仿宋" w:cs="仿宋"/>
          <w:sz w:val="21"/>
          <w:szCs w:val="21"/>
          <w:highlight w:val="none"/>
          <w:lang w:val="en-US" w:eastAsia="zh-CN"/>
        </w:rPr>
        <w:t>项目编号/包（标项）号：</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u w:val="none"/>
          <w:lang w:val="en-US" w:eastAsia="zh-CN"/>
        </w:rPr>
        <w:t xml:space="preserve">     </w:t>
      </w:r>
      <w:r>
        <w:rPr>
          <w:rFonts w:hint="eastAsia" w:ascii="仿宋" w:hAnsi="仿宋" w:eastAsia="仿宋" w:cs="仿宋"/>
          <w:sz w:val="21"/>
          <w:szCs w:val="21"/>
          <w:highlight w:val="none"/>
          <w:lang w:val="en-US" w:eastAsia="zh-CN"/>
        </w:rPr>
        <w:t>项目名称：</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highlight w:val="none"/>
          <w:u w:val="single"/>
          <w:lang w:val="en-US" w:eastAsia="zh-CN"/>
        </w:rPr>
        <w:t xml:space="preserve">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9"/>
        <w:gridCol w:w="2951"/>
        <w:gridCol w:w="2131"/>
        <w:gridCol w:w="2131"/>
      </w:tblGrid>
      <w:tr w14:paraId="0466E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Merge w:val="restart"/>
            <w:vAlign w:val="center"/>
          </w:tcPr>
          <w:p w14:paraId="5BFB72E3">
            <w:pPr>
              <w:pStyle w:val="30"/>
              <w:ind w:left="0" w:leftChars="0" w:firstLine="0" w:firstLineChars="0"/>
              <w:jc w:val="center"/>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序号</w:t>
            </w:r>
          </w:p>
        </w:tc>
        <w:tc>
          <w:tcPr>
            <w:tcW w:w="2951" w:type="dxa"/>
            <w:vMerge w:val="restart"/>
            <w:vAlign w:val="center"/>
          </w:tcPr>
          <w:p w14:paraId="7DB14140">
            <w:pPr>
              <w:pStyle w:val="30"/>
              <w:ind w:left="0" w:leftChars="0" w:firstLine="0" w:firstLineChars="0"/>
              <w:jc w:val="center"/>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供应商名称</w:t>
            </w:r>
          </w:p>
        </w:tc>
        <w:tc>
          <w:tcPr>
            <w:tcW w:w="4262" w:type="dxa"/>
            <w:gridSpan w:val="2"/>
            <w:vAlign w:val="center"/>
          </w:tcPr>
          <w:p w14:paraId="6925A01C">
            <w:pPr>
              <w:pStyle w:val="30"/>
              <w:ind w:left="0" w:leftChars="0" w:firstLine="0" w:firstLineChars="0"/>
              <w:jc w:val="center"/>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响应报价（折扣率%）</w:t>
            </w:r>
          </w:p>
        </w:tc>
      </w:tr>
      <w:tr w14:paraId="678C3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Merge w:val="continue"/>
            <w:vAlign w:val="center"/>
          </w:tcPr>
          <w:p w14:paraId="7A443018">
            <w:pPr>
              <w:pStyle w:val="30"/>
              <w:jc w:val="center"/>
              <w:rPr>
                <w:rFonts w:hint="eastAsia" w:ascii="仿宋" w:hAnsi="仿宋" w:eastAsia="仿宋" w:cs="仿宋"/>
                <w:b/>
                <w:bCs/>
                <w:sz w:val="21"/>
                <w:szCs w:val="21"/>
                <w:highlight w:val="none"/>
                <w:vertAlign w:val="baseline"/>
                <w:lang w:val="en-US" w:eastAsia="zh-CN"/>
              </w:rPr>
            </w:pPr>
          </w:p>
        </w:tc>
        <w:tc>
          <w:tcPr>
            <w:tcW w:w="2951" w:type="dxa"/>
            <w:vMerge w:val="continue"/>
            <w:vAlign w:val="center"/>
          </w:tcPr>
          <w:p w14:paraId="269B3441">
            <w:pPr>
              <w:pStyle w:val="30"/>
              <w:jc w:val="center"/>
              <w:rPr>
                <w:rFonts w:hint="eastAsia" w:ascii="仿宋" w:hAnsi="仿宋" w:eastAsia="仿宋" w:cs="仿宋"/>
                <w:b/>
                <w:bCs/>
                <w:sz w:val="21"/>
                <w:szCs w:val="21"/>
                <w:highlight w:val="none"/>
                <w:vertAlign w:val="baseline"/>
                <w:lang w:val="en-US" w:eastAsia="zh-CN"/>
              </w:rPr>
            </w:pPr>
          </w:p>
        </w:tc>
        <w:tc>
          <w:tcPr>
            <w:tcW w:w="2131" w:type="dxa"/>
            <w:vAlign w:val="center"/>
          </w:tcPr>
          <w:p w14:paraId="6C8EC35F">
            <w:pPr>
              <w:pStyle w:val="30"/>
              <w:ind w:left="0" w:leftChars="0" w:firstLine="0" w:firstLineChars="0"/>
              <w:jc w:val="center"/>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大写</w:t>
            </w:r>
          </w:p>
        </w:tc>
        <w:tc>
          <w:tcPr>
            <w:tcW w:w="2131" w:type="dxa"/>
            <w:vAlign w:val="center"/>
          </w:tcPr>
          <w:p w14:paraId="6F0FBC3D">
            <w:pPr>
              <w:pStyle w:val="30"/>
              <w:ind w:left="0" w:leftChars="0" w:firstLine="0" w:firstLineChars="0"/>
              <w:jc w:val="center"/>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小写</w:t>
            </w:r>
          </w:p>
        </w:tc>
      </w:tr>
      <w:tr w14:paraId="3B561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309" w:type="dxa"/>
            <w:vAlign w:val="center"/>
          </w:tcPr>
          <w:p w14:paraId="0E87CAEE">
            <w:pPr>
              <w:pStyle w:val="30"/>
              <w:jc w:val="center"/>
              <w:rPr>
                <w:rFonts w:hint="eastAsia" w:ascii="仿宋" w:hAnsi="仿宋" w:eastAsia="仿宋" w:cs="仿宋"/>
                <w:sz w:val="21"/>
                <w:szCs w:val="21"/>
                <w:highlight w:val="none"/>
                <w:vertAlign w:val="baseline"/>
                <w:lang w:val="en-US" w:eastAsia="zh-CN"/>
              </w:rPr>
            </w:pPr>
          </w:p>
        </w:tc>
        <w:tc>
          <w:tcPr>
            <w:tcW w:w="2951" w:type="dxa"/>
            <w:vAlign w:val="center"/>
          </w:tcPr>
          <w:p w14:paraId="74593E9F">
            <w:pPr>
              <w:pStyle w:val="30"/>
              <w:jc w:val="center"/>
              <w:rPr>
                <w:rFonts w:hint="eastAsia" w:ascii="仿宋" w:hAnsi="仿宋" w:eastAsia="仿宋" w:cs="仿宋"/>
                <w:sz w:val="21"/>
                <w:szCs w:val="21"/>
                <w:highlight w:val="none"/>
                <w:vertAlign w:val="baseline"/>
                <w:lang w:val="en-US" w:eastAsia="zh-CN"/>
              </w:rPr>
            </w:pPr>
          </w:p>
        </w:tc>
        <w:tc>
          <w:tcPr>
            <w:tcW w:w="2131" w:type="dxa"/>
            <w:vAlign w:val="center"/>
          </w:tcPr>
          <w:p w14:paraId="6828C1D5">
            <w:pPr>
              <w:pStyle w:val="30"/>
              <w:jc w:val="center"/>
              <w:rPr>
                <w:rFonts w:hint="eastAsia" w:ascii="仿宋" w:hAnsi="仿宋" w:eastAsia="仿宋" w:cs="仿宋"/>
                <w:sz w:val="21"/>
                <w:szCs w:val="21"/>
                <w:highlight w:val="none"/>
                <w:vertAlign w:val="baseline"/>
                <w:lang w:val="en-US" w:eastAsia="zh-CN"/>
              </w:rPr>
            </w:pPr>
          </w:p>
        </w:tc>
        <w:tc>
          <w:tcPr>
            <w:tcW w:w="2131" w:type="dxa"/>
            <w:vAlign w:val="center"/>
          </w:tcPr>
          <w:p w14:paraId="76618D1A">
            <w:pPr>
              <w:pStyle w:val="30"/>
              <w:jc w:val="center"/>
              <w:rPr>
                <w:rFonts w:hint="eastAsia" w:ascii="仿宋" w:hAnsi="仿宋" w:eastAsia="仿宋" w:cs="仿宋"/>
                <w:sz w:val="21"/>
                <w:szCs w:val="21"/>
                <w:highlight w:val="none"/>
                <w:vertAlign w:val="baseline"/>
                <w:lang w:val="en-US" w:eastAsia="zh-CN"/>
              </w:rPr>
            </w:pPr>
          </w:p>
        </w:tc>
      </w:tr>
      <w:tr w14:paraId="2BD7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8522" w:type="dxa"/>
            <w:gridSpan w:val="4"/>
            <w:vAlign w:val="center"/>
          </w:tcPr>
          <w:p w14:paraId="7BE4D9EB">
            <w:pPr>
              <w:pStyle w:val="30"/>
              <w:ind w:left="0" w:leftChars="0" w:firstLine="0" w:firstLineChars="0"/>
              <w:jc w:val="both"/>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备注：</w:t>
            </w:r>
          </w:p>
        </w:tc>
      </w:tr>
    </w:tbl>
    <w:p w14:paraId="4B0E32CA">
      <w:pPr>
        <w:pStyle w:val="30"/>
        <w:ind w:left="0" w:leftChars="0" w:firstLine="0" w:firstLineChars="0"/>
        <w:rPr>
          <w:rFonts w:hint="eastAsia" w:ascii="仿宋" w:hAnsi="仿宋" w:eastAsia="仿宋" w:cs="仿宋"/>
          <w:highlight w:val="none"/>
          <w:lang w:val="en-US" w:eastAsia="zh-CN"/>
        </w:rPr>
      </w:pPr>
    </w:p>
    <w:p w14:paraId="3D2B8936">
      <w:pPr>
        <w:widowControl w:val="0"/>
        <w:spacing w:line="360" w:lineRule="auto"/>
        <w:ind w:firstLine="210" w:firstLineChars="100"/>
        <w:jc w:val="both"/>
        <w:rPr>
          <w:rFonts w:hint="eastAsia" w:ascii="仿宋" w:hAnsi="仿宋" w:eastAsia="仿宋" w:cs="仿宋"/>
          <w:kern w:val="2"/>
          <w:sz w:val="21"/>
          <w:szCs w:val="24"/>
          <w:highlight w:val="none"/>
          <w:lang w:val="en-US" w:eastAsia="zh-CN" w:bidi="zh-CN"/>
        </w:rPr>
      </w:pPr>
      <w:r>
        <w:rPr>
          <w:rFonts w:hint="eastAsia" w:ascii="仿宋" w:hAnsi="仿宋" w:eastAsia="仿宋" w:cs="仿宋"/>
          <w:kern w:val="2"/>
          <w:sz w:val="21"/>
          <w:szCs w:val="24"/>
          <w:highlight w:val="none"/>
          <w:lang w:val="en-US" w:eastAsia="zh-CN" w:bidi="zh-CN"/>
        </w:rPr>
        <w:t>注：1.此表中，每包（标项）的响应报价应和《分项报价表》中的总价相一致。</w:t>
      </w:r>
    </w:p>
    <w:p w14:paraId="71863F9A">
      <w:pPr>
        <w:widowControl w:val="0"/>
        <w:numPr>
          <w:ilvl w:val="0"/>
          <w:numId w:val="14"/>
        </w:numPr>
        <w:spacing w:line="360" w:lineRule="auto"/>
        <w:ind w:left="0" w:leftChars="0" w:firstLine="0" w:firstLineChars="0"/>
        <w:jc w:val="both"/>
        <w:outlineLvl w:val="1"/>
        <w:rPr>
          <w:rFonts w:hint="eastAsia" w:ascii="仿宋" w:hAnsi="仿宋" w:eastAsia="仿宋" w:cs="仿宋"/>
          <w:kern w:val="2"/>
          <w:sz w:val="21"/>
          <w:szCs w:val="24"/>
          <w:highlight w:val="none"/>
          <w:lang w:val="en-US" w:eastAsia="zh-CN" w:bidi="zh-CN"/>
        </w:rPr>
      </w:pPr>
      <w:bookmarkStart w:id="52" w:name="_Toc16486"/>
      <w:bookmarkStart w:id="53" w:name="_Toc28372"/>
      <w:r>
        <w:rPr>
          <w:rFonts w:hint="eastAsia" w:ascii="仿宋" w:hAnsi="仿宋" w:eastAsia="仿宋" w:cs="仿宋"/>
          <w:kern w:val="2"/>
          <w:sz w:val="21"/>
          <w:szCs w:val="24"/>
          <w:highlight w:val="none"/>
          <w:lang w:val="en-US" w:eastAsia="zh-CN" w:bidi="zh-CN"/>
        </w:rPr>
        <w:t>本表必须按包（标项）分别填写。</w:t>
      </w:r>
      <w:bookmarkEnd w:id="52"/>
      <w:bookmarkEnd w:id="53"/>
    </w:p>
    <w:p w14:paraId="11883999">
      <w:pPr>
        <w:widowControl w:val="0"/>
        <w:numPr>
          <w:ilvl w:val="0"/>
          <w:numId w:val="0"/>
        </w:numPr>
        <w:spacing w:line="360" w:lineRule="auto"/>
        <w:ind w:leftChars="0"/>
        <w:jc w:val="both"/>
        <w:outlineLvl w:val="1"/>
        <w:rPr>
          <w:rFonts w:hint="eastAsia" w:ascii="仿宋" w:hAnsi="仿宋" w:eastAsia="仿宋" w:cs="仿宋"/>
          <w:kern w:val="2"/>
          <w:sz w:val="21"/>
          <w:szCs w:val="24"/>
          <w:highlight w:val="none"/>
          <w:lang w:val="en-US" w:eastAsia="zh-CN" w:bidi="zh-CN"/>
        </w:rPr>
      </w:pPr>
      <w:r>
        <w:rPr>
          <w:rFonts w:hint="eastAsia" w:ascii="仿宋" w:hAnsi="仿宋" w:eastAsia="仿宋" w:cs="仿宋"/>
          <w:kern w:val="2"/>
          <w:sz w:val="21"/>
          <w:szCs w:val="24"/>
          <w:highlight w:val="none"/>
          <w:lang w:val="en-US" w:eastAsia="zh-CN" w:bidi="zh-CN"/>
        </w:rPr>
        <w:t>3.报价形式：折扣率。发放的蛋糕卡面值300元，但各供应商需提供优惠折扣；例折扣率为95%，即面值300元蛋糕卡券实际可在店面购买316元商品（300/95%=316）；折扣率为90%，即面值300元蛋糕卡券实际可在店面购买333元商品（300/90%=333）、折扣率为85%，即面值300元蛋糕卡券实际可在店面购买353元商品（300/85%=353）。（金额四舍五入）不得设定使用限制。</w:t>
      </w:r>
    </w:p>
    <w:p w14:paraId="4DD4B737">
      <w:pPr>
        <w:widowControl w:val="0"/>
        <w:spacing w:line="360" w:lineRule="auto"/>
        <w:ind w:firstLine="210" w:firstLineChars="100"/>
        <w:jc w:val="both"/>
        <w:rPr>
          <w:rFonts w:hint="eastAsia" w:ascii="仿宋" w:hAnsi="仿宋" w:eastAsia="仿宋" w:cs="仿宋"/>
          <w:kern w:val="2"/>
          <w:sz w:val="21"/>
          <w:szCs w:val="24"/>
          <w:highlight w:val="none"/>
          <w:lang w:val="en-US" w:eastAsia="zh-CN" w:bidi="zh-CN"/>
        </w:rPr>
      </w:pPr>
    </w:p>
    <w:p w14:paraId="375E4726">
      <w:pPr>
        <w:widowControl w:val="0"/>
        <w:spacing w:line="360" w:lineRule="auto"/>
        <w:ind w:firstLine="240" w:firstLineChars="100"/>
        <w:jc w:val="both"/>
        <w:rPr>
          <w:rFonts w:hint="eastAsia" w:ascii="仿宋" w:hAnsi="仿宋" w:eastAsia="仿宋" w:cs="仿宋"/>
          <w:kern w:val="2"/>
          <w:sz w:val="24"/>
          <w:szCs w:val="24"/>
          <w:highlight w:val="none"/>
          <w:u w:val="single"/>
          <w:lang w:val="en-US" w:eastAsia="zh-CN" w:bidi="zh-CN"/>
        </w:rPr>
      </w:pPr>
      <w:r>
        <w:rPr>
          <w:rFonts w:hint="eastAsia" w:ascii="仿宋" w:hAnsi="仿宋" w:eastAsia="仿宋" w:cs="仿宋"/>
          <w:kern w:val="2"/>
          <w:sz w:val="24"/>
          <w:szCs w:val="24"/>
          <w:highlight w:val="none"/>
          <w:lang w:val="en-US" w:eastAsia="zh-CN" w:bidi="zh-CN"/>
        </w:rPr>
        <w:t xml:space="preserve">供应商名称（加盖公章）： </w:t>
      </w:r>
      <w:r>
        <w:rPr>
          <w:rFonts w:hint="eastAsia" w:ascii="仿宋" w:hAnsi="仿宋" w:eastAsia="仿宋" w:cs="仿宋"/>
          <w:kern w:val="2"/>
          <w:sz w:val="24"/>
          <w:szCs w:val="24"/>
          <w:highlight w:val="none"/>
          <w:u w:val="single"/>
          <w:lang w:val="en-US" w:eastAsia="zh-CN" w:bidi="zh-CN"/>
        </w:rPr>
        <w:t xml:space="preserve">                </w:t>
      </w:r>
    </w:p>
    <w:p w14:paraId="0DDACDC8">
      <w:pPr>
        <w:widowControl w:val="0"/>
        <w:spacing w:line="360" w:lineRule="auto"/>
        <w:ind w:firstLine="240" w:firstLineChars="100"/>
        <w:jc w:val="both"/>
        <w:rPr>
          <w:rFonts w:hint="eastAsia" w:ascii="仿宋" w:hAnsi="仿宋" w:eastAsia="仿宋" w:cs="仿宋"/>
          <w:kern w:val="2"/>
          <w:sz w:val="24"/>
          <w:szCs w:val="24"/>
          <w:highlight w:val="none"/>
          <w:lang w:val="en-US" w:eastAsia="zh-CN" w:bidi="zh-CN"/>
        </w:rPr>
      </w:pPr>
      <w:r>
        <w:rPr>
          <w:rFonts w:hint="eastAsia" w:ascii="仿宋" w:hAnsi="仿宋" w:eastAsia="仿宋" w:cs="仿宋"/>
          <w:kern w:val="2"/>
          <w:sz w:val="24"/>
          <w:szCs w:val="24"/>
          <w:highlight w:val="none"/>
          <w:lang w:val="en-US" w:eastAsia="zh-CN" w:bidi="zh-CN"/>
        </w:rPr>
        <w:t>日期：</w:t>
      </w:r>
      <w:r>
        <w:rPr>
          <w:rFonts w:hint="eastAsia" w:ascii="仿宋" w:hAnsi="仿宋" w:eastAsia="仿宋" w:cs="仿宋"/>
          <w:kern w:val="2"/>
          <w:sz w:val="24"/>
          <w:szCs w:val="24"/>
          <w:highlight w:val="none"/>
          <w:u w:val="single"/>
          <w:lang w:val="en-US" w:eastAsia="zh-CN" w:bidi="zh-CN"/>
        </w:rPr>
        <w:t xml:space="preserve">     年    月    日</w:t>
      </w:r>
    </w:p>
    <w:p w14:paraId="137C795B">
      <w:pPr>
        <w:pStyle w:val="26"/>
        <w:rPr>
          <w:rFonts w:hint="eastAsia" w:ascii="仿宋" w:hAnsi="仿宋" w:eastAsia="仿宋" w:cs="仿宋"/>
          <w:highlight w:val="none"/>
          <w:lang w:val="en-US" w:eastAsia="zh-CN"/>
        </w:rPr>
      </w:pPr>
    </w:p>
    <w:p w14:paraId="5D29B482">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42C7CE3D">
      <w:pPr>
        <w:pStyle w:val="30"/>
        <w:ind w:left="0" w:leftChars="0" w:firstLine="0" w:firstLineChars="0"/>
        <w:outlineLvl w:val="1"/>
        <w:rPr>
          <w:rFonts w:hint="eastAsia" w:ascii="仿宋" w:hAnsi="仿宋" w:eastAsia="仿宋" w:cs="仿宋"/>
          <w:sz w:val="24"/>
          <w:szCs w:val="24"/>
          <w:highlight w:val="none"/>
          <w:lang w:val="en-US" w:eastAsia="zh-CN"/>
        </w:rPr>
      </w:pPr>
      <w:bookmarkStart w:id="54" w:name="_Toc16619"/>
      <w:bookmarkStart w:id="55" w:name="_Toc32732"/>
      <w:r>
        <w:rPr>
          <w:rFonts w:hint="eastAsia" w:ascii="仿宋" w:hAnsi="仿宋" w:eastAsia="仿宋" w:cs="仿宋"/>
          <w:sz w:val="24"/>
          <w:szCs w:val="24"/>
          <w:highlight w:val="none"/>
          <w:lang w:val="en-US" w:eastAsia="zh-CN"/>
        </w:rPr>
        <w:t>7  分项报价表</w:t>
      </w:r>
      <w:bookmarkEnd w:id="54"/>
      <w:bookmarkEnd w:id="55"/>
    </w:p>
    <w:p w14:paraId="29B748EF">
      <w:pPr>
        <w:widowControl w:val="0"/>
        <w:spacing w:after="120" w:line="360" w:lineRule="auto"/>
        <w:ind w:left="0" w:leftChars="0" w:firstLine="0" w:firstLineChars="0"/>
        <w:jc w:val="center"/>
        <w:rPr>
          <w:rFonts w:hint="eastAsia" w:ascii="仿宋" w:hAnsi="仿宋" w:eastAsia="仿宋" w:cs="仿宋"/>
          <w:b/>
          <w:bCs/>
          <w:kern w:val="0"/>
          <w:sz w:val="32"/>
          <w:szCs w:val="32"/>
          <w:highlight w:val="none"/>
          <w:lang w:val="en-US" w:eastAsia="zh-CN" w:bidi="ar-SA"/>
        </w:rPr>
      </w:pPr>
      <w:r>
        <w:rPr>
          <w:rFonts w:hint="eastAsia" w:ascii="仿宋" w:hAnsi="仿宋" w:eastAsia="仿宋" w:cs="仿宋"/>
          <w:b/>
          <w:bCs/>
          <w:kern w:val="0"/>
          <w:sz w:val="32"/>
          <w:szCs w:val="32"/>
          <w:highlight w:val="none"/>
          <w:lang w:val="en-US" w:eastAsia="zh-CN" w:bidi="ar-SA"/>
        </w:rPr>
        <w:t>投标分项报价表（服务）</w:t>
      </w:r>
    </w:p>
    <w:p w14:paraId="0C3DE7F7">
      <w:pPr>
        <w:widowControl w:val="0"/>
        <w:spacing w:after="120" w:line="360" w:lineRule="auto"/>
        <w:ind w:left="0" w:leftChars="0" w:firstLine="0" w:firstLineChars="0"/>
        <w:jc w:val="center"/>
        <w:rPr>
          <w:rFonts w:hint="eastAsia" w:ascii="仿宋" w:hAnsi="仿宋" w:eastAsia="仿宋" w:cs="仿宋"/>
          <w:kern w:val="0"/>
          <w:sz w:val="21"/>
          <w:szCs w:val="24"/>
          <w:highlight w:val="none"/>
          <w:lang w:val="en-US" w:eastAsia="zh-CN" w:bidi="ar-SA"/>
        </w:rPr>
      </w:pPr>
    </w:p>
    <w:p w14:paraId="7BE52A0C">
      <w:pPr>
        <w:widowControl w:val="0"/>
        <w:spacing w:after="120" w:line="360" w:lineRule="auto"/>
        <w:ind w:left="0" w:leftChars="0" w:firstLine="0" w:firstLineChars="0"/>
        <w:jc w:val="center"/>
        <w:rPr>
          <w:rFonts w:hint="eastAsia" w:ascii="仿宋" w:hAnsi="仿宋" w:eastAsia="仿宋" w:cs="仿宋"/>
          <w:kern w:val="0"/>
          <w:sz w:val="21"/>
          <w:szCs w:val="24"/>
          <w:highlight w:val="none"/>
          <w:lang w:val="en-US" w:eastAsia="zh-CN" w:bidi="ar-SA"/>
        </w:rPr>
      </w:pPr>
      <w:r>
        <w:rPr>
          <w:rFonts w:hint="eastAsia" w:ascii="仿宋" w:hAnsi="仿宋" w:eastAsia="仿宋" w:cs="仿宋"/>
          <w:kern w:val="0"/>
          <w:sz w:val="21"/>
          <w:szCs w:val="24"/>
          <w:highlight w:val="none"/>
          <w:lang w:val="en-US" w:eastAsia="zh-CN" w:bidi="ar-SA"/>
        </w:rPr>
        <w:t>项目编号/包（标项）号：</w:t>
      </w:r>
      <w:r>
        <w:rPr>
          <w:rFonts w:hint="eastAsia" w:ascii="仿宋" w:hAnsi="仿宋" w:eastAsia="仿宋" w:cs="仿宋"/>
          <w:kern w:val="0"/>
          <w:sz w:val="21"/>
          <w:szCs w:val="24"/>
          <w:highlight w:val="none"/>
          <w:u w:val="single"/>
          <w:lang w:val="en-US" w:eastAsia="zh-CN" w:bidi="ar-SA"/>
        </w:rPr>
        <w:t xml:space="preserve">            </w:t>
      </w:r>
      <w:r>
        <w:rPr>
          <w:rFonts w:hint="eastAsia" w:ascii="仿宋" w:hAnsi="仿宋" w:eastAsia="仿宋" w:cs="仿宋"/>
          <w:kern w:val="0"/>
          <w:sz w:val="21"/>
          <w:szCs w:val="24"/>
          <w:highlight w:val="none"/>
          <w:lang w:val="en-US" w:eastAsia="zh-CN" w:bidi="ar-SA"/>
        </w:rPr>
        <w:t xml:space="preserve"> 项目名称：</w:t>
      </w:r>
      <w:r>
        <w:rPr>
          <w:rFonts w:hint="eastAsia" w:ascii="仿宋" w:hAnsi="仿宋" w:eastAsia="仿宋" w:cs="仿宋"/>
          <w:kern w:val="0"/>
          <w:sz w:val="21"/>
          <w:szCs w:val="24"/>
          <w:highlight w:val="none"/>
          <w:u w:val="single"/>
          <w:lang w:val="en-US" w:eastAsia="zh-CN" w:bidi="ar-SA"/>
        </w:rPr>
        <w:t xml:space="preserve">          </w:t>
      </w:r>
      <w:r>
        <w:rPr>
          <w:rFonts w:hint="eastAsia" w:ascii="仿宋" w:hAnsi="仿宋" w:eastAsia="仿宋" w:cs="仿宋"/>
          <w:kern w:val="0"/>
          <w:sz w:val="21"/>
          <w:szCs w:val="24"/>
          <w:highlight w:val="none"/>
          <w:lang w:val="en-US" w:eastAsia="zh-CN" w:bidi="ar-SA"/>
        </w:rPr>
        <w:t xml:space="preserve">      报价单位：折扣率%</w:t>
      </w:r>
    </w:p>
    <w:tbl>
      <w:tblPr>
        <w:tblStyle w:val="3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1362"/>
        <w:gridCol w:w="1461"/>
        <w:gridCol w:w="1381"/>
        <w:gridCol w:w="1251"/>
        <w:gridCol w:w="1057"/>
        <w:gridCol w:w="1407"/>
      </w:tblGrid>
      <w:tr w14:paraId="2525D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352" w:type="pct"/>
            <w:vAlign w:val="center"/>
          </w:tcPr>
          <w:p w14:paraId="0DDF3B47">
            <w:pPr>
              <w:widowControl w:val="0"/>
              <w:spacing w:line="360" w:lineRule="auto"/>
              <w:ind w:left="0" w:leftChars="0" w:firstLine="0" w:firstLineChars="0"/>
              <w:jc w:val="center"/>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序号</w:t>
            </w:r>
          </w:p>
        </w:tc>
        <w:tc>
          <w:tcPr>
            <w:tcW w:w="799" w:type="pct"/>
            <w:vAlign w:val="center"/>
          </w:tcPr>
          <w:p w14:paraId="459E0C37">
            <w:pPr>
              <w:widowControl w:val="0"/>
              <w:spacing w:line="360" w:lineRule="auto"/>
              <w:ind w:left="0" w:leftChars="0" w:firstLine="0" w:firstLineChars="0"/>
              <w:jc w:val="center"/>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服务名称</w:t>
            </w:r>
          </w:p>
        </w:tc>
        <w:tc>
          <w:tcPr>
            <w:tcW w:w="857" w:type="pct"/>
            <w:vAlign w:val="center"/>
          </w:tcPr>
          <w:p w14:paraId="2C7739AB">
            <w:pPr>
              <w:widowControl w:val="0"/>
              <w:spacing w:line="360" w:lineRule="auto"/>
              <w:ind w:left="0" w:leftChars="0" w:firstLine="0" w:firstLineChars="0"/>
              <w:jc w:val="center"/>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服务范围</w:t>
            </w:r>
          </w:p>
        </w:tc>
        <w:tc>
          <w:tcPr>
            <w:tcW w:w="810" w:type="pct"/>
            <w:vAlign w:val="center"/>
          </w:tcPr>
          <w:p w14:paraId="04203CE8">
            <w:pPr>
              <w:widowControl w:val="0"/>
              <w:spacing w:line="360" w:lineRule="auto"/>
              <w:ind w:left="0" w:leftChars="0" w:firstLine="0" w:firstLineChars="0"/>
              <w:jc w:val="center"/>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服务标准</w:t>
            </w:r>
          </w:p>
        </w:tc>
        <w:tc>
          <w:tcPr>
            <w:tcW w:w="734" w:type="pct"/>
            <w:vAlign w:val="center"/>
          </w:tcPr>
          <w:p w14:paraId="1D69208B">
            <w:pPr>
              <w:widowControl w:val="0"/>
              <w:spacing w:line="360" w:lineRule="auto"/>
              <w:ind w:left="0" w:leftChars="0" w:firstLine="0" w:firstLineChars="0"/>
              <w:jc w:val="center"/>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数量/单位</w:t>
            </w:r>
          </w:p>
        </w:tc>
        <w:tc>
          <w:tcPr>
            <w:tcW w:w="620" w:type="pct"/>
            <w:vAlign w:val="center"/>
          </w:tcPr>
          <w:p w14:paraId="5C9E4833">
            <w:pPr>
              <w:widowControl w:val="0"/>
              <w:spacing w:line="360" w:lineRule="auto"/>
              <w:ind w:left="0" w:leftChars="0" w:firstLine="0" w:firstLineChars="0"/>
              <w:jc w:val="center"/>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折扣率（%）</w:t>
            </w:r>
          </w:p>
        </w:tc>
        <w:tc>
          <w:tcPr>
            <w:tcW w:w="825" w:type="pct"/>
            <w:vAlign w:val="center"/>
          </w:tcPr>
          <w:p w14:paraId="47F06E03">
            <w:pPr>
              <w:widowControl w:val="0"/>
              <w:spacing w:line="360" w:lineRule="auto"/>
              <w:ind w:left="0" w:leftChars="0" w:firstLine="0" w:firstLineChars="0"/>
              <w:jc w:val="center"/>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备注/说明（蛋糕品牌）</w:t>
            </w:r>
          </w:p>
        </w:tc>
      </w:tr>
      <w:tr w14:paraId="7E1B5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52" w:type="pct"/>
            <w:vAlign w:val="center"/>
          </w:tcPr>
          <w:p w14:paraId="3E0DF14C">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799" w:type="pct"/>
            <w:vAlign w:val="center"/>
          </w:tcPr>
          <w:p w14:paraId="1990279C">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857" w:type="pct"/>
            <w:vAlign w:val="center"/>
          </w:tcPr>
          <w:p w14:paraId="68163945">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810" w:type="pct"/>
            <w:vAlign w:val="center"/>
          </w:tcPr>
          <w:p w14:paraId="5DF47CFC">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734" w:type="pct"/>
            <w:vAlign w:val="center"/>
          </w:tcPr>
          <w:p w14:paraId="7A39B4B4">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620" w:type="pct"/>
            <w:vAlign w:val="center"/>
          </w:tcPr>
          <w:p w14:paraId="56264EA5">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825" w:type="pct"/>
            <w:vAlign w:val="center"/>
          </w:tcPr>
          <w:p w14:paraId="747DBEFA">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r>
      <w:tr w14:paraId="2DC95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52" w:type="pct"/>
            <w:vAlign w:val="center"/>
          </w:tcPr>
          <w:p w14:paraId="51AEE426">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799" w:type="pct"/>
            <w:vAlign w:val="center"/>
          </w:tcPr>
          <w:p w14:paraId="1F86417B">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857" w:type="pct"/>
            <w:vAlign w:val="center"/>
          </w:tcPr>
          <w:p w14:paraId="475D7338">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810" w:type="pct"/>
            <w:vAlign w:val="center"/>
          </w:tcPr>
          <w:p w14:paraId="47A71104">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734" w:type="pct"/>
            <w:vAlign w:val="center"/>
          </w:tcPr>
          <w:p w14:paraId="40F333D1">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620" w:type="pct"/>
            <w:vAlign w:val="center"/>
          </w:tcPr>
          <w:p w14:paraId="6541B9CE">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825" w:type="pct"/>
            <w:vAlign w:val="center"/>
          </w:tcPr>
          <w:p w14:paraId="405C6E9B">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r>
      <w:tr w14:paraId="0CC21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52" w:type="pct"/>
            <w:vAlign w:val="center"/>
          </w:tcPr>
          <w:p w14:paraId="43C8C05E">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799" w:type="pct"/>
            <w:vAlign w:val="center"/>
          </w:tcPr>
          <w:p w14:paraId="6C32686E">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857" w:type="pct"/>
            <w:vAlign w:val="center"/>
          </w:tcPr>
          <w:p w14:paraId="6854F3B1">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810" w:type="pct"/>
            <w:vAlign w:val="center"/>
          </w:tcPr>
          <w:p w14:paraId="431C21C3">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734" w:type="pct"/>
            <w:vAlign w:val="center"/>
          </w:tcPr>
          <w:p w14:paraId="0880997D">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620" w:type="pct"/>
            <w:vAlign w:val="center"/>
          </w:tcPr>
          <w:p w14:paraId="6DD847F8">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825" w:type="pct"/>
            <w:vAlign w:val="center"/>
          </w:tcPr>
          <w:p w14:paraId="2DAB0BBF">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r>
      <w:tr w14:paraId="1C874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52" w:type="pct"/>
            <w:vAlign w:val="center"/>
          </w:tcPr>
          <w:p w14:paraId="6B4D9BFD">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799" w:type="pct"/>
            <w:vAlign w:val="center"/>
          </w:tcPr>
          <w:p w14:paraId="39825931">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857" w:type="pct"/>
            <w:vAlign w:val="center"/>
          </w:tcPr>
          <w:p w14:paraId="11CBDD90">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810" w:type="pct"/>
            <w:vAlign w:val="center"/>
          </w:tcPr>
          <w:p w14:paraId="7298F4D0">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734" w:type="pct"/>
            <w:vAlign w:val="center"/>
          </w:tcPr>
          <w:p w14:paraId="127B9265">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620" w:type="pct"/>
            <w:vAlign w:val="center"/>
          </w:tcPr>
          <w:p w14:paraId="6D7DA3D6">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825" w:type="pct"/>
            <w:vAlign w:val="center"/>
          </w:tcPr>
          <w:p w14:paraId="74D7A55F">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r>
      <w:tr w14:paraId="2D53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52" w:type="pct"/>
            <w:vAlign w:val="center"/>
          </w:tcPr>
          <w:p w14:paraId="06FDC489">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799" w:type="pct"/>
            <w:vAlign w:val="center"/>
          </w:tcPr>
          <w:p w14:paraId="08E7E6C1">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857" w:type="pct"/>
            <w:vAlign w:val="center"/>
          </w:tcPr>
          <w:p w14:paraId="20DEC25E">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810" w:type="pct"/>
            <w:vAlign w:val="center"/>
          </w:tcPr>
          <w:p w14:paraId="6B37D313">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734" w:type="pct"/>
            <w:vAlign w:val="center"/>
          </w:tcPr>
          <w:p w14:paraId="3DD6D61E">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620" w:type="pct"/>
            <w:vAlign w:val="center"/>
          </w:tcPr>
          <w:p w14:paraId="7C556E55">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c>
          <w:tcPr>
            <w:tcW w:w="825" w:type="pct"/>
            <w:vAlign w:val="center"/>
          </w:tcPr>
          <w:p w14:paraId="612B74CB">
            <w:pPr>
              <w:widowControl w:val="0"/>
              <w:spacing w:line="360" w:lineRule="auto"/>
              <w:ind w:firstLine="210" w:firstLineChars="100"/>
              <w:jc w:val="center"/>
              <w:rPr>
                <w:rFonts w:hint="eastAsia" w:ascii="仿宋" w:hAnsi="仿宋" w:eastAsia="仿宋" w:cs="仿宋"/>
                <w:kern w:val="2"/>
                <w:sz w:val="21"/>
                <w:szCs w:val="21"/>
                <w:highlight w:val="none"/>
                <w:vertAlign w:val="baseline"/>
                <w:lang w:val="en-US" w:eastAsia="zh-CN" w:bidi="zh-CN"/>
              </w:rPr>
            </w:pPr>
          </w:p>
        </w:tc>
      </w:tr>
    </w:tbl>
    <w:p w14:paraId="421AF862">
      <w:pPr>
        <w:widowControl w:val="0"/>
        <w:spacing w:line="360" w:lineRule="auto"/>
        <w:ind w:left="0" w:leftChars="0" w:firstLine="0" w:firstLineChars="0"/>
        <w:jc w:val="both"/>
        <w:rPr>
          <w:rFonts w:hint="eastAsia" w:ascii="仿宋" w:hAnsi="仿宋" w:eastAsia="仿宋" w:cs="仿宋"/>
          <w:kern w:val="2"/>
          <w:sz w:val="21"/>
          <w:szCs w:val="24"/>
          <w:highlight w:val="none"/>
          <w:lang w:val="en-US" w:eastAsia="zh-CN" w:bidi="zh-CN"/>
        </w:rPr>
      </w:pPr>
    </w:p>
    <w:p w14:paraId="5C16CCBB">
      <w:pPr>
        <w:pStyle w:val="26"/>
        <w:rPr>
          <w:rFonts w:hint="eastAsia" w:ascii="仿宋" w:hAnsi="仿宋" w:eastAsia="仿宋" w:cs="仿宋"/>
          <w:highlight w:val="none"/>
          <w:lang w:val="en-US" w:eastAsia="zh-CN"/>
        </w:rPr>
      </w:pPr>
    </w:p>
    <w:p w14:paraId="50F1DAF8">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注：1.本表应按包（标项）分别填写。</w:t>
      </w:r>
    </w:p>
    <w:p w14:paraId="2A7C115E">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2.如果不提供分项报价将视为没有实质性响应采购文件。</w:t>
      </w:r>
    </w:p>
    <w:p w14:paraId="4FEEFDD5">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3.上述各项的详细规格（如有），可另页描述。</w:t>
      </w:r>
    </w:p>
    <w:p w14:paraId="23DB462F">
      <w:pPr>
        <w:spacing w:line="360" w:lineRule="auto"/>
        <w:rPr>
          <w:rFonts w:hint="eastAsia" w:ascii="仿宋" w:hAnsi="仿宋" w:eastAsia="仿宋" w:cs="仿宋"/>
          <w:sz w:val="24"/>
          <w:szCs w:val="24"/>
          <w:highlight w:val="none"/>
          <w:lang w:val="en-US" w:eastAsia="zh-CN"/>
        </w:rPr>
      </w:pPr>
    </w:p>
    <w:p w14:paraId="6D2ABBB8">
      <w:pPr>
        <w:spacing w:line="360" w:lineRule="auto"/>
        <w:rPr>
          <w:rFonts w:hint="eastAsia" w:ascii="仿宋" w:hAnsi="仿宋" w:eastAsia="仿宋" w:cs="仿宋"/>
          <w:sz w:val="24"/>
          <w:szCs w:val="24"/>
          <w:highlight w:val="none"/>
          <w:lang w:val="en-US" w:eastAsia="zh-CN"/>
        </w:rPr>
      </w:pPr>
    </w:p>
    <w:p w14:paraId="3C5B9C69">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供应商名称（加盖公章）：____________</w:t>
      </w:r>
    </w:p>
    <w:p w14:paraId="16038E93">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日期：_____年______月______日</w:t>
      </w:r>
    </w:p>
    <w:p w14:paraId="13A30EC2">
      <w:pPr>
        <w:spacing w:line="360" w:lineRule="auto"/>
        <w:rPr>
          <w:rFonts w:hint="eastAsia" w:ascii="仿宋" w:hAnsi="仿宋" w:eastAsia="仿宋" w:cs="仿宋"/>
          <w:sz w:val="24"/>
          <w:szCs w:val="24"/>
          <w:highlight w:val="none"/>
          <w:lang w:val="en-US" w:eastAsia="zh-CN"/>
        </w:rPr>
      </w:pPr>
    </w:p>
    <w:p w14:paraId="134878EA">
      <w:pPr>
        <w:pStyle w:val="30"/>
        <w:rPr>
          <w:rFonts w:hint="eastAsia" w:ascii="仿宋" w:hAnsi="仿宋" w:eastAsia="仿宋" w:cs="仿宋"/>
          <w:sz w:val="24"/>
          <w:szCs w:val="24"/>
          <w:highlight w:val="none"/>
          <w:lang w:val="en-US" w:eastAsia="zh-CN"/>
        </w:rPr>
      </w:pPr>
    </w:p>
    <w:p w14:paraId="42923AE5">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30ED71EF">
      <w:pPr>
        <w:pStyle w:val="26"/>
        <w:ind w:left="0" w:leftChars="0" w:firstLine="0" w:firstLineChars="0"/>
        <w:jc w:val="left"/>
        <w:outlineLvl w:val="1"/>
        <w:rPr>
          <w:rFonts w:hint="eastAsia" w:ascii="仿宋" w:hAnsi="仿宋" w:eastAsia="仿宋" w:cs="仿宋"/>
          <w:sz w:val="24"/>
          <w:szCs w:val="24"/>
          <w:highlight w:val="none"/>
          <w:lang w:val="en-US" w:eastAsia="zh-CN"/>
        </w:rPr>
      </w:pPr>
      <w:bookmarkStart w:id="56" w:name="_Toc27376"/>
      <w:bookmarkStart w:id="57" w:name="_Toc23182"/>
      <w:r>
        <w:rPr>
          <w:rFonts w:hint="eastAsia" w:ascii="仿宋" w:hAnsi="仿宋" w:eastAsia="仿宋" w:cs="仿宋"/>
          <w:sz w:val="24"/>
          <w:szCs w:val="24"/>
          <w:highlight w:val="none"/>
          <w:lang w:val="en-US" w:eastAsia="zh-CN"/>
        </w:rPr>
        <w:t>8  合同条款偏离表</w:t>
      </w:r>
      <w:bookmarkEnd w:id="56"/>
      <w:bookmarkEnd w:id="57"/>
    </w:p>
    <w:p w14:paraId="3DECB592">
      <w:pPr>
        <w:pStyle w:val="26"/>
        <w:ind w:left="0" w:leftChars="0" w:firstLine="0" w:firstLineChars="0"/>
        <w:jc w:val="center"/>
        <w:rPr>
          <w:rFonts w:hint="eastAsia" w:ascii="仿宋" w:hAnsi="仿宋" w:eastAsia="仿宋" w:cs="仿宋"/>
          <w:b/>
          <w:bCs/>
          <w:i w:val="0"/>
          <w:iCs w:val="0"/>
          <w:sz w:val="32"/>
          <w:szCs w:val="32"/>
          <w:highlight w:val="none"/>
          <w:lang w:val="en-US" w:eastAsia="zh-CN"/>
        </w:rPr>
      </w:pPr>
      <w:r>
        <w:rPr>
          <w:rFonts w:hint="eastAsia" w:ascii="仿宋" w:hAnsi="仿宋" w:eastAsia="仿宋" w:cs="仿宋"/>
          <w:b/>
          <w:bCs/>
          <w:i w:val="0"/>
          <w:iCs w:val="0"/>
          <w:sz w:val="32"/>
          <w:szCs w:val="32"/>
          <w:highlight w:val="none"/>
          <w:lang w:val="en-US" w:eastAsia="zh-CN"/>
        </w:rPr>
        <w:t>合同条款偏离表</w:t>
      </w:r>
    </w:p>
    <w:p w14:paraId="437CFDBE">
      <w:pPr>
        <w:rPr>
          <w:rFonts w:hint="eastAsia" w:ascii="仿宋" w:hAnsi="仿宋" w:eastAsia="仿宋" w:cs="仿宋"/>
          <w:highlight w:val="none"/>
          <w:lang w:val="en-US" w:eastAsia="zh-CN"/>
        </w:rPr>
      </w:pPr>
    </w:p>
    <w:p w14:paraId="1A60338C">
      <w:pPr>
        <w:pStyle w:val="26"/>
        <w:ind w:left="0" w:leftChars="0" w:firstLine="0" w:firstLineChars="0"/>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项目编号/包（标项）号：</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lang w:val="en-US" w:eastAsia="zh-CN"/>
        </w:rPr>
        <w:t xml:space="preserve"> 项目名称：</w:t>
      </w:r>
      <w:r>
        <w:rPr>
          <w:rFonts w:hint="eastAsia" w:ascii="仿宋" w:hAnsi="仿宋" w:eastAsia="仿宋" w:cs="仿宋"/>
          <w:highlight w:val="none"/>
          <w:u w:val="single"/>
          <w:lang w:val="en-US" w:eastAsia="zh-CN"/>
        </w:rPr>
        <w:t xml:space="preserve">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421"/>
        <w:gridCol w:w="1901"/>
        <w:gridCol w:w="1753"/>
        <w:gridCol w:w="1561"/>
        <w:gridCol w:w="1052"/>
      </w:tblGrid>
      <w:tr w14:paraId="0BEB8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522" w:type="dxa"/>
            <w:gridSpan w:val="6"/>
          </w:tcPr>
          <w:p w14:paraId="12D86AF7">
            <w:pPr>
              <w:spacing w:line="240" w:lineRule="auto"/>
              <w:rPr>
                <w:rFonts w:hint="eastAsia" w:ascii="仿宋" w:hAnsi="仿宋" w:eastAsia="仿宋" w:cs="仿宋"/>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对本项目合同条款的偏离情况（请进行勾选）：</w:t>
            </w:r>
          </w:p>
          <w:p w14:paraId="73E7B0A8">
            <w:pPr>
              <w:spacing w:line="240" w:lineRule="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w:t>
            </w:r>
            <w:r>
              <w:rPr>
                <w:rFonts w:hint="eastAsia" w:ascii="仿宋" w:hAnsi="仿宋" w:eastAsia="仿宋" w:cs="仿宋"/>
                <w:b/>
                <w:bCs/>
                <w:sz w:val="24"/>
                <w:szCs w:val="24"/>
                <w:highlight w:val="none"/>
                <w:vertAlign w:val="baseline"/>
                <w:lang w:val="en-US" w:eastAsia="zh-CN"/>
              </w:rPr>
              <w:t>无偏离</w:t>
            </w:r>
            <w:r>
              <w:rPr>
                <w:rFonts w:hint="eastAsia" w:ascii="仿宋" w:hAnsi="仿宋" w:eastAsia="仿宋" w:cs="仿宋"/>
                <w:sz w:val="24"/>
                <w:szCs w:val="24"/>
                <w:highlight w:val="none"/>
                <w:vertAlign w:val="baseline"/>
                <w:lang w:val="en-US" w:eastAsia="zh-CN"/>
              </w:rPr>
              <w:t>（如无偏离，仅选择无偏离即可；无偏离即为对合同条款中的所有要求，均视作供应商已对之理解和响应。）</w:t>
            </w:r>
          </w:p>
          <w:p w14:paraId="7A4DDE56">
            <w:pPr>
              <w:spacing w:line="240" w:lineRule="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4"/>
                <w:szCs w:val="24"/>
                <w:highlight w:val="none"/>
                <w:vertAlign w:val="baseline"/>
                <w:lang w:val="en-US" w:eastAsia="zh-CN"/>
              </w:rPr>
              <w:t>□</w:t>
            </w:r>
            <w:r>
              <w:rPr>
                <w:rFonts w:hint="eastAsia" w:ascii="仿宋" w:hAnsi="仿宋" w:eastAsia="仿宋" w:cs="仿宋"/>
                <w:b/>
                <w:bCs/>
                <w:sz w:val="24"/>
                <w:szCs w:val="24"/>
                <w:highlight w:val="none"/>
                <w:vertAlign w:val="baseline"/>
                <w:lang w:val="en-US" w:eastAsia="zh-CN"/>
              </w:rPr>
              <w:t>有偏离</w:t>
            </w:r>
            <w:r>
              <w:rPr>
                <w:rFonts w:hint="eastAsia" w:ascii="仿宋" w:hAnsi="仿宋" w:eastAsia="仿宋" w:cs="仿宋"/>
                <w:sz w:val="24"/>
                <w:szCs w:val="24"/>
                <w:highlight w:val="none"/>
                <w:vertAlign w:val="baseline"/>
                <w:lang w:val="en-US" w:eastAsia="zh-CN"/>
              </w:rPr>
              <w:t>（如有偏离，则应在本表中对偏离项逐一列明，否则投标无效；对合同条款中的所有要求，除本表列明的偏离外，均视作供应商已对之理解和响应。）</w:t>
            </w:r>
          </w:p>
        </w:tc>
      </w:tr>
      <w:tr w14:paraId="1960F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7B07F354">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序号</w:t>
            </w:r>
          </w:p>
        </w:tc>
        <w:tc>
          <w:tcPr>
            <w:tcW w:w="1421" w:type="dxa"/>
            <w:vAlign w:val="center"/>
          </w:tcPr>
          <w:p w14:paraId="30502972">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采购文件</w:t>
            </w:r>
          </w:p>
          <w:p w14:paraId="513E8C56">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条目号</w:t>
            </w:r>
          </w:p>
          <w:p w14:paraId="7F748342">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（页码）</w:t>
            </w:r>
          </w:p>
        </w:tc>
        <w:tc>
          <w:tcPr>
            <w:tcW w:w="1901" w:type="dxa"/>
            <w:vAlign w:val="center"/>
          </w:tcPr>
          <w:p w14:paraId="0EF25DDF">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采购文件要求</w:t>
            </w:r>
          </w:p>
        </w:tc>
        <w:tc>
          <w:tcPr>
            <w:tcW w:w="1753" w:type="dxa"/>
            <w:vAlign w:val="center"/>
          </w:tcPr>
          <w:p w14:paraId="3796C714">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响应文件内容</w:t>
            </w:r>
          </w:p>
        </w:tc>
        <w:tc>
          <w:tcPr>
            <w:tcW w:w="1561" w:type="dxa"/>
            <w:vAlign w:val="center"/>
          </w:tcPr>
          <w:p w14:paraId="07EBCD95">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偏离情况</w:t>
            </w:r>
          </w:p>
        </w:tc>
        <w:tc>
          <w:tcPr>
            <w:tcW w:w="1052" w:type="dxa"/>
            <w:vAlign w:val="center"/>
          </w:tcPr>
          <w:p w14:paraId="5EF8D6F2">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说明</w:t>
            </w:r>
          </w:p>
        </w:tc>
      </w:tr>
      <w:tr w14:paraId="28DE7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34" w:type="dxa"/>
          </w:tcPr>
          <w:p w14:paraId="356794C9">
            <w:pPr>
              <w:rPr>
                <w:rFonts w:hint="eastAsia" w:ascii="仿宋" w:hAnsi="仿宋" w:eastAsia="仿宋" w:cs="仿宋"/>
                <w:sz w:val="21"/>
                <w:szCs w:val="21"/>
                <w:highlight w:val="none"/>
                <w:vertAlign w:val="baseline"/>
                <w:lang w:val="en-US" w:eastAsia="zh-CN"/>
              </w:rPr>
            </w:pPr>
          </w:p>
        </w:tc>
        <w:tc>
          <w:tcPr>
            <w:tcW w:w="1421" w:type="dxa"/>
          </w:tcPr>
          <w:p w14:paraId="0A353C6A">
            <w:pPr>
              <w:rPr>
                <w:rFonts w:hint="eastAsia" w:ascii="仿宋" w:hAnsi="仿宋" w:eastAsia="仿宋" w:cs="仿宋"/>
                <w:sz w:val="21"/>
                <w:szCs w:val="21"/>
                <w:highlight w:val="none"/>
                <w:vertAlign w:val="baseline"/>
                <w:lang w:val="en-US" w:eastAsia="zh-CN"/>
              </w:rPr>
            </w:pPr>
          </w:p>
        </w:tc>
        <w:tc>
          <w:tcPr>
            <w:tcW w:w="1901" w:type="dxa"/>
          </w:tcPr>
          <w:p w14:paraId="7B28E0C1">
            <w:pPr>
              <w:rPr>
                <w:rFonts w:hint="eastAsia" w:ascii="仿宋" w:hAnsi="仿宋" w:eastAsia="仿宋" w:cs="仿宋"/>
                <w:sz w:val="21"/>
                <w:szCs w:val="21"/>
                <w:highlight w:val="none"/>
                <w:vertAlign w:val="baseline"/>
                <w:lang w:val="en-US" w:eastAsia="zh-CN"/>
              </w:rPr>
            </w:pPr>
          </w:p>
        </w:tc>
        <w:tc>
          <w:tcPr>
            <w:tcW w:w="1753" w:type="dxa"/>
          </w:tcPr>
          <w:p w14:paraId="3931DBB9">
            <w:pPr>
              <w:rPr>
                <w:rFonts w:hint="eastAsia" w:ascii="仿宋" w:hAnsi="仿宋" w:eastAsia="仿宋" w:cs="仿宋"/>
                <w:sz w:val="21"/>
                <w:szCs w:val="21"/>
                <w:highlight w:val="none"/>
                <w:vertAlign w:val="baseline"/>
                <w:lang w:val="en-US" w:eastAsia="zh-CN"/>
              </w:rPr>
            </w:pPr>
          </w:p>
        </w:tc>
        <w:tc>
          <w:tcPr>
            <w:tcW w:w="1561" w:type="dxa"/>
          </w:tcPr>
          <w:p w14:paraId="7B9FEC72">
            <w:pPr>
              <w:rPr>
                <w:rFonts w:hint="eastAsia" w:ascii="仿宋" w:hAnsi="仿宋" w:eastAsia="仿宋" w:cs="仿宋"/>
                <w:sz w:val="21"/>
                <w:szCs w:val="21"/>
                <w:highlight w:val="none"/>
                <w:vertAlign w:val="baseline"/>
                <w:lang w:val="en-US" w:eastAsia="zh-CN"/>
              </w:rPr>
            </w:pPr>
          </w:p>
        </w:tc>
        <w:tc>
          <w:tcPr>
            <w:tcW w:w="1052" w:type="dxa"/>
          </w:tcPr>
          <w:p w14:paraId="3E500231">
            <w:pPr>
              <w:rPr>
                <w:rFonts w:hint="eastAsia" w:ascii="仿宋" w:hAnsi="仿宋" w:eastAsia="仿宋" w:cs="仿宋"/>
                <w:sz w:val="21"/>
                <w:szCs w:val="21"/>
                <w:highlight w:val="none"/>
                <w:vertAlign w:val="baseline"/>
                <w:lang w:val="en-US" w:eastAsia="zh-CN"/>
              </w:rPr>
            </w:pPr>
          </w:p>
        </w:tc>
      </w:tr>
      <w:tr w14:paraId="48E5C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4" w:type="dxa"/>
          </w:tcPr>
          <w:p w14:paraId="005B5B1E">
            <w:pPr>
              <w:rPr>
                <w:rFonts w:hint="eastAsia" w:ascii="仿宋" w:hAnsi="仿宋" w:eastAsia="仿宋" w:cs="仿宋"/>
                <w:sz w:val="21"/>
                <w:szCs w:val="21"/>
                <w:highlight w:val="none"/>
                <w:vertAlign w:val="baseline"/>
                <w:lang w:val="en-US" w:eastAsia="zh-CN"/>
              </w:rPr>
            </w:pPr>
          </w:p>
        </w:tc>
        <w:tc>
          <w:tcPr>
            <w:tcW w:w="1421" w:type="dxa"/>
          </w:tcPr>
          <w:p w14:paraId="0CD3827B">
            <w:pPr>
              <w:rPr>
                <w:rFonts w:hint="eastAsia" w:ascii="仿宋" w:hAnsi="仿宋" w:eastAsia="仿宋" w:cs="仿宋"/>
                <w:sz w:val="21"/>
                <w:szCs w:val="21"/>
                <w:highlight w:val="none"/>
                <w:vertAlign w:val="baseline"/>
                <w:lang w:val="en-US" w:eastAsia="zh-CN"/>
              </w:rPr>
            </w:pPr>
          </w:p>
        </w:tc>
        <w:tc>
          <w:tcPr>
            <w:tcW w:w="1901" w:type="dxa"/>
          </w:tcPr>
          <w:p w14:paraId="40B61922">
            <w:pPr>
              <w:rPr>
                <w:rFonts w:hint="eastAsia" w:ascii="仿宋" w:hAnsi="仿宋" w:eastAsia="仿宋" w:cs="仿宋"/>
                <w:sz w:val="21"/>
                <w:szCs w:val="21"/>
                <w:highlight w:val="none"/>
                <w:vertAlign w:val="baseline"/>
                <w:lang w:val="en-US" w:eastAsia="zh-CN"/>
              </w:rPr>
            </w:pPr>
          </w:p>
        </w:tc>
        <w:tc>
          <w:tcPr>
            <w:tcW w:w="1753" w:type="dxa"/>
          </w:tcPr>
          <w:p w14:paraId="38D085C9">
            <w:pPr>
              <w:rPr>
                <w:rFonts w:hint="eastAsia" w:ascii="仿宋" w:hAnsi="仿宋" w:eastAsia="仿宋" w:cs="仿宋"/>
                <w:sz w:val="21"/>
                <w:szCs w:val="21"/>
                <w:highlight w:val="none"/>
                <w:vertAlign w:val="baseline"/>
                <w:lang w:val="en-US" w:eastAsia="zh-CN"/>
              </w:rPr>
            </w:pPr>
          </w:p>
        </w:tc>
        <w:tc>
          <w:tcPr>
            <w:tcW w:w="1561" w:type="dxa"/>
          </w:tcPr>
          <w:p w14:paraId="57BD8FC5">
            <w:pPr>
              <w:rPr>
                <w:rFonts w:hint="eastAsia" w:ascii="仿宋" w:hAnsi="仿宋" w:eastAsia="仿宋" w:cs="仿宋"/>
                <w:sz w:val="21"/>
                <w:szCs w:val="21"/>
                <w:highlight w:val="none"/>
                <w:vertAlign w:val="baseline"/>
                <w:lang w:val="en-US" w:eastAsia="zh-CN"/>
              </w:rPr>
            </w:pPr>
          </w:p>
        </w:tc>
        <w:tc>
          <w:tcPr>
            <w:tcW w:w="1052" w:type="dxa"/>
          </w:tcPr>
          <w:p w14:paraId="44AADF23">
            <w:pPr>
              <w:rPr>
                <w:rFonts w:hint="eastAsia" w:ascii="仿宋" w:hAnsi="仿宋" w:eastAsia="仿宋" w:cs="仿宋"/>
                <w:sz w:val="21"/>
                <w:szCs w:val="21"/>
                <w:highlight w:val="none"/>
                <w:vertAlign w:val="baseline"/>
                <w:lang w:val="en-US" w:eastAsia="zh-CN"/>
              </w:rPr>
            </w:pPr>
          </w:p>
        </w:tc>
      </w:tr>
      <w:tr w14:paraId="38321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34" w:type="dxa"/>
          </w:tcPr>
          <w:p w14:paraId="7037BC48">
            <w:pPr>
              <w:rPr>
                <w:rFonts w:hint="eastAsia" w:ascii="仿宋" w:hAnsi="仿宋" w:eastAsia="仿宋" w:cs="仿宋"/>
                <w:sz w:val="21"/>
                <w:szCs w:val="21"/>
                <w:highlight w:val="none"/>
                <w:vertAlign w:val="baseline"/>
                <w:lang w:val="en-US" w:eastAsia="zh-CN"/>
              </w:rPr>
            </w:pPr>
          </w:p>
        </w:tc>
        <w:tc>
          <w:tcPr>
            <w:tcW w:w="1421" w:type="dxa"/>
          </w:tcPr>
          <w:p w14:paraId="1DAE80D2">
            <w:pPr>
              <w:rPr>
                <w:rFonts w:hint="eastAsia" w:ascii="仿宋" w:hAnsi="仿宋" w:eastAsia="仿宋" w:cs="仿宋"/>
                <w:sz w:val="21"/>
                <w:szCs w:val="21"/>
                <w:highlight w:val="none"/>
                <w:vertAlign w:val="baseline"/>
                <w:lang w:val="en-US" w:eastAsia="zh-CN"/>
              </w:rPr>
            </w:pPr>
          </w:p>
        </w:tc>
        <w:tc>
          <w:tcPr>
            <w:tcW w:w="1901" w:type="dxa"/>
          </w:tcPr>
          <w:p w14:paraId="0CFFFD46">
            <w:pPr>
              <w:rPr>
                <w:rFonts w:hint="eastAsia" w:ascii="仿宋" w:hAnsi="仿宋" w:eastAsia="仿宋" w:cs="仿宋"/>
                <w:sz w:val="21"/>
                <w:szCs w:val="21"/>
                <w:highlight w:val="none"/>
                <w:vertAlign w:val="baseline"/>
                <w:lang w:val="en-US" w:eastAsia="zh-CN"/>
              </w:rPr>
            </w:pPr>
          </w:p>
        </w:tc>
        <w:tc>
          <w:tcPr>
            <w:tcW w:w="1753" w:type="dxa"/>
          </w:tcPr>
          <w:p w14:paraId="79505492">
            <w:pPr>
              <w:rPr>
                <w:rFonts w:hint="eastAsia" w:ascii="仿宋" w:hAnsi="仿宋" w:eastAsia="仿宋" w:cs="仿宋"/>
                <w:sz w:val="21"/>
                <w:szCs w:val="21"/>
                <w:highlight w:val="none"/>
                <w:vertAlign w:val="baseline"/>
                <w:lang w:val="en-US" w:eastAsia="zh-CN"/>
              </w:rPr>
            </w:pPr>
          </w:p>
        </w:tc>
        <w:tc>
          <w:tcPr>
            <w:tcW w:w="1561" w:type="dxa"/>
          </w:tcPr>
          <w:p w14:paraId="7AEA011B">
            <w:pPr>
              <w:rPr>
                <w:rFonts w:hint="eastAsia" w:ascii="仿宋" w:hAnsi="仿宋" w:eastAsia="仿宋" w:cs="仿宋"/>
                <w:sz w:val="21"/>
                <w:szCs w:val="21"/>
                <w:highlight w:val="none"/>
                <w:vertAlign w:val="baseline"/>
                <w:lang w:val="en-US" w:eastAsia="zh-CN"/>
              </w:rPr>
            </w:pPr>
          </w:p>
        </w:tc>
        <w:tc>
          <w:tcPr>
            <w:tcW w:w="1052" w:type="dxa"/>
          </w:tcPr>
          <w:p w14:paraId="51978DB2">
            <w:pPr>
              <w:rPr>
                <w:rFonts w:hint="eastAsia" w:ascii="仿宋" w:hAnsi="仿宋" w:eastAsia="仿宋" w:cs="仿宋"/>
                <w:sz w:val="21"/>
                <w:szCs w:val="21"/>
                <w:highlight w:val="none"/>
                <w:vertAlign w:val="baseline"/>
                <w:lang w:val="en-US" w:eastAsia="zh-CN"/>
              </w:rPr>
            </w:pPr>
          </w:p>
        </w:tc>
      </w:tr>
      <w:tr w14:paraId="4E569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34" w:type="dxa"/>
          </w:tcPr>
          <w:p w14:paraId="307EC028">
            <w:pPr>
              <w:rPr>
                <w:rFonts w:hint="eastAsia" w:ascii="仿宋" w:hAnsi="仿宋" w:eastAsia="仿宋" w:cs="仿宋"/>
                <w:sz w:val="21"/>
                <w:szCs w:val="21"/>
                <w:highlight w:val="none"/>
                <w:vertAlign w:val="baseline"/>
                <w:lang w:val="en-US" w:eastAsia="zh-CN"/>
              </w:rPr>
            </w:pPr>
          </w:p>
        </w:tc>
        <w:tc>
          <w:tcPr>
            <w:tcW w:w="1421" w:type="dxa"/>
          </w:tcPr>
          <w:p w14:paraId="1D608894">
            <w:pPr>
              <w:rPr>
                <w:rFonts w:hint="eastAsia" w:ascii="仿宋" w:hAnsi="仿宋" w:eastAsia="仿宋" w:cs="仿宋"/>
                <w:sz w:val="21"/>
                <w:szCs w:val="21"/>
                <w:highlight w:val="none"/>
                <w:vertAlign w:val="baseline"/>
                <w:lang w:val="en-US" w:eastAsia="zh-CN"/>
              </w:rPr>
            </w:pPr>
          </w:p>
        </w:tc>
        <w:tc>
          <w:tcPr>
            <w:tcW w:w="1901" w:type="dxa"/>
          </w:tcPr>
          <w:p w14:paraId="2744E91B">
            <w:pPr>
              <w:rPr>
                <w:rFonts w:hint="eastAsia" w:ascii="仿宋" w:hAnsi="仿宋" w:eastAsia="仿宋" w:cs="仿宋"/>
                <w:sz w:val="21"/>
                <w:szCs w:val="21"/>
                <w:highlight w:val="none"/>
                <w:vertAlign w:val="baseline"/>
                <w:lang w:val="en-US" w:eastAsia="zh-CN"/>
              </w:rPr>
            </w:pPr>
          </w:p>
        </w:tc>
        <w:tc>
          <w:tcPr>
            <w:tcW w:w="1753" w:type="dxa"/>
          </w:tcPr>
          <w:p w14:paraId="6C08E7C8">
            <w:pPr>
              <w:rPr>
                <w:rFonts w:hint="eastAsia" w:ascii="仿宋" w:hAnsi="仿宋" w:eastAsia="仿宋" w:cs="仿宋"/>
                <w:sz w:val="21"/>
                <w:szCs w:val="21"/>
                <w:highlight w:val="none"/>
                <w:vertAlign w:val="baseline"/>
                <w:lang w:val="en-US" w:eastAsia="zh-CN"/>
              </w:rPr>
            </w:pPr>
          </w:p>
        </w:tc>
        <w:tc>
          <w:tcPr>
            <w:tcW w:w="1561" w:type="dxa"/>
          </w:tcPr>
          <w:p w14:paraId="318DA6A4">
            <w:pPr>
              <w:rPr>
                <w:rFonts w:hint="eastAsia" w:ascii="仿宋" w:hAnsi="仿宋" w:eastAsia="仿宋" w:cs="仿宋"/>
                <w:sz w:val="21"/>
                <w:szCs w:val="21"/>
                <w:highlight w:val="none"/>
                <w:vertAlign w:val="baseline"/>
                <w:lang w:val="en-US" w:eastAsia="zh-CN"/>
              </w:rPr>
            </w:pPr>
          </w:p>
        </w:tc>
        <w:tc>
          <w:tcPr>
            <w:tcW w:w="1052" w:type="dxa"/>
          </w:tcPr>
          <w:p w14:paraId="3BA2C8F0">
            <w:pPr>
              <w:rPr>
                <w:rFonts w:hint="eastAsia" w:ascii="仿宋" w:hAnsi="仿宋" w:eastAsia="仿宋" w:cs="仿宋"/>
                <w:sz w:val="21"/>
                <w:szCs w:val="21"/>
                <w:highlight w:val="none"/>
                <w:vertAlign w:val="baseline"/>
                <w:lang w:val="en-US" w:eastAsia="zh-CN"/>
              </w:rPr>
            </w:pPr>
          </w:p>
        </w:tc>
      </w:tr>
      <w:tr w14:paraId="7C362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34" w:type="dxa"/>
          </w:tcPr>
          <w:p w14:paraId="463276F4">
            <w:pPr>
              <w:rPr>
                <w:rFonts w:hint="eastAsia" w:ascii="仿宋" w:hAnsi="仿宋" w:eastAsia="仿宋" w:cs="仿宋"/>
                <w:sz w:val="21"/>
                <w:szCs w:val="21"/>
                <w:highlight w:val="none"/>
                <w:vertAlign w:val="baseline"/>
                <w:lang w:val="en-US" w:eastAsia="zh-CN"/>
              </w:rPr>
            </w:pPr>
          </w:p>
        </w:tc>
        <w:tc>
          <w:tcPr>
            <w:tcW w:w="1421" w:type="dxa"/>
          </w:tcPr>
          <w:p w14:paraId="182D7A27">
            <w:pPr>
              <w:rPr>
                <w:rFonts w:hint="eastAsia" w:ascii="仿宋" w:hAnsi="仿宋" w:eastAsia="仿宋" w:cs="仿宋"/>
                <w:sz w:val="21"/>
                <w:szCs w:val="21"/>
                <w:highlight w:val="none"/>
                <w:vertAlign w:val="baseline"/>
                <w:lang w:val="en-US" w:eastAsia="zh-CN"/>
              </w:rPr>
            </w:pPr>
          </w:p>
        </w:tc>
        <w:tc>
          <w:tcPr>
            <w:tcW w:w="1901" w:type="dxa"/>
          </w:tcPr>
          <w:p w14:paraId="30AA7E4C">
            <w:pPr>
              <w:rPr>
                <w:rFonts w:hint="eastAsia" w:ascii="仿宋" w:hAnsi="仿宋" w:eastAsia="仿宋" w:cs="仿宋"/>
                <w:sz w:val="21"/>
                <w:szCs w:val="21"/>
                <w:highlight w:val="none"/>
                <w:vertAlign w:val="baseline"/>
                <w:lang w:val="en-US" w:eastAsia="zh-CN"/>
              </w:rPr>
            </w:pPr>
          </w:p>
        </w:tc>
        <w:tc>
          <w:tcPr>
            <w:tcW w:w="1753" w:type="dxa"/>
          </w:tcPr>
          <w:p w14:paraId="5297BE26">
            <w:pPr>
              <w:rPr>
                <w:rFonts w:hint="eastAsia" w:ascii="仿宋" w:hAnsi="仿宋" w:eastAsia="仿宋" w:cs="仿宋"/>
                <w:sz w:val="21"/>
                <w:szCs w:val="21"/>
                <w:highlight w:val="none"/>
                <w:vertAlign w:val="baseline"/>
                <w:lang w:val="en-US" w:eastAsia="zh-CN"/>
              </w:rPr>
            </w:pPr>
          </w:p>
        </w:tc>
        <w:tc>
          <w:tcPr>
            <w:tcW w:w="1561" w:type="dxa"/>
          </w:tcPr>
          <w:p w14:paraId="0D059E01">
            <w:pPr>
              <w:rPr>
                <w:rFonts w:hint="eastAsia" w:ascii="仿宋" w:hAnsi="仿宋" w:eastAsia="仿宋" w:cs="仿宋"/>
                <w:sz w:val="21"/>
                <w:szCs w:val="21"/>
                <w:highlight w:val="none"/>
                <w:vertAlign w:val="baseline"/>
                <w:lang w:val="en-US" w:eastAsia="zh-CN"/>
              </w:rPr>
            </w:pPr>
          </w:p>
        </w:tc>
        <w:tc>
          <w:tcPr>
            <w:tcW w:w="1052" w:type="dxa"/>
          </w:tcPr>
          <w:p w14:paraId="3D557851">
            <w:pPr>
              <w:rPr>
                <w:rFonts w:hint="eastAsia" w:ascii="仿宋" w:hAnsi="仿宋" w:eastAsia="仿宋" w:cs="仿宋"/>
                <w:sz w:val="21"/>
                <w:szCs w:val="21"/>
                <w:highlight w:val="none"/>
                <w:vertAlign w:val="baseline"/>
                <w:lang w:val="en-US" w:eastAsia="zh-CN"/>
              </w:rPr>
            </w:pPr>
          </w:p>
        </w:tc>
      </w:tr>
    </w:tbl>
    <w:p w14:paraId="0409CB8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w:t>
      </w:r>
    </w:p>
    <w:p w14:paraId="3F1EC62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 对合同条款中的所有要求，除本表所列明的所有偏离外，均视作供应商已对之理解和响应。</w:t>
      </w:r>
    </w:p>
    <w:p w14:paraId="21562826">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sz w:val="24"/>
          <w:szCs w:val="24"/>
          <w:highlight w:val="none"/>
          <w:lang w:val="en-US" w:eastAsia="zh-CN"/>
        </w:rPr>
      </w:pPr>
      <w:bookmarkStart w:id="58" w:name="_Toc30559"/>
      <w:bookmarkStart w:id="59" w:name="_Toc5054"/>
      <w:r>
        <w:rPr>
          <w:rFonts w:hint="eastAsia" w:ascii="仿宋" w:hAnsi="仿宋" w:eastAsia="仿宋" w:cs="仿宋"/>
          <w:sz w:val="24"/>
          <w:szCs w:val="24"/>
          <w:highlight w:val="none"/>
          <w:lang w:val="en-US" w:eastAsia="zh-CN"/>
        </w:rPr>
        <w:t>2. “偏离情况”列应据实填写“正偏离”或“负偏离”。</w:t>
      </w:r>
      <w:bookmarkEnd w:id="58"/>
      <w:bookmarkEnd w:id="59"/>
    </w:p>
    <w:p w14:paraId="295D526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p>
    <w:p w14:paraId="616627A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p>
    <w:p w14:paraId="00E7FB1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供应商名称（加盖公章）：</w:t>
      </w:r>
      <w:r>
        <w:rPr>
          <w:rFonts w:hint="eastAsia" w:ascii="仿宋" w:hAnsi="仿宋" w:eastAsia="仿宋" w:cs="仿宋"/>
          <w:sz w:val="24"/>
          <w:szCs w:val="24"/>
          <w:highlight w:val="none"/>
          <w:u w:val="single"/>
          <w:lang w:val="en-US" w:eastAsia="zh-CN"/>
        </w:rPr>
        <w:t xml:space="preserve">                 </w:t>
      </w:r>
    </w:p>
    <w:p w14:paraId="7870C5F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w:t>
      </w:r>
      <w:r>
        <w:rPr>
          <w:rFonts w:hint="eastAsia" w:ascii="仿宋" w:hAnsi="仿宋" w:eastAsia="仿宋" w:cs="仿宋"/>
          <w:sz w:val="24"/>
          <w:szCs w:val="24"/>
          <w:highlight w:val="none"/>
          <w:u w:val="single"/>
          <w:lang w:val="en-US" w:eastAsia="zh-CN"/>
        </w:rPr>
        <w:t xml:space="preserve">     年     月     日</w:t>
      </w:r>
    </w:p>
    <w:p w14:paraId="09BEF1BB">
      <w:pPr>
        <w:pStyle w:val="30"/>
        <w:rPr>
          <w:rFonts w:hint="eastAsia" w:ascii="仿宋" w:hAnsi="仿宋" w:eastAsia="仿宋" w:cs="仿宋"/>
          <w:sz w:val="24"/>
          <w:szCs w:val="24"/>
          <w:highlight w:val="none"/>
          <w:lang w:val="en-US" w:eastAsia="zh-CN"/>
        </w:rPr>
      </w:pPr>
    </w:p>
    <w:p w14:paraId="40ED5C40">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68ECE31B">
      <w:pPr>
        <w:pStyle w:val="26"/>
        <w:ind w:left="0" w:leftChars="0" w:firstLine="0" w:firstLineChars="0"/>
        <w:outlineLvl w:val="1"/>
        <w:rPr>
          <w:rFonts w:hint="eastAsia" w:ascii="仿宋" w:hAnsi="仿宋" w:eastAsia="仿宋" w:cs="仿宋"/>
          <w:sz w:val="24"/>
          <w:szCs w:val="24"/>
          <w:highlight w:val="none"/>
          <w:lang w:val="en-US" w:eastAsia="zh-CN"/>
        </w:rPr>
      </w:pPr>
      <w:bookmarkStart w:id="60" w:name="_Toc12415"/>
      <w:bookmarkStart w:id="61" w:name="_Toc3795"/>
      <w:r>
        <w:rPr>
          <w:rFonts w:hint="eastAsia" w:ascii="仿宋" w:hAnsi="仿宋" w:eastAsia="仿宋" w:cs="仿宋"/>
          <w:sz w:val="24"/>
          <w:szCs w:val="24"/>
          <w:highlight w:val="none"/>
          <w:lang w:val="en-US" w:eastAsia="zh-CN"/>
        </w:rPr>
        <w:t>9  技术要求偏离表</w:t>
      </w:r>
      <w:bookmarkEnd w:id="60"/>
      <w:bookmarkEnd w:id="61"/>
    </w:p>
    <w:p w14:paraId="6385E5C1">
      <w:pPr>
        <w:pStyle w:val="26"/>
        <w:ind w:left="0" w:leftChars="0" w:firstLine="0" w:firstLineChars="0"/>
        <w:rPr>
          <w:rFonts w:hint="eastAsia" w:ascii="仿宋" w:hAnsi="仿宋" w:eastAsia="仿宋" w:cs="仿宋"/>
          <w:sz w:val="24"/>
          <w:szCs w:val="24"/>
          <w:highlight w:val="none"/>
          <w:lang w:val="en-US" w:eastAsia="zh-CN"/>
        </w:rPr>
      </w:pPr>
    </w:p>
    <w:p w14:paraId="4EC1C72A">
      <w:pPr>
        <w:pStyle w:val="26"/>
        <w:ind w:left="0" w:leftChars="0" w:firstLine="0" w:firstLineChars="0"/>
        <w:jc w:val="cente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采购需求偏离表</w:t>
      </w:r>
    </w:p>
    <w:p w14:paraId="4237E74E">
      <w:pPr>
        <w:pStyle w:val="26"/>
        <w:ind w:left="0" w:leftChars="0" w:firstLine="0" w:firstLineChars="0"/>
        <w:rPr>
          <w:rFonts w:hint="eastAsia" w:ascii="仿宋" w:hAnsi="仿宋" w:eastAsia="仿宋" w:cs="仿宋"/>
          <w:sz w:val="24"/>
          <w:szCs w:val="24"/>
          <w:highlight w:val="none"/>
          <w:lang w:val="en-US" w:eastAsia="zh-CN"/>
        </w:rPr>
      </w:pPr>
    </w:p>
    <w:p w14:paraId="0E2F5092">
      <w:pPr>
        <w:pStyle w:val="26"/>
        <w:ind w:left="0" w:leftChars="0" w:firstLine="0" w:firstLine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项目编号/包（标项）号：</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lang w:val="en-US" w:eastAsia="zh-CN"/>
        </w:rPr>
        <w:t xml:space="preserve"> 项目名称：</w:t>
      </w:r>
      <w:r>
        <w:rPr>
          <w:rFonts w:hint="eastAsia" w:ascii="仿宋" w:hAnsi="仿宋" w:eastAsia="仿宋" w:cs="仿宋"/>
          <w:sz w:val="21"/>
          <w:szCs w:val="21"/>
          <w:highlight w:val="none"/>
          <w:u w:val="single"/>
          <w:lang w:val="en-US" w:eastAsia="zh-CN"/>
        </w:rPr>
        <w:t xml:space="preserve">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422"/>
        <w:gridCol w:w="1805"/>
        <w:gridCol w:w="1672"/>
        <w:gridCol w:w="1421"/>
        <w:gridCol w:w="1421"/>
      </w:tblGrid>
      <w:tr w14:paraId="75E8E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4F1D279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序号</w:t>
            </w:r>
          </w:p>
        </w:tc>
        <w:tc>
          <w:tcPr>
            <w:tcW w:w="1422" w:type="dxa"/>
            <w:vAlign w:val="center"/>
          </w:tcPr>
          <w:p w14:paraId="71047F3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采购文件条</w:t>
            </w:r>
          </w:p>
          <w:p w14:paraId="21E4F3B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目号(页码)</w:t>
            </w:r>
          </w:p>
        </w:tc>
        <w:tc>
          <w:tcPr>
            <w:tcW w:w="1805" w:type="dxa"/>
            <w:vAlign w:val="center"/>
          </w:tcPr>
          <w:p w14:paraId="1C80F7F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采购文件要求</w:t>
            </w:r>
          </w:p>
        </w:tc>
        <w:tc>
          <w:tcPr>
            <w:tcW w:w="1672" w:type="dxa"/>
            <w:vAlign w:val="center"/>
          </w:tcPr>
          <w:p w14:paraId="2B2D818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响应文件内容</w:t>
            </w:r>
          </w:p>
        </w:tc>
        <w:tc>
          <w:tcPr>
            <w:tcW w:w="1421" w:type="dxa"/>
            <w:vAlign w:val="center"/>
          </w:tcPr>
          <w:p w14:paraId="6EB9434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偏离情况</w:t>
            </w:r>
          </w:p>
        </w:tc>
        <w:tc>
          <w:tcPr>
            <w:tcW w:w="1421" w:type="dxa"/>
            <w:vAlign w:val="center"/>
          </w:tcPr>
          <w:p w14:paraId="0CF6003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说明</w:t>
            </w:r>
          </w:p>
        </w:tc>
      </w:tr>
      <w:tr w14:paraId="12BA6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074F0DA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2" w:type="dxa"/>
          </w:tcPr>
          <w:p w14:paraId="7B3DD20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805" w:type="dxa"/>
          </w:tcPr>
          <w:p w14:paraId="43A10EC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672" w:type="dxa"/>
          </w:tcPr>
          <w:p w14:paraId="02E1CC6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1" w:type="dxa"/>
          </w:tcPr>
          <w:p w14:paraId="5A9ADC8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1" w:type="dxa"/>
          </w:tcPr>
          <w:p w14:paraId="5535F92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r>
      <w:tr w14:paraId="70F85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12DFF96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2" w:type="dxa"/>
          </w:tcPr>
          <w:p w14:paraId="0438B37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805" w:type="dxa"/>
          </w:tcPr>
          <w:p w14:paraId="1207F68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672" w:type="dxa"/>
          </w:tcPr>
          <w:p w14:paraId="1520CD1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1" w:type="dxa"/>
          </w:tcPr>
          <w:p w14:paraId="71BDB37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1" w:type="dxa"/>
          </w:tcPr>
          <w:p w14:paraId="5161506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r>
      <w:tr w14:paraId="7562F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7416CB2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2" w:type="dxa"/>
          </w:tcPr>
          <w:p w14:paraId="4BB4CE3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805" w:type="dxa"/>
          </w:tcPr>
          <w:p w14:paraId="144F221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672" w:type="dxa"/>
          </w:tcPr>
          <w:p w14:paraId="032FDB1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1" w:type="dxa"/>
          </w:tcPr>
          <w:p w14:paraId="207AB97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1" w:type="dxa"/>
          </w:tcPr>
          <w:p w14:paraId="2F31310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r>
      <w:tr w14:paraId="12F70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44E294B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2" w:type="dxa"/>
          </w:tcPr>
          <w:p w14:paraId="6A31C2E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805" w:type="dxa"/>
          </w:tcPr>
          <w:p w14:paraId="1F7AF78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672" w:type="dxa"/>
          </w:tcPr>
          <w:p w14:paraId="52DDA47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1" w:type="dxa"/>
          </w:tcPr>
          <w:p w14:paraId="1065F9A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1" w:type="dxa"/>
          </w:tcPr>
          <w:p w14:paraId="7DA8A84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r>
      <w:tr w14:paraId="1F9E8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14C4265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2" w:type="dxa"/>
          </w:tcPr>
          <w:p w14:paraId="54AA986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805" w:type="dxa"/>
          </w:tcPr>
          <w:p w14:paraId="47FFF3D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672" w:type="dxa"/>
          </w:tcPr>
          <w:p w14:paraId="451CE8E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1" w:type="dxa"/>
          </w:tcPr>
          <w:p w14:paraId="3DF652F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1" w:type="dxa"/>
          </w:tcPr>
          <w:p w14:paraId="2C52BDD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r>
    </w:tbl>
    <w:p w14:paraId="719D1BA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w:t>
      </w:r>
    </w:p>
    <w:p w14:paraId="35EEEF7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1.供应商应对采购文件第五章采购需求的内容给予逐条响应，以投标产品和服务所能达到的内容予以填写，而不得复制招标的技术要求作为响应内容，有具体参数的应填写具体参数。</w:t>
      </w:r>
    </w:p>
    <w:p w14:paraId="686DBA8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2.在本表中未对采购文件第五章采购需求的内容给予逐条响应的视为没有实质上响应采购文件的要求，响应无效。 此表中仅标注“全部满足”、“全部响应”等，无法体现供应商实质性响应或者偏离技术要求的；或无任何文字说明，内容为空白的，其响应无效。</w:t>
      </w:r>
    </w:p>
    <w:p w14:paraId="520ADEA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3.供应商应按照采购文件第五章采购需求中要求提供投标产品技术支持资料（或证明材料），并在采购需求响应及偏离表中给予文件名称、所处响应文件页码或位置等必要说明。</w:t>
      </w:r>
    </w:p>
    <w:p w14:paraId="55157ED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4.“偏离情况”列应据实填写“正偏离”、“负偏离”或“无偏离”。</w:t>
      </w:r>
    </w:p>
    <w:p w14:paraId="4C0C47D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p>
    <w:p w14:paraId="37CFE33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p>
    <w:p w14:paraId="3B7F7FB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供应商名称（加盖公章）： </w:t>
      </w:r>
      <w:r>
        <w:rPr>
          <w:rFonts w:hint="eastAsia" w:ascii="仿宋" w:hAnsi="仿宋" w:eastAsia="仿宋" w:cs="仿宋"/>
          <w:sz w:val="24"/>
          <w:szCs w:val="24"/>
          <w:highlight w:val="none"/>
          <w:u w:val="single"/>
          <w:lang w:val="en-US" w:eastAsia="zh-CN"/>
        </w:rPr>
        <w:t xml:space="preserve">              </w:t>
      </w:r>
    </w:p>
    <w:p w14:paraId="3D8BDB8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w:t>
      </w:r>
      <w:r>
        <w:rPr>
          <w:rFonts w:hint="eastAsia" w:ascii="仿宋" w:hAnsi="仿宋" w:eastAsia="仿宋" w:cs="仿宋"/>
          <w:sz w:val="24"/>
          <w:szCs w:val="24"/>
          <w:highlight w:val="none"/>
          <w:u w:val="single"/>
          <w:lang w:val="en-US" w:eastAsia="zh-CN"/>
        </w:rPr>
        <w:t xml:space="preserve">     年     月     日</w:t>
      </w:r>
    </w:p>
    <w:p w14:paraId="614D0656">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54D01F9F">
      <w:pPr>
        <w:pStyle w:val="26"/>
        <w:ind w:left="0" w:leftChars="0" w:firstLine="0" w:firstLineChars="0"/>
        <w:outlineLvl w:val="1"/>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  业绩一览表（格式）</w:t>
      </w:r>
    </w:p>
    <w:p w14:paraId="415AA216">
      <w:pPr>
        <w:widowControl w:val="0"/>
        <w:numPr>
          <w:ilvl w:val="0"/>
          <w:numId w:val="0"/>
        </w:numPr>
        <w:spacing w:line="360" w:lineRule="auto"/>
        <w:ind w:leftChars="0" w:firstLine="240" w:firstLineChars="100"/>
        <w:jc w:val="both"/>
        <w:rPr>
          <w:rFonts w:hint="eastAsia" w:ascii="仿宋" w:hAnsi="仿宋" w:eastAsia="仿宋" w:cs="仿宋"/>
          <w:kern w:val="2"/>
          <w:sz w:val="24"/>
          <w:szCs w:val="24"/>
          <w:highlight w:val="none"/>
          <w:vertAlign w:val="baseline"/>
          <w:lang w:val="en-US" w:eastAsia="zh-CN" w:bidi="zh-CN"/>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1656"/>
        <w:gridCol w:w="1645"/>
        <w:gridCol w:w="1219"/>
        <w:gridCol w:w="1824"/>
        <w:gridCol w:w="1117"/>
      </w:tblGrid>
      <w:tr w14:paraId="7DC2F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57" w:type="dxa"/>
            <w:vAlign w:val="center"/>
          </w:tcPr>
          <w:p w14:paraId="389BD44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序号</w:t>
            </w:r>
          </w:p>
        </w:tc>
        <w:tc>
          <w:tcPr>
            <w:tcW w:w="1656" w:type="dxa"/>
            <w:vAlign w:val="center"/>
          </w:tcPr>
          <w:p w14:paraId="2FDAD4B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合同签订时间</w:t>
            </w:r>
          </w:p>
        </w:tc>
        <w:tc>
          <w:tcPr>
            <w:tcW w:w="1645" w:type="dxa"/>
            <w:vAlign w:val="center"/>
          </w:tcPr>
          <w:p w14:paraId="339C8E9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服务主要内容</w:t>
            </w:r>
          </w:p>
        </w:tc>
        <w:tc>
          <w:tcPr>
            <w:tcW w:w="1219" w:type="dxa"/>
            <w:vAlign w:val="center"/>
          </w:tcPr>
          <w:p w14:paraId="3D027E6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采购单位</w:t>
            </w:r>
          </w:p>
        </w:tc>
        <w:tc>
          <w:tcPr>
            <w:tcW w:w="1824" w:type="dxa"/>
            <w:vAlign w:val="center"/>
          </w:tcPr>
          <w:p w14:paraId="0BBF260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联系人及电话</w:t>
            </w:r>
          </w:p>
        </w:tc>
        <w:tc>
          <w:tcPr>
            <w:tcW w:w="1117" w:type="dxa"/>
            <w:vAlign w:val="center"/>
          </w:tcPr>
          <w:p w14:paraId="758A14D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履约情况</w:t>
            </w:r>
          </w:p>
        </w:tc>
      </w:tr>
      <w:tr w14:paraId="34030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57" w:type="dxa"/>
          </w:tcPr>
          <w:p w14:paraId="2473D37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656" w:type="dxa"/>
          </w:tcPr>
          <w:p w14:paraId="0937687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645" w:type="dxa"/>
          </w:tcPr>
          <w:p w14:paraId="670F20C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219" w:type="dxa"/>
          </w:tcPr>
          <w:p w14:paraId="4BFA77F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824" w:type="dxa"/>
          </w:tcPr>
          <w:p w14:paraId="516C933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117" w:type="dxa"/>
          </w:tcPr>
          <w:p w14:paraId="737C662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r>
      <w:tr w14:paraId="680BD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57" w:type="dxa"/>
          </w:tcPr>
          <w:p w14:paraId="116CDA3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656" w:type="dxa"/>
          </w:tcPr>
          <w:p w14:paraId="4AACB8F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645" w:type="dxa"/>
          </w:tcPr>
          <w:p w14:paraId="792C73B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219" w:type="dxa"/>
          </w:tcPr>
          <w:p w14:paraId="7731ECC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824" w:type="dxa"/>
          </w:tcPr>
          <w:p w14:paraId="0CFEB39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117" w:type="dxa"/>
          </w:tcPr>
          <w:p w14:paraId="12DFB92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r>
      <w:tr w14:paraId="2D425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57" w:type="dxa"/>
          </w:tcPr>
          <w:p w14:paraId="22EC763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656" w:type="dxa"/>
          </w:tcPr>
          <w:p w14:paraId="014D4F1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645" w:type="dxa"/>
          </w:tcPr>
          <w:p w14:paraId="5F0FB6C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219" w:type="dxa"/>
          </w:tcPr>
          <w:p w14:paraId="7945692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824" w:type="dxa"/>
          </w:tcPr>
          <w:p w14:paraId="6454503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117" w:type="dxa"/>
          </w:tcPr>
          <w:p w14:paraId="0FD0D58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r>
    </w:tbl>
    <w:p w14:paraId="31628FD4">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240" w:firstLineChars="100"/>
        <w:jc w:val="both"/>
        <w:textAlignment w:val="auto"/>
        <w:rPr>
          <w:rFonts w:hint="eastAsia" w:ascii="仿宋" w:hAnsi="仿宋" w:eastAsia="仿宋" w:cs="仿宋"/>
          <w:kern w:val="2"/>
          <w:sz w:val="24"/>
          <w:szCs w:val="24"/>
          <w:highlight w:val="none"/>
          <w:lang w:val="en-US" w:eastAsia="zh-CN" w:bidi="zh-CN"/>
        </w:rPr>
      </w:pPr>
      <w:r>
        <w:rPr>
          <w:rFonts w:hint="eastAsia" w:ascii="仿宋" w:hAnsi="仿宋" w:eastAsia="仿宋" w:cs="仿宋"/>
          <w:kern w:val="2"/>
          <w:sz w:val="24"/>
          <w:szCs w:val="24"/>
          <w:highlight w:val="none"/>
          <w:lang w:val="en-US" w:eastAsia="zh-CN" w:bidi="zh-CN"/>
        </w:rPr>
        <w:t xml:space="preserve">  </w:t>
      </w:r>
    </w:p>
    <w:p w14:paraId="64B62F03">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 xml:space="preserve">注： </w:t>
      </w:r>
    </w:p>
    <w:p w14:paraId="6C24CDCF">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1.供应商应如实列出以上情况，如有虚假，一经查实将导致其</w:t>
      </w:r>
      <w:r>
        <w:rPr>
          <w:rFonts w:hint="eastAsia" w:ascii="仿宋" w:hAnsi="仿宋" w:eastAsia="仿宋" w:cs="仿宋"/>
          <w:b/>
          <w:bCs/>
          <w:kern w:val="2"/>
          <w:sz w:val="24"/>
          <w:szCs w:val="24"/>
          <w:highlight w:val="none"/>
          <w:lang w:val="en-US" w:eastAsia="zh-CN" w:bidi="ar-SA"/>
        </w:rPr>
        <w:t>响应无效</w:t>
      </w:r>
      <w:r>
        <w:rPr>
          <w:rFonts w:hint="eastAsia" w:ascii="仿宋" w:hAnsi="仿宋" w:eastAsia="仿宋" w:cs="仿宋"/>
          <w:kern w:val="2"/>
          <w:sz w:val="24"/>
          <w:szCs w:val="24"/>
          <w:highlight w:val="none"/>
          <w:lang w:val="en-US" w:eastAsia="zh-CN" w:bidi="ar-SA"/>
        </w:rPr>
        <w:t>并被拒绝。 2.供应商应按照采购文件第六章评标程序、评标方法和评标标准中的要求提供业绩证明材料。</w:t>
      </w:r>
    </w:p>
    <w:p w14:paraId="27111988">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kern w:val="2"/>
          <w:sz w:val="24"/>
          <w:szCs w:val="24"/>
          <w:highlight w:val="none"/>
          <w:lang w:val="en-US" w:eastAsia="zh-CN" w:bidi="zh-CN"/>
        </w:rPr>
      </w:pPr>
    </w:p>
    <w:p w14:paraId="17B720D1">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供应商名称</w:t>
      </w:r>
      <w:r>
        <w:rPr>
          <w:rFonts w:hint="eastAsia" w:ascii="仿宋" w:hAnsi="仿宋" w:eastAsia="仿宋" w:cs="仿宋"/>
          <w:sz w:val="24"/>
          <w:szCs w:val="24"/>
          <w:highlight w:val="none"/>
          <w:u w:val="none"/>
          <w:lang w:val="en-US" w:eastAsia="zh-CN"/>
        </w:rPr>
        <w:t>：</w:t>
      </w:r>
      <w:r>
        <w:rPr>
          <w:rFonts w:hint="eastAsia" w:ascii="仿宋" w:hAnsi="仿宋" w:eastAsia="仿宋" w:cs="仿宋"/>
          <w:sz w:val="24"/>
          <w:szCs w:val="24"/>
          <w:highlight w:val="none"/>
          <w:u w:val="single"/>
          <w:lang w:val="en-US" w:eastAsia="zh-CN"/>
        </w:rPr>
        <w:t xml:space="preserve">                    （加盖单位公章）</w:t>
      </w:r>
    </w:p>
    <w:p w14:paraId="45E35D28">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法定代表人或授权代表：</w:t>
      </w:r>
      <w:r>
        <w:rPr>
          <w:rFonts w:hint="eastAsia" w:ascii="仿宋" w:hAnsi="仿宋" w:eastAsia="仿宋" w:cs="仿宋"/>
          <w:sz w:val="24"/>
          <w:szCs w:val="24"/>
          <w:highlight w:val="none"/>
          <w:u w:val="single"/>
          <w:lang w:val="en-US" w:eastAsia="zh-CN"/>
        </w:rPr>
        <w:t xml:space="preserve">           （签字或签章）</w:t>
      </w:r>
    </w:p>
    <w:p w14:paraId="056EE416">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lang w:val="en-US" w:eastAsia="zh-CN"/>
        </w:rPr>
        <w:t>日期：</w:t>
      </w:r>
      <w:r>
        <w:rPr>
          <w:rFonts w:hint="eastAsia" w:ascii="仿宋" w:hAnsi="仿宋" w:eastAsia="仿宋" w:cs="仿宋"/>
          <w:sz w:val="24"/>
          <w:szCs w:val="24"/>
          <w:highlight w:val="none"/>
          <w:u w:val="single"/>
          <w:lang w:val="en-US" w:eastAsia="zh-CN"/>
        </w:rPr>
        <w:t xml:space="preserve">                                         </w:t>
      </w:r>
    </w:p>
    <w:p w14:paraId="6B3F9B7C">
      <w:pPr>
        <w:widowControl w:val="0"/>
        <w:spacing w:after="120" w:line="360" w:lineRule="auto"/>
        <w:ind w:left="480" w:leftChars="200" w:firstLine="420" w:firstLineChars="200"/>
        <w:jc w:val="both"/>
        <w:rPr>
          <w:rFonts w:hint="eastAsia" w:ascii="仿宋" w:hAnsi="仿宋" w:eastAsia="仿宋" w:cs="仿宋"/>
          <w:kern w:val="0"/>
          <w:sz w:val="21"/>
          <w:szCs w:val="24"/>
          <w:highlight w:val="none"/>
          <w:lang w:val="en-US" w:eastAsia="zh-CN" w:bidi="ar-SA"/>
        </w:rPr>
      </w:pPr>
    </w:p>
    <w:p w14:paraId="60E1F577">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br w:type="page"/>
      </w:r>
    </w:p>
    <w:p w14:paraId="5B311340">
      <w:pPr>
        <w:widowControl w:val="0"/>
        <w:spacing w:line="360" w:lineRule="auto"/>
        <w:ind w:left="0" w:leftChars="0" w:firstLine="0" w:firstLineChars="0"/>
        <w:jc w:val="both"/>
        <w:rPr>
          <w:rFonts w:hint="eastAsia" w:ascii="仿宋" w:hAnsi="仿宋" w:eastAsia="仿宋" w:cs="仿宋"/>
          <w:kern w:val="2"/>
          <w:sz w:val="24"/>
          <w:szCs w:val="24"/>
          <w:highlight w:val="none"/>
          <w:lang w:val="en-US" w:eastAsia="zh-CN" w:bidi="zh-CN"/>
        </w:rPr>
      </w:pPr>
      <w:r>
        <w:rPr>
          <w:rFonts w:hint="eastAsia" w:ascii="仿宋" w:hAnsi="仿宋" w:eastAsia="仿宋" w:cs="仿宋"/>
          <w:kern w:val="2"/>
          <w:sz w:val="24"/>
          <w:szCs w:val="24"/>
          <w:highlight w:val="none"/>
          <w:lang w:val="en-US" w:eastAsia="zh-CN" w:bidi="zh-CN"/>
        </w:rPr>
        <w:t>11  采购文件要求提供或供应商认为应附的其他材料</w:t>
      </w:r>
    </w:p>
    <w:p w14:paraId="401D47A7">
      <w:pPr>
        <w:pStyle w:val="26"/>
        <w:rPr>
          <w:rFonts w:hint="eastAsia" w:ascii="仿宋" w:hAnsi="仿宋" w:eastAsia="仿宋" w:cs="仿宋"/>
          <w:highlight w:val="none"/>
          <w:lang w:val="en-US" w:eastAsia="zh-CN"/>
        </w:rPr>
      </w:pPr>
    </w:p>
    <w:p w14:paraId="46147F8B">
      <w:pPr>
        <w:rPr>
          <w:rFonts w:hint="eastAsia" w:ascii="仿宋" w:hAnsi="仿宋" w:eastAsia="仿宋" w:cs="仿宋"/>
          <w:sz w:val="21"/>
          <w:highlight w:val="none"/>
          <w:lang w:val="en-US" w:eastAsia="zh-CN"/>
        </w:rPr>
      </w:pPr>
      <w:r>
        <w:rPr>
          <w:rFonts w:hint="eastAsia" w:ascii="仿宋" w:hAnsi="仿宋" w:eastAsia="仿宋" w:cs="仿宋"/>
          <w:sz w:val="21"/>
          <w:highlight w:val="none"/>
          <w:lang w:val="en-US" w:eastAsia="zh-CN"/>
        </w:rPr>
        <w:br w:type="page"/>
      </w:r>
    </w:p>
    <w:p w14:paraId="46D91A91">
      <w:pPr>
        <w:keepNext/>
        <w:keepLines/>
        <w:widowControl w:val="0"/>
        <w:spacing w:before="0" w:after="260" w:line="240" w:lineRule="atLeast"/>
        <w:jc w:val="both"/>
        <w:outlineLvl w:val="1"/>
        <w:rPr>
          <w:rFonts w:hint="eastAsia" w:ascii="仿宋" w:hAnsi="仿宋" w:eastAsia="仿宋" w:cs="仿宋"/>
          <w:b w:val="0"/>
          <w:bCs/>
          <w:kern w:val="2"/>
          <w:sz w:val="24"/>
          <w:szCs w:val="32"/>
          <w:highlight w:val="none"/>
          <w:lang w:val="en-US" w:eastAsia="zh-CN" w:bidi="ar-SA"/>
        </w:rPr>
      </w:pPr>
      <w:bookmarkStart w:id="62" w:name="_Toc480942355"/>
      <w:bookmarkStart w:id="63" w:name="_Ref467988543"/>
      <w:bookmarkStart w:id="64" w:name="_Toc216582819"/>
      <w:bookmarkStart w:id="65" w:name="_Toc520356224"/>
      <w:bookmarkStart w:id="66" w:name="_Toc522"/>
      <w:bookmarkStart w:id="67" w:name="_Toc20238"/>
      <w:bookmarkStart w:id="68" w:name="_Toc21320"/>
      <w:bookmarkStart w:id="69" w:name="_Toc4183"/>
      <w:bookmarkStart w:id="70" w:name="_Toc9592"/>
      <w:bookmarkStart w:id="71" w:name="_Toc507399535"/>
      <w:bookmarkStart w:id="72" w:name="_Toc15963"/>
      <w:bookmarkStart w:id="73" w:name="_Toc17143"/>
      <w:bookmarkStart w:id="74" w:name="_Toc8281"/>
      <w:bookmarkStart w:id="75" w:name="_Toc3420"/>
      <w:r>
        <w:rPr>
          <w:rFonts w:hint="eastAsia" w:ascii="仿宋" w:hAnsi="仿宋" w:eastAsia="仿宋" w:cs="仿宋"/>
          <w:b/>
          <w:bCs/>
          <w:kern w:val="2"/>
          <w:sz w:val="24"/>
          <w:szCs w:val="32"/>
          <w:highlight w:val="none"/>
          <w:lang w:val="en-US" w:eastAsia="zh-CN" w:bidi="ar-SA"/>
        </w:rPr>
        <w:t xml:space="preserve">12   </w:t>
      </w:r>
      <w:bookmarkEnd w:id="62"/>
      <w:bookmarkEnd w:id="63"/>
      <w:bookmarkEnd w:id="64"/>
      <w:bookmarkEnd w:id="65"/>
      <w:bookmarkStart w:id="76" w:name="_Hlt520271212"/>
      <w:bookmarkEnd w:id="76"/>
      <w:bookmarkStart w:id="77" w:name="_Hlt520273973"/>
      <w:bookmarkEnd w:id="77"/>
      <w:bookmarkStart w:id="78" w:name="_Hlt520273711"/>
      <w:bookmarkEnd w:id="78"/>
      <w:bookmarkStart w:id="79" w:name="_Hlt520274065"/>
      <w:bookmarkEnd w:id="79"/>
      <w:bookmarkStart w:id="80" w:name="_Hlt520274911"/>
      <w:bookmarkEnd w:id="80"/>
      <w:bookmarkStart w:id="81" w:name="_Hlt520274393"/>
      <w:bookmarkEnd w:id="81"/>
      <w:bookmarkStart w:id="82" w:name="_Hlt520350957"/>
      <w:bookmarkEnd w:id="82"/>
      <w:bookmarkStart w:id="83" w:name="_Hlt520343000"/>
      <w:bookmarkEnd w:id="83"/>
      <w:bookmarkStart w:id="84" w:name="_Hlt520350918"/>
      <w:bookmarkEnd w:id="84"/>
      <w:bookmarkStart w:id="85" w:name="_Hlt520274407"/>
      <w:bookmarkEnd w:id="85"/>
      <w:bookmarkStart w:id="86" w:name="_Hlt520343392"/>
      <w:bookmarkEnd w:id="86"/>
      <w:bookmarkStart w:id="87" w:name="_Toc216513801"/>
      <w:bookmarkStart w:id="88" w:name="_Toc216582821"/>
      <w:r>
        <w:rPr>
          <w:rFonts w:hint="eastAsia" w:ascii="仿宋" w:hAnsi="仿宋" w:eastAsia="仿宋" w:cs="仿宋"/>
          <w:b/>
          <w:bCs/>
          <w:kern w:val="2"/>
          <w:sz w:val="24"/>
          <w:szCs w:val="32"/>
          <w:highlight w:val="none"/>
          <w:lang w:val="en-US" w:eastAsia="zh-CN" w:bidi="ar-SA"/>
        </w:rPr>
        <w:t>中标服务费承诺书</w:t>
      </w:r>
      <w:bookmarkEnd w:id="66"/>
      <w:bookmarkEnd w:id="67"/>
      <w:bookmarkEnd w:id="68"/>
      <w:bookmarkEnd w:id="69"/>
      <w:bookmarkEnd w:id="70"/>
      <w:bookmarkEnd w:id="71"/>
      <w:bookmarkEnd w:id="72"/>
      <w:bookmarkEnd w:id="73"/>
    </w:p>
    <w:p w14:paraId="75FB41C9">
      <w:pPr>
        <w:spacing w:line="240" w:lineRule="atLeast"/>
        <w:ind w:left="1157" w:leftChars="257" w:hanging="540"/>
        <w:rPr>
          <w:rFonts w:hint="eastAsia" w:ascii="仿宋" w:hAnsi="仿宋" w:eastAsia="仿宋" w:cs="仿宋"/>
          <w:b/>
          <w:sz w:val="24"/>
          <w:highlight w:val="none"/>
        </w:rPr>
      </w:pPr>
    </w:p>
    <w:p w14:paraId="3D9D3C5D">
      <w:pPr>
        <w:spacing w:line="240" w:lineRule="atLeast"/>
        <w:ind w:left="1157" w:leftChars="257" w:hanging="540"/>
        <w:jc w:val="center"/>
        <w:rPr>
          <w:rFonts w:hint="eastAsia" w:ascii="仿宋" w:hAnsi="仿宋" w:eastAsia="仿宋" w:cs="仿宋"/>
          <w:b/>
          <w:bCs/>
          <w:sz w:val="24"/>
          <w:highlight w:val="none"/>
        </w:rPr>
      </w:pPr>
      <w:r>
        <w:rPr>
          <w:rFonts w:hint="eastAsia" w:ascii="仿宋" w:hAnsi="仿宋" w:eastAsia="仿宋" w:cs="仿宋"/>
          <w:b/>
          <w:bCs/>
          <w:sz w:val="24"/>
          <w:highlight w:val="none"/>
        </w:rPr>
        <w:t>中标服务费承诺书</w:t>
      </w:r>
    </w:p>
    <w:p w14:paraId="37621D4E">
      <w:pPr>
        <w:spacing w:line="440" w:lineRule="exact"/>
        <w:ind w:left="1080" w:hanging="1080"/>
        <w:rPr>
          <w:rFonts w:hint="eastAsia" w:ascii="仿宋" w:hAnsi="仿宋" w:eastAsia="仿宋" w:cs="仿宋"/>
          <w:sz w:val="24"/>
          <w:highlight w:val="none"/>
        </w:rPr>
      </w:pPr>
    </w:p>
    <w:p w14:paraId="1A3CF6E5">
      <w:pPr>
        <w:spacing w:line="440" w:lineRule="exact"/>
        <w:ind w:left="1080" w:hanging="1080"/>
        <w:rPr>
          <w:rFonts w:hint="eastAsia" w:ascii="仿宋" w:hAnsi="仿宋" w:eastAsia="仿宋" w:cs="仿宋"/>
          <w:sz w:val="24"/>
          <w:highlight w:val="none"/>
          <w:u w:val="single"/>
          <w:lang w:val="en-US" w:eastAsia="zh-CN"/>
        </w:rPr>
      </w:pPr>
      <w:r>
        <w:rPr>
          <w:rFonts w:hint="eastAsia" w:ascii="仿宋" w:hAnsi="仿宋" w:eastAsia="仿宋" w:cs="仿宋"/>
          <w:sz w:val="24"/>
          <w:highlight w:val="none"/>
        </w:rPr>
        <w:t>致：</w:t>
      </w:r>
      <w:r>
        <w:rPr>
          <w:rFonts w:hint="eastAsia" w:ascii="仿宋" w:hAnsi="仿宋" w:eastAsia="仿宋" w:cs="仿宋"/>
          <w:sz w:val="24"/>
          <w:highlight w:val="none"/>
          <w:lang w:val="en-US" w:eastAsia="zh-CN"/>
        </w:rPr>
        <w:t>新疆世纪星工程咨询有限公司</w:t>
      </w:r>
    </w:p>
    <w:p w14:paraId="0809D267">
      <w:pPr>
        <w:spacing w:line="440" w:lineRule="exact"/>
        <w:ind w:left="1157" w:leftChars="257" w:hanging="540"/>
        <w:rPr>
          <w:rFonts w:hint="eastAsia" w:ascii="仿宋" w:hAnsi="仿宋" w:eastAsia="仿宋" w:cs="仿宋"/>
          <w:sz w:val="24"/>
          <w:highlight w:val="none"/>
        </w:rPr>
      </w:pPr>
    </w:p>
    <w:p w14:paraId="3A691A41">
      <w:pPr>
        <w:spacing w:line="440" w:lineRule="exact"/>
        <w:rPr>
          <w:rFonts w:hint="eastAsia" w:ascii="仿宋" w:hAnsi="仿宋" w:eastAsia="仿宋" w:cs="仿宋"/>
          <w:sz w:val="24"/>
          <w:highlight w:val="none"/>
        </w:rPr>
      </w:pPr>
      <w:r>
        <w:rPr>
          <w:rFonts w:hint="eastAsia" w:ascii="仿宋" w:hAnsi="仿宋" w:eastAsia="仿宋" w:cs="仿宋"/>
          <w:sz w:val="24"/>
          <w:highlight w:val="none"/>
        </w:rPr>
        <w:tab/>
      </w:r>
      <w:r>
        <w:rPr>
          <w:rFonts w:hint="eastAsia" w:ascii="仿宋" w:hAnsi="仿宋" w:eastAsia="仿宋" w:cs="仿宋"/>
          <w:sz w:val="24"/>
          <w:highlight w:val="none"/>
        </w:rPr>
        <w:t xml:space="preserve"> 我们在贵公司组织的</w:t>
      </w:r>
      <w:r>
        <w:rPr>
          <w:rFonts w:hint="eastAsia" w:ascii="仿宋" w:hAnsi="仿宋" w:eastAsia="仿宋" w:cs="仿宋"/>
          <w:sz w:val="24"/>
          <w:highlight w:val="none"/>
          <w:u w:val="single"/>
        </w:rPr>
        <w:tab/>
      </w:r>
      <w:r>
        <w:rPr>
          <w:rFonts w:hint="eastAsia" w:ascii="仿宋" w:hAnsi="仿宋" w:eastAsia="仿宋" w:cs="仿宋"/>
          <w:sz w:val="24"/>
          <w:highlight w:val="none"/>
          <w:u w:val="single"/>
          <w:lang w:eastAsia="zh-CN"/>
        </w:rPr>
        <w:t>（</w:t>
      </w:r>
      <w:r>
        <w:rPr>
          <w:rFonts w:hint="eastAsia" w:ascii="仿宋" w:hAnsi="仿宋" w:eastAsia="仿宋" w:cs="仿宋"/>
          <w:sz w:val="24"/>
          <w:highlight w:val="none"/>
          <w:u w:val="single"/>
          <w:lang w:val="en-US" w:eastAsia="zh-CN"/>
        </w:rPr>
        <w:t>项目名称、项目编号</w:t>
      </w:r>
      <w:r>
        <w:rPr>
          <w:rFonts w:hint="eastAsia" w:ascii="仿宋" w:hAnsi="仿宋" w:eastAsia="仿宋" w:cs="仿宋"/>
          <w:sz w:val="24"/>
          <w:highlight w:val="none"/>
          <w:u w:val="single"/>
          <w:lang w:eastAsia="zh-CN"/>
        </w:rPr>
        <w:t>）</w:t>
      </w:r>
      <w:r>
        <w:rPr>
          <w:rFonts w:hint="eastAsia" w:ascii="仿宋" w:hAnsi="仿宋" w:eastAsia="仿宋" w:cs="仿宋"/>
          <w:sz w:val="24"/>
          <w:highlight w:val="none"/>
          <w:u w:val="single"/>
        </w:rPr>
        <w:tab/>
      </w:r>
      <w:r>
        <w:rPr>
          <w:rFonts w:hint="eastAsia" w:ascii="仿宋" w:hAnsi="仿宋" w:eastAsia="仿宋" w:cs="仿宋"/>
          <w:sz w:val="24"/>
          <w:highlight w:val="none"/>
        </w:rPr>
        <w:t>项目招标中若获得中标资格，我们保证在领取</w:t>
      </w:r>
      <w:r>
        <w:rPr>
          <w:rFonts w:hint="eastAsia" w:ascii="仿宋" w:hAnsi="仿宋" w:eastAsia="仿宋" w:cs="仿宋"/>
          <w:sz w:val="24"/>
          <w:highlight w:val="none"/>
          <w:lang w:eastAsia="zh-CN"/>
        </w:rPr>
        <w:t>成交通知书</w:t>
      </w:r>
      <w:r>
        <w:rPr>
          <w:rFonts w:hint="eastAsia" w:ascii="仿宋" w:hAnsi="仿宋" w:eastAsia="仿宋" w:cs="仿宋"/>
          <w:sz w:val="24"/>
          <w:highlight w:val="none"/>
        </w:rPr>
        <w:t>的同时按</w:t>
      </w:r>
      <w:r>
        <w:rPr>
          <w:rFonts w:hint="eastAsia" w:ascii="仿宋" w:hAnsi="仿宋" w:eastAsia="仿宋" w:cs="仿宋"/>
          <w:sz w:val="24"/>
          <w:highlight w:val="none"/>
          <w:lang w:eastAsia="zh-CN"/>
        </w:rPr>
        <w:t>采购文件</w:t>
      </w:r>
      <w:r>
        <w:rPr>
          <w:rFonts w:hint="eastAsia" w:ascii="仿宋" w:hAnsi="仿宋" w:eastAsia="仿宋" w:cs="仿宋"/>
          <w:sz w:val="24"/>
          <w:highlight w:val="none"/>
        </w:rPr>
        <w:t>的规定，按</w:t>
      </w:r>
      <w:r>
        <w:rPr>
          <w:rFonts w:hint="eastAsia" w:ascii="仿宋" w:hAnsi="仿宋" w:eastAsia="仿宋" w:cs="仿宋"/>
          <w:sz w:val="24"/>
          <w:highlight w:val="none"/>
          <w:lang w:eastAsia="zh-CN"/>
        </w:rPr>
        <w:t>采购文件</w:t>
      </w:r>
      <w:r>
        <w:rPr>
          <w:rFonts w:hint="eastAsia" w:ascii="仿宋" w:hAnsi="仿宋" w:eastAsia="仿宋" w:cs="仿宋"/>
          <w:sz w:val="24"/>
          <w:highlight w:val="none"/>
        </w:rPr>
        <w:t>对代理服务费支付方式的约定，承担本项目代理服务费。</w:t>
      </w:r>
    </w:p>
    <w:p w14:paraId="3E0FA00E">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新疆世纪星工程咨询有限公司的要求办理支付手续。</w:t>
      </w:r>
    </w:p>
    <w:p w14:paraId="0375283D">
      <w:pPr>
        <w:spacing w:line="440" w:lineRule="exact"/>
        <w:ind w:left="1157" w:leftChars="257" w:hanging="540"/>
        <w:rPr>
          <w:rFonts w:hint="eastAsia" w:ascii="仿宋" w:hAnsi="仿宋" w:eastAsia="仿宋" w:cs="仿宋"/>
          <w:sz w:val="24"/>
          <w:highlight w:val="none"/>
        </w:rPr>
      </w:pPr>
      <w:r>
        <w:rPr>
          <w:rFonts w:hint="eastAsia" w:ascii="仿宋" w:hAnsi="仿宋" w:eastAsia="仿宋" w:cs="仿宋"/>
          <w:sz w:val="24"/>
          <w:highlight w:val="none"/>
        </w:rPr>
        <w:t>特此承诺！</w:t>
      </w:r>
    </w:p>
    <w:p w14:paraId="1549CB7A">
      <w:pPr>
        <w:spacing w:line="440" w:lineRule="exact"/>
        <w:ind w:left="1157" w:leftChars="257" w:hanging="540"/>
        <w:rPr>
          <w:rFonts w:hint="eastAsia" w:ascii="仿宋" w:hAnsi="仿宋" w:eastAsia="仿宋" w:cs="仿宋"/>
          <w:sz w:val="24"/>
          <w:highlight w:val="none"/>
        </w:rPr>
      </w:pPr>
    </w:p>
    <w:p w14:paraId="2284BC4E">
      <w:pPr>
        <w:spacing w:line="440" w:lineRule="exact"/>
        <w:ind w:left="1157" w:leftChars="257" w:hanging="540"/>
        <w:rPr>
          <w:rFonts w:hint="eastAsia" w:ascii="仿宋" w:hAnsi="仿宋" w:eastAsia="仿宋" w:cs="仿宋"/>
          <w:sz w:val="24"/>
          <w:highlight w:val="none"/>
        </w:rPr>
      </w:pPr>
    </w:p>
    <w:p w14:paraId="25C2721D">
      <w:pPr>
        <w:spacing w:line="440" w:lineRule="exact"/>
        <w:ind w:left="1157" w:leftChars="257" w:hanging="540"/>
        <w:rPr>
          <w:rFonts w:hint="eastAsia" w:ascii="仿宋" w:hAnsi="仿宋" w:eastAsia="仿宋" w:cs="仿宋"/>
          <w:sz w:val="24"/>
          <w:highlight w:val="none"/>
        </w:rPr>
      </w:pPr>
    </w:p>
    <w:p w14:paraId="1E9BA995">
      <w:pPr>
        <w:spacing w:line="440" w:lineRule="exact"/>
        <w:ind w:left="1157" w:leftChars="257" w:hanging="540"/>
        <w:rPr>
          <w:rFonts w:hint="eastAsia" w:ascii="仿宋" w:hAnsi="仿宋" w:eastAsia="仿宋" w:cs="仿宋"/>
          <w:sz w:val="24"/>
          <w:highlight w:val="none"/>
        </w:rPr>
      </w:pPr>
    </w:p>
    <w:p w14:paraId="55EB3FC0">
      <w:pPr>
        <w:spacing w:line="440" w:lineRule="exact"/>
        <w:ind w:left="1080" w:hanging="1080"/>
        <w:rPr>
          <w:rFonts w:hint="eastAsia" w:ascii="仿宋" w:hAnsi="仿宋" w:eastAsia="仿宋" w:cs="仿宋"/>
          <w:sz w:val="24"/>
          <w:highlight w:val="none"/>
        </w:rPr>
      </w:pPr>
    </w:p>
    <w:p w14:paraId="2E94EE4C">
      <w:pPr>
        <w:spacing w:line="440" w:lineRule="exact"/>
        <w:ind w:left="1495" w:leftChars="273" w:hanging="840" w:hangingChars="350"/>
        <w:rPr>
          <w:rFonts w:hint="eastAsia" w:ascii="仿宋" w:hAnsi="仿宋" w:eastAsia="仿宋" w:cs="仿宋"/>
          <w:sz w:val="24"/>
          <w:highlight w:val="none"/>
        </w:rPr>
      </w:pPr>
      <w:r>
        <w:rPr>
          <w:rFonts w:hint="eastAsia" w:ascii="仿宋" w:hAnsi="仿宋" w:eastAsia="仿宋" w:cs="仿宋"/>
          <w:sz w:val="24"/>
          <w:highlight w:val="none"/>
        </w:rPr>
        <w:t>承诺方法定名称：</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none"/>
        </w:rPr>
        <w:t>（承诺方盖章）</w:t>
      </w:r>
    </w:p>
    <w:p w14:paraId="6F469E6A">
      <w:pPr>
        <w:spacing w:line="440" w:lineRule="exact"/>
        <w:ind w:left="1697" w:leftChars="257" w:hanging="1080"/>
        <w:rPr>
          <w:rFonts w:hint="eastAsia" w:ascii="仿宋" w:hAnsi="仿宋" w:eastAsia="仿宋" w:cs="仿宋"/>
          <w:sz w:val="24"/>
          <w:highlight w:val="none"/>
        </w:rPr>
      </w:pPr>
      <w:r>
        <w:rPr>
          <w:rFonts w:hint="eastAsia" w:ascii="仿宋" w:hAnsi="仿宋" w:eastAsia="仿宋" w:cs="仿宋"/>
          <w:sz w:val="24"/>
          <w:highlight w:val="none"/>
        </w:rPr>
        <w:t>地址：</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14:paraId="3B869E4D">
      <w:pPr>
        <w:spacing w:line="440" w:lineRule="exact"/>
        <w:ind w:left="1697" w:leftChars="257" w:hanging="1080"/>
        <w:rPr>
          <w:rFonts w:hint="eastAsia" w:ascii="仿宋" w:hAnsi="仿宋" w:eastAsia="仿宋" w:cs="仿宋"/>
          <w:sz w:val="24"/>
          <w:highlight w:val="none"/>
        </w:rPr>
      </w:pPr>
      <w:r>
        <w:rPr>
          <w:rFonts w:hint="eastAsia" w:ascii="仿宋" w:hAnsi="仿宋" w:eastAsia="仿宋" w:cs="仿宋"/>
          <w:sz w:val="24"/>
          <w:highlight w:val="none"/>
        </w:rPr>
        <w:t>电话：</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传真：</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14:paraId="02A58D80">
      <w:pPr>
        <w:spacing w:line="440" w:lineRule="exact"/>
        <w:ind w:left="1697" w:leftChars="257" w:hanging="1080"/>
        <w:rPr>
          <w:rFonts w:hint="eastAsia" w:ascii="仿宋" w:hAnsi="仿宋" w:eastAsia="仿宋" w:cs="仿宋"/>
          <w:sz w:val="24"/>
          <w:highlight w:val="none"/>
        </w:rPr>
      </w:pPr>
      <w:r>
        <w:rPr>
          <w:rFonts w:hint="eastAsia" w:ascii="仿宋" w:hAnsi="仿宋" w:eastAsia="仿宋" w:cs="仿宋"/>
          <w:sz w:val="24"/>
          <w:highlight w:val="none"/>
        </w:rPr>
        <w:t>电传：</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邮编：</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14:paraId="63D1ED19">
      <w:pPr>
        <w:spacing w:line="440" w:lineRule="exact"/>
        <w:ind w:left="1697" w:leftChars="257" w:hanging="1080"/>
        <w:rPr>
          <w:rFonts w:hint="eastAsia" w:ascii="仿宋" w:hAnsi="仿宋" w:eastAsia="仿宋" w:cs="仿宋"/>
          <w:sz w:val="24"/>
          <w:highlight w:val="none"/>
        </w:rPr>
      </w:pPr>
      <w:r>
        <w:rPr>
          <w:rFonts w:hint="eastAsia" w:ascii="仿宋" w:hAnsi="仿宋" w:eastAsia="仿宋" w:cs="仿宋"/>
          <w:sz w:val="24"/>
          <w:highlight w:val="none"/>
        </w:rPr>
        <w:t>承诺方授权代表签字：</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 xml:space="preserve">    </w:t>
      </w:r>
    </w:p>
    <w:p w14:paraId="7F211113">
      <w:pPr>
        <w:spacing w:line="440" w:lineRule="exact"/>
        <w:ind w:left="1697" w:leftChars="257" w:hanging="1080"/>
        <w:rPr>
          <w:rFonts w:hint="eastAsia" w:ascii="仿宋" w:hAnsi="仿宋" w:eastAsia="仿宋" w:cs="仿宋"/>
          <w:sz w:val="24"/>
          <w:highlight w:val="none"/>
          <w:u w:val="single"/>
        </w:rPr>
      </w:pPr>
      <w:r>
        <w:rPr>
          <w:rFonts w:hint="eastAsia" w:ascii="仿宋" w:hAnsi="仿宋" w:eastAsia="仿宋" w:cs="仿宋"/>
          <w:sz w:val="24"/>
          <w:highlight w:val="none"/>
        </w:rPr>
        <w:t>承诺日期：</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 xml:space="preserve">                      </w:t>
      </w:r>
      <w:bookmarkEnd w:id="87"/>
      <w:bookmarkEnd w:id="88"/>
    </w:p>
    <w:bookmarkEnd w:id="74"/>
    <w:bookmarkEnd w:id="75"/>
    <w:p w14:paraId="075B7E42">
      <w:pPr>
        <w:rPr>
          <w:rFonts w:hint="eastAsia" w:ascii="仿宋" w:hAnsi="仿宋" w:eastAsia="仿宋" w:cs="仿宋"/>
          <w:b w:val="0"/>
          <w:bCs w:val="0"/>
          <w:color w:val="000000"/>
          <w:kern w:val="0"/>
          <w:sz w:val="24"/>
          <w:szCs w:val="24"/>
          <w:highlight w:val="none"/>
          <w:lang w:val="en-US" w:eastAsia="zh-CN" w:bidi="ar"/>
        </w:rPr>
      </w:pPr>
    </w:p>
    <w:p w14:paraId="3D9AEF75">
      <w:pPr>
        <w:rPr>
          <w:rFonts w:hint="eastAsia" w:ascii="仿宋" w:hAnsi="仿宋" w:eastAsia="仿宋" w:cs="仿宋"/>
          <w:highlight w:val="none"/>
          <w:lang w:val="en-US" w:eastAsia="zh-CN"/>
        </w:rPr>
      </w:pPr>
    </w:p>
    <w:sectPr>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3DCBEE55-0FAC-4353-BF93-8C72CA1B8AD1}"/>
  </w:font>
  <w:font w:name="微软雅黑">
    <w:panose1 w:val="020B0503020204020204"/>
    <w:charset w:val="86"/>
    <w:family w:val="auto"/>
    <w:pitch w:val="default"/>
    <w:sig w:usb0="80000287" w:usb1="2ACF3C50" w:usb2="00000016" w:usb3="00000000" w:csb0="0004001F" w:csb1="00000000"/>
    <w:embedRegular r:id="rId2" w:fontKey="{74C801CA-68D6-4E84-80A4-0ED45F7988D7}"/>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A3B38">
    <w:pPr>
      <w:pStyle w:val="2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F9E10C">
                          <w:pPr>
                            <w:pStyle w:val="2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8F9E10C">
                    <w:pPr>
                      <w:pStyle w:val="21"/>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EF53C">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3871F">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E410C">
    <w:pPr>
      <w:pStyle w:val="2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C1B238">
                          <w:pPr>
                            <w:pStyle w:val="21"/>
                          </w:pP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29</w:t>
                          </w:r>
                          <w:r>
                            <w:rPr>
                              <w:rFonts w:hint="eastAsia" w:ascii="仿宋" w:hAnsi="仿宋" w:eastAsia="仿宋" w:cs="仿宋"/>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3C1B238">
                    <w:pPr>
                      <w:pStyle w:val="21"/>
                    </w:pP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29</w:t>
                    </w:r>
                    <w:r>
                      <w:rPr>
                        <w:rFonts w:hint="eastAsia" w:ascii="仿宋" w:hAnsi="仿宋" w:eastAsia="仿宋" w:cs="仿宋"/>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272EE">
    <w:pPr>
      <w:pStyle w:val="2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8C695">
    <w:pPr>
      <w:pStyle w:val="22"/>
      <w:pBdr>
        <w:bottom w:val="none" w:color="auto" w:sz="0" w:space="1"/>
      </w:pBdr>
      <w:bidi w:val="0"/>
      <w:ind w:firstLine="840" w:firstLineChars="300"/>
      <w:rPr>
        <w:rFonts w:hint="eastAsia" w:ascii="仿宋" w:hAnsi="仿宋" w:eastAsia="仿宋" w:cs="仿宋"/>
        <w:sz w:val="21"/>
        <w:szCs w:val="21"/>
        <w:lang w:val="en-US" w:eastAsia="zh-CN"/>
      </w:rPr>
    </w:pPr>
    <w:r>
      <w:rPr>
        <w:rFonts w:hint="eastAsia" w:ascii="仿宋" w:hAnsi="仿宋" w:eastAsia="仿宋" w:cs="仿宋"/>
        <w:sz w:val="28"/>
        <w:szCs w:val="28"/>
        <w:lang w:eastAsia="zh-CN"/>
      </w:rPr>
      <w:drawing>
        <wp:anchor distT="0" distB="0" distL="114300" distR="114300" simplePos="0" relativeHeight="251661312" behindDoc="1" locked="0" layoutInCell="1" allowOverlap="1">
          <wp:simplePos x="0" y="0"/>
          <wp:positionH relativeFrom="column">
            <wp:posOffset>14605</wp:posOffset>
          </wp:positionH>
          <wp:positionV relativeFrom="paragraph">
            <wp:posOffset>-6985</wp:posOffset>
          </wp:positionV>
          <wp:extent cx="427355" cy="413385"/>
          <wp:effectExtent l="0" t="0" r="48895" b="43815"/>
          <wp:wrapTight wrapText="bothSides">
            <wp:wrapPolygon>
              <wp:start x="0" y="0"/>
              <wp:lineTo x="0" y="20903"/>
              <wp:lineTo x="20894" y="20903"/>
              <wp:lineTo x="20894" y="0"/>
              <wp:lineTo x="0" y="0"/>
            </wp:wrapPolygon>
          </wp:wrapTight>
          <wp:docPr id="1" name="图片 1" descr="1680841359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80841359666"/>
                  <pic:cNvPicPr>
                    <a:picLocks noChangeAspect="1"/>
                  </pic:cNvPicPr>
                </pic:nvPicPr>
                <pic:blipFill>
                  <a:blip r:embed="rId1"/>
                  <a:stretch>
                    <a:fillRect/>
                  </a:stretch>
                </pic:blipFill>
                <pic:spPr>
                  <a:xfrm>
                    <a:off x="0" y="0"/>
                    <a:ext cx="427355" cy="413385"/>
                  </a:xfrm>
                  <a:prstGeom prst="rect">
                    <a:avLst/>
                  </a:prstGeom>
                </pic:spPr>
              </pic:pic>
            </a:graphicData>
          </a:graphic>
        </wp:anchor>
      </w:drawing>
    </w:r>
    <w:r>
      <w:rPr>
        <w:rFonts w:hint="eastAsia" w:ascii="仿宋" w:hAnsi="仿宋" w:eastAsia="仿宋" w:cs="仿宋"/>
        <w:sz w:val="28"/>
        <w:szCs w:val="28"/>
        <w:lang w:val="en-US" w:eastAsia="zh-CN"/>
      </w:rPr>
      <w:t>新疆世纪星工程咨询有限公司</w:t>
    </w:r>
    <w:r>
      <w:rPr>
        <w:rFonts w:hint="eastAsia" w:ascii="仿宋" w:hAnsi="仿宋" w:eastAsia="仿宋" w:cs="仿宋"/>
        <w:sz w:val="32"/>
        <w:szCs w:val="32"/>
        <w:lang w:val="en-US" w:eastAsia="zh-CN"/>
      </w:rPr>
      <w:t xml:space="preserve">  </w:t>
    </w:r>
    <w:r>
      <w:rPr>
        <w:rFonts w:hint="eastAsia" w:ascii="仿宋" w:hAnsi="仿宋" w:eastAsia="仿宋" w:cs="仿宋"/>
        <w:sz w:val="21"/>
        <w:szCs w:val="21"/>
        <w:lang w:val="en-US" w:eastAsia="zh-CN"/>
      </w:rPr>
      <w:t>新疆乌鲁木齐市黄山街德港大厦20层</w:t>
    </w:r>
  </w:p>
  <w:p w14:paraId="304B0D39">
    <w:pPr>
      <w:pStyle w:val="22"/>
      <w:pBdr>
        <w:bottom w:val="single" w:color="auto" w:sz="4" w:space="1"/>
      </w:pBdr>
      <w:bidi w:val="0"/>
      <w:ind w:firstLine="910" w:firstLineChars="700"/>
      <w:rPr>
        <w:rFonts w:hint="eastAsia" w:ascii="仿宋" w:hAnsi="仿宋" w:eastAsia="仿宋" w:cs="仿宋"/>
        <w:sz w:val="15"/>
        <w:szCs w:val="15"/>
        <w:lang w:val="en-US" w:eastAsia="zh-CN"/>
      </w:rPr>
    </w:pPr>
    <w:r>
      <w:rPr>
        <w:rFonts w:hint="eastAsia" w:ascii="仿宋" w:hAnsi="仿宋" w:eastAsia="仿宋" w:cs="仿宋"/>
        <w:sz w:val="13"/>
        <w:szCs w:val="13"/>
        <w:lang w:val="en-US" w:eastAsia="zh-CN"/>
      </w:rPr>
      <w:t xml:space="preserve">Xinjiang Century Star Engineering Consulting Co., Ltd.          </w:t>
    </w:r>
    <w:r>
      <w:rPr>
        <w:rFonts w:hint="eastAsia" w:ascii="仿宋" w:hAnsi="仿宋" w:eastAsia="仿宋" w:cs="仿宋"/>
        <w:sz w:val="16"/>
        <w:szCs w:val="16"/>
        <w:lang w:val="en-US" w:eastAsia="zh-CN"/>
      </w:rPr>
      <w:t>TEL：0991-3678303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82F1D4"/>
    <w:multiLevelType w:val="singleLevel"/>
    <w:tmpl w:val="BC82F1D4"/>
    <w:lvl w:ilvl="0" w:tentative="0">
      <w:start w:val="1"/>
      <w:numFmt w:val="chineseCounting"/>
      <w:suff w:val="space"/>
      <w:lvlText w:val="第%1章"/>
      <w:lvlJc w:val="left"/>
      <w:rPr>
        <w:rFonts w:hint="eastAsia"/>
      </w:rPr>
    </w:lvl>
  </w:abstractNum>
  <w:abstractNum w:abstractNumId="1">
    <w:nsid w:val="C308A927"/>
    <w:multiLevelType w:val="singleLevel"/>
    <w:tmpl w:val="C308A927"/>
    <w:lvl w:ilvl="0" w:tentative="0">
      <w:start w:val="1"/>
      <w:numFmt w:val="decimal"/>
      <w:lvlText w:val="%1."/>
      <w:lvlJc w:val="left"/>
      <w:pPr>
        <w:tabs>
          <w:tab w:val="left" w:pos="312"/>
        </w:tabs>
      </w:pPr>
    </w:lvl>
  </w:abstractNum>
  <w:abstractNum w:abstractNumId="2">
    <w:nsid w:val="CB60E306"/>
    <w:multiLevelType w:val="singleLevel"/>
    <w:tmpl w:val="CB60E306"/>
    <w:lvl w:ilvl="0" w:tentative="0">
      <w:start w:val="1"/>
      <w:numFmt w:val="decimal"/>
      <w:suff w:val="nothing"/>
      <w:lvlText w:val="（%1）"/>
      <w:lvlJc w:val="left"/>
    </w:lvl>
  </w:abstractNum>
  <w:abstractNum w:abstractNumId="3">
    <w:nsid w:val="01D4EBA8"/>
    <w:multiLevelType w:val="multilevel"/>
    <w:tmpl w:val="01D4EBA8"/>
    <w:lvl w:ilvl="0" w:tentative="0">
      <w:start w:val="2"/>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4">
    <w:nsid w:val="05AF2A39"/>
    <w:multiLevelType w:val="multilevel"/>
    <w:tmpl w:val="05AF2A39"/>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5">
    <w:nsid w:val="068BF1D4"/>
    <w:multiLevelType w:val="multilevel"/>
    <w:tmpl w:val="068BF1D4"/>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ascii="仿宋" w:hAnsi="仿宋" w:eastAsia="仿宋" w:cs="仿宋"/>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6">
    <w:nsid w:val="54B0E084"/>
    <w:multiLevelType w:val="singleLevel"/>
    <w:tmpl w:val="54B0E084"/>
    <w:lvl w:ilvl="0" w:tentative="0">
      <w:start w:val="2"/>
      <w:numFmt w:val="chineseCounting"/>
      <w:suff w:val="space"/>
      <w:lvlText w:val="第%1章"/>
      <w:lvlJc w:val="left"/>
      <w:rPr>
        <w:rFonts w:hint="eastAsia"/>
      </w:rPr>
    </w:lvl>
  </w:abstractNum>
  <w:abstractNum w:abstractNumId="7">
    <w:nsid w:val="5B595A14"/>
    <w:multiLevelType w:val="singleLevel"/>
    <w:tmpl w:val="5B595A14"/>
    <w:lvl w:ilvl="0" w:tentative="0">
      <w:start w:val="1"/>
      <w:numFmt w:val="decimal"/>
      <w:lvlText w:val="%1."/>
      <w:lvlJc w:val="left"/>
      <w:pPr>
        <w:tabs>
          <w:tab w:val="left" w:pos="312"/>
        </w:tabs>
      </w:pPr>
    </w:lvl>
  </w:abstractNum>
  <w:abstractNum w:abstractNumId="8">
    <w:nsid w:val="63862E25"/>
    <w:multiLevelType w:val="singleLevel"/>
    <w:tmpl w:val="63862E25"/>
    <w:lvl w:ilvl="0" w:tentative="0">
      <w:start w:val="1"/>
      <w:numFmt w:val="decimal"/>
      <w:suff w:val="space"/>
      <w:lvlText w:val="（%1）"/>
      <w:lvlJc w:val="left"/>
    </w:lvl>
  </w:abstractNum>
  <w:abstractNum w:abstractNumId="9">
    <w:nsid w:val="693F4D9C"/>
    <w:multiLevelType w:val="singleLevel"/>
    <w:tmpl w:val="693F4D9C"/>
    <w:lvl w:ilvl="0" w:tentative="0">
      <w:start w:val="1"/>
      <w:numFmt w:val="chineseCounting"/>
      <w:suff w:val="nothing"/>
      <w:lvlText w:val="%1、"/>
      <w:lvlJc w:val="left"/>
      <w:rPr>
        <w:rFonts w:hint="eastAsia"/>
        <w:b/>
        <w:bCs/>
      </w:rPr>
    </w:lvl>
  </w:abstractNum>
  <w:abstractNum w:abstractNumId="10">
    <w:nsid w:val="7354C3BC"/>
    <w:multiLevelType w:val="multilevel"/>
    <w:tmpl w:val="7354C3BC"/>
    <w:lvl w:ilvl="0" w:tentative="0">
      <w:start w:val="1"/>
      <w:numFmt w:val="decimal"/>
      <w:suff w:val="space"/>
      <w:lvlText w:val="%1"/>
      <w:lvlJc w:val="left"/>
      <w:pPr>
        <w:ind w:left="0" w:leftChars="0" w:firstLine="0" w:firstLineChars="0"/>
      </w:pPr>
      <w:rPr>
        <w:rFonts w:hint="eastAsia"/>
      </w:rPr>
    </w:lvl>
    <w:lvl w:ilvl="1" w:tentative="0">
      <w:start w:val="1"/>
      <w:numFmt w:val="decimalFullWidth"/>
      <w:suff w:val="space"/>
      <w:lvlText w:val="%1.%2"/>
      <w:lvlJc w:val="left"/>
      <w:pPr>
        <w:tabs>
          <w:tab w:val="left" w:pos="0"/>
        </w:tabs>
        <w:ind w:left="0" w:leftChars="0" w:firstLine="0" w:firstLineChars="0"/>
      </w:pPr>
      <w:rPr>
        <w:rFonts w:hint="eastAsia" w:ascii="宋体" w:hAnsi="宋体" w:eastAsia="宋体" w:cs="宋体"/>
      </w:rPr>
    </w:lvl>
    <w:lvl w:ilvl="2" w:tentative="0">
      <w:start w:val="1"/>
      <w:numFmt w:val="decimal"/>
      <w:suff w:val="space"/>
      <w:lvlText w:val="%1.%2.%3"/>
      <w:lvlJc w:val="left"/>
      <w:pPr>
        <w:ind w:left="0" w:leftChars="0" w:firstLine="0" w:firstLineChars="0"/>
      </w:pPr>
      <w:rPr>
        <w:rFonts w:hint="eastAsia"/>
      </w:rPr>
    </w:lvl>
    <w:lvl w:ilvl="3" w:tentative="0">
      <w:start w:val="1"/>
      <w:numFmt w:val="decimal"/>
      <w:suff w:val="space"/>
      <w:lvlText w:val="%1.%2.%3.%4"/>
      <w:lvlJc w:val="left"/>
      <w:pPr>
        <w:ind w:left="0" w:leftChars="0" w:firstLine="0" w:firstLineChars="0"/>
      </w:pPr>
      <w:rPr>
        <w:rFonts w:hint="eastAsia"/>
      </w:rPr>
    </w:lvl>
    <w:lvl w:ilvl="4" w:tentative="0">
      <w:start w:val="1"/>
      <w:numFmt w:val="decimal"/>
      <w:suff w:val="space"/>
      <w:lvlText w:val="%1.%2.%3.%4.%5"/>
      <w:lvlJc w:val="left"/>
      <w:pPr>
        <w:ind w:left="0" w:leftChars="0" w:firstLine="0" w:firstLineChars="0"/>
      </w:pPr>
      <w:rPr>
        <w:rFonts w:hint="eastAsia"/>
      </w:rPr>
    </w:lvl>
    <w:lvl w:ilvl="5" w:tentative="0">
      <w:start w:val="1"/>
      <w:numFmt w:val="decimal"/>
      <w:suff w:val="space"/>
      <w:lvlText w:val="%1.%2.%3.%4.%5.%6"/>
      <w:lvlJc w:val="left"/>
      <w:pPr>
        <w:ind w:left="0" w:leftChars="0" w:firstLine="0" w:firstLineChars="0"/>
      </w:pPr>
      <w:rPr>
        <w:rFonts w:hint="eastAsia"/>
      </w:rPr>
    </w:lvl>
    <w:lvl w:ilvl="6" w:tentative="0">
      <w:start w:val="1"/>
      <w:numFmt w:val="decimal"/>
      <w:suff w:val="space"/>
      <w:lvlText w:val="%1.%2.%3.%4.%5.%6.%7"/>
      <w:lvlJc w:val="left"/>
      <w:pPr>
        <w:ind w:left="0" w:leftChars="0" w:firstLine="0" w:firstLineChars="0"/>
      </w:pPr>
      <w:rPr>
        <w:rFonts w:hint="eastAsia"/>
      </w:rPr>
    </w:lvl>
    <w:lvl w:ilvl="7" w:tentative="0">
      <w:start w:val="1"/>
      <w:numFmt w:val="decimal"/>
      <w:suff w:val="space"/>
      <w:lvlText w:val="%1.%2.%3.%4.%5.%6.%7.%8"/>
      <w:lvlJc w:val="left"/>
      <w:pPr>
        <w:ind w:left="0" w:leftChars="0" w:firstLine="0" w:firstLineChars="0"/>
      </w:pPr>
      <w:rPr>
        <w:rFonts w:hint="eastAsia"/>
      </w:rPr>
    </w:lvl>
    <w:lvl w:ilvl="8" w:tentative="0">
      <w:start w:val="1"/>
      <w:numFmt w:val="decimal"/>
      <w:suff w:val="space"/>
      <w:lvlText w:val="%1.%2.%3.%4.%5.%6.%7.%8.%9"/>
      <w:lvlJc w:val="left"/>
      <w:pPr>
        <w:ind w:left="0" w:leftChars="0" w:firstLine="0" w:firstLineChars="0"/>
      </w:pPr>
      <w:rPr>
        <w:rFonts w:hint="eastAsia"/>
      </w:rPr>
    </w:lvl>
  </w:abstractNum>
  <w:abstractNum w:abstractNumId="11">
    <w:nsid w:val="73E6972B"/>
    <w:multiLevelType w:val="singleLevel"/>
    <w:tmpl w:val="73E6972B"/>
    <w:lvl w:ilvl="0" w:tentative="0">
      <w:start w:val="1"/>
      <w:numFmt w:val="chineseCounting"/>
      <w:suff w:val="space"/>
      <w:lvlText w:val="%1、"/>
      <w:lvlJc w:val="left"/>
      <w:rPr>
        <w:rFonts w:hint="eastAsia"/>
      </w:rPr>
    </w:lvl>
  </w:abstractNum>
  <w:abstractNum w:abstractNumId="12">
    <w:nsid w:val="7633D9B6"/>
    <w:multiLevelType w:val="singleLevel"/>
    <w:tmpl w:val="7633D9B6"/>
    <w:lvl w:ilvl="0" w:tentative="0">
      <w:start w:val="3"/>
      <w:numFmt w:val="chineseCounting"/>
      <w:suff w:val="space"/>
      <w:lvlText w:val="第%1章"/>
      <w:lvlJc w:val="left"/>
      <w:rPr>
        <w:rFonts w:hint="eastAsia"/>
      </w:rPr>
    </w:lvl>
  </w:abstractNum>
  <w:abstractNum w:abstractNumId="13">
    <w:nsid w:val="78F60E4F"/>
    <w:multiLevelType w:val="singleLevel"/>
    <w:tmpl w:val="78F60E4F"/>
    <w:lvl w:ilvl="0" w:tentative="0">
      <w:start w:val="1"/>
      <w:numFmt w:val="chineseCounting"/>
      <w:suff w:val="nothing"/>
      <w:lvlText w:val="%1、"/>
      <w:lvlJc w:val="left"/>
      <w:rPr>
        <w:rFonts w:hint="eastAsia"/>
      </w:rPr>
    </w:lvl>
  </w:abstractNum>
  <w:num w:numId="1">
    <w:abstractNumId w:val="0"/>
  </w:num>
  <w:num w:numId="2">
    <w:abstractNumId w:val="11"/>
  </w:num>
  <w:num w:numId="3">
    <w:abstractNumId w:val="6"/>
  </w:num>
  <w:num w:numId="4">
    <w:abstractNumId w:val="12"/>
  </w:num>
  <w:num w:numId="5">
    <w:abstractNumId w:val="13"/>
  </w:num>
  <w:num w:numId="6">
    <w:abstractNumId w:val="10"/>
  </w:num>
  <w:num w:numId="7">
    <w:abstractNumId w:val="5"/>
  </w:num>
  <w:num w:numId="8">
    <w:abstractNumId w:val="2"/>
  </w:num>
  <w:num w:numId="9">
    <w:abstractNumId w:val="8"/>
  </w:num>
  <w:num w:numId="10">
    <w:abstractNumId w:val="3"/>
  </w:num>
  <w:num w:numId="11">
    <w:abstractNumId w:val="9"/>
  </w:num>
  <w:num w:numId="12">
    <w:abstractNumId w:val="1"/>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zNTlhMDFiZjVkM2Y0NGMxN2NlOGJjYmI4OTYyMWMifQ=="/>
  </w:docVars>
  <w:rsids>
    <w:rsidRoot w:val="1AA24D9F"/>
    <w:rsid w:val="002542B1"/>
    <w:rsid w:val="01A6229B"/>
    <w:rsid w:val="01FA0371"/>
    <w:rsid w:val="02267A4D"/>
    <w:rsid w:val="02353A89"/>
    <w:rsid w:val="030A23FA"/>
    <w:rsid w:val="034F484F"/>
    <w:rsid w:val="03711A83"/>
    <w:rsid w:val="04071455"/>
    <w:rsid w:val="04100C9A"/>
    <w:rsid w:val="041932E9"/>
    <w:rsid w:val="061B1E9A"/>
    <w:rsid w:val="06417C22"/>
    <w:rsid w:val="06C4362D"/>
    <w:rsid w:val="06D41162"/>
    <w:rsid w:val="07011CC2"/>
    <w:rsid w:val="071751E8"/>
    <w:rsid w:val="07644792"/>
    <w:rsid w:val="07BE71A8"/>
    <w:rsid w:val="0822060B"/>
    <w:rsid w:val="08E17110"/>
    <w:rsid w:val="09284798"/>
    <w:rsid w:val="09353BD7"/>
    <w:rsid w:val="099153F6"/>
    <w:rsid w:val="09BC4A90"/>
    <w:rsid w:val="0C5D0751"/>
    <w:rsid w:val="0C6E02C3"/>
    <w:rsid w:val="0C7B6345"/>
    <w:rsid w:val="0D6A1561"/>
    <w:rsid w:val="0D8A6C86"/>
    <w:rsid w:val="0D9037A8"/>
    <w:rsid w:val="0D9F625A"/>
    <w:rsid w:val="0E0407B3"/>
    <w:rsid w:val="0F2B6FD9"/>
    <w:rsid w:val="0F5C5725"/>
    <w:rsid w:val="0F6459AD"/>
    <w:rsid w:val="0F7B38C6"/>
    <w:rsid w:val="10240C99"/>
    <w:rsid w:val="11286567"/>
    <w:rsid w:val="1294398E"/>
    <w:rsid w:val="1324792E"/>
    <w:rsid w:val="1393060F"/>
    <w:rsid w:val="147A6B58"/>
    <w:rsid w:val="15113EE2"/>
    <w:rsid w:val="1585667E"/>
    <w:rsid w:val="16175528"/>
    <w:rsid w:val="170B3BD8"/>
    <w:rsid w:val="17363E85"/>
    <w:rsid w:val="181A30AD"/>
    <w:rsid w:val="183C240D"/>
    <w:rsid w:val="18EE62E8"/>
    <w:rsid w:val="1A7D3DC7"/>
    <w:rsid w:val="1A824F3A"/>
    <w:rsid w:val="1A8607B2"/>
    <w:rsid w:val="1AA24D9F"/>
    <w:rsid w:val="1AA9696A"/>
    <w:rsid w:val="1B723BA2"/>
    <w:rsid w:val="1B8D0258"/>
    <w:rsid w:val="1C6923AC"/>
    <w:rsid w:val="1DCB5CE7"/>
    <w:rsid w:val="1E010F94"/>
    <w:rsid w:val="1FB05EDF"/>
    <w:rsid w:val="22491B20"/>
    <w:rsid w:val="22FD7853"/>
    <w:rsid w:val="23CF5A1D"/>
    <w:rsid w:val="244200FD"/>
    <w:rsid w:val="2456226E"/>
    <w:rsid w:val="261251A6"/>
    <w:rsid w:val="28DA2E89"/>
    <w:rsid w:val="2A4254F9"/>
    <w:rsid w:val="2B065713"/>
    <w:rsid w:val="2C0149BC"/>
    <w:rsid w:val="2C0C0B07"/>
    <w:rsid w:val="2D1F32F4"/>
    <w:rsid w:val="2FBB1B81"/>
    <w:rsid w:val="302379A0"/>
    <w:rsid w:val="31073AEF"/>
    <w:rsid w:val="31807C19"/>
    <w:rsid w:val="319A4DE4"/>
    <w:rsid w:val="323B4D81"/>
    <w:rsid w:val="324A033A"/>
    <w:rsid w:val="32742892"/>
    <w:rsid w:val="32A81C96"/>
    <w:rsid w:val="32DA370D"/>
    <w:rsid w:val="32E4458C"/>
    <w:rsid w:val="34452E08"/>
    <w:rsid w:val="34747A84"/>
    <w:rsid w:val="34B70380"/>
    <w:rsid w:val="35E13004"/>
    <w:rsid w:val="365C69BF"/>
    <w:rsid w:val="366D4898"/>
    <w:rsid w:val="36C31C10"/>
    <w:rsid w:val="3783605E"/>
    <w:rsid w:val="39F75D2A"/>
    <w:rsid w:val="3AE174A3"/>
    <w:rsid w:val="3AE8273F"/>
    <w:rsid w:val="3B133C60"/>
    <w:rsid w:val="3B810614"/>
    <w:rsid w:val="3C6109FB"/>
    <w:rsid w:val="3CA61E79"/>
    <w:rsid w:val="3D1B32A0"/>
    <w:rsid w:val="3E035120"/>
    <w:rsid w:val="3F172BE7"/>
    <w:rsid w:val="3F3314F0"/>
    <w:rsid w:val="3F577E93"/>
    <w:rsid w:val="3F6455D5"/>
    <w:rsid w:val="40BE2AD0"/>
    <w:rsid w:val="41F15A90"/>
    <w:rsid w:val="421F113C"/>
    <w:rsid w:val="42AC04F6"/>
    <w:rsid w:val="42B71375"/>
    <w:rsid w:val="43446334"/>
    <w:rsid w:val="44253552"/>
    <w:rsid w:val="448C5F4F"/>
    <w:rsid w:val="44A84E71"/>
    <w:rsid w:val="477172B3"/>
    <w:rsid w:val="477DCE1E"/>
    <w:rsid w:val="47A2531C"/>
    <w:rsid w:val="48D6451F"/>
    <w:rsid w:val="49072CFA"/>
    <w:rsid w:val="495167CC"/>
    <w:rsid w:val="49660BA2"/>
    <w:rsid w:val="4C2061DD"/>
    <w:rsid w:val="4C577725"/>
    <w:rsid w:val="4E9C3B15"/>
    <w:rsid w:val="4EC72940"/>
    <w:rsid w:val="4F1418FD"/>
    <w:rsid w:val="4F3F5E9D"/>
    <w:rsid w:val="4F7612B5"/>
    <w:rsid w:val="4FEE65F2"/>
    <w:rsid w:val="50D737EC"/>
    <w:rsid w:val="51416E8D"/>
    <w:rsid w:val="517D052C"/>
    <w:rsid w:val="5186456A"/>
    <w:rsid w:val="51A52CE0"/>
    <w:rsid w:val="5253098E"/>
    <w:rsid w:val="525C3CE7"/>
    <w:rsid w:val="535C4392"/>
    <w:rsid w:val="536A4041"/>
    <w:rsid w:val="53FF34AE"/>
    <w:rsid w:val="54581294"/>
    <w:rsid w:val="552F7491"/>
    <w:rsid w:val="55D122F6"/>
    <w:rsid w:val="56557314"/>
    <w:rsid w:val="56E60023"/>
    <w:rsid w:val="57037009"/>
    <w:rsid w:val="570D1A54"/>
    <w:rsid w:val="573E1E21"/>
    <w:rsid w:val="58C61EBA"/>
    <w:rsid w:val="592A2449"/>
    <w:rsid w:val="593D0B75"/>
    <w:rsid w:val="5A571512"/>
    <w:rsid w:val="5B44356A"/>
    <w:rsid w:val="5B487E91"/>
    <w:rsid w:val="5C553C81"/>
    <w:rsid w:val="5CF9550F"/>
    <w:rsid w:val="5D6B74D4"/>
    <w:rsid w:val="5DC42740"/>
    <w:rsid w:val="5E4C10B3"/>
    <w:rsid w:val="5E781EA8"/>
    <w:rsid w:val="5E955F07"/>
    <w:rsid w:val="5EA84152"/>
    <w:rsid w:val="5EFEBDE8"/>
    <w:rsid w:val="60755DA6"/>
    <w:rsid w:val="6085265B"/>
    <w:rsid w:val="60FD0443"/>
    <w:rsid w:val="6155202D"/>
    <w:rsid w:val="619B0311"/>
    <w:rsid w:val="625B691D"/>
    <w:rsid w:val="626D784A"/>
    <w:rsid w:val="642B176B"/>
    <w:rsid w:val="64FD3107"/>
    <w:rsid w:val="66BB3A42"/>
    <w:rsid w:val="67E61C31"/>
    <w:rsid w:val="68CA2609"/>
    <w:rsid w:val="68CC1AED"/>
    <w:rsid w:val="692A0243"/>
    <w:rsid w:val="69BB0F42"/>
    <w:rsid w:val="6A637494"/>
    <w:rsid w:val="6AD23432"/>
    <w:rsid w:val="6B1308BC"/>
    <w:rsid w:val="6BB81877"/>
    <w:rsid w:val="6BCF62E6"/>
    <w:rsid w:val="6BEC2659"/>
    <w:rsid w:val="6C8639E2"/>
    <w:rsid w:val="6CAA24F8"/>
    <w:rsid w:val="6CD3A16D"/>
    <w:rsid w:val="6D535020"/>
    <w:rsid w:val="6D700A21"/>
    <w:rsid w:val="6E5F49A6"/>
    <w:rsid w:val="6F23376B"/>
    <w:rsid w:val="6FBE656C"/>
    <w:rsid w:val="6FE0165C"/>
    <w:rsid w:val="6FF637CB"/>
    <w:rsid w:val="6FFF37D2"/>
    <w:rsid w:val="70127B77"/>
    <w:rsid w:val="70A06AB5"/>
    <w:rsid w:val="70DA1D6D"/>
    <w:rsid w:val="70DE2EF1"/>
    <w:rsid w:val="71520337"/>
    <w:rsid w:val="71AA1F21"/>
    <w:rsid w:val="71C1495C"/>
    <w:rsid w:val="7221658E"/>
    <w:rsid w:val="72DC0379"/>
    <w:rsid w:val="733947EE"/>
    <w:rsid w:val="73BF43B6"/>
    <w:rsid w:val="75203B28"/>
    <w:rsid w:val="7523330F"/>
    <w:rsid w:val="76057F95"/>
    <w:rsid w:val="76181E56"/>
    <w:rsid w:val="761D38E6"/>
    <w:rsid w:val="76437269"/>
    <w:rsid w:val="767B4F55"/>
    <w:rsid w:val="769413F2"/>
    <w:rsid w:val="780D6D66"/>
    <w:rsid w:val="782064CA"/>
    <w:rsid w:val="79D815F5"/>
    <w:rsid w:val="7A115B57"/>
    <w:rsid w:val="7A576617"/>
    <w:rsid w:val="7A6D3E2A"/>
    <w:rsid w:val="7B436597"/>
    <w:rsid w:val="7BA04E35"/>
    <w:rsid w:val="7BB75966"/>
    <w:rsid w:val="7C5F4108"/>
    <w:rsid w:val="7CCF6CE0"/>
    <w:rsid w:val="7D332F7E"/>
    <w:rsid w:val="7DDD11F9"/>
    <w:rsid w:val="7DF86D11"/>
    <w:rsid w:val="7E213C73"/>
    <w:rsid w:val="7E687DD8"/>
    <w:rsid w:val="7F79C282"/>
    <w:rsid w:val="7F7B6CAE"/>
    <w:rsid w:val="7FB126CD"/>
    <w:rsid w:val="7FBF6DD0"/>
    <w:rsid w:val="7FC9443B"/>
    <w:rsid w:val="7FCD17FE"/>
    <w:rsid w:val="7FD7E9A0"/>
    <w:rsid w:val="7FE9FBB2"/>
    <w:rsid w:val="8FFFA67E"/>
    <w:rsid w:val="9F3F08E8"/>
    <w:rsid w:val="A97F623E"/>
    <w:rsid w:val="AFBF8780"/>
    <w:rsid w:val="BEEFCB4B"/>
    <w:rsid w:val="BFE6F841"/>
    <w:rsid w:val="D5DE8897"/>
    <w:rsid w:val="E6F31908"/>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qFormat="1" w:uiPriority="39" w:semiHidden="0" w:name="toc 6"/>
    <w:lsdException w:unhideWhenUsed="0" w:uiPriority="0" w:semiHidden="0" w:name="toc 7"/>
    <w:lsdException w:qFormat="1" w:uiPriority="39"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仿宋_GB2312" w:cs="Times New Roman"/>
      <w:kern w:val="2"/>
      <w:sz w:val="24"/>
      <w:szCs w:val="24"/>
      <w:lang w:val="en-US" w:eastAsia="zh-CN" w:bidi="ar-SA"/>
    </w:rPr>
  </w:style>
  <w:style w:type="paragraph" w:styleId="2">
    <w:name w:val="heading 1"/>
    <w:basedOn w:val="1"/>
    <w:next w:val="1"/>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link w:val="43"/>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33">
    <w:name w:val="Default Paragraph Font"/>
    <w:qFormat/>
    <w:uiPriority w:val="0"/>
    <w:rPr>
      <w:rFonts w:eastAsia="微软雅黑" w:asciiTheme="minorAscii" w:hAnsiTheme="minorAscii"/>
    </w:rPr>
  </w:style>
  <w:style w:type="table" w:default="1" w:styleId="31">
    <w:name w:val="Normal Table"/>
    <w:semiHidden/>
    <w:qFormat/>
    <w:uiPriority w:val="0"/>
    <w:tblPr>
      <w:tblCellMar>
        <w:top w:w="0" w:type="dxa"/>
        <w:left w:w="108" w:type="dxa"/>
        <w:bottom w:w="0" w:type="dxa"/>
        <w:right w:w="108" w:type="dxa"/>
      </w:tblCellMar>
    </w:tblPr>
  </w:style>
  <w:style w:type="paragraph" w:styleId="11">
    <w:name w:val="table of authorities"/>
    <w:basedOn w:val="1"/>
    <w:next w:val="1"/>
    <w:qFormat/>
    <w:uiPriority w:val="0"/>
    <w:pPr>
      <w:ind w:left="420" w:leftChars="200"/>
    </w:pPr>
  </w:style>
  <w:style w:type="paragraph" w:styleId="12">
    <w:name w:val="Normal Indent"/>
    <w:next w:val="13"/>
    <w:qFormat/>
    <w:uiPriority w:val="0"/>
    <w:pPr>
      <w:widowControl w:val="0"/>
      <w:autoSpaceDE w:val="0"/>
      <w:autoSpaceDN w:val="0"/>
      <w:adjustRightInd w:val="0"/>
      <w:spacing w:before="0" w:after="0" w:line="240" w:lineRule="auto"/>
      <w:ind w:left="0" w:right="0" w:firstLine="420"/>
      <w:jc w:val="left"/>
    </w:pPr>
    <w:rPr>
      <w:rFonts w:ascii="宋体" w:hAnsi="楷体" w:eastAsia="仿宋_GB2312" w:cs="楷体"/>
      <w:kern w:val="0"/>
      <w:sz w:val="24"/>
      <w:szCs w:val="20"/>
      <w:lang w:val="zh-CN" w:eastAsia="zh-CN" w:bidi="zh-CN"/>
    </w:rPr>
  </w:style>
  <w:style w:type="paragraph" w:styleId="13">
    <w:name w:val="toa heading"/>
    <w:next w:val="1"/>
    <w:qFormat/>
    <w:uiPriority w:val="99"/>
    <w:pPr>
      <w:widowControl w:val="0"/>
      <w:spacing w:before="120"/>
      <w:ind w:firstLine="200" w:firstLineChars="200"/>
      <w:jc w:val="both"/>
    </w:pPr>
    <w:rPr>
      <w:rFonts w:ascii="Arial" w:hAnsi="Arial" w:eastAsia="仿宋" w:cs="Times New Roman"/>
      <w:kern w:val="2"/>
      <w:sz w:val="24"/>
      <w:szCs w:val="20"/>
      <w:lang w:val="en-US" w:eastAsia="zh-CN" w:bidi="ar-SA"/>
    </w:rPr>
  </w:style>
  <w:style w:type="paragraph" w:styleId="14">
    <w:name w:val="annotation text"/>
    <w:basedOn w:val="1"/>
    <w:qFormat/>
    <w:uiPriority w:val="0"/>
    <w:pPr>
      <w:jc w:val="left"/>
    </w:pPr>
  </w:style>
  <w:style w:type="paragraph" w:styleId="15">
    <w:name w:val="Body Text"/>
    <w:basedOn w:val="1"/>
    <w:qFormat/>
    <w:uiPriority w:val="1"/>
    <w:pPr>
      <w:widowControl w:val="0"/>
      <w:autoSpaceDE w:val="0"/>
      <w:autoSpaceDN w:val="0"/>
      <w:spacing w:before="0" w:after="0" w:line="240" w:lineRule="auto"/>
      <w:ind w:left="0" w:right="0"/>
      <w:jc w:val="left"/>
    </w:pPr>
    <w:rPr>
      <w:rFonts w:ascii="楷体" w:hAnsi="楷体" w:eastAsia="楷体" w:cs="楷体"/>
      <w:sz w:val="24"/>
      <w:szCs w:val="24"/>
      <w:lang w:val="zh-CN" w:eastAsia="zh-CN" w:bidi="zh-CN"/>
    </w:rPr>
  </w:style>
  <w:style w:type="paragraph" w:styleId="16">
    <w:name w:val="Body Text Indent"/>
    <w:next w:val="17"/>
    <w:qFormat/>
    <w:uiPriority w:val="0"/>
    <w:pPr>
      <w:widowControl w:val="0"/>
      <w:spacing w:line="240" w:lineRule="auto"/>
      <w:ind w:left="-360" w:firstLine="360"/>
      <w:jc w:val="both"/>
    </w:pPr>
    <w:rPr>
      <w:rFonts w:ascii="Times New Roman" w:hAnsi="Times New Roman" w:eastAsiaTheme="minorEastAsia" w:cstheme="minorBidi"/>
      <w:kern w:val="0"/>
      <w:sz w:val="21"/>
      <w:szCs w:val="24"/>
      <w:lang w:val="en-US" w:eastAsia="zh-CN" w:bidi="ar-SA"/>
    </w:rPr>
  </w:style>
  <w:style w:type="paragraph" w:styleId="17">
    <w:name w:val="envelope return"/>
    <w:qFormat/>
    <w:uiPriority w:val="0"/>
    <w:pPr>
      <w:widowControl w:val="0"/>
      <w:snapToGrid w:val="0"/>
      <w:jc w:val="both"/>
    </w:pPr>
    <w:rPr>
      <w:rFonts w:ascii="Arial" w:hAnsi="Arial" w:eastAsiaTheme="minorEastAsia" w:cstheme="minorBidi"/>
      <w:kern w:val="2"/>
      <w:sz w:val="21"/>
      <w:szCs w:val="24"/>
      <w:lang w:val="en-US" w:eastAsia="zh-CN" w:bidi="ar-SA"/>
    </w:rPr>
  </w:style>
  <w:style w:type="paragraph" w:styleId="18">
    <w:name w:val="toc 3"/>
    <w:basedOn w:val="1"/>
    <w:next w:val="1"/>
    <w:qFormat/>
    <w:uiPriority w:val="0"/>
    <w:pPr>
      <w:ind w:left="840" w:leftChars="400"/>
    </w:pPr>
    <w:rPr>
      <w:rFonts w:ascii="Calibri" w:hAnsi="Calibri" w:eastAsia="宋体"/>
      <w:sz w:val="21"/>
      <w:szCs w:val="22"/>
    </w:rPr>
  </w:style>
  <w:style w:type="paragraph" w:styleId="19">
    <w:name w:val="toc 8"/>
    <w:next w:val="1"/>
    <w:unhideWhenUsed/>
    <w:qFormat/>
    <w:uiPriority w:val="39"/>
    <w:pPr>
      <w:widowControl w:val="0"/>
      <w:spacing w:line="240" w:lineRule="auto"/>
      <w:ind w:left="2940" w:leftChars="1400"/>
      <w:jc w:val="both"/>
    </w:pPr>
    <w:rPr>
      <w:rFonts w:asciiTheme="minorHAnsi" w:hAnsiTheme="minorHAnsi" w:eastAsiaTheme="minorEastAsia" w:cstheme="minorBidi"/>
      <w:kern w:val="2"/>
      <w:sz w:val="21"/>
      <w:szCs w:val="22"/>
      <w:lang w:val="en-US" w:eastAsia="zh-CN" w:bidi="ar-SA"/>
    </w:rPr>
  </w:style>
  <w:style w:type="paragraph" w:styleId="20">
    <w:name w:val="Body Text Indent 2"/>
    <w:basedOn w:val="1"/>
    <w:qFormat/>
    <w:uiPriority w:val="0"/>
    <w:pPr>
      <w:spacing w:after="120" w:line="480" w:lineRule="auto"/>
      <w:ind w:left="420" w:leftChars="200"/>
    </w:pPr>
    <w:rPr>
      <w:rFonts w:ascii="Times New Roman" w:hAnsi="Times New Roman" w:eastAsia="宋体"/>
    </w:rPr>
  </w:style>
  <w:style w:type="paragraph" w:styleId="21">
    <w:name w:val="footer"/>
    <w:basedOn w:val="1"/>
    <w:qFormat/>
    <w:uiPriority w:val="99"/>
    <w:pPr>
      <w:widowControl w:val="0"/>
      <w:tabs>
        <w:tab w:val="center" w:pos="4153"/>
        <w:tab w:val="right" w:pos="8306"/>
      </w:tabs>
      <w:autoSpaceDE w:val="0"/>
      <w:autoSpaceDN w:val="0"/>
      <w:snapToGrid w:val="0"/>
      <w:spacing w:before="0" w:after="0" w:line="240" w:lineRule="auto"/>
      <w:ind w:left="0" w:right="0"/>
      <w:jc w:val="left"/>
    </w:pPr>
    <w:rPr>
      <w:rFonts w:ascii="楷体" w:hAnsi="楷体" w:eastAsia="楷体" w:cs="楷体"/>
      <w:sz w:val="18"/>
      <w:szCs w:val="18"/>
      <w:lang w:val="zh-CN" w:eastAsia="zh-CN" w:bidi="zh-CN"/>
    </w:rPr>
  </w:style>
  <w:style w:type="paragraph" w:styleId="2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Arial" w:hAnsi="Arial" w:eastAsia="仿宋_GB2312"/>
      <w:sz w:val="18"/>
    </w:rPr>
  </w:style>
  <w:style w:type="paragraph" w:styleId="23">
    <w:name w:val="toc 1"/>
    <w:basedOn w:val="1"/>
    <w:next w:val="1"/>
    <w:qFormat/>
    <w:uiPriority w:val="0"/>
  </w:style>
  <w:style w:type="paragraph" w:styleId="24">
    <w:name w:val="toc 4"/>
    <w:basedOn w:val="1"/>
    <w:next w:val="1"/>
    <w:qFormat/>
    <w:uiPriority w:val="0"/>
    <w:pPr>
      <w:ind w:left="1260" w:leftChars="600"/>
    </w:pPr>
  </w:style>
  <w:style w:type="paragraph" w:styleId="25">
    <w:name w:val="footnote text"/>
    <w:basedOn w:val="1"/>
    <w:qFormat/>
    <w:uiPriority w:val="0"/>
    <w:pPr>
      <w:snapToGrid w:val="0"/>
      <w:jc w:val="left"/>
    </w:pPr>
    <w:rPr>
      <w:rFonts w:ascii="Times New Roman" w:hAnsi="Times New Roman"/>
      <w:sz w:val="18"/>
    </w:rPr>
  </w:style>
  <w:style w:type="paragraph" w:styleId="26">
    <w:name w:val="toc 6"/>
    <w:next w:val="1"/>
    <w:unhideWhenUsed/>
    <w:qFormat/>
    <w:uiPriority w:val="39"/>
    <w:pPr>
      <w:widowControl w:val="0"/>
      <w:spacing w:line="240" w:lineRule="auto"/>
      <w:ind w:left="2100" w:leftChars="1000"/>
      <w:jc w:val="both"/>
    </w:pPr>
    <w:rPr>
      <w:rFonts w:asciiTheme="minorHAnsi" w:hAnsiTheme="minorHAnsi" w:eastAsiaTheme="minorEastAsia" w:cstheme="minorBidi"/>
      <w:kern w:val="2"/>
      <w:sz w:val="21"/>
      <w:szCs w:val="22"/>
      <w:lang w:val="en-US" w:eastAsia="zh-CN" w:bidi="ar-SA"/>
    </w:rPr>
  </w:style>
  <w:style w:type="paragraph" w:styleId="27">
    <w:name w:val="toc 2"/>
    <w:basedOn w:val="1"/>
    <w:next w:val="1"/>
    <w:qFormat/>
    <w:uiPriority w:val="0"/>
    <w:pPr>
      <w:ind w:left="420" w:leftChars="200"/>
    </w:pPr>
  </w:style>
  <w:style w:type="paragraph" w:styleId="28">
    <w:name w:val="Normal (Web)"/>
    <w:basedOn w:val="1"/>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paragraph" w:styleId="29">
    <w:name w:val="Body Text First Indent"/>
    <w:next w:val="26"/>
    <w:qFormat/>
    <w:uiPriority w:val="99"/>
    <w:pPr>
      <w:widowControl w:val="0"/>
      <w:autoSpaceDE w:val="0"/>
      <w:autoSpaceDN w:val="0"/>
      <w:spacing w:before="0" w:after="0" w:line="240" w:lineRule="auto"/>
      <w:ind w:left="0" w:right="0" w:firstLine="420" w:firstLineChars="100"/>
      <w:jc w:val="left"/>
    </w:pPr>
    <w:rPr>
      <w:rFonts w:ascii="楷体" w:hAnsi="楷体" w:eastAsia="楷体" w:cs="楷体"/>
      <w:sz w:val="24"/>
      <w:szCs w:val="24"/>
      <w:lang w:val="zh-CN" w:eastAsia="zh-CN" w:bidi="zh-CN"/>
    </w:rPr>
  </w:style>
  <w:style w:type="paragraph" w:styleId="30">
    <w:name w:val="Body Text First Indent 2"/>
    <w:next w:val="29"/>
    <w:unhideWhenUsed/>
    <w:qFormat/>
    <w:uiPriority w:val="99"/>
    <w:pPr>
      <w:widowControl w:val="0"/>
      <w:spacing w:after="120" w:line="360" w:lineRule="auto"/>
      <w:ind w:left="420" w:leftChars="200" w:firstLine="420" w:firstLineChars="200"/>
      <w:jc w:val="both"/>
    </w:pPr>
    <w:rPr>
      <w:rFonts w:ascii="Times New Roman" w:hAnsi="Times New Roman" w:eastAsia="仿宋_GB2312" w:cstheme="minorBidi"/>
      <w:kern w:val="0"/>
      <w:sz w:val="24"/>
      <w:szCs w:val="24"/>
      <w:lang w:val="en-US" w:eastAsia="zh-CN" w:bidi="ar-SA"/>
    </w:rPr>
  </w:style>
  <w:style w:type="table" w:styleId="32">
    <w:name w:val="Table Grid"/>
    <w:basedOn w:val="31"/>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0"/>
    <w:rPr>
      <w:b/>
    </w:rPr>
  </w:style>
  <w:style w:type="character" w:styleId="35">
    <w:name w:val="Emphasis"/>
    <w:qFormat/>
    <w:uiPriority w:val="0"/>
    <w:rPr>
      <w:i/>
    </w:rPr>
  </w:style>
  <w:style w:type="character" w:styleId="36">
    <w:name w:val="Hyperlink"/>
    <w:qFormat/>
    <w:uiPriority w:val="99"/>
    <w:rPr>
      <w:rFonts w:cs="Times New Roman"/>
      <w:color w:val="0000FF"/>
      <w:u w:val="single"/>
    </w:rPr>
  </w:style>
  <w:style w:type="character" w:styleId="37">
    <w:name w:val="annotation reference"/>
    <w:qFormat/>
    <w:uiPriority w:val="0"/>
    <w:rPr>
      <w:rFonts w:cs="Times New Roman"/>
      <w:sz w:val="21"/>
      <w:szCs w:val="21"/>
    </w:rPr>
  </w:style>
  <w:style w:type="paragraph" w:customStyle="1" w:styleId="38">
    <w:name w:val="WPSOffice手动目录 1"/>
    <w:qFormat/>
    <w:uiPriority w:val="0"/>
    <w:pPr>
      <w:ind w:leftChars="0"/>
    </w:pPr>
    <w:rPr>
      <w:rFonts w:ascii="Times New Roman" w:hAnsi="Times New Roman" w:eastAsia="宋体" w:cs="Times New Roman"/>
      <w:sz w:val="20"/>
      <w:szCs w:val="20"/>
    </w:rPr>
  </w:style>
  <w:style w:type="paragraph" w:customStyle="1" w:styleId="39">
    <w:name w:val="WPSOffice手动目录 2"/>
    <w:qFormat/>
    <w:uiPriority w:val="0"/>
    <w:pPr>
      <w:ind w:leftChars="200"/>
    </w:pPr>
    <w:rPr>
      <w:rFonts w:ascii="Times New Roman" w:hAnsi="Times New Roman" w:eastAsia="宋体" w:cs="Times New Roman"/>
      <w:sz w:val="20"/>
      <w:szCs w:val="20"/>
    </w:rPr>
  </w:style>
  <w:style w:type="paragraph" w:customStyle="1" w:styleId="40">
    <w:name w:val="null3"/>
    <w:hidden/>
    <w:qFormat/>
    <w:uiPriority w:val="0"/>
    <w:rPr>
      <w:rFonts w:hint="eastAsia" w:asciiTheme="minorHAnsi" w:hAnsiTheme="minorHAnsi" w:eastAsiaTheme="minorEastAsia" w:cstheme="minorBidi"/>
      <w:lang w:val="en-US" w:eastAsia="zh-Hans"/>
    </w:rPr>
  </w:style>
  <w:style w:type="paragraph" w:customStyle="1" w:styleId="41">
    <w:name w:val="TOC 标题1"/>
    <w:basedOn w:val="2"/>
    <w:next w:val="1"/>
    <w:unhideWhenUsed/>
    <w:qFormat/>
    <w:uiPriority w:val="0"/>
    <w:pPr>
      <w:spacing w:before="340" w:after="330" w:line="578" w:lineRule="auto"/>
      <w:outlineLvl w:val="9"/>
    </w:pPr>
    <w:rPr>
      <w:bCs/>
      <w:sz w:val="44"/>
      <w:szCs w:val="44"/>
    </w:rPr>
  </w:style>
  <w:style w:type="paragraph" w:styleId="42">
    <w:name w:val="List Paragraph"/>
    <w:basedOn w:val="1"/>
    <w:unhideWhenUsed/>
    <w:qFormat/>
    <w:uiPriority w:val="99"/>
    <w:pPr>
      <w:ind w:firstLine="420"/>
    </w:pPr>
  </w:style>
  <w:style w:type="character" w:customStyle="1" w:styleId="43">
    <w:name w:val="标题 2 Char"/>
    <w:link w:val="3"/>
    <w:qFormat/>
    <w:uiPriority w:val="0"/>
    <w:rPr>
      <w:rFonts w:ascii="Arial" w:hAnsi="Arial"/>
      <w:b/>
      <w:sz w:val="32"/>
    </w:rPr>
  </w:style>
  <w:style w:type="paragraph" w:customStyle="1" w:styleId="44">
    <w:name w:val="正文缩进_2"/>
    <w:basedOn w:val="45"/>
    <w:unhideWhenUsed/>
    <w:qFormat/>
    <w:uiPriority w:val="0"/>
    <w:pPr>
      <w:ind w:firstLine="420" w:firstLineChars="200"/>
    </w:pPr>
  </w:style>
  <w:style w:type="paragraph" w:customStyle="1" w:styleId="45">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
    <w:name w:val="表格文字2"/>
    <w:basedOn w:val="47"/>
    <w:qFormat/>
    <w:uiPriority w:val="99"/>
    <w:pPr>
      <w:spacing w:before="25" w:after="25"/>
      <w:jc w:val="left"/>
    </w:pPr>
    <w:rPr>
      <w:bCs/>
      <w:spacing w:val="10"/>
      <w:kern w:val="0"/>
    </w:rPr>
  </w:style>
  <w:style w:type="paragraph" w:customStyle="1" w:styleId="47">
    <w:name w:val="正文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home\user\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73</Pages>
  <Words>1594</Words>
  <Characters>1954</Characters>
  <Lines>0</Lines>
  <Paragraphs>0</Paragraphs>
  <TotalTime>0</TotalTime>
  <ScaleCrop>false</ScaleCrop>
  <LinksUpToDate>false</LinksUpToDate>
  <CharactersWithSpaces>2093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2018-05-28T17:24:00Z</dcterms:created>
  <dc:creator>lihang</dc:creator>
  <cp:lastModifiedBy>李春雪</cp:lastModifiedBy>
  <cp:lastPrinted>2026-03-26T09:29:00Z</cp:lastPrinted>
  <dcterms:modified xsi:type="dcterms:W3CDTF">2026-04-30T06:00:37Z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334D11457B2739AAD0B6B7690D0AAD15</vt:lpwstr>
  </property>
  <property fmtid="{D5CDD505-2E9C-101B-9397-08002B2CF9AE}" pid="6" name="KSOTemplateDocerSaveRecord">
    <vt:lpwstr>eyJoZGlkIjoiMjhjYmY3NTM3NmQzODU0MmRhODk2Njk1YjhkNWRmZDAiLCJ1c2VySWQiOiIxNDU3NjQ1NjQ3In0=</vt:lpwstr>
  </property>
</Properties>
</file>