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04F18">
      <w:pPr>
        <w:shd w:val="clear"/>
        <w:wordWrap w:val="0"/>
        <w:adjustRightInd w:val="0"/>
        <w:snapToGrid w:val="0"/>
        <w:spacing w:line="288" w:lineRule="auto"/>
        <w:rPr>
          <w:rFonts w:hint="eastAsia" w:ascii="宋体" w:hAnsi="宋体" w:cs="宋体"/>
          <w:b/>
          <w:color w:val="auto"/>
          <w:spacing w:val="-6"/>
          <w:sz w:val="44"/>
          <w:szCs w:val="44"/>
          <w:highlight w:val="none"/>
        </w:rPr>
      </w:pPr>
      <w:bookmarkStart w:id="72" w:name="_GoBack"/>
    </w:p>
    <w:p w14:paraId="1A3C5B04">
      <w:pPr>
        <w:shd w:val="clear"/>
        <w:wordWrap w:val="0"/>
        <w:adjustRightInd w:val="0"/>
        <w:snapToGrid w:val="0"/>
        <w:spacing w:line="288" w:lineRule="auto"/>
        <w:rPr>
          <w:rFonts w:hint="eastAsia" w:ascii="宋体" w:hAnsi="宋体" w:cs="宋体"/>
          <w:b/>
          <w:color w:val="auto"/>
          <w:spacing w:val="-6"/>
          <w:sz w:val="44"/>
          <w:szCs w:val="44"/>
          <w:highlight w:val="none"/>
        </w:rPr>
      </w:pPr>
    </w:p>
    <w:p w14:paraId="39F47BAE">
      <w:pPr>
        <w:shd w:val="clear"/>
        <w:wordWrap w:val="0"/>
        <w:adjustRightInd w:val="0"/>
        <w:snapToGrid w:val="0"/>
        <w:spacing w:line="288" w:lineRule="auto"/>
        <w:rPr>
          <w:rFonts w:hint="eastAsia" w:ascii="宋体" w:hAnsi="宋体" w:cs="宋体"/>
          <w:b/>
          <w:color w:val="auto"/>
          <w:spacing w:val="-6"/>
          <w:sz w:val="44"/>
          <w:szCs w:val="44"/>
          <w:highlight w:val="none"/>
        </w:rPr>
      </w:pPr>
    </w:p>
    <w:p w14:paraId="28DF3A98">
      <w:pPr>
        <w:shd w:val="clear"/>
        <w:wordWrap w:val="0"/>
        <w:adjustRightInd w:val="0"/>
        <w:snapToGrid w:val="0"/>
        <w:spacing w:line="360" w:lineRule="auto"/>
        <w:jc w:val="center"/>
        <w:rPr>
          <w:rFonts w:hint="eastAsia" w:ascii="宋体" w:hAnsi="宋体" w:cs="宋体"/>
          <w:b/>
          <w:color w:val="auto"/>
          <w:spacing w:val="-6"/>
          <w:sz w:val="48"/>
          <w:szCs w:val="48"/>
          <w:highlight w:val="none"/>
        </w:rPr>
      </w:pPr>
      <w:r>
        <w:rPr>
          <w:rFonts w:hint="eastAsia" w:ascii="宋体" w:hAnsi="宋体" w:cs="宋体"/>
          <w:b/>
          <w:color w:val="auto"/>
          <w:spacing w:val="-6"/>
          <w:sz w:val="48"/>
          <w:szCs w:val="48"/>
          <w:highlight w:val="none"/>
        </w:rPr>
        <w:t>浙江大学医学院附属第四医院</w:t>
      </w:r>
    </w:p>
    <w:p w14:paraId="52EC8BE4">
      <w:pPr>
        <w:shd w:val="clear"/>
        <w:wordWrap w:val="0"/>
        <w:adjustRightInd w:val="0"/>
        <w:snapToGrid w:val="0"/>
        <w:spacing w:line="360" w:lineRule="auto"/>
        <w:jc w:val="center"/>
        <w:rPr>
          <w:rFonts w:hint="eastAsia" w:ascii="宋体" w:hAnsi="宋体" w:cs="宋体"/>
          <w:b/>
          <w:color w:val="auto"/>
          <w:spacing w:val="-6"/>
          <w:sz w:val="48"/>
          <w:szCs w:val="48"/>
          <w:highlight w:val="none"/>
        </w:rPr>
      </w:pPr>
      <w:r>
        <w:rPr>
          <w:rFonts w:hint="eastAsia" w:ascii="宋体" w:hAnsi="宋体" w:cs="宋体"/>
          <w:b/>
          <w:color w:val="auto"/>
          <w:spacing w:val="-6"/>
          <w:sz w:val="48"/>
          <w:szCs w:val="48"/>
          <w:highlight w:val="none"/>
        </w:rPr>
        <w:t>基于医学大模型的临床智能预警监测平台</w:t>
      </w:r>
    </w:p>
    <w:p w14:paraId="7979E011">
      <w:pPr>
        <w:shd w:val="clear"/>
        <w:wordWrap w:val="0"/>
        <w:adjustRightInd w:val="0"/>
        <w:snapToGrid w:val="0"/>
        <w:spacing w:line="288" w:lineRule="auto"/>
        <w:jc w:val="center"/>
        <w:rPr>
          <w:rFonts w:hint="eastAsia" w:ascii="宋体" w:hAnsi="宋体" w:cs="宋体"/>
          <w:b/>
          <w:color w:val="auto"/>
          <w:spacing w:val="-6"/>
          <w:sz w:val="48"/>
          <w:szCs w:val="48"/>
          <w:highlight w:val="none"/>
        </w:rPr>
      </w:pPr>
    </w:p>
    <w:p w14:paraId="053485AA">
      <w:pPr>
        <w:shd w:val="clear"/>
        <w:wordWrap w:val="0"/>
        <w:adjustRightInd w:val="0"/>
        <w:snapToGrid w:val="0"/>
        <w:spacing w:line="288" w:lineRule="auto"/>
        <w:jc w:val="center"/>
        <w:rPr>
          <w:rFonts w:hint="eastAsia" w:ascii="宋体" w:hAnsi="宋体" w:cs="宋体"/>
          <w:b/>
          <w:color w:val="auto"/>
          <w:spacing w:val="-6"/>
          <w:sz w:val="48"/>
          <w:szCs w:val="48"/>
          <w:highlight w:val="none"/>
        </w:rPr>
      </w:pPr>
    </w:p>
    <w:p w14:paraId="68CE0642">
      <w:pPr>
        <w:shd w:val="clear"/>
        <w:wordWrap w:val="0"/>
        <w:adjustRightInd w:val="0"/>
        <w:snapToGrid w:val="0"/>
        <w:spacing w:line="288" w:lineRule="auto"/>
        <w:jc w:val="center"/>
        <w:rPr>
          <w:rFonts w:hint="eastAsia" w:ascii="宋体" w:hAnsi="宋体" w:cs="宋体"/>
          <w:b/>
          <w:color w:val="auto"/>
          <w:spacing w:val="-6"/>
          <w:sz w:val="48"/>
          <w:szCs w:val="48"/>
          <w:highlight w:val="none"/>
        </w:rPr>
      </w:pPr>
    </w:p>
    <w:p w14:paraId="6DDDA7EB">
      <w:pPr>
        <w:shd w:val="clear"/>
        <w:wordWrap w:val="0"/>
        <w:adjustRightInd w:val="0"/>
        <w:snapToGrid w:val="0"/>
        <w:spacing w:line="288" w:lineRule="auto"/>
        <w:jc w:val="center"/>
        <w:rPr>
          <w:rFonts w:hint="eastAsia" w:ascii="宋体" w:hAnsi="宋体" w:cs="宋体"/>
          <w:b/>
          <w:color w:val="auto"/>
          <w:spacing w:val="-6"/>
          <w:sz w:val="72"/>
          <w:szCs w:val="72"/>
          <w:highlight w:val="none"/>
        </w:rPr>
      </w:pPr>
      <w:r>
        <w:rPr>
          <w:rFonts w:hint="eastAsia" w:ascii="宋体" w:hAnsi="宋体" w:cs="宋体"/>
          <w:b/>
          <w:color w:val="auto"/>
          <w:spacing w:val="-6"/>
          <w:sz w:val="72"/>
          <w:szCs w:val="72"/>
          <w:highlight w:val="none"/>
        </w:rPr>
        <w:t>招 标 文 件</w:t>
      </w:r>
    </w:p>
    <w:p w14:paraId="19060767">
      <w:pPr>
        <w:widowControl/>
        <w:shd w:val="clear"/>
        <w:wordWrap w:val="0"/>
        <w:adjustRightInd w:val="0"/>
        <w:snapToGrid w:val="0"/>
        <w:spacing w:line="288" w:lineRule="auto"/>
        <w:ind w:right="-2"/>
        <w:jc w:val="center"/>
        <w:rPr>
          <w:rFonts w:hint="eastAsia" w:ascii="宋体" w:hAnsi="宋体" w:cs="宋体"/>
          <w:b/>
          <w:color w:val="auto"/>
          <w:sz w:val="36"/>
          <w:szCs w:val="24"/>
          <w:highlight w:val="none"/>
        </w:rPr>
      </w:pPr>
      <w:r>
        <w:rPr>
          <w:rFonts w:hint="eastAsia" w:ascii="宋体" w:hAnsi="宋体" w:cs="宋体"/>
          <w:b/>
          <w:color w:val="auto"/>
          <w:sz w:val="36"/>
          <w:szCs w:val="24"/>
          <w:highlight w:val="none"/>
        </w:rPr>
        <w:t>（线上电子招投标）</w:t>
      </w:r>
    </w:p>
    <w:p w14:paraId="71B7D293">
      <w:pPr>
        <w:shd w:val="clear"/>
        <w:wordWrap w:val="0"/>
        <w:adjustRightInd w:val="0"/>
        <w:snapToGrid w:val="0"/>
        <w:spacing w:line="288" w:lineRule="auto"/>
        <w:jc w:val="center"/>
        <w:rPr>
          <w:rFonts w:hint="eastAsia" w:ascii="宋体" w:hAnsi="宋体" w:cs="宋体"/>
          <w:color w:val="auto"/>
          <w:sz w:val="44"/>
          <w:szCs w:val="44"/>
          <w:highlight w:val="none"/>
        </w:rPr>
      </w:pPr>
    </w:p>
    <w:p w14:paraId="28712BAD">
      <w:pPr>
        <w:shd w:val="clear"/>
        <w:wordWrap w:val="0"/>
        <w:adjustRightInd w:val="0"/>
        <w:snapToGrid w:val="0"/>
        <w:spacing w:line="288" w:lineRule="auto"/>
        <w:jc w:val="center"/>
        <w:rPr>
          <w:rFonts w:hint="eastAsia" w:ascii="宋体" w:hAnsi="宋体" w:cs="宋体"/>
          <w:color w:val="auto"/>
          <w:sz w:val="44"/>
          <w:szCs w:val="44"/>
          <w:highlight w:val="none"/>
        </w:rPr>
      </w:pPr>
    </w:p>
    <w:p w14:paraId="0CC01EF5">
      <w:pPr>
        <w:shd w:val="clear"/>
        <w:wordWrap w:val="0"/>
        <w:adjustRightInd w:val="0"/>
        <w:snapToGrid w:val="0"/>
        <w:spacing w:line="288" w:lineRule="auto"/>
        <w:jc w:val="center"/>
        <w:rPr>
          <w:rFonts w:hint="eastAsia" w:ascii="宋体" w:hAnsi="宋体" w:cs="宋体"/>
          <w:color w:val="auto"/>
          <w:sz w:val="44"/>
          <w:szCs w:val="44"/>
          <w:highlight w:val="none"/>
        </w:rPr>
      </w:pPr>
    </w:p>
    <w:p w14:paraId="135B02E8">
      <w:pPr>
        <w:shd w:val="clear"/>
        <w:wordWrap w:val="0"/>
        <w:adjustRightInd w:val="0"/>
        <w:snapToGrid w:val="0"/>
        <w:spacing w:line="360" w:lineRule="auto"/>
        <w:jc w:val="left"/>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项目名称：基于医学大模型的临床智能预警监测平台</w:t>
      </w:r>
    </w:p>
    <w:p w14:paraId="47C2B7AC">
      <w:pPr>
        <w:shd w:val="clear"/>
        <w:wordWrap w:val="0"/>
        <w:adjustRightInd w:val="0"/>
        <w:snapToGrid w:val="0"/>
        <w:spacing w:line="360" w:lineRule="auto"/>
        <w:rPr>
          <w:rFonts w:hint="eastAsia" w:ascii="宋体" w:hAnsi="宋体" w:eastAsia="宋体" w:cs="宋体"/>
          <w:b/>
          <w:color w:val="auto"/>
          <w:spacing w:val="-6"/>
          <w:sz w:val="30"/>
          <w:szCs w:val="30"/>
          <w:highlight w:val="none"/>
          <w:lang w:eastAsia="zh-CN"/>
        </w:rPr>
      </w:pPr>
      <w:r>
        <w:rPr>
          <w:rFonts w:hint="eastAsia" w:ascii="宋体" w:hAnsi="宋体" w:cs="宋体"/>
          <w:b/>
          <w:color w:val="auto"/>
          <w:spacing w:val="-6"/>
          <w:sz w:val="30"/>
          <w:szCs w:val="30"/>
          <w:highlight w:val="none"/>
        </w:rPr>
        <w:t>项目编号：</w:t>
      </w:r>
      <w:r>
        <w:rPr>
          <w:rFonts w:hint="eastAsia" w:ascii="宋体" w:hAnsi="宋体" w:cs="宋体"/>
          <w:b/>
          <w:color w:val="auto"/>
          <w:spacing w:val="-6"/>
          <w:sz w:val="30"/>
          <w:szCs w:val="30"/>
          <w:highlight w:val="none"/>
          <w:lang w:eastAsia="zh-CN"/>
        </w:rPr>
        <w:t>330782260529180000007-QSZBYW260069ZHGK</w:t>
      </w:r>
    </w:p>
    <w:p w14:paraId="0FF3E563">
      <w:pPr>
        <w:shd w:val="clear"/>
        <w:wordWrap w:val="0"/>
        <w:adjustRightInd w:val="0"/>
        <w:snapToGrid w:val="0"/>
        <w:spacing w:line="360" w:lineRule="auto"/>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采 购 人：浙江大学医学院附属第四医院</w:t>
      </w:r>
    </w:p>
    <w:p w14:paraId="12663819">
      <w:pPr>
        <w:shd w:val="clear"/>
        <w:wordWrap w:val="0"/>
        <w:adjustRightInd w:val="0"/>
        <w:snapToGrid w:val="0"/>
        <w:spacing w:line="360" w:lineRule="auto"/>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采购代理机构：浙江求是招标代理有限公司</w:t>
      </w:r>
    </w:p>
    <w:p w14:paraId="3304FA90">
      <w:pPr>
        <w:shd w:val="clear"/>
        <w:wordWrap w:val="0"/>
        <w:adjustRightInd w:val="0"/>
        <w:snapToGrid w:val="0"/>
        <w:spacing w:line="288" w:lineRule="auto"/>
        <w:rPr>
          <w:rFonts w:hint="eastAsia" w:ascii="宋体" w:hAnsi="宋体" w:cs="宋体"/>
          <w:b/>
          <w:color w:val="auto"/>
          <w:szCs w:val="21"/>
          <w:highlight w:val="none"/>
        </w:rPr>
      </w:pPr>
    </w:p>
    <w:p w14:paraId="2D6F16B5">
      <w:pPr>
        <w:pStyle w:val="11"/>
        <w:shd w:val="clear"/>
        <w:rPr>
          <w:rFonts w:hint="eastAsia" w:ascii="宋体" w:hAnsi="宋体" w:cs="宋体"/>
          <w:color w:val="auto"/>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73C0A200">
      <w:pPr>
        <w:shd w:val="clear"/>
        <w:wordWrap w:val="0"/>
        <w:adjustRightInd w:val="0"/>
        <w:snapToGrid w:val="0"/>
        <w:spacing w:line="288" w:lineRule="auto"/>
        <w:rPr>
          <w:rFonts w:hint="eastAsia" w:ascii="宋体" w:hAnsi="宋体" w:cs="宋体"/>
          <w:b/>
          <w:color w:val="auto"/>
          <w:sz w:val="30"/>
          <w:szCs w:val="30"/>
          <w:highlight w:val="none"/>
        </w:rPr>
      </w:pPr>
    </w:p>
    <w:p w14:paraId="293C3B8E">
      <w:pPr>
        <w:shd w:val="clear"/>
        <w:wordWrap w:val="0"/>
        <w:adjustRightInd w:val="0"/>
        <w:snapToGrid w:val="0"/>
        <w:spacing w:line="288"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目    录</w:t>
      </w:r>
    </w:p>
    <w:p w14:paraId="6ADD4C78">
      <w:pPr>
        <w:shd w:val="clear"/>
        <w:wordWrap w:val="0"/>
        <w:adjustRightInd w:val="0"/>
        <w:snapToGrid w:val="0"/>
        <w:spacing w:line="288" w:lineRule="auto"/>
        <w:rPr>
          <w:rFonts w:hint="eastAsia" w:ascii="宋体" w:hAnsi="宋体" w:cs="宋体"/>
          <w:b/>
          <w:color w:val="auto"/>
          <w:sz w:val="30"/>
          <w:szCs w:val="30"/>
          <w:highlight w:val="none"/>
        </w:rPr>
      </w:pPr>
    </w:p>
    <w:p w14:paraId="0B6CA370">
      <w:pPr>
        <w:pStyle w:val="19"/>
        <w:shd w:val="clear"/>
        <w:rPr>
          <w:rFonts w:hint="eastAsia" w:ascii="宋体" w:hAnsi="宋体" w:cs="宋体"/>
          <w:b/>
          <w:bCs/>
          <w:color w:val="auto"/>
          <w:sz w:val="21"/>
          <w:highlight w:val="none"/>
        </w:rPr>
      </w:pP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TOC \o "1-3" \h \z \u </w:instrText>
      </w:r>
      <w:r>
        <w:rPr>
          <w:rFonts w:hint="eastAsia" w:ascii="宋体" w:hAnsi="宋体" w:cs="宋体"/>
          <w:b/>
          <w:bCs/>
          <w:color w:val="auto"/>
          <w:highlight w:val="none"/>
        </w:rPr>
        <w:fldChar w:fldCharType="separate"/>
      </w: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"_Toc362250684#_Toc362250684" </w:instrText>
      </w:r>
      <w:r>
        <w:rPr>
          <w:color w:val="auto"/>
          <w:highlight w:val="none"/>
        </w:rPr>
        <w:fldChar w:fldCharType="separate"/>
      </w:r>
      <w:r>
        <w:rPr>
          <w:rStyle w:val="34"/>
          <w:rFonts w:hint="eastAsia" w:ascii="宋体" w:hAnsi="宋体" w:cs="宋体"/>
          <w:b/>
          <w:bCs/>
          <w:color w:val="auto"/>
          <w:highlight w:val="none"/>
        </w:rPr>
        <w:t>第一章　</w:t>
      </w:r>
      <w:r>
        <w:rPr>
          <w:rFonts w:hint="eastAsia" w:ascii="宋体" w:hAnsi="宋体" w:cs="宋体"/>
          <w:b/>
          <w:bCs/>
          <w:color w:val="auto"/>
          <w:highlight w:val="none"/>
        </w:rPr>
        <w:t>采购</w:t>
      </w:r>
      <w:r>
        <w:rPr>
          <w:rFonts w:hint="eastAsia" w:ascii="宋体" w:hAnsi="宋体" w:cs="宋体"/>
          <w:b/>
          <w:bCs/>
          <w:color w:val="auto"/>
          <w:highlight w:val="none"/>
        </w:rPr>
        <w:fldChar w:fldCharType="end"/>
      </w:r>
      <w:r>
        <w:rPr>
          <w:rFonts w:hint="eastAsia" w:ascii="宋体" w:hAnsi="宋体" w:cs="宋体"/>
          <w:b/>
          <w:bCs/>
          <w:color w:val="auto"/>
          <w:highlight w:val="none"/>
        </w:rPr>
        <w:t>公告</w:t>
      </w:r>
    </w:p>
    <w:p w14:paraId="0DD94813">
      <w:pPr>
        <w:pStyle w:val="19"/>
        <w:shd w:val="clear"/>
        <w:rPr>
          <w:rStyle w:val="34"/>
          <w:rFonts w:hint="eastAsia" w:ascii="宋体" w:hAnsi="宋体" w:cs="宋体"/>
          <w:b/>
          <w:bCs/>
          <w:color w:val="auto"/>
          <w:highlight w:val="none"/>
        </w:rPr>
      </w:pPr>
    </w:p>
    <w:p w14:paraId="39B29DAB">
      <w:pPr>
        <w:pStyle w:val="19"/>
        <w:shd w:val="clear"/>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"_Toc362250685#_Toc362250685" </w:instrText>
      </w:r>
      <w:r>
        <w:rPr>
          <w:color w:val="auto"/>
          <w:highlight w:val="none"/>
        </w:rPr>
        <w:fldChar w:fldCharType="separate"/>
      </w:r>
      <w:r>
        <w:rPr>
          <w:rStyle w:val="34"/>
          <w:rFonts w:hint="eastAsia" w:ascii="宋体" w:hAnsi="宋体" w:cs="宋体"/>
          <w:b/>
          <w:bCs/>
          <w:color w:val="auto"/>
          <w:highlight w:val="none"/>
        </w:rPr>
        <w:t>第二章　投标须知和投标须知前附表</w:t>
      </w:r>
      <w:r>
        <w:rPr>
          <w:rStyle w:val="34"/>
          <w:rFonts w:hint="eastAsia" w:ascii="宋体" w:hAnsi="宋体" w:cs="宋体"/>
          <w:b/>
          <w:bCs/>
          <w:color w:val="auto"/>
          <w:highlight w:val="none"/>
        </w:rPr>
        <w:fldChar w:fldCharType="end"/>
      </w:r>
    </w:p>
    <w:p w14:paraId="6F16A3B0">
      <w:pPr>
        <w:pStyle w:val="19"/>
        <w:shd w:val="clear"/>
        <w:rPr>
          <w:rStyle w:val="34"/>
          <w:rFonts w:hint="eastAsia" w:ascii="宋体" w:hAnsi="宋体" w:cs="宋体"/>
          <w:b/>
          <w:bCs/>
          <w:color w:val="auto"/>
          <w:highlight w:val="none"/>
        </w:rPr>
      </w:pPr>
    </w:p>
    <w:p w14:paraId="63C1C12D">
      <w:pPr>
        <w:pStyle w:val="19"/>
        <w:shd w:val="clear"/>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"_Toc362250692#_Toc362250692" </w:instrText>
      </w:r>
      <w:r>
        <w:rPr>
          <w:color w:val="auto"/>
          <w:highlight w:val="none"/>
        </w:rPr>
        <w:fldChar w:fldCharType="separate"/>
      </w:r>
      <w:r>
        <w:rPr>
          <w:rStyle w:val="34"/>
          <w:rFonts w:hint="eastAsia" w:ascii="宋体" w:hAnsi="宋体" w:cs="宋体"/>
          <w:b/>
          <w:bCs/>
          <w:color w:val="auto"/>
          <w:highlight w:val="none"/>
        </w:rPr>
        <w:t>第三章　招标项目要求</w:t>
      </w:r>
      <w:r>
        <w:rPr>
          <w:rStyle w:val="34"/>
          <w:rFonts w:hint="eastAsia" w:ascii="宋体" w:hAnsi="宋体" w:cs="宋体"/>
          <w:b/>
          <w:bCs/>
          <w:color w:val="auto"/>
          <w:highlight w:val="none"/>
        </w:rPr>
        <w:fldChar w:fldCharType="end"/>
      </w:r>
    </w:p>
    <w:p w14:paraId="141CADB3">
      <w:pPr>
        <w:pStyle w:val="19"/>
        <w:shd w:val="clear"/>
        <w:tabs>
          <w:tab w:val="left" w:pos="1260"/>
        </w:tabs>
        <w:rPr>
          <w:rStyle w:val="34"/>
          <w:rFonts w:hint="eastAsia" w:ascii="宋体" w:hAnsi="宋体" w:cs="宋体"/>
          <w:b/>
          <w:bCs/>
          <w:color w:val="auto"/>
          <w:highlight w:val="none"/>
        </w:rPr>
      </w:pPr>
    </w:p>
    <w:p w14:paraId="032B6516">
      <w:pPr>
        <w:pStyle w:val="19"/>
        <w:shd w:val="clear"/>
        <w:tabs>
          <w:tab w:val="left" w:pos="1020"/>
        </w:tabs>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"_Toc362250703#_Toc362250703" </w:instrText>
      </w:r>
      <w:r>
        <w:rPr>
          <w:color w:val="auto"/>
          <w:highlight w:val="none"/>
        </w:rPr>
        <w:fldChar w:fldCharType="separate"/>
      </w:r>
      <w:r>
        <w:rPr>
          <w:rStyle w:val="34"/>
          <w:rFonts w:hint="eastAsia" w:ascii="宋体" w:hAnsi="宋体" w:cs="宋体"/>
          <w:b/>
          <w:bCs/>
          <w:color w:val="auto"/>
          <w:highlight w:val="none"/>
        </w:rPr>
        <w:t>第四章　开标、评标和定标须知</w:t>
      </w:r>
      <w:r>
        <w:rPr>
          <w:rStyle w:val="34"/>
          <w:rFonts w:hint="eastAsia" w:ascii="宋体" w:hAnsi="宋体" w:cs="宋体"/>
          <w:b/>
          <w:bCs/>
          <w:color w:val="auto"/>
          <w:highlight w:val="none"/>
        </w:rPr>
        <w:fldChar w:fldCharType="end"/>
      </w:r>
    </w:p>
    <w:p w14:paraId="0786DEA7">
      <w:pPr>
        <w:pStyle w:val="19"/>
        <w:shd w:val="clear"/>
        <w:rPr>
          <w:rStyle w:val="34"/>
          <w:rFonts w:hint="eastAsia" w:ascii="宋体" w:hAnsi="宋体" w:cs="宋体"/>
          <w:b/>
          <w:bCs/>
          <w:color w:val="auto"/>
          <w:highlight w:val="none"/>
        </w:rPr>
      </w:pPr>
    </w:p>
    <w:p w14:paraId="60C341DC">
      <w:pPr>
        <w:pStyle w:val="19"/>
        <w:shd w:val="clear"/>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"_Toc362250707#_Toc362250707" </w:instrText>
      </w:r>
      <w:r>
        <w:rPr>
          <w:color w:val="auto"/>
          <w:highlight w:val="none"/>
        </w:rPr>
        <w:fldChar w:fldCharType="separate"/>
      </w:r>
      <w:r>
        <w:rPr>
          <w:rStyle w:val="34"/>
          <w:rFonts w:hint="eastAsia" w:ascii="宋体" w:hAnsi="宋体" w:cs="宋体"/>
          <w:b/>
          <w:bCs/>
          <w:color w:val="auto"/>
          <w:highlight w:val="none"/>
        </w:rPr>
        <w:t>第五章　投标文件的有效性</w:t>
      </w:r>
      <w:r>
        <w:rPr>
          <w:rStyle w:val="34"/>
          <w:rFonts w:hint="eastAsia" w:ascii="宋体" w:hAnsi="宋体" w:cs="宋体"/>
          <w:b/>
          <w:bCs/>
          <w:color w:val="auto"/>
          <w:highlight w:val="none"/>
        </w:rPr>
        <w:fldChar w:fldCharType="end"/>
      </w:r>
    </w:p>
    <w:p w14:paraId="57E3F0C0">
      <w:pPr>
        <w:pStyle w:val="19"/>
        <w:shd w:val="clear"/>
        <w:rPr>
          <w:rStyle w:val="34"/>
          <w:rFonts w:hint="eastAsia" w:ascii="宋体" w:hAnsi="宋体" w:cs="宋体"/>
          <w:b/>
          <w:bCs/>
          <w:color w:val="auto"/>
          <w:highlight w:val="none"/>
        </w:rPr>
      </w:pPr>
    </w:p>
    <w:p w14:paraId="47D83C7D">
      <w:pPr>
        <w:pStyle w:val="19"/>
        <w:shd w:val="clear"/>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"_Toc362250708#_Toc362250708" </w:instrText>
      </w:r>
      <w:r>
        <w:rPr>
          <w:color w:val="auto"/>
          <w:highlight w:val="none"/>
        </w:rPr>
        <w:fldChar w:fldCharType="separate"/>
      </w:r>
      <w:r>
        <w:rPr>
          <w:rStyle w:val="34"/>
          <w:rFonts w:hint="eastAsia" w:ascii="宋体" w:hAnsi="宋体" w:cs="宋体"/>
          <w:b/>
          <w:bCs/>
          <w:color w:val="auto"/>
          <w:highlight w:val="none"/>
        </w:rPr>
        <w:t>第六章　评标办法</w:t>
      </w:r>
      <w:r>
        <w:rPr>
          <w:rStyle w:val="34"/>
          <w:rFonts w:hint="eastAsia" w:ascii="宋体" w:hAnsi="宋体" w:cs="宋体"/>
          <w:b/>
          <w:bCs/>
          <w:color w:val="auto"/>
          <w:highlight w:val="none"/>
        </w:rPr>
        <w:fldChar w:fldCharType="end"/>
      </w:r>
    </w:p>
    <w:p w14:paraId="53ACF2FA">
      <w:pPr>
        <w:pStyle w:val="19"/>
        <w:shd w:val="clear"/>
        <w:rPr>
          <w:rStyle w:val="34"/>
          <w:rFonts w:hint="eastAsia" w:ascii="宋体" w:hAnsi="宋体" w:cs="宋体"/>
          <w:b/>
          <w:bCs/>
          <w:color w:val="auto"/>
          <w:highlight w:val="none"/>
        </w:rPr>
      </w:pPr>
    </w:p>
    <w:p w14:paraId="5FFA7F93">
      <w:pPr>
        <w:pStyle w:val="19"/>
        <w:shd w:val="clear"/>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"_Toc362250711#_Toc362250711" </w:instrText>
      </w:r>
      <w:r>
        <w:rPr>
          <w:color w:val="auto"/>
          <w:highlight w:val="none"/>
        </w:rPr>
        <w:fldChar w:fldCharType="separate"/>
      </w:r>
      <w:r>
        <w:rPr>
          <w:rStyle w:val="34"/>
          <w:rFonts w:hint="eastAsia" w:ascii="宋体" w:hAnsi="宋体" w:cs="宋体"/>
          <w:b/>
          <w:bCs/>
          <w:color w:val="auto"/>
          <w:highlight w:val="none"/>
        </w:rPr>
        <w:t>第七章　拟签订的合同文本</w:t>
      </w:r>
      <w:r>
        <w:rPr>
          <w:rStyle w:val="34"/>
          <w:rFonts w:hint="eastAsia" w:ascii="宋体" w:hAnsi="宋体" w:cs="宋体"/>
          <w:b/>
          <w:bCs/>
          <w:color w:val="auto"/>
          <w:highlight w:val="none"/>
        </w:rPr>
        <w:fldChar w:fldCharType="end"/>
      </w:r>
    </w:p>
    <w:p w14:paraId="1426ACE1">
      <w:pPr>
        <w:pStyle w:val="19"/>
        <w:shd w:val="clear"/>
        <w:rPr>
          <w:rStyle w:val="34"/>
          <w:rFonts w:hint="eastAsia" w:ascii="宋体" w:hAnsi="宋体" w:cs="宋体"/>
          <w:b/>
          <w:bCs/>
          <w:color w:val="auto"/>
          <w:highlight w:val="none"/>
        </w:rPr>
      </w:pPr>
    </w:p>
    <w:p w14:paraId="4653D6C3">
      <w:pPr>
        <w:pStyle w:val="19"/>
        <w:shd w:val="clear"/>
        <w:rPr>
          <w:rFonts w:hint="eastAsia" w:ascii="宋体" w:hAnsi="宋体" w:cs="宋体"/>
          <w:b/>
          <w:bCs/>
          <w:color w:val="auto"/>
          <w:sz w:val="21"/>
          <w:highlight w:val="none"/>
        </w:rPr>
      </w:pPr>
      <w:r>
        <w:rPr>
          <w:color w:val="auto"/>
          <w:highlight w:val="none"/>
        </w:rPr>
        <w:fldChar w:fldCharType="begin"/>
      </w:r>
      <w:r>
        <w:rPr>
          <w:color w:val="auto"/>
          <w:highlight w:val="none"/>
        </w:rPr>
        <w:instrText xml:space="preserve"> HYPERLINK "../../../Documents/xwechat_files/oldyang39_d535/msg/file/Documents/xwechat_files/oldyang39_d535/Documents%20and%20Settings/Administrator/Application%20Data/Foxmail/FoxmailTemp(26)/动植物招标文件（新版）.doc" \l "_Toc362250712#_Toc362250712" </w:instrText>
      </w:r>
      <w:r>
        <w:rPr>
          <w:color w:val="auto"/>
          <w:highlight w:val="none"/>
        </w:rPr>
        <w:fldChar w:fldCharType="separate"/>
      </w:r>
      <w:r>
        <w:rPr>
          <w:rStyle w:val="34"/>
          <w:rFonts w:hint="eastAsia" w:ascii="宋体" w:hAnsi="宋体" w:cs="宋体"/>
          <w:b/>
          <w:bCs/>
          <w:color w:val="auto"/>
          <w:highlight w:val="none"/>
        </w:rPr>
        <w:t>第八章　投标文件部分格式</w:t>
      </w:r>
      <w:r>
        <w:rPr>
          <w:rStyle w:val="34"/>
          <w:rFonts w:hint="eastAsia" w:ascii="宋体" w:hAnsi="宋体" w:cs="宋体"/>
          <w:b/>
          <w:bCs/>
          <w:color w:val="auto"/>
          <w:highlight w:val="none"/>
        </w:rPr>
        <w:fldChar w:fldCharType="end"/>
      </w:r>
    </w:p>
    <w:p w14:paraId="11F24360">
      <w:pPr>
        <w:widowControl/>
        <w:shd w:val="clear"/>
        <w:wordWrap w:val="0"/>
        <w:adjustRightInd w:val="0"/>
        <w:snapToGrid w:val="0"/>
        <w:spacing w:line="288" w:lineRule="auto"/>
        <w:jc w:val="left"/>
        <w:rPr>
          <w:rFonts w:hint="eastAsia" w:ascii="宋体" w:hAnsi="宋体" w:cs="宋体"/>
          <w:color w:val="auto"/>
          <w:szCs w:val="21"/>
          <w:highlight w:val="none"/>
        </w:rPr>
      </w:pPr>
      <w:r>
        <w:rPr>
          <w:rFonts w:hint="eastAsia" w:ascii="宋体" w:hAnsi="宋体" w:cs="宋体"/>
          <w:b/>
          <w:bCs/>
          <w:color w:val="auto"/>
          <w:szCs w:val="30"/>
          <w:highlight w:val="none"/>
        </w:rPr>
        <w:fldChar w:fldCharType="end"/>
      </w:r>
    </w:p>
    <w:p w14:paraId="2D35EBBC">
      <w:pPr>
        <w:widowControl/>
        <w:shd w:val="clear"/>
        <w:wordWrap w:val="0"/>
        <w:adjustRightInd w:val="0"/>
        <w:snapToGrid w:val="0"/>
        <w:spacing w:line="288" w:lineRule="auto"/>
        <w:jc w:val="left"/>
        <w:rPr>
          <w:rFonts w:hint="eastAsia" w:ascii="宋体" w:hAnsi="宋体" w:cs="宋体"/>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7F8D24F5">
      <w:pPr>
        <w:shd w:val="clear"/>
        <w:wordWrap w:val="0"/>
        <w:adjustRightInd w:val="0"/>
        <w:snapToGrid w:val="0"/>
        <w:spacing w:line="360" w:lineRule="auto"/>
        <w:jc w:val="center"/>
        <w:outlineLvl w:val="0"/>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第一章  采购公告</w:t>
      </w:r>
    </w:p>
    <w:p w14:paraId="5773F955">
      <w:pPr>
        <w:shd w:val="clear"/>
        <w:wordWrap w:val="0"/>
        <w:adjustRightInd w:val="0"/>
        <w:snapToGrid w:val="0"/>
        <w:spacing w:line="400" w:lineRule="exact"/>
        <w:ind w:firstLine="420" w:firstLineChars="200"/>
        <w:rPr>
          <w:rFonts w:hint="eastAsia" w:ascii="宋体" w:hAnsi="宋体" w:cs="宋体"/>
          <w:color w:val="auto"/>
          <w:szCs w:val="21"/>
          <w:highlight w:val="none"/>
        </w:rPr>
      </w:pPr>
      <w:bookmarkStart w:id="0" w:name="_Toc28359002"/>
      <w:bookmarkStart w:id="1" w:name="_Toc35393790"/>
      <w:bookmarkStart w:id="2" w:name="_Toc28359079"/>
      <w:bookmarkStart w:id="3" w:name="_Toc35393621"/>
      <w:bookmarkStart w:id="4" w:name="_Hlk24379207"/>
      <w:r>
        <w:rPr>
          <w:rFonts w:hint="eastAsia" w:ascii="宋体" w:hAnsi="宋体" w:cs="宋体"/>
          <w:color w:val="auto"/>
          <w:szCs w:val="21"/>
          <w:highlight w:val="none"/>
        </w:rPr>
        <w:t>根据《中华人民共和国政府采购法》等有关规定，浙江求是招标代理有限公司受浙江大学医学院附属第四医院的委托，就浙江大学医学院附属第四医院基于医学大模型的临床智能预警监测平台进行公开招标采购，欢迎国内合格的投标人参加投标。</w:t>
      </w:r>
    </w:p>
    <w:p w14:paraId="61AAFEF5">
      <w:pPr>
        <w:shd w:val="clear"/>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一、项目基本情况</w:t>
      </w:r>
      <w:bookmarkEnd w:id="0"/>
      <w:bookmarkEnd w:id="1"/>
      <w:bookmarkEnd w:id="2"/>
      <w:bookmarkEnd w:id="3"/>
    </w:p>
    <w:p w14:paraId="36A1409A">
      <w:pPr>
        <w:shd w:val="clear"/>
        <w:wordWrap w:val="0"/>
        <w:adjustRightInd w:val="0"/>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330782260529180000007-QSZBYW260069ZHGK</w:t>
      </w:r>
    </w:p>
    <w:p w14:paraId="280F9B78">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highlight w:val="none"/>
        </w:rPr>
        <w:t>基于医学大模型的临床智能预警监测平台</w:t>
      </w:r>
    </w:p>
    <w:bookmarkEnd w:id="4"/>
    <w:p w14:paraId="24391BAA">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3.预算金额：1000000.00元</w:t>
      </w:r>
    </w:p>
    <w:p w14:paraId="4C6734A1">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4.最高限价：1000000.00元</w:t>
      </w:r>
    </w:p>
    <w:p w14:paraId="151A5EB2">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5.合同履约期限：</w:t>
      </w:r>
      <w:r>
        <w:rPr>
          <w:rFonts w:hint="eastAsia" w:ascii="宋体" w:hAnsi="宋体" w:cs="宋体"/>
          <w:color w:val="auto"/>
          <w:szCs w:val="21"/>
          <w:highlight w:val="none"/>
          <w:lang w:eastAsia="zh-CN"/>
        </w:rPr>
        <w:t>自合同签订之日起3个月内上线试运行，试运行3个月并满足采购人要求后进行终验</w:t>
      </w:r>
      <w:r>
        <w:rPr>
          <w:rFonts w:hint="eastAsia" w:ascii="宋体" w:hAnsi="宋体" w:cs="宋体"/>
          <w:color w:val="auto"/>
          <w:szCs w:val="21"/>
          <w:highlight w:val="none"/>
        </w:rPr>
        <w:t>。</w:t>
      </w:r>
    </w:p>
    <w:p w14:paraId="3D50DDD8">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采购需求：</w:t>
      </w:r>
    </w:p>
    <w:tbl>
      <w:tblPr>
        <w:tblStyle w:val="27"/>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3437"/>
        <w:gridCol w:w="649"/>
        <w:gridCol w:w="854"/>
        <w:gridCol w:w="2632"/>
        <w:gridCol w:w="1276"/>
      </w:tblGrid>
      <w:tr w14:paraId="5E7F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45" w:type="dxa"/>
            <w:vAlign w:val="center"/>
          </w:tcPr>
          <w:p w14:paraId="138FF45D">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437" w:type="dxa"/>
            <w:tcBorders>
              <w:right w:val="single" w:color="auto" w:sz="4" w:space="0"/>
            </w:tcBorders>
            <w:vAlign w:val="center"/>
          </w:tcPr>
          <w:p w14:paraId="60ACE47D">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标项名称</w:t>
            </w:r>
          </w:p>
        </w:tc>
        <w:tc>
          <w:tcPr>
            <w:tcW w:w="649" w:type="dxa"/>
            <w:vAlign w:val="center"/>
          </w:tcPr>
          <w:p w14:paraId="42FEEB97">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854" w:type="dxa"/>
            <w:vAlign w:val="center"/>
          </w:tcPr>
          <w:p w14:paraId="17E986BE">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2632" w:type="dxa"/>
            <w:tcBorders>
              <w:right w:val="single" w:color="auto" w:sz="4" w:space="0"/>
            </w:tcBorders>
            <w:vAlign w:val="center"/>
          </w:tcPr>
          <w:p w14:paraId="09F272EE">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简要技术需求或服务要求</w:t>
            </w:r>
          </w:p>
        </w:tc>
        <w:tc>
          <w:tcPr>
            <w:tcW w:w="1276" w:type="dxa"/>
            <w:tcBorders>
              <w:right w:val="single" w:color="auto" w:sz="4" w:space="0"/>
            </w:tcBorders>
            <w:vAlign w:val="center"/>
          </w:tcPr>
          <w:p w14:paraId="7E686C71">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color w:val="auto"/>
                <w:szCs w:val="21"/>
                <w:highlight w:val="none"/>
              </w:rPr>
              <w:t>是否允许采购进口产品</w:t>
            </w:r>
          </w:p>
        </w:tc>
      </w:tr>
      <w:tr w14:paraId="56E06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645" w:type="dxa"/>
            <w:vAlign w:val="center"/>
          </w:tcPr>
          <w:p w14:paraId="688B7363">
            <w:pPr>
              <w:shd w:val="clear"/>
              <w:wordWrap w:val="0"/>
              <w:adjustRightInd w:val="0"/>
              <w:snapToGrid w:val="0"/>
              <w:spacing w:line="28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3437" w:type="dxa"/>
            <w:tcBorders>
              <w:right w:val="single" w:color="auto" w:sz="4" w:space="0"/>
            </w:tcBorders>
            <w:vAlign w:val="center"/>
          </w:tcPr>
          <w:p w14:paraId="1469E08D">
            <w:pPr>
              <w:shd w:val="clear"/>
              <w:wordWrap w:val="0"/>
              <w:adjustRightInd w:val="0"/>
              <w:snapToGrid w:val="0"/>
              <w:spacing w:line="28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基于医学大模型的临床智能预警监测平台</w:t>
            </w:r>
          </w:p>
        </w:tc>
        <w:tc>
          <w:tcPr>
            <w:tcW w:w="649" w:type="dxa"/>
            <w:vAlign w:val="center"/>
          </w:tcPr>
          <w:p w14:paraId="115D4929">
            <w:pPr>
              <w:shd w:val="clear"/>
              <w:wordWrap w:val="0"/>
              <w:adjustRightInd w:val="0"/>
              <w:snapToGrid w:val="0"/>
              <w:spacing w:line="28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854" w:type="dxa"/>
            <w:vAlign w:val="center"/>
          </w:tcPr>
          <w:p w14:paraId="428293A7">
            <w:pPr>
              <w:shd w:val="clear"/>
              <w:wordWrap w:val="0"/>
              <w:adjustRightInd w:val="0"/>
              <w:snapToGrid w:val="0"/>
              <w:spacing w:line="28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套</w:t>
            </w:r>
          </w:p>
        </w:tc>
        <w:tc>
          <w:tcPr>
            <w:tcW w:w="2632" w:type="dxa"/>
            <w:tcBorders>
              <w:right w:val="single" w:color="auto" w:sz="4" w:space="0"/>
            </w:tcBorders>
            <w:vAlign w:val="center"/>
          </w:tcPr>
          <w:p w14:paraId="1CF11EED">
            <w:pPr>
              <w:shd w:val="clear"/>
              <w:wordWrap w:val="0"/>
              <w:adjustRightInd w:val="0"/>
              <w:snapToGrid w:val="0"/>
              <w:spacing w:line="28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详见第二章 采购需求</w:t>
            </w:r>
          </w:p>
        </w:tc>
        <w:tc>
          <w:tcPr>
            <w:tcW w:w="1276" w:type="dxa"/>
            <w:tcBorders>
              <w:right w:val="single" w:color="auto" w:sz="4" w:space="0"/>
            </w:tcBorders>
            <w:vAlign w:val="center"/>
          </w:tcPr>
          <w:p w14:paraId="10545512">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否</w:t>
            </w:r>
          </w:p>
        </w:tc>
      </w:tr>
    </w:tbl>
    <w:p w14:paraId="3310781C">
      <w:pPr>
        <w:shd w:val="clear"/>
        <w:wordWrap w:val="0"/>
        <w:adjustRightInd w:val="0"/>
        <w:snapToGrid w:val="0"/>
        <w:spacing w:line="400" w:lineRule="exact"/>
        <w:rPr>
          <w:rFonts w:hint="eastAsia" w:ascii="宋体" w:hAnsi="宋体" w:cs="宋体"/>
          <w:b/>
          <w:color w:val="auto"/>
          <w:szCs w:val="21"/>
          <w:highlight w:val="none"/>
        </w:rPr>
      </w:pPr>
      <w:bookmarkStart w:id="5" w:name="_Toc28359080"/>
      <w:bookmarkStart w:id="6" w:name="_Toc35393622"/>
      <w:bookmarkStart w:id="7" w:name="_Toc35393791"/>
      <w:bookmarkStart w:id="8" w:name="_Toc28359003"/>
      <w:r>
        <w:rPr>
          <w:rFonts w:hint="eastAsia" w:ascii="宋体" w:hAnsi="宋体" w:cs="宋体"/>
          <w:b/>
          <w:color w:val="auto"/>
          <w:szCs w:val="21"/>
          <w:highlight w:val="none"/>
        </w:rPr>
        <w:t>二、投标人的资格要求</w:t>
      </w:r>
      <w:bookmarkEnd w:id="5"/>
      <w:bookmarkEnd w:id="6"/>
      <w:bookmarkEnd w:id="7"/>
      <w:bookmarkEnd w:id="8"/>
    </w:p>
    <w:p w14:paraId="5F5E5A4A">
      <w:pPr>
        <w:pStyle w:val="13"/>
        <w:shd w:val="clear"/>
        <w:tabs>
          <w:tab w:val="left" w:pos="4400"/>
        </w:tabs>
        <w:spacing w:before="0" w:beforeLines="0" w:after="0" w:afterLines="0" w:line="400" w:lineRule="exact"/>
        <w:ind w:firstLine="420" w:firstLineChars="200"/>
        <w:rPr>
          <w:rFonts w:hint="eastAsia" w:hAnsi="宋体" w:cs="宋体"/>
          <w:color w:val="auto"/>
          <w:sz w:val="21"/>
          <w:szCs w:val="21"/>
          <w:highlight w:val="none"/>
        </w:rPr>
      </w:pPr>
      <w:bookmarkStart w:id="9" w:name="_Toc28359081"/>
      <w:bookmarkStart w:id="10" w:name="_Toc28359004"/>
      <w:r>
        <w:rPr>
          <w:rFonts w:hint="eastAsia" w:hAnsi="宋体" w:cs="宋体"/>
          <w:color w:val="auto"/>
          <w:sz w:val="21"/>
          <w:szCs w:val="21"/>
          <w:highlight w:val="none"/>
        </w:rPr>
        <w:t>1.满足《中华人民共和国政府采购法》第二十二条规定；</w:t>
      </w:r>
    </w:p>
    <w:p w14:paraId="32D14254">
      <w:pPr>
        <w:pStyle w:val="6"/>
        <w:shd w:val="clear"/>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2.投标人自2023年1月1日起到中标公告期结束前无行贿犯罪记录；</w:t>
      </w:r>
    </w:p>
    <w:p w14:paraId="7D55DCE1">
      <w:pPr>
        <w:pStyle w:val="6"/>
        <w:shd w:val="clear"/>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2EFBB74A">
      <w:pPr>
        <w:pStyle w:val="6"/>
        <w:shd w:val="clear"/>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4.根据《浙江省公共信用信息管理条例》第二十六条的规定，未列入严重失信名单的（查询结果以开标当日网站页面显示为准）；</w:t>
      </w:r>
    </w:p>
    <w:p w14:paraId="31C34A21">
      <w:pPr>
        <w:pStyle w:val="6"/>
        <w:shd w:val="clear"/>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5.本项目接受联合体投标，但联合体单位不得超过两家。</w:t>
      </w:r>
    </w:p>
    <w:p w14:paraId="392D86D3">
      <w:pPr>
        <w:pStyle w:val="6"/>
        <w:shd w:val="clear"/>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6.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32B15AB9">
      <w:pPr>
        <w:pStyle w:val="6"/>
        <w:shd w:val="clear"/>
        <w:spacing w:line="40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7.落实政府采购政策需满足的资格要求：</w:t>
      </w:r>
      <w:r>
        <w:rPr>
          <w:rFonts w:hint="eastAsia" w:ascii="宋体" w:hAnsi="宋体" w:cs="宋体"/>
          <w:color w:val="auto"/>
          <w:szCs w:val="21"/>
          <w:highlight w:val="none"/>
        </w:rPr>
        <w:t>无。</w:t>
      </w:r>
    </w:p>
    <w:p w14:paraId="030C12DF">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8.本项目特定的资格要求：无。</w:t>
      </w:r>
    </w:p>
    <w:p w14:paraId="0954FA2A">
      <w:pPr>
        <w:shd w:val="clear"/>
        <w:wordWrap w:val="0"/>
        <w:adjustRightInd w:val="0"/>
        <w:snapToGrid w:val="0"/>
        <w:spacing w:line="400" w:lineRule="exact"/>
        <w:rPr>
          <w:rFonts w:hint="eastAsia" w:ascii="宋体" w:hAnsi="宋体" w:cs="宋体"/>
          <w:b/>
          <w:color w:val="auto"/>
          <w:szCs w:val="21"/>
          <w:highlight w:val="none"/>
        </w:rPr>
      </w:pPr>
      <w:bookmarkStart w:id="11" w:name="_Toc35393623"/>
      <w:bookmarkStart w:id="12" w:name="_Toc35393792"/>
      <w:r>
        <w:rPr>
          <w:rFonts w:hint="eastAsia" w:ascii="宋体" w:hAnsi="宋体" w:cs="宋体"/>
          <w:b/>
          <w:color w:val="auto"/>
          <w:szCs w:val="21"/>
          <w:highlight w:val="none"/>
        </w:rPr>
        <w:t>三、获取招标文件</w:t>
      </w:r>
      <w:bookmarkEnd w:id="9"/>
      <w:bookmarkEnd w:id="10"/>
      <w:bookmarkEnd w:id="11"/>
      <w:bookmarkEnd w:id="12"/>
    </w:p>
    <w:p w14:paraId="1E0CA52A">
      <w:pPr>
        <w:shd w:val="clear"/>
        <w:wordWrap w:val="0"/>
        <w:adjustRightInd w:val="0"/>
        <w:snapToGrid w:val="0"/>
        <w:spacing w:line="400" w:lineRule="exact"/>
        <w:ind w:firstLine="420" w:firstLineChars="200"/>
        <w:rPr>
          <w:rFonts w:hint="eastAsia" w:ascii="宋体" w:hAnsi="宋体" w:cs="宋体"/>
          <w:color w:val="auto"/>
          <w:szCs w:val="21"/>
          <w:highlight w:val="none"/>
        </w:rPr>
      </w:pPr>
      <w:bookmarkStart w:id="13" w:name="_Toc28359005"/>
      <w:bookmarkStart w:id="14" w:name="_Toc28359082"/>
      <w:bookmarkStart w:id="15" w:name="_Toc35393624"/>
      <w:bookmarkStart w:id="16" w:name="_Toc35393793"/>
      <w:r>
        <w:rPr>
          <w:rFonts w:hint="eastAsia" w:ascii="宋体" w:hAnsi="宋体" w:cs="宋体"/>
          <w:color w:val="auto"/>
          <w:szCs w:val="21"/>
          <w:highlight w:val="none"/>
        </w:rPr>
        <w:t>1.时间：投标人可在采购文件公告期内获取采购文件，采购文件获取截止时间之后至投标截止前潜在投标人仍可获取招标文件，如对招标文件有疑问的，答疑时间按招标文件规定执行。获取招标文件：免费）</w:t>
      </w:r>
      <w:r>
        <w:rPr>
          <w:rFonts w:hint="eastAsia" w:ascii="宋体" w:hAnsi="宋体" w:cs="宋体"/>
          <w:bCs/>
          <w:color w:val="auto"/>
          <w:szCs w:val="21"/>
          <w:highlight w:val="none"/>
        </w:rPr>
        <w:t>。</w:t>
      </w:r>
    </w:p>
    <w:p w14:paraId="09BC885A">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2.地点（网址）：政府采购云平台（https://www.zcygov.cn）。</w:t>
      </w:r>
    </w:p>
    <w:p w14:paraId="7A614D24">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3.方式：供应商登录政采云平台（https://www.zcygov.cn）在线申请获取采购文件（进入“项目采购”应用，在获取采购文件菜单中选择项目，申请获取采购文件）。</w:t>
      </w:r>
    </w:p>
    <w:p w14:paraId="4E3CE750">
      <w:pPr>
        <w:shd w:val="clear"/>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四、提交（上传）投标文件</w:t>
      </w:r>
      <w:bookmarkEnd w:id="13"/>
      <w:bookmarkEnd w:id="14"/>
      <w:r>
        <w:rPr>
          <w:rFonts w:hint="eastAsia" w:ascii="宋体" w:hAnsi="宋体" w:cs="宋体"/>
          <w:b/>
          <w:color w:val="auto"/>
          <w:szCs w:val="21"/>
          <w:highlight w:val="none"/>
        </w:rPr>
        <w:t>截止时间、开标时间和地点</w:t>
      </w:r>
      <w:bookmarkEnd w:id="15"/>
      <w:bookmarkEnd w:id="16"/>
    </w:p>
    <w:p w14:paraId="39FC0DAF">
      <w:pPr>
        <w:shd w:val="clear"/>
        <w:wordWrap w:val="0"/>
        <w:adjustRightInd w:val="0"/>
        <w:snapToGrid w:val="0"/>
        <w:spacing w:line="400" w:lineRule="exact"/>
        <w:ind w:firstLine="420" w:firstLineChars="200"/>
        <w:rPr>
          <w:rFonts w:hint="eastAsia" w:ascii="宋体" w:hAnsi="宋体" w:cs="宋体"/>
          <w:bCs/>
          <w:color w:val="auto"/>
          <w:szCs w:val="21"/>
          <w:highlight w:val="none"/>
        </w:rPr>
      </w:pPr>
      <w:bookmarkStart w:id="17" w:name="_Hlk81212057"/>
      <w:r>
        <w:rPr>
          <w:rFonts w:hint="eastAsia" w:ascii="宋体" w:hAnsi="宋体" w:cs="宋体"/>
          <w:bCs/>
          <w:color w:val="auto"/>
          <w:szCs w:val="21"/>
          <w:highlight w:val="none"/>
        </w:rPr>
        <w:t>1.提交投标文件截止时间：</w:t>
      </w:r>
      <w:r>
        <w:rPr>
          <w:rFonts w:hint="eastAsia" w:ascii="宋体" w:hAnsi="宋体" w:cs="宋体"/>
          <w:b/>
          <w:color w:val="auto"/>
          <w:szCs w:val="21"/>
          <w:highlight w:val="none"/>
          <w:u w:val="single"/>
          <w:lang w:eastAsia="zh-CN"/>
        </w:rPr>
        <w:t>2026年4月29日14:00:00</w:t>
      </w:r>
      <w:r>
        <w:rPr>
          <w:rFonts w:hint="eastAsia" w:ascii="宋体" w:hAnsi="宋体" w:cs="宋体"/>
          <w:b/>
          <w:color w:val="auto"/>
          <w:szCs w:val="21"/>
          <w:highlight w:val="none"/>
          <w:u w:val="single"/>
        </w:rPr>
        <w:t>（北京时间）</w:t>
      </w:r>
      <w:r>
        <w:rPr>
          <w:rFonts w:hint="eastAsia" w:ascii="宋体" w:hAnsi="宋体" w:cs="宋体"/>
          <w:bCs/>
          <w:color w:val="auto"/>
          <w:szCs w:val="21"/>
          <w:highlight w:val="none"/>
        </w:rPr>
        <w:t>。</w:t>
      </w:r>
    </w:p>
    <w:p w14:paraId="551D9C27">
      <w:pPr>
        <w:shd w:val="clear"/>
        <w:wordWrap w:val="0"/>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2.投标地点（网址）：</w:t>
      </w:r>
      <w:r>
        <w:rPr>
          <w:rFonts w:hint="eastAsia" w:ascii="宋体" w:hAnsi="宋体" w:cs="宋体"/>
          <w:bCs/>
          <w:color w:val="auto"/>
          <w:szCs w:val="21"/>
          <w:highlight w:val="none"/>
          <w:u w:val="single"/>
        </w:rPr>
        <w:t>登录政采云账号，并上传电子加密标书至“政采云”平台（https://www.zcygov.cn），逾期或未上传成功的将导致无法投标或投标无效</w:t>
      </w:r>
      <w:r>
        <w:rPr>
          <w:rFonts w:hint="eastAsia" w:ascii="宋体" w:hAnsi="宋体" w:cs="宋体"/>
          <w:color w:val="auto"/>
          <w:szCs w:val="21"/>
          <w:highlight w:val="none"/>
        </w:rPr>
        <w:t>。</w:t>
      </w:r>
    </w:p>
    <w:p w14:paraId="50792CCF">
      <w:pPr>
        <w:shd w:val="clear"/>
        <w:wordWrap w:val="0"/>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
          <w:color w:val="auto"/>
          <w:szCs w:val="21"/>
          <w:highlight w:val="none"/>
          <w:u w:val="single"/>
          <w:lang w:eastAsia="zh-CN"/>
        </w:rPr>
        <w:t>2026年4月29日14:00:00</w:t>
      </w:r>
      <w:r>
        <w:rPr>
          <w:rFonts w:hint="eastAsia" w:ascii="宋体" w:hAnsi="宋体" w:cs="宋体"/>
          <w:b/>
          <w:color w:val="auto"/>
          <w:szCs w:val="21"/>
          <w:highlight w:val="none"/>
          <w:u w:val="single"/>
        </w:rPr>
        <w:t>（北京时间）</w:t>
      </w:r>
      <w:r>
        <w:rPr>
          <w:rFonts w:hint="eastAsia" w:ascii="宋体" w:hAnsi="宋体" w:cs="宋体"/>
          <w:bCs/>
          <w:color w:val="auto"/>
          <w:szCs w:val="21"/>
          <w:highlight w:val="none"/>
        </w:rPr>
        <w:t>。</w:t>
      </w:r>
    </w:p>
    <w:p w14:paraId="3CAF765C">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4.开标地点（网址）：</w:t>
      </w:r>
      <w:r>
        <w:rPr>
          <w:rFonts w:hint="eastAsia" w:ascii="宋体" w:hAnsi="宋体" w:cs="宋体"/>
          <w:color w:val="auto"/>
          <w:szCs w:val="21"/>
          <w:highlight w:val="none"/>
          <w:u w:val="single"/>
        </w:rPr>
        <w:t>政府采购云平台（https://www.zcygov.cn）</w:t>
      </w:r>
      <w:bookmarkStart w:id="18" w:name="_Hlk81212131"/>
      <w:r>
        <w:rPr>
          <w:rFonts w:hint="eastAsia" w:ascii="宋体" w:hAnsi="宋体" w:cs="宋体"/>
          <w:color w:val="auto"/>
          <w:szCs w:val="21"/>
          <w:highlight w:val="none"/>
          <w:u w:val="single"/>
        </w:rPr>
        <w:t>/</w:t>
      </w:r>
      <w:bookmarkEnd w:id="18"/>
      <w:r>
        <w:rPr>
          <w:rFonts w:hint="eastAsia" w:ascii="宋体" w:hAnsi="宋体" w:cs="宋体"/>
          <w:color w:val="auto"/>
          <w:szCs w:val="21"/>
          <w:highlight w:val="none"/>
          <w:u w:val="single"/>
        </w:rPr>
        <w:t>义乌市望道路300号政务服务中心四楼电子开标室</w:t>
      </w:r>
      <w:r>
        <w:rPr>
          <w:rFonts w:hint="eastAsia" w:ascii="宋体" w:hAnsi="宋体" w:cs="宋体"/>
          <w:color w:val="auto"/>
          <w:szCs w:val="21"/>
          <w:highlight w:val="none"/>
        </w:rPr>
        <w:t>。</w:t>
      </w:r>
    </w:p>
    <w:p w14:paraId="5A6E0514">
      <w:pPr>
        <w:shd w:val="clea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开标时间后1小时内（</w:t>
      </w:r>
      <w:r>
        <w:rPr>
          <w:rFonts w:hint="eastAsia" w:ascii="宋体" w:hAnsi="宋体" w:cs="宋体"/>
          <w:b/>
          <w:color w:val="auto"/>
          <w:szCs w:val="21"/>
          <w:highlight w:val="none"/>
          <w:lang w:eastAsia="zh-CN"/>
        </w:rPr>
        <w:t>2026年4月29日15:00</w:t>
      </w:r>
      <w:r>
        <w:rPr>
          <w:rFonts w:hint="eastAsia" w:ascii="宋体" w:hAnsi="宋体" w:cs="宋体"/>
          <w:b/>
          <w:color w:val="auto"/>
          <w:szCs w:val="21"/>
          <w:highlight w:val="none"/>
        </w:rPr>
        <w:t>前）投标人可以登录“政采云”平台，用“项目采购－开标评标”功能进行解密投标文件</w:t>
      </w:r>
      <w:r>
        <w:rPr>
          <w:rFonts w:hint="eastAsia" w:ascii="宋体" w:hAnsi="宋体" w:cs="宋体"/>
          <w:color w:val="auto"/>
          <w:szCs w:val="21"/>
          <w:highlight w:val="none"/>
        </w:rPr>
        <w:t>。</w:t>
      </w:r>
    </w:p>
    <w:p w14:paraId="1AABE987">
      <w:pPr>
        <w:pStyle w:val="13"/>
        <w:shd w:val="clear"/>
        <w:wordWrap w:val="0"/>
        <w:adjustRightInd w:val="0"/>
        <w:spacing w:before="0" w:beforeLines="0" w:after="0" w:afterLines="0" w:line="4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备注：为确保采购项目顺利实施，避免因政采云上电子投标文件解密失败导致投标人投标无效，投标人可在</w:t>
      </w:r>
      <w:r>
        <w:rPr>
          <w:rFonts w:hint="eastAsia" w:hAnsi="宋体" w:cs="宋体"/>
          <w:color w:val="auto"/>
          <w:sz w:val="21"/>
          <w:szCs w:val="21"/>
          <w:highlight w:val="none"/>
          <w:lang w:eastAsia="zh-CN"/>
        </w:rPr>
        <w:t>2026年4月29日14:00:00</w:t>
      </w:r>
      <w:r>
        <w:rPr>
          <w:rFonts w:hint="eastAsia" w:hAnsi="宋体" w:cs="宋体"/>
          <w:color w:val="auto"/>
          <w:sz w:val="21"/>
          <w:szCs w:val="21"/>
          <w:highlight w:val="none"/>
        </w:rPr>
        <w:t>（北京时间）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人自行保管，如政采云上电子投标文件出现解密失败情况（开标当日09:30-</w:t>
      </w:r>
      <w:r>
        <w:rPr>
          <w:rFonts w:hint="eastAsia" w:hAnsi="宋体" w:cs="宋体"/>
          <w:color w:val="auto"/>
          <w:sz w:val="21"/>
          <w:szCs w:val="21"/>
          <w:highlight w:val="none"/>
          <w:lang w:eastAsia="zh-CN"/>
        </w:rPr>
        <w:t>15:00</w:t>
      </w:r>
      <w:r>
        <w:rPr>
          <w:rFonts w:hint="eastAsia" w:hAnsi="宋体" w:cs="宋体"/>
          <w:color w:val="auto"/>
          <w:sz w:val="21"/>
          <w:szCs w:val="21"/>
          <w:highlight w:val="none"/>
        </w:rPr>
        <w:t>期间进行解密），投标人可按照自身意愿确认是否同意提供加密密码解密传送至浙江求是招标代理有限公司邮箱（qszbyw@qszb.net）的备份文件，并以备份文件作为替代电子投标文件，如投标人未按照规定时间（</w:t>
      </w:r>
      <w:r>
        <w:rPr>
          <w:rFonts w:hint="eastAsia" w:hAnsi="宋体" w:cs="宋体"/>
          <w:color w:val="auto"/>
          <w:sz w:val="21"/>
          <w:szCs w:val="21"/>
          <w:highlight w:val="none"/>
          <w:lang w:eastAsia="zh-CN"/>
        </w:rPr>
        <w:t>2026年4月29日14:00:00</w:t>
      </w:r>
      <w:r>
        <w:rPr>
          <w:rFonts w:hint="eastAsia" w:hAnsi="宋体" w:cs="宋体"/>
          <w:color w:val="auto"/>
          <w:sz w:val="21"/>
          <w:szCs w:val="21"/>
          <w:highlight w:val="none"/>
        </w:rPr>
        <w:t>（北京时间）前）及要求提供有效备份文件，同时政采云上投标文件解密失败的，将导致投标无效。</w:t>
      </w:r>
    </w:p>
    <w:p w14:paraId="59C822B6">
      <w:pPr>
        <w:pStyle w:val="13"/>
        <w:shd w:val="clear"/>
        <w:wordWrap w:val="0"/>
        <w:adjustRightInd w:val="0"/>
        <w:spacing w:before="0" w:beforeLines="0" w:after="0" w:afterLines="0" w:line="400" w:lineRule="exact"/>
        <w:ind w:firstLine="420" w:firstLineChars="200"/>
        <w:rPr>
          <w:rFonts w:hint="eastAsia" w:hAnsi="宋体" w:cs="宋体"/>
          <w:color w:val="auto"/>
          <w:szCs w:val="21"/>
          <w:highlight w:val="none"/>
        </w:rPr>
      </w:pPr>
      <w:r>
        <w:rPr>
          <w:rFonts w:hint="eastAsia" w:hAnsi="宋体" w:cs="宋体"/>
          <w:color w:val="auto"/>
          <w:sz w:val="21"/>
          <w:szCs w:val="21"/>
          <w:highlight w:val="none"/>
        </w:rPr>
        <w:t>投标人无需在开标当天到达开标现场对电子投标文件进行解密。</w:t>
      </w:r>
    </w:p>
    <w:bookmarkEnd w:id="17"/>
    <w:p w14:paraId="418A36C5">
      <w:pPr>
        <w:shd w:val="clear"/>
        <w:wordWrap w:val="0"/>
        <w:adjustRightInd w:val="0"/>
        <w:snapToGrid w:val="0"/>
        <w:spacing w:line="400" w:lineRule="exact"/>
        <w:rPr>
          <w:rFonts w:hint="eastAsia" w:ascii="宋体" w:hAnsi="宋体" w:cs="宋体"/>
          <w:b/>
          <w:color w:val="auto"/>
          <w:szCs w:val="21"/>
          <w:highlight w:val="none"/>
        </w:rPr>
      </w:pPr>
      <w:bookmarkStart w:id="19" w:name="_Toc28359007"/>
      <w:bookmarkStart w:id="20" w:name="_Toc35393794"/>
      <w:bookmarkStart w:id="21" w:name="_Toc35393625"/>
      <w:bookmarkStart w:id="22" w:name="_Toc28359084"/>
      <w:r>
        <w:rPr>
          <w:rFonts w:hint="eastAsia" w:ascii="宋体" w:hAnsi="宋体" w:cs="宋体"/>
          <w:b/>
          <w:color w:val="auto"/>
          <w:szCs w:val="21"/>
          <w:highlight w:val="none"/>
        </w:rPr>
        <w:t>五、公告期限</w:t>
      </w:r>
      <w:bookmarkEnd w:id="19"/>
      <w:bookmarkEnd w:id="20"/>
      <w:bookmarkEnd w:id="21"/>
      <w:bookmarkEnd w:id="22"/>
    </w:p>
    <w:p w14:paraId="3C78BEBD">
      <w:pPr>
        <w:shd w:val="clear"/>
        <w:wordWrap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56930FC">
      <w:pPr>
        <w:shd w:val="clear"/>
        <w:wordWrap w:val="0"/>
        <w:adjustRightInd w:val="0"/>
        <w:snapToGrid w:val="0"/>
        <w:spacing w:line="400" w:lineRule="exact"/>
        <w:rPr>
          <w:rFonts w:hint="eastAsia" w:ascii="宋体" w:hAnsi="宋体" w:cs="宋体"/>
          <w:b/>
          <w:color w:val="auto"/>
          <w:szCs w:val="21"/>
          <w:highlight w:val="none"/>
        </w:rPr>
      </w:pPr>
      <w:bookmarkStart w:id="23" w:name="_Toc35393795"/>
      <w:bookmarkStart w:id="24" w:name="_Toc35393626"/>
      <w:r>
        <w:rPr>
          <w:rFonts w:hint="eastAsia" w:ascii="宋体" w:hAnsi="宋体" w:cs="宋体"/>
          <w:b/>
          <w:color w:val="auto"/>
          <w:szCs w:val="21"/>
          <w:highlight w:val="none"/>
        </w:rPr>
        <w:t>六、其他补充事宜</w:t>
      </w:r>
      <w:bookmarkEnd w:id="23"/>
      <w:bookmarkEnd w:id="24"/>
    </w:p>
    <w:p w14:paraId="691D8942">
      <w:pPr>
        <w:shd w:val="clear"/>
        <w:wordWrap w:val="0"/>
        <w:adjustRightInd w:val="0"/>
        <w:snapToGrid w:val="0"/>
        <w:spacing w:line="400" w:lineRule="exact"/>
        <w:ind w:firstLine="420" w:firstLineChars="200"/>
        <w:rPr>
          <w:rFonts w:hint="eastAsia" w:ascii="宋体" w:hAnsi="宋体" w:cs="宋体"/>
          <w:color w:val="auto"/>
          <w:szCs w:val="21"/>
          <w:highlight w:val="none"/>
        </w:rPr>
      </w:pPr>
      <w:bookmarkStart w:id="25" w:name="_Hlk92271231"/>
      <w:r>
        <w:rPr>
          <w:rFonts w:hint="eastAsia" w:ascii="宋体" w:hAnsi="宋体" w:cs="宋体"/>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CC29709">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1F6D27D4">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FF955D6">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4.投标与开标注意事项：</w:t>
      </w:r>
    </w:p>
    <w:p w14:paraId="4A2EC6C2">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①本项目实行网上投标，获取文件后投标人即可参投，投标人在投标截止时间之前上传电子投标文件。投标人参与投标，需自行承担投标一切费用。</w:t>
      </w:r>
    </w:p>
    <w:p w14:paraId="4C3A8C32">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标前准备：各投标人应在开标前确保成为浙江政府采购网正式注册入库投标人，并完成CA数字证书办理。【办理流程详见电子投标工具链接，（目前“政采云”平台仅支持浙江汇信或天谷CA锁，个体工商户投标仅支持浙江汇信CA锁），申领操作流程】。因未注册入库、未办理CA数字证书等原因造成无法投标或投标失败等后果由投标人自行承担。</w:t>
      </w:r>
    </w:p>
    <w:p w14:paraId="0E508A3A">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文件制作：投标人通过“政采云”平台电子投标工具制作投标文件，电子投标工具请投标人自行前往浙江政府采购网下载并安装，投标文件制作具体流程详见“政采云投标人项目采购－电子招投标操作指南”（请投标人登录政采云平台政府采购电子卖场后，点击链https://service.zcygov.cn/#/knowledges/CW1EtGwBFdiHxlNd6I3m/6IMVAG0BFdiHxlNdQ8Na）以获取最新操作指南。</w:t>
      </w:r>
    </w:p>
    <w:p w14:paraId="664D069F">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5.其他事项：</w:t>
      </w:r>
      <w:bookmarkStart w:id="26" w:name="_Hlk92271331"/>
    </w:p>
    <w:p w14:paraId="2CF7E875">
      <w:pPr>
        <w:shd w:val="clear"/>
        <w:wordWrap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需要落实的政府采购政策：包括促进中小企业发展等。详见招标文件的第三章－采购项目需要落实的政府采购政策。</w:t>
      </w:r>
    </w:p>
    <w:bookmarkEnd w:id="25"/>
    <w:bookmarkEnd w:id="26"/>
    <w:p w14:paraId="451FADF3">
      <w:pPr>
        <w:shd w:val="clear"/>
        <w:wordWrap w:val="0"/>
        <w:adjustRightInd w:val="0"/>
        <w:snapToGrid w:val="0"/>
        <w:spacing w:line="400" w:lineRule="exact"/>
        <w:rPr>
          <w:rFonts w:hint="eastAsia" w:ascii="宋体" w:hAnsi="宋体" w:cs="宋体"/>
          <w:b/>
          <w:color w:val="auto"/>
          <w:szCs w:val="21"/>
          <w:highlight w:val="none"/>
        </w:rPr>
      </w:pPr>
      <w:bookmarkStart w:id="27" w:name="_Toc28359085"/>
      <w:bookmarkStart w:id="28" w:name="_Toc35393796"/>
      <w:bookmarkStart w:id="29" w:name="_Toc28359008"/>
      <w:bookmarkStart w:id="30" w:name="_Toc35393627"/>
      <w:r>
        <w:rPr>
          <w:rFonts w:hint="eastAsia" w:ascii="宋体" w:hAnsi="宋体" w:cs="宋体"/>
          <w:b/>
          <w:color w:val="auto"/>
          <w:szCs w:val="21"/>
          <w:highlight w:val="none"/>
        </w:rPr>
        <w:t>七、对本次招标提出询问、质疑、投诉请按以下方式联系</w:t>
      </w:r>
      <w:bookmarkEnd w:id="27"/>
      <w:bookmarkEnd w:id="28"/>
      <w:bookmarkEnd w:id="29"/>
      <w:bookmarkEnd w:id="30"/>
    </w:p>
    <w:p w14:paraId="173F5946">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38DE5923">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名称：浙江大学医学院附属第四医院</w:t>
      </w:r>
    </w:p>
    <w:p w14:paraId="4F242FA6">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地址：浙江省义乌市商城大道N1号</w:t>
      </w:r>
    </w:p>
    <w:p w14:paraId="7F5FA53F">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传真：/</w:t>
      </w:r>
    </w:p>
    <w:p w14:paraId="4E268C47">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项目联系人（询问）：许老师</w:t>
      </w:r>
    </w:p>
    <w:p w14:paraId="3598AD36">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项目联系方式（询问）：0579-89935114</w:t>
      </w:r>
    </w:p>
    <w:p w14:paraId="42EA5ECC">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质疑联系人：汤国平</w:t>
      </w:r>
    </w:p>
    <w:p w14:paraId="29009363">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质疑联系方式：0579-89935173</w:t>
      </w:r>
    </w:p>
    <w:p w14:paraId="20FB99B8">
      <w:pPr>
        <w:shd w:val="clear"/>
        <w:wordWrap w:val="0"/>
        <w:adjustRightInd w:val="0"/>
        <w:snapToGrid w:val="0"/>
        <w:spacing w:line="400" w:lineRule="exact"/>
        <w:ind w:firstLine="424" w:firstLineChars="202"/>
        <w:rPr>
          <w:rFonts w:hint="eastAsia" w:ascii="宋体" w:hAnsi="宋体" w:cs="宋体"/>
          <w:color w:val="auto"/>
          <w:szCs w:val="21"/>
          <w:highlight w:val="none"/>
        </w:rPr>
      </w:pPr>
    </w:p>
    <w:p w14:paraId="0C08E8C4">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35FEBB5">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名称：浙江求是招标代理有限公司</w:t>
      </w:r>
    </w:p>
    <w:p w14:paraId="431C9934">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地址：杭州市西湖区玉古路173号中田大厦21楼</w:t>
      </w:r>
    </w:p>
    <w:p w14:paraId="027E7C11">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传真：/</w:t>
      </w:r>
    </w:p>
    <w:p w14:paraId="49CEDCBF">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项目联系人（询问）：李港辉、陆卿亮、方美玲</w:t>
      </w:r>
    </w:p>
    <w:p w14:paraId="3A9AD533">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项目联系方式（询问）：0579-85872866</w:t>
      </w:r>
    </w:p>
    <w:p w14:paraId="72297B42">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质疑联系人：周安琪</w:t>
      </w:r>
    </w:p>
    <w:p w14:paraId="08D70153">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质疑联系方式：0571-81110356</w:t>
      </w:r>
    </w:p>
    <w:p w14:paraId="261E2F79">
      <w:pPr>
        <w:shd w:val="clear"/>
        <w:wordWrap w:val="0"/>
        <w:adjustRightInd w:val="0"/>
        <w:snapToGrid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质疑邮箱：jdkh@qszb.net</w:t>
      </w:r>
    </w:p>
    <w:p w14:paraId="6F462A10">
      <w:pPr>
        <w:shd w:val="clear"/>
        <w:wordWrap w:val="0"/>
        <w:adjustRightInd w:val="0"/>
        <w:snapToGrid w:val="0"/>
        <w:spacing w:line="400" w:lineRule="exact"/>
        <w:ind w:firstLine="424" w:firstLineChars="202"/>
        <w:rPr>
          <w:rFonts w:hint="eastAsia" w:ascii="宋体" w:hAnsi="宋体" w:cs="宋体"/>
          <w:color w:val="auto"/>
          <w:szCs w:val="21"/>
          <w:highlight w:val="none"/>
        </w:rPr>
      </w:pPr>
      <w:bookmarkStart w:id="31" w:name="_Hlk124147873"/>
    </w:p>
    <w:p w14:paraId="3BF8467F">
      <w:pPr>
        <w:shd w:val="clear"/>
        <w:wordWrap w:val="0"/>
        <w:adjustRightInd w:val="0"/>
        <w:snapToGrid w:val="0"/>
        <w:spacing w:line="400" w:lineRule="exact"/>
        <w:ind w:firstLine="425" w:firstLineChars="215"/>
        <w:rPr>
          <w:rFonts w:hint="eastAsia" w:ascii="宋体" w:hAnsi="宋体" w:cs="宋体"/>
          <w:color w:val="auto"/>
          <w:spacing w:val="-6"/>
          <w:szCs w:val="21"/>
          <w:highlight w:val="none"/>
        </w:rPr>
      </w:pPr>
      <w:r>
        <w:rPr>
          <w:rFonts w:hint="eastAsia" w:ascii="宋体" w:hAnsi="宋体" w:cs="宋体"/>
          <w:color w:val="auto"/>
          <w:spacing w:val="-6"/>
          <w:szCs w:val="21"/>
          <w:highlight w:val="none"/>
        </w:rPr>
        <w:t>3.同级政府采购监督管理部门</w:t>
      </w:r>
    </w:p>
    <w:p w14:paraId="6756A6AE">
      <w:pPr>
        <w:shd w:val="clear"/>
        <w:wordWrap w:val="0"/>
        <w:adjustRightInd w:val="0"/>
        <w:snapToGrid w:val="0"/>
        <w:spacing w:line="400" w:lineRule="exact"/>
        <w:ind w:firstLine="425" w:firstLineChars="215"/>
        <w:rPr>
          <w:rFonts w:hint="eastAsia" w:ascii="宋体" w:hAnsi="宋体" w:cs="宋体"/>
          <w:color w:val="auto"/>
          <w:spacing w:val="-6"/>
          <w:szCs w:val="21"/>
          <w:highlight w:val="none"/>
        </w:rPr>
      </w:pPr>
      <w:r>
        <w:rPr>
          <w:rFonts w:hint="eastAsia" w:ascii="宋体" w:hAnsi="宋体" w:cs="宋体"/>
          <w:color w:val="auto"/>
          <w:spacing w:val="-6"/>
          <w:szCs w:val="21"/>
          <w:highlight w:val="none"/>
        </w:rPr>
        <w:t>名  称：义乌市财政局</w:t>
      </w:r>
    </w:p>
    <w:p w14:paraId="6DF28354">
      <w:pPr>
        <w:shd w:val="clear"/>
        <w:wordWrap w:val="0"/>
        <w:adjustRightInd w:val="0"/>
        <w:snapToGrid w:val="0"/>
        <w:spacing w:line="400" w:lineRule="exact"/>
        <w:ind w:firstLine="425" w:firstLineChars="215"/>
        <w:rPr>
          <w:rFonts w:hint="eastAsia" w:ascii="宋体" w:hAnsi="宋体" w:cs="宋体"/>
          <w:color w:val="auto"/>
          <w:spacing w:val="-6"/>
          <w:szCs w:val="21"/>
          <w:highlight w:val="none"/>
        </w:rPr>
      </w:pPr>
      <w:r>
        <w:rPr>
          <w:rFonts w:hint="eastAsia" w:ascii="宋体" w:hAnsi="宋体" w:cs="宋体"/>
          <w:color w:val="auto"/>
          <w:spacing w:val="-6"/>
          <w:szCs w:val="21"/>
          <w:highlight w:val="none"/>
        </w:rPr>
        <w:t>地  址：义乌市望道路300号4楼</w:t>
      </w:r>
    </w:p>
    <w:p w14:paraId="7DDA0C0A">
      <w:pPr>
        <w:shd w:val="clear"/>
        <w:wordWrap w:val="0"/>
        <w:adjustRightInd w:val="0"/>
        <w:snapToGrid w:val="0"/>
        <w:spacing w:line="400" w:lineRule="exact"/>
        <w:ind w:firstLine="425" w:firstLineChars="215"/>
        <w:rPr>
          <w:rFonts w:hint="default" w:ascii="宋体" w:hAnsi="宋体" w:cs="宋体"/>
          <w:color w:val="auto"/>
          <w:spacing w:val="-6"/>
          <w:szCs w:val="21"/>
          <w:highlight w:val="none"/>
          <w:lang w:val="en-US" w:eastAsia="zh-CN"/>
        </w:rPr>
      </w:pPr>
      <w:r>
        <w:rPr>
          <w:rFonts w:hint="eastAsia" w:ascii="宋体" w:hAnsi="宋体" w:cs="宋体"/>
          <w:color w:val="auto"/>
          <w:spacing w:val="-6"/>
          <w:szCs w:val="21"/>
          <w:highlight w:val="none"/>
        </w:rPr>
        <w:t>联系人 ：</w:t>
      </w:r>
      <w:r>
        <w:rPr>
          <w:rFonts w:hint="eastAsia" w:ascii="宋体" w:hAnsi="宋体" w:cs="宋体"/>
          <w:color w:val="auto"/>
          <w:spacing w:val="-6"/>
          <w:szCs w:val="21"/>
          <w:highlight w:val="none"/>
          <w:lang w:val="en-US" w:eastAsia="zh-CN"/>
        </w:rPr>
        <w:t>郭先生</w:t>
      </w:r>
    </w:p>
    <w:p w14:paraId="1B2DB484">
      <w:pPr>
        <w:shd w:val="clear"/>
        <w:wordWrap w:val="0"/>
        <w:adjustRightInd w:val="0"/>
        <w:snapToGrid w:val="0"/>
        <w:spacing w:line="400" w:lineRule="exact"/>
        <w:ind w:firstLine="425" w:firstLineChars="215"/>
        <w:rPr>
          <w:rFonts w:hint="default" w:ascii="宋体" w:hAnsi="宋体" w:cs="宋体"/>
          <w:color w:val="auto"/>
          <w:spacing w:val="-6"/>
          <w:szCs w:val="21"/>
          <w:highlight w:val="none"/>
          <w:lang w:val="en-US" w:eastAsia="zh-CN"/>
        </w:rPr>
      </w:pPr>
      <w:r>
        <w:rPr>
          <w:rFonts w:hint="eastAsia" w:ascii="宋体" w:hAnsi="宋体" w:cs="宋体"/>
          <w:color w:val="auto"/>
          <w:spacing w:val="-6"/>
          <w:szCs w:val="21"/>
          <w:highlight w:val="none"/>
        </w:rPr>
        <w:t>监督投诉电话：0579-899150</w:t>
      </w:r>
      <w:bookmarkEnd w:id="31"/>
      <w:r>
        <w:rPr>
          <w:rFonts w:hint="eastAsia" w:ascii="宋体" w:hAnsi="宋体" w:cs="宋体"/>
          <w:color w:val="auto"/>
          <w:spacing w:val="-6"/>
          <w:szCs w:val="21"/>
          <w:highlight w:val="none"/>
          <w:lang w:val="en-US" w:eastAsia="zh-CN"/>
        </w:rPr>
        <w:t>58</w:t>
      </w:r>
    </w:p>
    <w:p w14:paraId="49D33F1E">
      <w:pPr>
        <w:shd w:val="clear"/>
        <w:wordWrap w:val="0"/>
        <w:adjustRightInd w:val="0"/>
        <w:snapToGrid w:val="0"/>
        <w:spacing w:line="288" w:lineRule="auto"/>
        <w:jc w:val="center"/>
        <w:outlineLvl w:val="0"/>
        <w:rPr>
          <w:rFonts w:hint="eastAsia"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第二章  投标人须知</w:t>
      </w:r>
    </w:p>
    <w:p w14:paraId="1B46D9DF">
      <w:pPr>
        <w:shd w:val="clear"/>
        <w:wordWrap w:val="0"/>
        <w:adjustRightInd w:val="0"/>
        <w:snapToGrid w:val="0"/>
        <w:spacing w:line="288" w:lineRule="auto"/>
        <w:ind w:left="238"/>
        <w:jc w:val="center"/>
        <w:outlineLvl w:val="1"/>
        <w:rPr>
          <w:rFonts w:hint="eastAsia" w:ascii="宋体" w:hAnsi="宋体" w:cs="宋体"/>
          <w:b/>
          <w:color w:val="auto"/>
          <w:szCs w:val="21"/>
          <w:highlight w:val="none"/>
        </w:rPr>
      </w:pPr>
      <w:r>
        <w:rPr>
          <w:rFonts w:hint="eastAsia" w:ascii="宋体" w:hAnsi="宋体" w:cs="宋体"/>
          <w:b/>
          <w:color w:val="auto"/>
          <w:szCs w:val="21"/>
          <w:highlight w:val="none"/>
        </w:rPr>
        <w:t>投标人须知前附表</w:t>
      </w:r>
    </w:p>
    <w:tbl>
      <w:tblPr>
        <w:tblStyle w:val="2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68"/>
        <w:gridCol w:w="7662"/>
      </w:tblGrid>
      <w:tr w14:paraId="0BEC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2C2BB1D">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vAlign w:val="center"/>
          </w:tcPr>
          <w:p w14:paraId="3EC76E95">
            <w:pPr>
              <w:shd w:val="clear"/>
              <w:jc w:val="center"/>
              <w:rPr>
                <w:rFonts w:hint="eastAsia" w:ascii="宋体" w:hAnsi="宋体" w:cs="宋体"/>
                <w:b/>
                <w:color w:val="auto"/>
                <w:szCs w:val="21"/>
                <w:highlight w:val="none"/>
              </w:rPr>
            </w:pPr>
            <w:r>
              <w:rPr>
                <w:rFonts w:hint="eastAsia" w:ascii="宋体" w:hAnsi="宋体" w:cs="宋体"/>
                <w:b/>
                <w:color w:val="auto"/>
                <w:szCs w:val="21"/>
                <w:highlight w:val="none"/>
              </w:rPr>
              <w:t>内容规定</w:t>
            </w:r>
          </w:p>
        </w:tc>
      </w:tr>
      <w:tr w14:paraId="39E2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282AE5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68" w:type="dxa"/>
            <w:tcBorders>
              <w:top w:val="single" w:color="auto" w:sz="4" w:space="0"/>
              <w:left w:val="single" w:color="auto" w:sz="4" w:space="0"/>
              <w:bottom w:val="single" w:color="auto" w:sz="4" w:space="0"/>
              <w:right w:val="single" w:color="auto" w:sz="4" w:space="0"/>
            </w:tcBorders>
            <w:vAlign w:val="center"/>
          </w:tcPr>
          <w:p w14:paraId="407A1EA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662" w:type="dxa"/>
            <w:tcBorders>
              <w:top w:val="single" w:color="auto" w:sz="4" w:space="0"/>
              <w:left w:val="single" w:color="auto" w:sz="4" w:space="0"/>
              <w:bottom w:val="single" w:color="auto" w:sz="4" w:space="0"/>
              <w:right w:val="single" w:color="auto" w:sz="4" w:space="0"/>
            </w:tcBorders>
            <w:vAlign w:val="center"/>
          </w:tcPr>
          <w:p w14:paraId="6B04FC05">
            <w:pPr>
              <w:shd w:val="clear"/>
              <w:rPr>
                <w:rFonts w:hint="eastAsia" w:ascii="宋体" w:hAnsi="宋体" w:cs="宋体"/>
                <w:color w:val="auto"/>
                <w:szCs w:val="21"/>
                <w:highlight w:val="none"/>
              </w:rPr>
            </w:pPr>
            <w:r>
              <w:rPr>
                <w:rFonts w:hint="eastAsia" w:ascii="宋体" w:hAnsi="宋体" w:cs="宋体"/>
                <w:color w:val="auto"/>
                <w:szCs w:val="21"/>
                <w:highlight w:val="none"/>
              </w:rPr>
              <w:t>基于医学大模型的临床智能预警监测平台</w:t>
            </w:r>
          </w:p>
        </w:tc>
      </w:tr>
      <w:tr w14:paraId="7A09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4D9217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68" w:type="dxa"/>
            <w:tcBorders>
              <w:top w:val="single" w:color="auto" w:sz="4" w:space="0"/>
              <w:left w:val="single" w:color="auto" w:sz="4" w:space="0"/>
              <w:bottom w:val="single" w:color="auto" w:sz="4" w:space="0"/>
              <w:right w:val="single" w:color="auto" w:sz="4" w:space="0"/>
            </w:tcBorders>
            <w:vAlign w:val="center"/>
          </w:tcPr>
          <w:p w14:paraId="10D8B9D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招标方式</w:t>
            </w:r>
          </w:p>
        </w:tc>
        <w:tc>
          <w:tcPr>
            <w:tcW w:w="7662" w:type="dxa"/>
            <w:tcBorders>
              <w:top w:val="single" w:color="auto" w:sz="4" w:space="0"/>
              <w:left w:val="single" w:color="auto" w:sz="4" w:space="0"/>
              <w:bottom w:val="single" w:color="auto" w:sz="4" w:space="0"/>
              <w:right w:val="single" w:color="auto" w:sz="4" w:space="0"/>
            </w:tcBorders>
            <w:vAlign w:val="center"/>
          </w:tcPr>
          <w:p w14:paraId="73594E1F">
            <w:pPr>
              <w:shd w:val="clear"/>
              <w:rPr>
                <w:rFonts w:hint="eastAsia" w:ascii="宋体" w:hAnsi="宋体" w:cs="宋体"/>
                <w:color w:val="auto"/>
                <w:szCs w:val="21"/>
                <w:highlight w:val="none"/>
              </w:rPr>
            </w:pPr>
            <w:r>
              <w:rPr>
                <w:rFonts w:hint="eastAsia" w:ascii="宋体" w:hAnsi="宋体" w:cs="宋体"/>
                <w:color w:val="auto"/>
                <w:szCs w:val="21"/>
                <w:highlight w:val="none"/>
              </w:rPr>
              <w:t>公开招标</w:t>
            </w:r>
          </w:p>
        </w:tc>
      </w:tr>
      <w:tr w14:paraId="3F10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679487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68" w:type="dxa"/>
            <w:tcBorders>
              <w:top w:val="single" w:color="auto" w:sz="4" w:space="0"/>
              <w:left w:val="single" w:color="auto" w:sz="4" w:space="0"/>
              <w:bottom w:val="single" w:color="auto" w:sz="4" w:space="0"/>
              <w:right w:val="single" w:color="auto" w:sz="4" w:space="0"/>
            </w:tcBorders>
            <w:vAlign w:val="center"/>
          </w:tcPr>
          <w:p w14:paraId="0914774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投标单位资格要求</w:t>
            </w:r>
          </w:p>
        </w:tc>
        <w:tc>
          <w:tcPr>
            <w:tcW w:w="7662" w:type="dxa"/>
            <w:tcBorders>
              <w:top w:val="single" w:color="auto" w:sz="4" w:space="0"/>
              <w:left w:val="single" w:color="auto" w:sz="4" w:space="0"/>
              <w:bottom w:val="single" w:color="auto" w:sz="4" w:space="0"/>
              <w:right w:val="single" w:color="auto" w:sz="4" w:space="0"/>
            </w:tcBorders>
            <w:vAlign w:val="center"/>
          </w:tcPr>
          <w:p w14:paraId="239BE975">
            <w:pPr>
              <w:shd w:val="clear"/>
              <w:jc w:val="left"/>
              <w:rPr>
                <w:rFonts w:hint="eastAsia" w:ascii="宋体" w:hAnsi="宋体" w:cs="宋体"/>
                <w:color w:val="auto"/>
                <w:szCs w:val="21"/>
                <w:highlight w:val="none"/>
              </w:rPr>
            </w:pPr>
            <w:r>
              <w:rPr>
                <w:rFonts w:hint="eastAsia" w:ascii="宋体" w:hAnsi="宋体" w:cs="宋体"/>
                <w:color w:val="auto"/>
                <w:szCs w:val="21"/>
                <w:highlight w:val="none"/>
              </w:rPr>
              <w:t>详见采购公告</w:t>
            </w:r>
          </w:p>
        </w:tc>
      </w:tr>
      <w:tr w14:paraId="0693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E1B726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68" w:type="dxa"/>
            <w:tcBorders>
              <w:top w:val="single" w:color="auto" w:sz="4" w:space="0"/>
              <w:left w:val="single" w:color="auto" w:sz="4" w:space="0"/>
              <w:bottom w:val="single" w:color="auto" w:sz="4" w:space="0"/>
              <w:right w:val="single" w:color="auto" w:sz="4" w:space="0"/>
            </w:tcBorders>
            <w:vAlign w:val="center"/>
          </w:tcPr>
          <w:p w14:paraId="0A55CE5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交付时间</w:t>
            </w:r>
          </w:p>
        </w:tc>
        <w:tc>
          <w:tcPr>
            <w:tcW w:w="7662" w:type="dxa"/>
            <w:tcBorders>
              <w:top w:val="single" w:color="auto" w:sz="4" w:space="0"/>
              <w:left w:val="single" w:color="auto" w:sz="4" w:space="0"/>
              <w:bottom w:val="single" w:color="auto" w:sz="4" w:space="0"/>
              <w:right w:val="single" w:color="auto" w:sz="4" w:space="0"/>
            </w:tcBorders>
            <w:vAlign w:val="center"/>
          </w:tcPr>
          <w:p w14:paraId="3DAFE282">
            <w:pPr>
              <w:shd w:val="clear"/>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自合同签订之日起3个月内上线试运行，试运行3个月并满足采购人要求后进行终验</w:t>
            </w:r>
            <w:r>
              <w:rPr>
                <w:rFonts w:hint="eastAsia" w:ascii="宋体" w:hAnsi="宋体" w:cs="宋体"/>
                <w:color w:val="auto"/>
                <w:szCs w:val="21"/>
                <w:highlight w:val="none"/>
              </w:rPr>
              <w:t>。</w:t>
            </w:r>
          </w:p>
        </w:tc>
      </w:tr>
      <w:tr w14:paraId="2AAB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01E5B5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68" w:type="dxa"/>
            <w:tcBorders>
              <w:top w:val="single" w:color="auto" w:sz="4" w:space="0"/>
              <w:left w:val="single" w:color="auto" w:sz="4" w:space="0"/>
              <w:bottom w:val="single" w:color="auto" w:sz="4" w:space="0"/>
              <w:right w:val="single" w:color="auto" w:sz="4" w:space="0"/>
            </w:tcBorders>
            <w:vAlign w:val="center"/>
          </w:tcPr>
          <w:p w14:paraId="2D5DFB1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招标文件获取方式</w:t>
            </w:r>
          </w:p>
        </w:tc>
        <w:tc>
          <w:tcPr>
            <w:tcW w:w="7662" w:type="dxa"/>
            <w:tcBorders>
              <w:top w:val="single" w:color="auto" w:sz="4" w:space="0"/>
              <w:left w:val="single" w:color="auto" w:sz="4" w:space="0"/>
              <w:bottom w:val="single" w:color="auto" w:sz="4" w:space="0"/>
              <w:right w:val="single" w:color="auto" w:sz="4" w:space="0"/>
            </w:tcBorders>
            <w:vAlign w:val="center"/>
          </w:tcPr>
          <w:p w14:paraId="1B31C3BC">
            <w:pPr>
              <w:shd w:val="clear"/>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kern w:val="0"/>
                <w:szCs w:val="21"/>
                <w:highlight w:val="none"/>
              </w:rPr>
              <w:t>采购公告</w:t>
            </w:r>
          </w:p>
        </w:tc>
      </w:tr>
      <w:tr w14:paraId="7A8D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C3E9C5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568" w:type="dxa"/>
            <w:tcBorders>
              <w:top w:val="single" w:color="auto" w:sz="4" w:space="0"/>
              <w:left w:val="single" w:color="auto" w:sz="4" w:space="0"/>
              <w:bottom w:val="single" w:color="auto" w:sz="4" w:space="0"/>
              <w:right w:val="single" w:color="auto" w:sz="4" w:space="0"/>
            </w:tcBorders>
            <w:vAlign w:val="center"/>
          </w:tcPr>
          <w:p w14:paraId="4A5B214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现场踏勘时间</w:t>
            </w:r>
          </w:p>
        </w:tc>
        <w:tc>
          <w:tcPr>
            <w:tcW w:w="7662" w:type="dxa"/>
            <w:tcBorders>
              <w:top w:val="single" w:color="auto" w:sz="4" w:space="0"/>
              <w:left w:val="single" w:color="auto" w:sz="4" w:space="0"/>
              <w:bottom w:val="single" w:color="auto" w:sz="4" w:space="0"/>
              <w:right w:val="single" w:color="auto" w:sz="4" w:space="0"/>
            </w:tcBorders>
            <w:vAlign w:val="center"/>
          </w:tcPr>
          <w:p w14:paraId="3ED74DB6">
            <w:pPr>
              <w:shd w:val="clear"/>
              <w:rPr>
                <w:rFonts w:hint="eastAsia" w:ascii="宋体" w:hAnsi="宋体" w:cs="宋体"/>
                <w:color w:val="auto"/>
                <w:szCs w:val="21"/>
                <w:highlight w:val="none"/>
              </w:rPr>
            </w:pPr>
            <w:r>
              <w:rPr>
                <w:rFonts w:hint="eastAsia" w:ascii="宋体" w:hAnsi="宋体" w:cs="宋体"/>
                <w:color w:val="auto"/>
                <w:szCs w:val="21"/>
                <w:highlight w:val="none"/>
              </w:rPr>
              <w:t>采购方不统一组织投标人前往项目实施场地踏勘，根据项目实际投标需求，投标人可自行前往项目实施场地进行现场踏勘，以获取编制投标文件所需资料，如投标人因未现场踏勘原因导致投标文件出现错误或遗漏的，由投标人自行承担责任。</w:t>
            </w:r>
          </w:p>
        </w:tc>
      </w:tr>
      <w:tr w14:paraId="0165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4F3306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568" w:type="dxa"/>
            <w:tcBorders>
              <w:top w:val="single" w:color="auto" w:sz="4" w:space="0"/>
              <w:left w:val="single" w:color="auto" w:sz="4" w:space="0"/>
              <w:bottom w:val="single" w:color="auto" w:sz="4" w:space="0"/>
              <w:right w:val="single" w:color="auto" w:sz="4" w:space="0"/>
            </w:tcBorders>
            <w:vAlign w:val="center"/>
          </w:tcPr>
          <w:p w14:paraId="496344F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招标答疑截止时间</w:t>
            </w:r>
          </w:p>
        </w:tc>
        <w:tc>
          <w:tcPr>
            <w:tcW w:w="7662" w:type="dxa"/>
            <w:tcBorders>
              <w:top w:val="single" w:color="auto" w:sz="4" w:space="0"/>
              <w:left w:val="single" w:color="auto" w:sz="4" w:space="0"/>
              <w:bottom w:val="single" w:color="auto" w:sz="4" w:space="0"/>
              <w:right w:val="single" w:color="auto" w:sz="4" w:space="0"/>
            </w:tcBorders>
            <w:vAlign w:val="center"/>
          </w:tcPr>
          <w:p w14:paraId="4127C118">
            <w:pPr>
              <w:shd w:val="clear"/>
              <w:rPr>
                <w:rFonts w:hint="eastAsia" w:ascii="宋体" w:hAnsi="宋体" w:cs="宋体"/>
                <w:color w:val="auto"/>
                <w:szCs w:val="21"/>
                <w:highlight w:val="none"/>
              </w:rPr>
            </w:pPr>
            <w:r>
              <w:rPr>
                <w:rFonts w:hint="eastAsia" w:ascii="宋体" w:hAnsi="宋体" w:cs="宋体"/>
                <w:color w:val="auto"/>
                <w:szCs w:val="21"/>
                <w:highlight w:val="none"/>
              </w:rPr>
              <w:t>答疑与澄清：投标人如认为招标文件表述不清晰、存在歧视性、排他性或者其他违法内容的，可以自收到采购文件之日（采购文件获取截止日之后收到采购文件的，以采购文件获取截止日为准）或者采购文件公告期限届满之日（为本公告发布后的第6个工作日）起7个工作日内，以书面递交或传真形式要求招标方作出书面解释、澄清或者向招标方提出书面质疑；本项目不组织答疑会；招标方的答疑内容和书面澄清（更正）文件是招标文件的组成部分，无论是招标方根据需要主动对招标文件进行必要澄清（更正），或是根据投标人的要求对招标文件做出澄清（更正），招标方的答疑内容（招标文件内容如有需要修改的）和澄清（更正）文件均会在浙江政府采购网( http://zfcg.czt.zj.gov.cn/ ）上统一以公告的形式发布，投标人在投标截止时间前应充分关注该网上发布的信息，如因投标人未及时关注网上发布的信息而导致的一切投标后果由投标人自行承担。</w:t>
            </w:r>
          </w:p>
        </w:tc>
      </w:tr>
      <w:tr w14:paraId="65DC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83A975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568" w:type="dxa"/>
            <w:tcBorders>
              <w:top w:val="single" w:color="auto" w:sz="4" w:space="0"/>
              <w:left w:val="single" w:color="auto" w:sz="4" w:space="0"/>
              <w:bottom w:val="single" w:color="auto" w:sz="4" w:space="0"/>
              <w:right w:val="single" w:color="auto" w:sz="4" w:space="0"/>
            </w:tcBorders>
            <w:vAlign w:val="center"/>
          </w:tcPr>
          <w:p w14:paraId="2DB2604B">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7662" w:type="dxa"/>
            <w:tcBorders>
              <w:top w:val="single" w:color="auto" w:sz="4" w:space="0"/>
              <w:left w:val="single" w:color="auto" w:sz="4" w:space="0"/>
              <w:bottom w:val="single" w:color="auto" w:sz="4" w:space="0"/>
              <w:right w:val="single" w:color="auto" w:sz="4" w:space="0"/>
            </w:tcBorders>
            <w:vAlign w:val="center"/>
          </w:tcPr>
          <w:p w14:paraId="367D573E">
            <w:pPr>
              <w:shd w:val="clear"/>
              <w:rPr>
                <w:rFonts w:hint="eastAsia" w:ascii="宋体" w:hAnsi="宋体" w:cs="宋体"/>
                <w:color w:val="auto"/>
                <w:szCs w:val="21"/>
                <w:highlight w:val="none"/>
              </w:rPr>
            </w:pPr>
            <w:r>
              <w:rPr>
                <w:rFonts w:hint="eastAsia" w:ascii="宋体" w:hAnsi="宋体" w:cs="宋体"/>
                <w:color w:val="auto"/>
                <w:szCs w:val="21"/>
                <w:highlight w:val="none"/>
              </w:rPr>
              <w:t>本项目接受联合体投标，但联合体单位不得超过两家。</w:t>
            </w:r>
          </w:p>
        </w:tc>
      </w:tr>
      <w:tr w14:paraId="1D2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A7F51D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568" w:type="dxa"/>
            <w:tcBorders>
              <w:top w:val="single" w:color="auto" w:sz="4" w:space="0"/>
              <w:left w:val="single" w:color="auto" w:sz="4" w:space="0"/>
              <w:bottom w:val="single" w:color="auto" w:sz="4" w:space="0"/>
              <w:right w:val="single" w:color="auto" w:sz="4" w:space="0"/>
            </w:tcBorders>
            <w:vAlign w:val="center"/>
          </w:tcPr>
          <w:p w14:paraId="2200AF2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方案讲解演示</w:t>
            </w:r>
          </w:p>
        </w:tc>
        <w:tc>
          <w:tcPr>
            <w:tcW w:w="7662" w:type="dxa"/>
            <w:tcBorders>
              <w:top w:val="single" w:color="auto" w:sz="4" w:space="0"/>
              <w:left w:val="single" w:color="auto" w:sz="4" w:space="0"/>
              <w:bottom w:val="single" w:color="auto" w:sz="4" w:space="0"/>
              <w:right w:val="single" w:color="auto" w:sz="4" w:space="0"/>
            </w:tcBorders>
            <w:vAlign w:val="center"/>
          </w:tcPr>
          <w:p w14:paraId="06A36C9C">
            <w:pPr>
              <w:shd w:val="clear"/>
              <w:rPr>
                <w:rFonts w:hint="eastAsia" w:ascii="宋体" w:hAnsi="宋体" w:cs="宋体"/>
                <w:b/>
                <w:bCs/>
                <w:color w:val="auto"/>
                <w:szCs w:val="21"/>
                <w:highlight w:val="none"/>
              </w:rPr>
            </w:pPr>
            <w:r>
              <w:rPr>
                <w:rFonts w:hint="eastAsia" w:ascii="宋体" w:hAnsi="宋体" w:cs="宋体"/>
                <w:b/>
                <w:bCs/>
                <w:color w:val="auto"/>
                <w:szCs w:val="21"/>
                <w:highlight w:val="none"/>
              </w:rPr>
              <w:t>1.投标人需在投标文件解密成功后，进入“政采云”开标大厅，等待通知演示。“政采云”会以投标文件解密时间的先后顺序以短信的形式通知演示，每个投标人演示前的调试准备时间不超过15分钟。演示的方式通过“开标大厅”（建议选择谷歌浏览器）的屏幕共享方式进行演示，其中涉及需要安装的软件投标人应在开标前自行下载安装，确保网络、麦克风、演示环境等演示所需设备和系统正常稳定，并提前熟悉操作和使用。由评委对各投标人针对招标文件中演示部分进行评定打分。</w:t>
            </w:r>
          </w:p>
          <w:p w14:paraId="73095684">
            <w:pPr>
              <w:shd w:val="clear"/>
              <w:rPr>
                <w:rFonts w:hint="eastAsia" w:ascii="宋体" w:hAnsi="宋体" w:cs="宋体"/>
                <w:color w:val="auto"/>
                <w:szCs w:val="21"/>
                <w:highlight w:val="none"/>
              </w:rPr>
            </w:pPr>
            <w:r>
              <w:rPr>
                <w:rFonts w:hint="eastAsia" w:ascii="宋体" w:hAnsi="宋体" w:cs="宋体"/>
                <w:b/>
                <w:bCs/>
                <w:color w:val="auto"/>
                <w:szCs w:val="21"/>
                <w:highlight w:val="none"/>
              </w:rPr>
              <w:t>2.演示形式：投标人针对招标文件需要演示的内容提供连续拍摄，其拍摄过程中不存在剪切编辑情况存在，演示过程中需要语音介绍目前演示的内容是什么，演示时长不超过20分钟（不包含评标小组提问解答时间）。</w:t>
            </w:r>
          </w:p>
        </w:tc>
      </w:tr>
      <w:tr w14:paraId="755D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AFDFDA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568" w:type="dxa"/>
            <w:tcBorders>
              <w:top w:val="single" w:color="auto" w:sz="4" w:space="0"/>
              <w:left w:val="single" w:color="auto" w:sz="4" w:space="0"/>
              <w:bottom w:val="single" w:color="auto" w:sz="4" w:space="0"/>
              <w:right w:val="single" w:color="auto" w:sz="4" w:space="0"/>
            </w:tcBorders>
            <w:vAlign w:val="center"/>
          </w:tcPr>
          <w:p w14:paraId="5D77B04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7662" w:type="dxa"/>
            <w:tcBorders>
              <w:top w:val="single" w:color="auto" w:sz="4" w:space="0"/>
              <w:left w:val="single" w:color="auto" w:sz="4" w:space="0"/>
              <w:bottom w:val="single" w:color="auto" w:sz="4" w:space="0"/>
              <w:right w:val="single" w:color="auto" w:sz="4" w:space="0"/>
            </w:tcBorders>
            <w:vAlign w:val="center"/>
          </w:tcPr>
          <w:p w14:paraId="3A44FEBA">
            <w:pPr>
              <w:shd w:val="clear"/>
              <w:rPr>
                <w:rFonts w:hint="eastAsia" w:ascii="宋体" w:hAnsi="宋体" w:cs="宋体"/>
                <w:color w:val="auto"/>
                <w:szCs w:val="21"/>
                <w:highlight w:val="none"/>
              </w:rPr>
            </w:pPr>
            <w:r>
              <w:rPr>
                <w:rFonts w:hint="eastAsia" w:ascii="宋体" w:hAnsi="宋体" w:cs="宋体"/>
                <w:color w:val="auto"/>
                <w:szCs w:val="21"/>
                <w:highlight w:val="none"/>
              </w:rPr>
              <w:t>自开标之日起</w:t>
            </w:r>
            <w:r>
              <w:rPr>
                <w:rFonts w:hint="eastAsia" w:ascii="宋体" w:hAnsi="宋体" w:cs="宋体"/>
                <w:b/>
                <w:bCs/>
                <w:color w:val="auto"/>
                <w:szCs w:val="21"/>
                <w:highlight w:val="none"/>
              </w:rPr>
              <w:t>90天</w:t>
            </w:r>
            <w:r>
              <w:rPr>
                <w:rFonts w:hint="eastAsia" w:ascii="宋体" w:hAnsi="宋体" w:cs="宋体"/>
                <w:color w:val="auto"/>
                <w:szCs w:val="21"/>
                <w:highlight w:val="none"/>
              </w:rPr>
              <w:t>（日历天）</w:t>
            </w:r>
          </w:p>
        </w:tc>
      </w:tr>
      <w:tr w14:paraId="77DB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98A40E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568" w:type="dxa"/>
            <w:tcBorders>
              <w:top w:val="single" w:color="auto" w:sz="4" w:space="0"/>
              <w:left w:val="single" w:color="auto" w:sz="4" w:space="0"/>
              <w:bottom w:val="single" w:color="auto" w:sz="4" w:space="0"/>
              <w:right w:val="single" w:color="auto" w:sz="4" w:space="0"/>
            </w:tcBorders>
            <w:vAlign w:val="center"/>
          </w:tcPr>
          <w:p w14:paraId="62A1BA6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上传电子投标文件时间</w:t>
            </w:r>
          </w:p>
        </w:tc>
        <w:tc>
          <w:tcPr>
            <w:tcW w:w="7662" w:type="dxa"/>
            <w:tcBorders>
              <w:top w:val="single" w:color="auto" w:sz="4" w:space="0"/>
              <w:left w:val="single" w:color="auto" w:sz="4" w:space="0"/>
              <w:bottom w:val="single" w:color="auto" w:sz="4" w:space="0"/>
              <w:right w:val="single" w:color="auto" w:sz="4" w:space="0"/>
            </w:tcBorders>
            <w:vAlign w:val="center"/>
          </w:tcPr>
          <w:p w14:paraId="74BD27F5">
            <w:pPr>
              <w:shd w:val="clear"/>
              <w:wordWrap w:val="0"/>
              <w:rPr>
                <w:rFonts w:hint="eastAsia" w:ascii="宋体" w:hAnsi="宋体" w:cs="宋体"/>
                <w:b/>
                <w:color w:val="auto"/>
                <w:szCs w:val="21"/>
                <w:highlight w:val="none"/>
              </w:rPr>
            </w:pPr>
            <w:r>
              <w:rPr>
                <w:rFonts w:hint="eastAsia" w:ascii="宋体" w:hAnsi="宋体" w:cs="宋体"/>
                <w:b/>
                <w:color w:val="auto"/>
                <w:szCs w:val="21"/>
                <w:highlight w:val="none"/>
              </w:rPr>
              <w:t>投标人应于</w:t>
            </w:r>
            <w:r>
              <w:rPr>
                <w:rFonts w:hint="eastAsia" w:ascii="宋体" w:hAnsi="宋体" w:cs="宋体"/>
                <w:b/>
                <w:color w:val="auto"/>
                <w:szCs w:val="21"/>
                <w:highlight w:val="none"/>
                <w:u w:val="single"/>
                <w:lang w:eastAsia="zh-CN"/>
              </w:rPr>
              <w:t>2026年4月29日14:00:00</w:t>
            </w:r>
            <w:r>
              <w:rPr>
                <w:rFonts w:hint="eastAsia" w:ascii="宋体" w:hAnsi="宋体" w:cs="宋体"/>
                <w:b/>
                <w:color w:val="auto"/>
                <w:szCs w:val="21"/>
                <w:highlight w:val="none"/>
                <w:u w:val="single"/>
              </w:rPr>
              <w:t>（北京时间）</w:t>
            </w:r>
            <w:r>
              <w:rPr>
                <w:rFonts w:hint="eastAsia" w:ascii="宋体" w:hAnsi="宋体" w:cs="宋体"/>
                <w:b/>
                <w:color w:val="auto"/>
                <w:szCs w:val="21"/>
                <w:highlight w:val="none"/>
              </w:rPr>
              <w:t>前在“政采云”平台（https://www.zcygov.cn）上自行加密上传电子投标文件，逾期上传或未按要求上传的投标文件将予以拒收。</w:t>
            </w:r>
          </w:p>
        </w:tc>
      </w:tr>
      <w:tr w14:paraId="2155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BE06FA4">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568" w:type="dxa"/>
            <w:tcBorders>
              <w:top w:val="single" w:color="auto" w:sz="4" w:space="0"/>
              <w:left w:val="single" w:color="auto" w:sz="4" w:space="0"/>
              <w:bottom w:val="single" w:color="auto" w:sz="4" w:space="0"/>
              <w:right w:val="single" w:color="auto" w:sz="4" w:space="0"/>
            </w:tcBorders>
            <w:vAlign w:val="center"/>
          </w:tcPr>
          <w:p w14:paraId="12A8950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7662" w:type="dxa"/>
            <w:tcBorders>
              <w:top w:val="single" w:color="auto" w:sz="4" w:space="0"/>
              <w:left w:val="single" w:color="auto" w:sz="4" w:space="0"/>
              <w:bottom w:val="single" w:color="auto" w:sz="4" w:space="0"/>
              <w:right w:val="single" w:color="auto" w:sz="4" w:space="0"/>
            </w:tcBorders>
            <w:vAlign w:val="center"/>
          </w:tcPr>
          <w:p w14:paraId="068B053F">
            <w:pPr>
              <w:shd w:val="clear"/>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b/>
                <w:color w:val="auto"/>
                <w:szCs w:val="21"/>
                <w:highlight w:val="none"/>
                <w:u w:val="single"/>
                <w:lang w:eastAsia="zh-CN"/>
              </w:rPr>
              <w:t>2026年4月29日14:00:00</w:t>
            </w:r>
            <w:r>
              <w:rPr>
                <w:rFonts w:hint="eastAsia" w:ascii="宋体" w:hAnsi="宋体" w:cs="宋体"/>
                <w:b/>
                <w:color w:val="auto"/>
                <w:szCs w:val="21"/>
                <w:highlight w:val="none"/>
                <w:u w:val="single"/>
              </w:rPr>
              <w:t>（北京时间）</w:t>
            </w:r>
            <w:r>
              <w:rPr>
                <w:rFonts w:hint="eastAsia" w:ascii="宋体" w:hAnsi="宋体" w:cs="宋体"/>
                <w:color w:val="auto"/>
                <w:szCs w:val="21"/>
                <w:highlight w:val="none"/>
              </w:rPr>
              <w:t>；</w:t>
            </w:r>
          </w:p>
          <w:p w14:paraId="5FD64CF3">
            <w:pPr>
              <w:shd w:val="clear"/>
              <w:rPr>
                <w:rFonts w:hint="eastAsia"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b/>
                <w:color w:val="auto"/>
                <w:szCs w:val="21"/>
                <w:highlight w:val="none"/>
                <w:u w:val="single"/>
              </w:rPr>
              <w:t>义乌市望道路300号义乌市政务服务中心大楼4楼电子开标室</w:t>
            </w:r>
            <w:r>
              <w:rPr>
                <w:rFonts w:hint="eastAsia" w:ascii="宋体" w:hAnsi="宋体" w:cs="宋体"/>
                <w:color w:val="auto"/>
                <w:szCs w:val="21"/>
                <w:highlight w:val="none"/>
              </w:rPr>
              <w:t>；</w:t>
            </w:r>
          </w:p>
          <w:p w14:paraId="36E998C1">
            <w:pPr>
              <w:shd w:val="clear"/>
              <w:rPr>
                <w:rFonts w:hint="eastAsia" w:ascii="宋体" w:hAnsi="宋体" w:cs="宋体"/>
                <w:b/>
                <w:color w:val="auto"/>
                <w:szCs w:val="21"/>
                <w:highlight w:val="none"/>
              </w:rPr>
            </w:pPr>
            <w:r>
              <w:rPr>
                <w:rFonts w:hint="eastAsia" w:ascii="宋体" w:hAnsi="宋体" w:cs="宋体"/>
                <w:b/>
                <w:color w:val="auto"/>
                <w:szCs w:val="21"/>
                <w:highlight w:val="none"/>
              </w:rPr>
              <w:t>开标时间后1小时内（</w:t>
            </w:r>
            <w:r>
              <w:rPr>
                <w:rFonts w:hint="eastAsia" w:ascii="宋体" w:hAnsi="宋体" w:cs="宋体"/>
                <w:b/>
                <w:color w:val="auto"/>
                <w:szCs w:val="21"/>
                <w:highlight w:val="none"/>
                <w:lang w:eastAsia="zh-CN"/>
              </w:rPr>
              <w:t>2026年4月29日15:00</w:t>
            </w:r>
            <w:r>
              <w:rPr>
                <w:rFonts w:hint="eastAsia" w:ascii="宋体" w:hAnsi="宋体" w:cs="宋体"/>
                <w:b/>
                <w:color w:val="auto"/>
                <w:szCs w:val="21"/>
                <w:highlight w:val="none"/>
              </w:rPr>
              <w:t>前）投标人可以登录“政采云”平台，用“项目采购－开标评标”功能进行解密投标文件。若投标人在规定时间内无法解密或解密失败，将导致投标无效或失败。</w:t>
            </w:r>
          </w:p>
          <w:p w14:paraId="425A3F28">
            <w:pPr>
              <w:pStyle w:val="13"/>
              <w:shd w:val="clear"/>
              <w:adjustRightInd w:val="0"/>
              <w:snapToGrid w:val="0"/>
              <w:spacing w:before="0" w:beforeLines="0" w:after="0" w:afterLines="0" w:line="240" w:lineRule="auto"/>
              <w:rPr>
                <w:rFonts w:hint="eastAsia" w:hAnsi="宋体" w:cs="宋体"/>
                <w:color w:val="auto"/>
                <w:kern w:val="0"/>
                <w:sz w:val="21"/>
                <w:szCs w:val="21"/>
                <w:highlight w:val="none"/>
                <w:u w:val="single"/>
              </w:rPr>
            </w:pPr>
            <w:r>
              <w:rPr>
                <w:rFonts w:hint="eastAsia" w:hAnsi="宋体" w:cs="宋体"/>
                <w:color w:val="auto"/>
                <w:kern w:val="0"/>
                <w:sz w:val="21"/>
                <w:szCs w:val="21"/>
                <w:highlight w:val="none"/>
              </w:rPr>
              <w:t>备注：</w:t>
            </w:r>
            <w:r>
              <w:rPr>
                <w:rFonts w:hint="eastAsia" w:hAnsi="宋体" w:cs="宋体"/>
                <w:color w:val="auto"/>
                <w:kern w:val="0"/>
                <w:sz w:val="21"/>
                <w:szCs w:val="21"/>
                <w:highlight w:val="none"/>
                <w:u w:val="single"/>
              </w:rPr>
              <w:t>为确保采购项目顺利实施，避免因政采云上电子投标文件解密失败导致投标人投标无效，投标人可在</w:t>
            </w:r>
            <w:r>
              <w:rPr>
                <w:rFonts w:hint="eastAsia" w:hAnsi="宋体" w:cs="宋体"/>
                <w:color w:val="auto"/>
                <w:kern w:val="0"/>
                <w:sz w:val="21"/>
                <w:szCs w:val="21"/>
                <w:highlight w:val="none"/>
                <w:u w:val="single"/>
                <w:lang w:eastAsia="zh-CN"/>
              </w:rPr>
              <w:t>2026年4月29日14:00:00</w:t>
            </w:r>
            <w:r>
              <w:rPr>
                <w:rFonts w:hint="eastAsia" w:hAnsi="宋体" w:cs="宋体"/>
                <w:color w:val="auto"/>
                <w:kern w:val="0"/>
                <w:sz w:val="21"/>
                <w:szCs w:val="21"/>
                <w:highlight w:val="none"/>
                <w:u w:val="single"/>
              </w:rPr>
              <w:t>（北京时间）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人自行保管，如政采云上电子投标文件出现解密失败情况（开标当日09:30-</w:t>
            </w:r>
            <w:r>
              <w:rPr>
                <w:rFonts w:hint="eastAsia" w:hAnsi="宋体" w:cs="宋体"/>
                <w:color w:val="auto"/>
                <w:kern w:val="0"/>
                <w:sz w:val="21"/>
                <w:szCs w:val="21"/>
                <w:highlight w:val="none"/>
                <w:u w:val="single"/>
                <w:lang w:eastAsia="zh-CN"/>
              </w:rPr>
              <w:t>15:00</w:t>
            </w:r>
            <w:r>
              <w:rPr>
                <w:rFonts w:hint="eastAsia" w:hAnsi="宋体" w:cs="宋体"/>
                <w:color w:val="auto"/>
                <w:kern w:val="0"/>
                <w:sz w:val="21"/>
                <w:szCs w:val="21"/>
                <w:highlight w:val="none"/>
                <w:u w:val="single"/>
              </w:rPr>
              <w:t>期间进行解密），投标人可按照自身意愿确认是否同意提供加密密码解密传送至浙江求是招标代理有限公司邮箱（qszbyw@qszb.net）的备份文件，并以备份文件作为替代电子投标文件，如投标人未按照规定时间（</w:t>
            </w:r>
            <w:r>
              <w:rPr>
                <w:rFonts w:hint="eastAsia" w:hAnsi="宋体" w:cs="宋体"/>
                <w:color w:val="auto"/>
                <w:kern w:val="0"/>
                <w:sz w:val="21"/>
                <w:szCs w:val="21"/>
                <w:highlight w:val="none"/>
                <w:u w:val="single"/>
                <w:lang w:eastAsia="zh-CN"/>
              </w:rPr>
              <w:t>2026年4月29日14:00:00</w:t>
            </w:r>
            <w:r>
              <w:rPr>
                <w:rFonts w:hint="eastAsia" w:hAnsi="宋体" w:cs="宋体"/>
                <w:color w:val="auto"/>
                <w:kern w:val="0"/>
                <w:sz w:val="21"/>
                <w:szCs w:val="21"/>
                <w:highlight w:val="none"/>
                <w:u w:val="single"/>
              </w:rPr>
              <w:t>（北京时间）前）及要求提供有效备份文件，同时政采云上投标文件解密失败的，将导致投标无效</w:t>
            </w:r>
            <w:r>
              <w:rPr>
                <w:rFonts w:hint="eastAsia" w:hAnsi="宋体" w:cs="宋体"/>
                <w:color w:val="auto"/>
                <w:kern w:val="0"/>
                <w:sz w:val="21"/>
                <w:szCs w:val="21"/>
                <w:highlight w:val="none"/>
              </w:rPr>
              <w:t>。</w:t>
            </w:r>
          </w:p>
          <w:p w14:paraId="083646C9">
            <w:pPr>
              <w:pStyle w:val="13"/>
              <w:shd w:val="clear"/>
              <w:adjustRightInd w:val="0"/>
              <w:snapToGrid w:val="0"/>
              <w:spacing w:before="0" w:beforeLines="0" w:after="0" w:afterLines="0" w:line="240" w:lineRule="auto"/>
              <w:ind w:firstLine="422" w:firstLineChars="200"/>
              <w:rPr>
                <w:rFonts w:hint="eastAsia" w:hAnsi="宋体" w:cs="宋体"/>
                <w:b/>
                <w:color w:val="auto"/>
                <w:kern w:val="0"/>
                <w:sz w:val="21"/>
                <w:szCs w:val="21"/>
                <w:highlight w:val="none"/>
                <w:u w:val="single"/>
              </w:rPr>
            </w:pPr>
            <w:r>
              <w:rPr>
                <w:rFonts w:hint="eastAsia" w:hAnsi="宋体" w:cs="宋体"/>
                <w:b/>
                <w:color w:val="auto"/>
                <w:kern w:val="0"/>
                <w:sz w:val="21"/>
                <w:szCs w:val="21"/>
                <w:highlight w:val="none"/>
                <w:u w:val="single"/>
              </w:rPr>
              <w:t>投标人无需在开标当天到达开标现场对电子投标进行解密，可在公司办公场地在规定时间内对电子投标文件进行解密</w:t>
            </w:r>
            <w:r>
              <w:rPr>
                <w:rFonts w:hint="eastAsia" w:hAnsi="宋体" w:cs="宋体"/>
                <w:b/>
                <w:color w:val="auto"/>
                <w:kern w:val="0"/>
                <w:sz w:val="21"/>
                <w:szCs w:val="21"/>
                <w:highlight w:val="none"/>
              </w:rPr>
              <w:t>。</w:t>
            </w:r>
          </w:p>
        </w:tc>
      </w:tr>
      <w:tr w14:paraId="4486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16700F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568" w:type="dxa"/>
            <w:tcBorders>
              <w:top w:val="single" w:color="auto" w:sz="4" w:space="0"/>
              <w:left w:val="single" w:color="auto" w:sz="4" w:space="0"/>
              <w:bottom w:val="single" w:color="auto" w:sz="4" w:space="0"/>
              <w:right w:val="single" w:color="auto" w:sz="4" w:space="0"/>
            </w:tcBorders>
            <w:vAlign w:val="center"/>
          </w:tcPr>
          <w:p w14:paraId="5431254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7662" w:type="dxa"/>
            <w:tcBorders>
              <w:top w:val="single" w:color="auto" w:sz="4" w:space="0"/>
              <w:left w:val="single" w:color="auto" w:sz="4" w:space="0"/>
              <w:bottom w:val="single" w:color="auto" w:sz="4" w:space="0"/>
              <w:right w:val="single" w:color="auto" w:sz="4" w:space="0"/>
            </w:tcBorders>
            <w:vAlign w:val="center"/>
          </w:tcPr>
          <w:p w14:paraId="33772CFA">
            <w:pPr>
              <w:shd w:val="clear"/>
              <w:rPr>
                <w:rFonts w:hint="eastAsia" w:ascii="宋体" w:hAnsi="宋体" w:cs="宋体"/>
                <w:color w:val="auto"/>
                <w:szCs w:val="21"/>
                <w:highlight w:val="none"/>
              </w:rPr>
            </w:pPr>
            <w:r>
              <w:rPr>
                <w:rFonts w:hint="eastAsia" w:ascii="宋体" w:hAnsi="宋体" w:cs="宋体"/>
                <w:color w:val="auto"/>
                <w:szCs w:val="21"/>
                <w:highlight w:val="none"/>
              </w:rPr>
              <w:t>无</w:t>
            </w:r>
          </w:p>
        </w:tc>
      </w:tr>
      <w:tr w14:paraId="7029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B6D60A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568" w:type="dxa"/>
            <w:tcBorders>
              <w:top w:val="single" w:color="auto" w:sz="4" w:space="0"/>
              <w:left w:val="single" w:color="auto" w:sz="4" w:space="0"/>
              <w:bottom w:val="single" w:color="auto" w:sz="4" w:space="0"/>
              <w:right w:val="single" w:color="auto" w:sz="4" w:space="0"/>
            </w:tcBorders>
            <w:vAlign w:val="center"/>
          </w:tcPr>
          <w:p w14:paraId="68C882B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662" w:type="dxa"/>
            <w:tcBorders>
              <w:top w:val="single" w:color="auto" w:sz="4" w:space="0"/>
              <w:left w:val="single" w:color="auto" w:sz="4" w:space="0"/>
              <w:bottom w:val="single" w:color="auto" w:sz="4" w:space="0"/>
              <w:right w:val="single" w:color="auto" w:sz="4" w:space="0"/>
            </w:tcBorders>
            <w:vAlign w:val="center"/>
          </w:tcPr>
          <w:p w14:paraId="69314C1D">
            <w:pPr>
              <w:shd w:val="clear"/>
              <w:rPr>
                <w:rFonts w:hint="eastAsia" w:ascii="宋体" w:hAnsi="宋体" w:cs="宋体"/>
                <w:color w:val="auto"/>
                <w:szCs w:val="21"/>
                <w:highlight w:val="none"/>
              </w:rPr>
            </w:pPr>
            <w:r>
              <w:rPr>
                <w:rFonts w:hint="eastAsia" w:ascii="宋体" w:hAnsi="宋体" w:cs="宋体"/>
                <w:color w:val="auto"/>
                <w:spacing w:val="-6"/>
                <w:kern w:val="0"/>
                <w:szCs w:val="21"/>
                <w:highlight w:val="none"/>
                <w:lang w:bidi="ar"/>
              </w:rPr>
              <w:t>无</w:t>
            </w:r>
          </w:p>
        </w:tc>
      </w:tr>
      <w:tr w14:paraId="7B7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2D4BC1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568" w:type="dxa"/>
            <w:tcBorders>
              <w:top w:val="single" w:color="auto" w:sz="4" w:space="0"/>
              <w:left w:val="single" w:color="auto" w:sz="4" w:space="0"/>
              <w:bottom w:val="single" w:color="auto" w:sz="4" w:space="0"/>
              <w:right w:val="single" w:color="auto" w:sz="4" w:space="0"/>
            </w:tcBorders>
            <w:vAlign w:val="center"/>
          </w:tcPr>
          <w:p w14:paraId="159B836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是否允许采购进口产品</w:t>
            </w:r>
          </w:p>
        </w:tc>
        <w:tc>
          <w:tcPr>
            <w:tcW w:w="7662" w:type="dxa"/>
            <w:tcBorders>
              <w:top w:val="single" w:color="auto" w:sz="4" w:space="0"/>
              <w:left w:val="single" w:color="auto" w:sz="4" w:space="0"/>
              <w:bottom w:val="single" w:color="auto" w:sz="4" w:space="0"/>
              <w:right w:val="single" w:color="auto" w:sz="4" w:space="0"/>
            </w:tcBorders>
            <w:vAlign w:val="center"/>
          </w:tcPr>
          <w:p w14:paraId="6FEC28E2">
            <w:pPr>
              <w:shd w:val="clear"/>
              <w:rPr>
                <w:rFonts w:hint="eastAsia" w:ascii="宋体" w:hAnsi="宋体" w:cs="宋体"/>
                <w:color w:val="auto"/>
                <w:szCs w:val="21"/>
                <w:highlight w:val="none"/>
              </w:rPr>
            </w:pPr>
            <w:r>
              <w:rPr>
                <w:rFonts w:hint="eastAsia" w:ascii="宋体" w:hAnsi="宋体" w:cs="宋体"/>
                <w:color w:val="auto"/>
                <w:szCs w:val="21"/>
                <w:highlight w:val="none"/>
              </w:rPr>
              <w:t>否</w:t>
            </w:r>
          </w:p>
        </w:tc>
      </w:tr>
      <w:tr w14:paraId="521D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0C270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568" w:type="dxa"/>
            <w:tcBorders>
              <w:top w:val="single" w:color="auto" w:sz="4" w:space="0"/>
              <w:left w:val="single" w:color="auto" w:sz="4" w:space="0"/>
              <w:bottom w:val="single" w:color="auto" w:sz="4" w:space="0"/>
              <w:right w:val="single" w:color="auto" w:sz="4" w:space="0"/>
            </w:tcBorders>
            <w:vAlign w:val="center"/>
          </w:tcPr>
          <w:p w14:paraId="50F3F35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662" w:type="dxa"/>
            <w:tcBorders>
              <w:top w:val="single" w:color="auto" w:sz="4" w:space="0"/>
              <w:left w:val="single" w:color="auto" w:sz="4" w:space="0"/>
              <w:bottom w:val="single" w:color="auto" w:sz="4" w:space="0"/>
              <w:right w:val="single" w:color="auto" w:sz="4" w:space="0"/>
            </w:tcBorders>
            <w:vAlign w:val="center"/>
          </w:tcPr>
          <w:p w14:paraId="54B69CB2">
            <w:pPr>
              <w:shd w:val="clear"/>
              <w:rPr>
                <w:rFonts w:hint="eastAsia" w:ascii="宋体" w:hAnsi="宋体" w:cs="宋体"/>
                <w:color w:val="auto"/>
                <w:szCs w:val="21"/>
                <w:highlight w:val="none"/>
              </w:rPr>
            </w:pPr>
            <w:r>
              <w:rPr>
                <w:rFonts w:hint="eastAsia" w:ascii="宋体" w:hAnsi="宋体" w:cs="宋体"/>
                <w:color w:val="auto"/>
                <w:szCs w:val="21"/>
                <w:highlight w:val="none"/>
              </w:rPr>
              <w:t>综合评分法</w:t>
            </w:r>
          </w:p>
        </w:tc>
      </w:tr>
      <w:tr w14:paraId="7574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E6EE38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568" w:type="dxa"/>
            <w:tcBorders>
              <w:top w:val="single" w:color="auto" w:sz="4" w:space="0"/>
              <w:left w:val="single" w:color="auto" w:sz="4" w:space="0"/>
              <w:bottom w:val="single" w:color="auto" w:sz="4" w:space="0"/>
              <w:right w:val="single" w:color="auto" w:sz="4" w:space="0"/>
            </w:tcBorders>
            <w:vAlign w:val="center"/>
          </w:tcPr>
          <w:p w14:paraId="5AB5899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662" w:type="dxa"/>
            <w:tcBorders>
              <w:top w:val="single" w:color="auto" w:sz="4" w:space="0"/>
              <w:left w:val="single" w:color="auto" w:sz="4" w:space="0"/>
              <w:bottom w:val="single" w:color="auto" w:sz="4" w:space="0"/>
              <w:right w:val="single" w:color="auto" w:sz="4" w:space="0"/>
            </w:tcBorders>
            <w:vAlign w:val="center"/>
          </w:tcPr>
          <w:p w14:paraId="254538C1">
            <w:pPr>
              <w:pStyle w:val="13"/>
              <w:shd w:val="clear"/>
              <w:spacing w:before="0" w:beforeLines="0" w:after="0" w:afterLines="0" w:line="240" w:lineRule="auto"/>
              <w:rPr>
                <w:rFonts w:hint="eastAsia" w:hAnsi="宋体" w:cs="宋体"/>
                <w:color w:val="auto"/>
                <w:sz w:val="21"/>
                <w:szCs w:val="21"/>
                <w:highlight w:val="none"/>
              </w:rPr>
            </w:pPr>
            <w:r>
              <w:rPr>
                <w:rFonts w:hint="eastAsia" w:hAnsi="宋体" w:cs="宋体"/>
                <w:color w:val="auto"/>
                <w:sz w:val="21"/>
                <w:szCs w:val="21"/>
                <w:highlight w:val="none"/>
              </w:rPr>
              <w:t>详见第三章招标项目具体要求</w:t>
            </w:r>
          </w:p>
        </w:tc>
      </w:tr>
      <w:tr w14:paraId="4710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919BF4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568" w:type="dxa"/>
            <w:tcBorders>
              <w:top w:val="single" w:color="auto" w:sz="4" w:space="0"/>
              <w:left w:val="single" w:color="auto" w:sz="4" w:space="0"/>
              <w:bottom w:val="single" w:color="auto" w:sz="4" w:space="0"/>
              <w:right w:val="single" w:color="auto" w:sz="4" w:space="0"/>
            </w:tcBorders>
            <w:vAlign w:val="center"/>
          </w:tcPr>
          <w:p w14:paraId="460FD25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662" w:type="dxa"/>
            <w:tcBorders>
              <w:top w:val="single" w:color="auto" w:sz="4" w:space="0"/>
              <w:left w:val="single" w:color="auto" w:sz="4" w:space="0"/>
              <w:bottom w:val="single" w:color="auto" w:sz="4" w:space="0"/>
              <w:right w:val="single" w:color="auto" w:sz="4" w:space="0"/>
            </w:tcBorders>
            <w:vAlign w:val="center"/>
          </w:tcPr>
          <w:p w14:paraId="035A641F">
            <w:pPr>
              <w:shd w:val="clear"/>
              <w:rPr>
                <w:rFonts w:hint="eastAsia" w:ascii="宋体" w:hAnsi="宋体" w:cs="宋体"/>
                <w:bCs/>
                <w:color w:val="auto"/>
                <w:szCs w:val="21"/>
                <w:highlight w:val="none"/>
              </w:rPr>
            </w:pPr>
            <w:r>
              <w:rPr>
                <w:rFonts w:hint="eastAsia" w:ascii="宋体" w:hAnsi="宋体" w:cs="宋体"/>
                <w:bCs/>
                <w:color w:val="auto"/>
                <w:szCs w:val="21"/>
                <w:highlight w:val="none"/>
              </w:rPr>
              <w:t>（1）本项目设有最高限价，投标报价超过最高限价的，其投标均为无效标。</w:t>
            </w:r>
          </w:p>
          <w:p w14:paraId="38CE8460">
            <w:pPr>
              <w:shd w:val="clear"/>
              <w:rPr>
                <w:rFonts w:hint="eastAsia" w:ascii="宋体" w:hAnsi="宋体" w:cs="宋体"/>
                <w:bCs/>
                <w:color w:val="auto"/>
                <w:szCs w:val="21"/>
                <w:highlight w:val="none"/>
              </w:rPr>
            </w:pPr>
            <w:r>
              <w:rPr>
                <w:rFonts w:hint="eastAsia" w:ascii="宋体" w:hAnsi="宋体" w:cs="宋体"/>
                <w:bCs/>
                <w:color w:val="auto"/>
                <w:szCs w:val="21"/>
                <w:highlight w:val="none"/>
              </w:rPr>
              <w:t>（2）招标文件中要求投标人在制作投标文件时，提供的扫描件等影印件必须根据评审细则对评审的内容完整、清晰可辨，否则在评审时以最不利于投标人原则评审。</w:t>
            </w:r>
          </w:p>
          <w:p w14:paraId="1DF0203D">
            <w:pPr>
              <w:shd w:val="clear"/>
              <w:rPr>
                <w:rFonts w:hint="eastAsia" w:ascii="宋体" w:hAnsi="宋体" w:cs="宋体"/>
                <w:bCs/>
                <w:color w:val="auto"/>
                <w:szCs w:val="21"/>
                <w:highlight w:val="none"/>
              </w:rPr>
            </w:pPr>
            <w:r>
              <w:rPr>
                <w:rFonts w:hint="eastAsia" w:ascii="宋体" w:hAnsi="宋体" w:cs="宋体"/>
                <w:bCs/>
                <w:color w:val="auto"/>
                <w:szCs w:val="21"/>
                <w:highlight w:val="none"/>
              </w:rPr>
              <w:t>（3）投标人注册：投标人须在浙江政府采购网（zfcg.czt.zj.gov.cn）投标人库注册成为正式投标人（根据浙财采监字〔2009〕28号文件规定）。非浙江政府采购网注册的投标人或发生变更且未及时更新的投标人，应当在规定时间内按照《浙江省政府采购投标人注册及诚信管理暂行办法》（浙财采监字〔2009〕28号）的相关规定及时办理更新或投标人注册事项。</w:t>
            </w:r>
          </w:p>
          <w:p w14:paraId="32A8A1E9">
            <w:pPr>
              <w:shd w:val="clear"/>
              <w:rPr>
                <w:rFonts w:hint="eastAsia" w:ascii="宋体" w:hAnsi="宋体" w:cs="宋体"/>
                <w:bCs/>
                <w:color w:val="auto"/>
                <w:szCs w:val="21"/>
                <w:highlight w:val="none"/>
              </w:rPr>
            </w:pPr>
            <w:r>
              <w:rPr>
                <w:rFonts w:hint="eastAsia" w:ascii="宋体" w:hAnsi="宋体" w:cs="宋体"/>
                <w:bCs/>
                <w:color w:val="auto"/>
                <w:szCs w:val="21"/>
                <w:highlight w:val="none"/>
              </w:rPr>
              <w:t>（4）采购人不集中组织现场踏勘，采购人允许投标人可以对现场及周围环境进行踏勘考察以便了解相关情况、现场位置、交通便利情况及获取有关编制投标文件和签署合同所涉及现场的资料，投标人踏勘考察现场发生的费用自理。除采购人的原因外，投标人自行负责在踏勘考察现场中所发生的人员伤亡和财产损失。采购人在踏勘考察现场中介绍的场地和相关的周边环境情况，仅供投标人在编制投标文件时参考，采购人不对投标人据此作出的判断和决策负责。若因投标人未现场勘察或勘察不到位，导致投标人方案无法满足采购人要求或中标后发现成本增加的，由投标人自行承担由此产生的一切风险及费用。</w:t>
            </w:r>
          </w:p>
        </w:tc>
      </w:tr>
      <w:tr w14:paraId="5E2F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5EF467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568" w:type="dxa"/>
            <w:tcBorders>
              <w:top w:val="single" w:color="auto" w:sz="4" w:space="0"/>
              <w:left w:val="single" w:color="auto" w:sz="4" w:space="0"/>
              <w:bottom w:val="single" w:color="auto" w:sz="4" w:space="0"/>
              <w:right w:val="single" w:color="auto" w:sz="4" w:space="0"/>
            </w:tcBorders>
            <w:vAlign w:val="center"/>
          </w:tcPr>
          <w:p w14:paraId="1A4298C5">
            <w:pPr>
              <w:shd w:val="clear"/>
              <w:snapToGrid w:val="0"/>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信用记录</w:t>
            </w:r>
          </w:p>
        </w:tc>
        <w:tc>
          <w:tcPr>
            <w:tcW w:w="7662" w:type="dxa"/>
            <w:tcBorders>
              <w:top w:val="single" w:color="auto" w:sz="4" w:space="0"/>
              <w:left w:val="single" w:color="auto" w:sz="4" w:space="0"/>
              <w:bottom w:val="single" w:color="auto" w:sz="4" w:space="0"/>
              <w:right w:val="single" w:color="auto" w:sz="4" w:space="0"/>
            </w:tcBorders>
            <w:vAlign w:val="center"/>
          </w:tcPr>
          <w:p w14:paraId="43362249">
            <w:pPr>
              <w:shd w:val="clear"/>
              <w:snapToGrid w:val="0"/>
              <w:rPr>
                <w:rFonts w:hint="eastAsia" w:ascii="宋体" w:hAnsi="宋体" w:cs="宋体"/>
                <w:color w:val="auto"/>
                <w:szCs w:val="21"/>
                <w:highlight w:val="none"/>
              </w:rPr>
            </w:pPr>
            <w:r>
              <w:rPr>
                <w:rFonts w:hint="eastAsia" w:ascii="宋体" w:hAnsi="宋体" w:cs="宋体"/>
                <w:color w:val="auto"/>
                <w:szCs w:val="21"/>
                <w:highlight w:val="none"/>
              </w:rPr>
              <w:t>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p>
          <w:p w14:paraId="7CAFCFD2">
            <w:pPr>
              <w:pStyle w:val="113"/>
              <w:shd w:val="clear"/>
              <w:spacing w:line="240" w:lineRule="auto"/>
              <w:ind w:firstLine="422"/>
              <w:rPr>
                <w:rFonts w:hint="eastAsia" w:ascii="宋体" w:hAnsi="宋体" w:cs="宋体"/>
                <w:color w:val="auto"/>
                <w:sz w:val="21"/>
                <w:szCs w:val="21"/>
                <w:highlight w:val="none"/>
                <w:lang w:val="en-US"/>
              </w:rPr>
            </w:pPr>
            <w:r>
              <w:rPr>
                <w:rFonts w:hint="eastAsia" w:ascii="宋体" w:hAnsi="宋体" w:cs="宋体"/>
                <w:b/>
                <w:bCs/>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cs="宋体"/>
                <w:b/>
                <w:bCs/>
                <w:color w:val="auto"/>
                <w:sz w:val="21"/>
                <w:szCs w:val="21"/>
                <w:highlight w:val="none"/>
                <w:lang w:val="en-US"/>
              </w:rPr>
              <w:t>。</w:t>
            </w:r>
          </w:p>
        </w:tc>
      </w:tr>
      <w:tr w14:paraId="79F9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B607F5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568" w:type="dxa"/>
            <w:tcBorders>
              <w:top w:val="single" w:color="auto" w:sz="4" w:space="0"/>
              <w:left w:val="single" w:color="auto" w:sz="4" w:space="0"/>
              <w:bottom w:val="single" w:color="auto" w:sz="4" w:space="0"/>
              <w:right w:val="single" w:color="auto" w:sz="4" w:space="0"/>
            </w:tcBorders>
            <w:vAlign w:val="center"/>
          </w:tcPr>
          <w:p w14:paraId="1DDEE1ED">
            <w:pPr>
              <w:shd w:val="clea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政府采购节能环保产品</w:t>
            </w:r>
          </w:p>
        </w:tc>
        <w:tc>
          <w:tcPr>
            <w:tcW w:w="7662" w:type="dxa"/>
            <w:tcBorders>
              <w:top w:val="single" w:color="auto" w:sz="4" w:space="0"/>
              <w:left w:val="single" w:color="auto" w:sz="4" w:space="0"/>
              <w:bottom w:val="single" w:color="auto" w:sz="4" w:space="0"/>
              <w:right w:val="single" w:color="auto" w:sz="4" w:space="0"/>
            </w:tcBorders>
            <w:vAlign w:val="center"/>
          </w:tcPr>
          <w:p w14:paraId="29595108">
            <w:pPr>
              <w:widowControl/>
              <w:shd w:val="clear"/>
              <w:wordWrap w:val="0"/>
              <w:jc w:val="left"/>
              <w:rPr>
                <w:rFonts w:hint="eastAsia" w:ascii="宋体" w:hAnsi="宋体" w:cs="宋体"/>
                <w:color w:val="auto"/>
                <w:szCs w:val="21"/>
                <w:highlight w:val="none"/>
              </w:rPr>
            </w:pPr>
            <w:r>
              <w:rPr>
                <w:rFonts w:hint="eastAsia" w:ascii="宋体" w:hAnsi="宋体" w:cs="宋体"/>
                <w:color w:val="auto"/>
                <w:szCs w:val="21"/>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从采购品目清单内的，投标人所投的相应产品须在中国政府采购网节能清单查询目录（http://www.ccgp.gov.cn/search/jnqdchaxun.htm）或环保清单查询目录（http://www.ccgp.gov.cn/search/hbqdchaxun.htm）中可查询到。</w:t>
            </w:r>
          </w:p>
          <w:p w14:paraId="68BDA227">
            <w:pPr>
              <w:shd w:val="clear"/>
              <w:wordWrap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★2、招标需求中要求提供的产品属于节能产品政府采购品目清单中强制采购的，投标人须提供该清单内产品，否则其投标将作为无效标处理。</w:t>
            </w:r>
          </w:p>
        </w:tc>
      </w:tr>
      <w:tr w14:paraId="325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3EE1419">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568" w:type="dxa"/>
            <w:tcBorders>
              <w:top w:val="single" w:color="auto" w:sz="4" w:space="0"/>
              <w:left w:val="single" w:color="auto" w:sz="4" w:space="0"/>
              <w:bottom w:val="single" w:color="auto" w:sz="4" w:space="0"/>
              <w:right w:val="single" w:color="auto" w:sz="4" w:space="0"/>
            </w:tcBorders>
            <w:vAlign w:val="center"/>
          </w:tcPr>
          <w:p w14:paraId="6270D87F">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中小企业优惠措施</w:t>
            </w:r>
          </w:p>
        </w:tc>
        <w:tc>
          <w:tcPr>
            <w:tcW w:w="7662" w:type="dxa"/>
            <w:tcBorders>
              <w:top w:val="single" w:color="auto" w:sz="4" w:space="0"/>
              <w:left w:val="single" w:color="auto" w:sz="4" w:space="0"/>
              <w:bottom w:val="single" w:color="auto" w:sz="4" w:space="0"/>
              <w:right w:val="single" w:color="auto" w:sz="4" w:space="0"/>
            </w:tcBorders>
            <w:vAlign w:val="center"/>
          </w:tcPr>
          <w:p w14:paraId="10B5632D">
            <w:pPr>
              <w:shd w:val="clear"/>
              <w:jc w:val="left"/>
              <w:rPr>
                <w:rFonts w:hint="eastAsia" w:ascii="宋体" w:hAnsi="宋体" w:cs="宋体"/>
                <w:color w:val="auto"/>
                <w:szCs w:val="21"/>
                <w:highlight w:val="none"/>
              </w:rPr>
            </w:pPr>
            <w:r>
              <w:rPr>
                <w:rFonts w:hint="eastAsia" w:ascii="宋体" w:hAnsi="宋体" w:cs="宋体"/>
                <w:color w:val="auto"/>
                <w:szCs w:val="21"/>
                <w:highlight w:val="none"/>
              </w:rPr>
              <w:t>（1）项目属性：</w:t>
            </w:r>
            <w:r>
              <w:rPr>
                <w:rFonts w:hint="eastAsia" w:ascii="宋体" w:hAnsi="宋体" w:cs="宋体"/>
                <w:b/>
                <w:bCs/>
                <w:color w:val="auto"/>
                <w:szCs w:val="21"/>
                <w:highlight w:val="none"/>
              </w:rPr>
              <w:t>货物类</w:t>
            </w:r>
          </w:p>
          <w:p w14:paraId="302FD385">
            <w:pPr>
              <w:shd w:val="clear"/>
              <w:jc w:val="left"/>
              <w:rPr>
                <w:rFonts w:hint="eastAsia" w:ascii="宋体" w:hAnsi="宋体" w:cs="宋体"/>
                <w:color w:val="auto"/>
                <w:szCs w:val="21"/>
                <w:highlight w:val="none"/>
              </w:rPr>
            </w:pPr>
            <w:r>
              <w:rPr>
                <w:rFonts w:hint="eastAsia" w:ascii="宋体" w:hAnsi="宋体" w:cs="宋体"/>
                <w:color w:val="auto"/>
                <w:szCs w:val="21"/>
                <w:highlight w:val="none"/>
              </w:rPr>
              <w:t>（2）本项目所属行业：</w:t>
            </w:r>
            <w:r>
              <w:rPr>
                <w:rFonts w:hint="eastAsia" w:ascii="宋体" w:hAnsi="宋体" w:cs="宋体"/>
                <w:b/>
                <w:bCs/>
                <w:color w:val="auto"/>
                <w:szCs w:val="21"/>
                <w:highlight w:val="none"/>
              </w:rPr>
              <w:t>软件和信息技术服务业</w:t>
            </w:r>
            <w:r>
              <w:rPr>
                <w:rFonts w:hint="eastAsia" w:ascii="宋体" w:hAnsi="宋体" w:cs="宋体"/>
                <w:color w:val="auto"/>
                <w:szCs w:val="21"/>
                <w:highlight w:val="none"/>
              </w:rPr>
              <w:t>。</w:t>
            </w:r>
          </w:p>
          <w:p w14:paraId="3B79D820">
            <w:pPr>
              <w:shd w:val="clear"/>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为非专门面向中小企业采购的项目，执行价格评审优惠</w:t>
            </w:r>
            <w:r>
              <w:rPr>
                <w:rFonts w:hint="eastAsia" w:ascii="宋体" w:hAnsi="宋体" w:eastAsia="宋体" w:cs="宋体"/>
                <w:color w:val="auto"/>
                <w:sz w:val="21"/>
                <w:szCs w:val="21"/>
                <w:highlight w:val="none"/>
              </w:rPr>
              <w:t>。</w:t>
            </w:r>
          </w:p>
          <w:p w14:paraId="75C626A3">
            <w:pPr>
              <w:shd w:val="clear"/>
              <w:jc w:val="left"/>
              <w:rPr>
                <w:rFonts w:hint="eastAsia" w:ascii="宋体" w:hAnsi="宋体" w:cs="宋体"/>
                <w:color w:val="auto"/>
                <w:szCs w:val="21"/>
                <w:highlight w:val="none"/>
              </w:rPr>
            </w:pPr>
            <w:r>
              <w:rPr>
                <w:rFonts w:hint="eastAsia" w:ascii="宋体" w:hAnsi="宋体" w:cs="宋体"/>
                <w:color w:val="auto"/>
                <w:szCs w:val="21"/>
                <w:highlight w:val="none"/>
              </w:rPr>
              <w:t>（4）根据财库〔2020〕46号《政府采购促进中小企业发展管理办法》及财库〔2022〕19号《关于进一步加大政府采购支持中小企业力度的通知》的相关规定，在评审时对小型和微型企业的投标报价给予20%的扣除，取扣除后的价格作为最终投标报价（此最终投标报价仅作为价格分计算）。属于中型、小型和微型企业的，投标文件中必须同时提供《中小企业声明函》。中小企业应当按照《政府采购促进中小企业发展管理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14:paraId="67C85AE2">
            <w:pPr>
              <w:shd w:val="clear"/>
              <w:jc w:val="left"/>
              <w:rPr>
                <w:rFonts w:hint="eastAsia" w:ascii="宋体" w:hAnsi="宋体" w:cs="宋体"/>
                <w:color w:val="auto"/>
                <w:szCs w:val="21"/>
                <w:highlight w:val="none"/>
              </w:rPr>
            </w:pPr>
            <w:r>
              <w:rPr>
                <w:rFonts w:hint="eastAsia" w:ascii="宋体" w:hAnsi="宋体" w:cs="宋体"/>
                <w:color w:val="auto"/>
                <w:szCs w:val="21"/>
                <w:highlight w:val="none"/>
              </w:rPr>
              <w:t>（5）根据财库〔2020〕46 号及财库〔2022〕19号的相关规定，大中型企业与小型和微型企业组成联合体共同参加政府采购活动，联合协议中约定小型、微型企业的协议合同金额占到联合体协议合同总金额30%以上的，给予联合体6%的投标报价扣除，取扣除后的价格作为最终投标报价（此最终投标报价仅作为价格分计算）。属于小型和微型企业的，投标文件中必须同时提供《中小企业声明函》。组成联合体的小微企业与联合体其他企业之间存在直接控股、管理关系的，不享受价格扣除优惠政策。</w:t>
            </w:r>
          </w:p>
          <w:p w14:paraId="3DBB573E">
            <w:pPr>
              <w:shd w:val="clear"/>
              <w:jc w:val="left"/>
              <w:rPr>
                <w:rFonts w:hint="eastAsia" w:ascii="宋体" w:hAnsi="宋体" w:cs="宋体"/>
                <w:color w:val="auto"/>
                <w:szCs w:val="21"/>
                <w:highlight w:val="none"/>
              </w:rPr>
            </w:pPr>
            <w:r>
              <w:rPr>
                <w:rFonts w:hint="eastAsia" w:ascii="宋体" w:hAnsi="宋体" w:cs="宋体"/>
                <w:color w:val="auto"/>
                <w:szCs w:val="21"/>
                <w:highlight w:val="none"/>
              </w:rPr>
              <w:t>（6）根据财库〔2020〕46 号及财库〔2022〕19号的相关规定，联合体各方均为小型、微型企业的，联合体视同为小型、微型企业，享受评审中投标报价给予20%的扣除。属于小型和微型企业的，投标文件中必须同时提供《中小企业声明函》。</w:t>
            </w:r>
          </w:p>
          <w:p w14:paraId="33BE559F">
            <w:pPr>
              <w:shd w:val="clear"/>
              <w:jc w:val="left"/>
              <w:rPr>
                <w:rFonts w:hint="eastAsia" w:ascii="宋体" w:hAnsi="宋体" w:cs="宋体"/>
                <w:color w:val="auto"/>
                <w:szCs w:val="21"/>
                <w:highlight w:val="none"/>
              </w:rPr>
            </w:pPr>
            <w:r>
              <w:rPr>
                <w:rFonts w:hint="eastAsia" w:ascii="宋体" w:hAnsi="宋体" w:cs="宋体"/>
                <w:color w:val="auto"/>
                <w:szCs w:val="21"/>
                <w:highlight w:val="none"/>
              </w:rPr>
              <w:t>（7）根据财库〔2017〕141号的相关规定，在政府采购活动中，残疾人福利性单位视同小型、微型企业，享受评审中价格扣除政策。属于享受政府采购支持政策的残疾人福利性单位， 应满足财库〔2017〕141号文件第一条的规定，并在投标文件中提供残疾人福利性单位声明函（见附件）。</w:t>
            </w:r>
          </w:p>
          <w:p w14:paraId="3AE960ED">
            <w:pPr>
              <w:shd w:val="clear"/>
              <w:jc w:val="left"/>
              <w:rPr>
                <w:rFonts w:hint="eastAsia" w:ascii="宋体" w:hAnsi="宋体" w:cs="宋体"/>
                <w:color w:val="auto"/>
                <w:szCs w:val="21"/>
                <w:highlight w:val="none"/>
              </w:rPr>
            </w:pPr>
            <w:r>
              <w:rPr>
                <w:rFonts w:hint="eastAsia" w:ascii="宋体" w:hAnsi="宋体" w:cs="宋体"/>
                <w:color w:val="auto"/>
                <w:szCs w:val="21"/>
                <w:highlight w:val="none"/>
              </w:rPr>
              <w:t>（8）根据财库〔2014〕68号的相关规定，在政府采购活动中，监狱企业视同小型、微型企业，享受评审中价格扣除政策。属于监狱企业的，应当提供由省级以上监狱管理局、戒毒管理局(含新疆生产建设兵团)出具的属于监狱企业的说明文件。</w:t>
            </w:r>
          </w:p>
          <w:p w14:paraId="183C689C">
            <w:pPr>
              <w:shd w:val="clear"/>
              <w:jc w:val="left"/>
              <w:rPr>
                <w:rFonts w:hint="eastAsia" w:ascii="宋体" w:hAnsi="宋体" w:cs="宋体"/>
                <w:color w:val="auto"/>
                <w:szCs w:val="21"/>
                <w:highlight w:val="none"/>
              </w:rPr>
            </w:pPr>
            <w:r>
              <w:rPr>
                <w:rFonts w:hint="eastAsia" w:ascii="宋体" w:hAnsi="宋体" w:cs="宋体"/>
                <w:b/>
                <w:bCs/>
                <w:color w:val="auto"/>
                <w:szCs w:val="21"/>
                <w:highlight w:val="none"/>
              </w:rPr>
              <w:t>注：未提供以上材料的，均不给予价格扣除。</w:t>
            </w:r>
          </w:p>
        </w:tc>
      </w:tr>
      <w:tr w14:paraId="4DBB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85C9D8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568" w:type="dxa"/>
            <w:tcBorders>
              <w:top w:val="single" w:color="auto" w:sz="4" w:space="0"/>
              <w:left w:val="single" w:color="auto" w:sz="4" w:space="0"/>
              <w:bottom w:val="single" w:color="auto" w:sz="4" w:space="0"/>
              <w:right w:val="single" w:color="auto" w:sz="4" w:space="0"/>
            </w:tcBorders>
            <w:vAlign w:val="center"/>
          </w:tcPr>
          <w:p w14:paraId="2E151561">
            <w:pPr>
              <w:shd w:val="clea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信用融资</w:t>
            </w:r>
          </w:p>
        </w:tc>
        <w:tc>
          <w:tcPr>
            <w:tcW w:w="7662" w:type="dxa"/>
            <w:tcBorders>
              <w:top w:val="single" w:color="auto" w:sz="4" w:space="0"/>
              <w:left w:val="single" w:color="auto" w:sz="4" w:space="0"/>
              <w:bottom w:val="single" w:color="auto" w:sz="4" w:space="0"/>
              <w:right w:val="single" w:color="auto" w:sz="4" w:space="0"/>
            </w:tcBorders>
            <w:vAlign w:val="center"/>
          </w:tcPr>
          <w:p w14:paraId="35EF2635">
            <w:pPr>
              <w:shd w:val="clear"/>
              <w:snapToGrid w:val="0"/>
              <w:jc w:val="left"/>
              <w:rPr>
                <w:rFonts w:hint="eastAsia" w:ascii="宋体" w:hAnsi="宋体" w:cs="宋体"/>
                <w:color w:val="auto"/>
                <w:szCs w:val="21"/>
                <w:highlight w:val="none"/>
              </w:rPr>
            </w:pPr>
            <w:r>
              <w:rPr>
                <w:rFonts w:hint="eastAsia" w:ascii="宋体" w:hAnsi="宋体" w:cs="宋体"/>
                <w:color w:val="auto"/>
                <w:szCs w:val="21"/>
                <w:highlight w:val="none"/>
              </w:rPr>
              <w:t>为支持和促进中小企业发展，进一步发挥政府采购政策功能，根据《浙江省财政厅关于进一步发挥政府采购政策功能全力推动经济稳进提质的通知》（浙财采监〔2022〕3号），供应商若有融资意向，登录政府采购云平台“金融支撑”栏目进行查询，查看各相关银行服务方案。</w:t>
            </w:r>
          </w:p>
        </w:tc>
      </w:tr>
      <w:tr w14:paraId="441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B780063">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568" w:type="dxa"/>
            <w:tcBorders>
              <w:top w:val="single" w:color="auto" w:sz="4" w:space="0"/>
              <w:left w:val="single" w:color="auto" w:sz="4" w:space="0"/>
              <w:bottom w:val="single" w:color="auto" w:sz="4" w:space="0"/>
              <w:right w:val="single" w:color="auto" w:sz="4" w:space="0"/>
            </w:tcBorders>
            <w:vAlign w:val="center"/>
          </w:tcPr>
          <w:p w14:paraId="43C2693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失信行为处理</w:t>
            </w:r>
          </w:p>
        </w:tc>
        <w:tc>
          <w:tcPr>
            <w:tcW w:w="7662" w:type="dxa"/>
            <w:tcBorders>
              <w:top w:val="single" w:color="auto" w:sz="4" w:space="0"/>
              <w:left w:val="single" w:color="auto" w:sz="4" w:space="0"/>
              <w:bottom w:val="single" w:color="auto" w:sz="4" w:space="0"/>
              <w:right w:val="single" w:color="auto" w:sz="4" w:space="0"/>
            </w:tcBorders>
            <w:vAlign w:val="center"/>
          </w:tcPr>
          <w:p w14:paraId="2BD48E39">
            <w:pPr>
              <w:shd w:val="clear"/>
              <w:rPr>
                <w:rFonts w:hint="eastAsia" w:ascii="宋体" w:hAnsi="宋体" w:cs="宋体"/>
                <w:color w:val="auto"/>
                <w:szCs w:val="21"/>
                <w:highlight w:val="none"/>
              </w:rPr>
            </w:pPr>
            <w:r>
              <w:rPr>
                <w:rFonts w:hint="eastAsia" w:ascii="宋体" w:hAnsi="宋体" w:cs="宋体"/>
                <w:color w:val="auto"/>
                <w:szCs w:val="21"/>
                <w:highlight w:val="none"/>
              </w:rPr>
              <w:t>投标人发生下列情况之一时，除严格依法依规进行处理外，还将通报市信用管理部门，列入严重失信名单：</w:t>
            </w:r>
          </w:p>
          <w:p w14:paraId="4F67D77F">
            <w:pPr>
              <w:shd w:val="clear"/>
              <w:rPr>
                <w:rFonts w:hint="eastAsia" w:ascii="宋体" w:hAnsi="宋体" w:cs="宋体"/>
                <w:color w:val="auto"/>
                <w:szCs w:val="21"/>
                <w:highlight w:val="none"/>
              </w:rPr>
            </w:pPr>
            <w:r>
              <w:rPr>
                <w:rFonts w:hint="eastAsia" w:ascii="宋体" w:hAnsi="宋体" w:cs="宋体"/>
                <w:color w:val="auto"/>
                <w:szCs w:val="21"/>
                <w:highlight w:val="none"/>
              </w:rPr>
              <w:t>（1）投标人在规定的投标有效期内撤回投标或放弃中标的；</w:t>
            </w:r>
          </w:p>
          <w:p w14:paraId="137270E0">
            <w:pPr>
              <w:shd w:val="clear"/>
              <w:rPr>
                <w:rFonts w:hint="eastAsia" w:ascii="宋体" w:hAnsi="宋体" w:cs="宋体"/>
                <w:color w:val="auto"/>
                <w:szCs w:val="21"/>
                <w:highlight w:val="none"/>
              </w:rPr>
            </w:pPr>
            <w:r>
              <w:rPr>
                <w:rFonts w:hint="eastAsia" w:ascii="宋体" w:hAnsi="宋体" w:cs="宋体"/>
                <w:color w:val="auto"/>
                <w:szCs w:val="21"/>
                <w:highlight w:val="none"/>
              </w:rPr>
              <w:t>（2）有意串标或提供虚假材料者的；</w:t>
            </w:r>
          </w:p>
          <w:p w14:paraId="5CD3D782">
            <w:pPr>
              <w:shd w:val="clear"/>
              <w:rPr>
                <w:rFonts w:hint="eastAsia" w:ascii="宋体" w:hAnsi="宋体" w:cs="宋体"/>
                <w:color w:val="auto"/>
                <w:szCs w:val="21"/>
                <w:highlight w:val="none"/>
              </w:rPr>
            </w:pPr>
            <w:r>
              <w:rPr>
                <w:rFonts w:hint="eastAsia" w:ascii="宋体" w:hAnsi="宋体" w:cs="宋体"/>
                <w:color w:val="auto"/>
                <w:szCs w:val="21"/>
                <w:highlight w:val="none"/>
              </w:rPr>
              <w:t>（3）中标人在收到中标通知书后，因自身原因不能在投标有效期内和采购人签订合同；</w:t>
            </w:r>
          </w:p>
          <w:p w14:paraId="1673FE3D">
            <w:pPr>
              <w:shd w:val="clear"/>
              <w:rPr>
                <w:rFonts w:hint="eastAsia" w:ascii="宋体" w:hAnsi="宋体" w:cs="宋体"/>
                <w:color w:val="auto"/>
                <w:szCs w:val="21"/>
                <w:highlight w:val="none"/>
              </w:rPr>
            </w:pPr>
            <w:r>
              <w:rPr>
                <w:rFonts w:hint="eastAsia" w:ascii="宋体" w:hAnsi="宋体" w:cs="宋体"/>
                <w:color w:val="auto"/>
                <w:szCs w:val="21"/>
                <w:highlight w:val="none"/>
              </w:rPr>
              <w:t>（4）中标人未在规定时间缴纳招标代理费的；</w:t>
            </w:r>
          </w:p>
          <w:p w14:paraId="6B6D5418">
            <w:pPr>
              <w:shd w:val="clear"/>
              <w:rPr>
                <w:rFonts w:hint="eastAsia" w:ascii="宋体" w:hAnsi="宋体" w:cs="宋体"/>
                <w:color w:val="auto"/>
                <w:szCs w:val="21"/>
                <w:highlight w:val="none"/>
              </w:rPr>
            </w:pPr>
            <w:r>
              <w:rPr>
                <w:rFonts w:hint="eastAsia" w:ascii="宋体" w:hAnsi="宋体" w:cs="宋体"/>
                <w:color w:val="auto"/>
                <w:szCs w:val="21"/>
                <w:highlight w:val="none"/>
              </w:rPr>
              <w:t>（5）中标投标人在标后履约过程中未按合同约定的期限和要求履约的；</w:t>
            </w:r>
          </w:p>
          <w:p w14:paraId="7AFE8683">
            <w:pPr>
              <w:shd w:val="clear"/>
              <w:rPr>
                <w:rFonts w:hint="eastAsia" w:ascii="宋体" w:hAnsi="宋体" w:cs="宋体"/>
                <w:color w:val="auto"/>
                <w:szCs w:val="21"/>
                <w:highlight w:val="none"/>
              </w:rPr>
            </w:pPr>
            <w:r>
              <w:rPr>
                <w:rFonts w:hint="eastAsia" w:ascii="宋体" w:hAnsi="宋体" w:cs="宋体"/>
                <w:color w:val="auto"/>
                <w:szCs w:val="21"/>
                <w:highlight w:val="none"/>
              </w:rPr>
              <w:t>（6）因中标投标人原因在标后履约过程中擅自终止合同的；</w:t>
            </w:r>
          </w:p>
          <w:p w14:paraId="48D4E36A">
            <w:pPr>
              <w:shd w:val="clear"/>
              <w:rPr>
                <w:rFonts w:hint="eastAsia" w:ascii="宋体" w:hAnsi="宋体" w:cs="宋体"/>
                <w:color w:val="auto"/>
                <w:szCs w:val="21"/>
                <w:highlight w:val="none"/>
              </w:rPr>
            </w:pPr>
            <w:r>
              <w:rPr>
                <w:rFonts w:hint="eastAsia" w:ascii="宋体" w:hAnsi="宋体" w:cs="宋体"/>
                <w:color w:val="auto"/>
                <w:szCs w:val="21"/>
                <w:highlight w:val="none"/>
              </w:rPr>
              <w:t>（7）不符合招标文件要求的其他失信行为。</w:t>
            </w:r>
          </w:p>
        </w:tc>
      </w:tr>
      <w:tr w14:paraId="03B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F61917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568" w:type="dxa"/>
            <w:tcBorders>
              <w:top w:val="single" w:color="auto" w:sz="4" w:space="0"/>
              <w:left w:val="single" w:color="auto" w:sz="4" w:space="0"/>
              <w:bottom w:val="single" w:color="auto" w:sz="4" w:space="0"/>
              <w:right w:val="single" w:color="auto" w:sz="4" w:space="0"/>
            </w:tcBorders>
            <w:vAlign w:val="center"/>
          </w:tcPr>
          <w:p w14:paraId="608D7115">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其他政府采购政策</w:t>
            </w:r>
          </w:p>
        </w:tc>
        <w:tc>
          <w:tcPr>
            <w:tcW w:w="7662" w:type="dxa"/>
            <w:tcBorders>
              <w:top w:val="single" w:color="auto" w:sz="4" w:space="0"/>
              <w:left w:val="single" w:color="auto" w:sz="4" w:space="0"/>
              <w:bottom w:val="single" w:color="auto" w:sz="4" w:space="0"/>
              <w:right w:val="single" w:color="auto" w:sz="4" w:space="0"/>
            </w:tcBorders>
            <w:vAlign w:val="center"/>
          </w:tcPr>
          <w:p w14:paraId="11F4D4B5">
            <w:pPr>
              <w:pStyle w:val="13"/>
              <w:shd w:val="clear"/>
              <w:spacing w:before="0" w:beforeLines="0" w:after="0" w:afterLines="0" w:line="240" w:lineRule="auto"/>
              <w:rPr>
                <w:rFonts w:hint="eastAsia" w:hAnsi="宋体" w:cs="宋体"/>
                <w:color w:val="auto"/>
                <w:sz w:val="21"/>
                <w:szCs w:val="21"/>
                <w:highlight w:val="none"/>
              </w:rPr>
            </w:pPr>
            <w:r>
              <w:rPr>
                <w:rFonts w:hint="eastAsia" w:hAnsi="宋体" w:cs="宋体"/>
                <w:color w:val="auto"/>
                <w:sz w:val="21"/>
                <w:szCs w:val="21"/>
                <w:highlight w:val="none"/>
              </w:rPr>
              <w:t>投标产品为省级以上主管部门认定的首台套产品（装备）、首批次新材料、首版次软件，自纳入《省推广应用指导目录》起三年内参加政府采购活动，视同已具备相应销售业绩，业绩分为满分，提供相关的材料。</w:t>
            </w:r>
          </w:p>
        </w:tc>
      </w:tr>
    </w:tbl>
    <w:p w14:paraId="16E60D9C">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注：投标人须知前附表内容与本招标文件后述内容不一致的，以投标须知前附表为准。</w:t>
      </w:r>
    </w:p>
    <w:p w14:paraId="388DAD63">
      <w:pPr>
        <w:pStyle w:val="3"/>
        <w:shd w:val="clear"/>
        <w:spacing w:before="0"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br w:type="page"/>
      </w:r>
      <w:bookmarkStart w:id="32" w:name="_Toc362250687"/>
      <w:bookmarkStart w:id="33" w:name="_Toc274303229"/>
      <w:bookmarkStart w:id="34" w:name="_Hlk94018492"/>
      <w:r>
        <w:rPr>
          <w:rFonts w:hint="eastAsia" w:ascii="宋体" w:hAnsi="宋体" w:cs="宋体"/>
          <w:bCs w:val="0"/>
          <w:color w:val="auto"/>
          <w:highlight w:val="none"/>
        </w:rPr>
        <w:t>投标须知</w:t>
      </w:r>
    </w:p>
    <w:p w14:paraId="1DFC17AE">
      <w:pPr>
        <w:pStyle w:val="3"/>
        <w:shd w:val="clear"/>
        <w:wordWrap w:val="0"/>
        <w:spacing w:before="0" w:after="0" w:line="440" w:lineRule="exact"/>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一、说明</w:t>
      </w:r>
      <w:bookmarkEnd w:id="32"/>
      <w:bookmarkEnd w:id="33"/>
    </w:p>
    <w:p w14:paraId="4B3D904D">
      <w:pPr>
        <w:pStyle w:val="11"/>
        <w:shd w:val="clear"/>
        <w:wordWrap w:val="0"/>
        <w:spacing w:after="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1.适用范围</w:t>
      </w:r>
    </w:p>
    <w:p w14:paraId="3AE65160">
      <w:pPr>
        <w:pStyle w:val="11"/>
        <w:shd w:val="clear"/>
        <w:wordWrap w:val="0"/>
        <w:spacing w:after="0" w:line="44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 本招标文件仅适用于本次招标采购所叙述的货物和服务项目。</w:t>
      </w:r>
    </w:p>
    <w:p w14:paraId="1829BD2B">
      <w:pPr>
        <w:pStyle w:val="11"/>
        <w:shd w:val="clear"/>
        <w:wordWrap w:val="0"/>
        <w:spacing w:after="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2.定义</w:t>
      </w:r>
    </w:p>
    <w:p w14:paraId="6A8149FB">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2.1采购人：系指浙江大学医学院附属第四医院。</w:t>
      </w:r>
    </w:p>
    <w:p w14:paraId="3883E067">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2.2招标代理机构：系指浙江求是招标代理有限公司。</w:t>
      </w:r>
    </w:p>
    <w:p w14:paraId="58DA262B">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2.3投标人：系指符合采购公告要求的投标人。</w:t>
      </w:r>
    </w:p>
    <w:p w14:paraId="798EA920">
      <w:pPr>
        <w:pStyle w:val="11"/>
        <w:shd w:val="clear"/>
        <w:wordWrap w:val="0"/>
        <w:spacing w:after="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1950013A">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2.5货物：系指按招标文件规定投标人须向采购人提供的一切材料、货物、机械、仪器仪表、工具及其他有关技术资料和文字材料。</w:t>
      </w:r>
    </w:p>
    <w:p w14:paraId="09419315">
      <w:pPr>
        <w:pStyle w:val="11"/>
        <w:shd w:val="clear"/>
        <w:wordWrap w:val="0"/>
        <w:spacing w:after="0" w:line="4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2.6甲方：即采购人，在招投标阶段称为采购人，在签订和执行合同阶段称为甲方。</w:t>
      </w:r>
    </w:p>
    <w:p w14:paraId="5331FE40">
      <w:pPr>
        <w:pStyle w:val="11"/>
        <w:shd w:val="clear"/>
        <w:wordWrap w:val="0"/>
        <w:spacing w:after="0" w:line="4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2.7乙方：在招投标阶段称为投标人，中标后在签订和执行合同阶段称为乙方。</w:t>
      </w:r>
    </w:p>
    <w:p w14:paraId="500A960A">
      <w:pPr>
        <w:pStyle w:val="11"/>
        <w:shd w:val="clear"/>
        <w:wordWrap w:val="0"/>
        <w:spacing w:after="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2.8“原产地”是指货物开采、生长或生产或提供有关服务的来源地。</w:t>
      </w:r>
    </w:p>
    <w:p w14:paraId="3C610793">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2.9中小企业（含中型、小型、微型）：符合中小企业划分标准（工信部联企业〔2011〕300号）的企业。</w:t>
      </w:r>
    </w:p>
    <w:p w14:paraId="5B48286D">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F86AC">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2.11残疾人福利性单位：符合《财政部、民政部、中国残疾人联合会关于促进残疾人就业政府采购政策的通知》（财库〔2017〕141号）的规定单位。</w:t>
      </w:r>
    </w:p>
    <w:p w14:paraId="785AA050">
      <w:pPr>
        <w:pStyle w:val="13"/>
        <w:shd w:val="clear"/>
        <w:wordWrap w:val="0"/>
        <w:spacing w:before="0" w:beforeLines="0" w:after="0" w:afterLines="0" w:line="44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2.12 “★”标记系指必须满足不能负偏离或必须应答的条款。</w:t>
      </w:r>
    </w:p>
    <w:p w14:paraId="7F5A8D83">
      <w:pPr>
        <w:pStyle w:val="11"/>
        <w:shd w:val="clear"/>
        <w:wordWrap w:val="0"/>
        <w:spacing w:after="0"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3.合格的投标人</w:t>
      </w:r>
    </w:p>
    <w:p w14:paraId="48D277E9">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3.1符合《中华人民共和国政府采购法》第二十二条投标人应当具备的条件；</w:t>
      </w:r>
    </w:p>
    <w:p w14:paraId="2311F080">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3.2投标人自2023年1月1日起到中标公告期结束前无行贿犯罪记录；</w:t>
      </w:r>
    </w:p>
    <w:p w14:paraId="0EEE55D7">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49D7AF7D">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3.4根据《浙江省公共信用信息管理条例》第二十六条的规定，未列入严重失信名单的（查询结果以开标当日网站页面显示为准）；</w:t>
      </w:r>
    </w:p>
    <w:p w14:paraId="7F517C50">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3.5本项目接受联合体投标，但联合体单位不得超过两家；</w:t>
      </w:r>
    </w:p>
    <w:p w14:paraId="44C753DA">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3.6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55CD2D97">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3.7公益一类事业单位不属于政府购买服务的承接主体，不得参与承接购买服务采购项目。</w:t>
      </w:r>
    </w:p>
    <w:p w14:paraId="747F8870">
      <w:pPr>
        <w:pStyle w:val="6"/>
        <w:shd w:val="clear"/>
        <w:wordWrap w:val="0"/>
        <w:spacing w:line="4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3.8符合采购公告中要求的条件。</w:t>
      </w:r>
    </w:p>
    <w:p w14:paraId="74516EDA">
      <w:pPr>
        <w:pStyle w:val="13"/>
        <w:shd w:val="clear"/>
        <w:wordWrap w:val="0"/>
        <w:spacing w:before="0" w:beforeLines="0" w:after="0" w:afterLines="0" w:line="440" w:lineRule="exact"/>
        <w:ind w:firstLine="422" w:firstLineChars="200"/>
        <w:rPr>
          <w:rFonts w:hint="eastAsia" w:hAnsi="宋体" w:cs="宋体"/>
          <w:color w:val="auto"/>
          <w:sz w:val="21"/>
          <w:szCs w:val="21"/>
          <w:highlight w:val="none"/>
        </w:rPr>
      </w:pPr>
      <w:r>
        <w:rPr>
          <w:rFonts w:hint="eastAsia" w:hAnsi="宋体" w:cs="宋体"/>
          <w:b/>
          <w:color w:val="auto"/>
          <w:sz w:val="21"/>
          <w:szCs w:val="21"/>
          <w:highlight w:val="none"/>
        </w:rPr>
        <w:t>4.保证</w:t>
      </w:r>
    </w:p>
    <w:p w14:paraId="2BCF5990">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4.1投标单位应保证所提交给招标机构和采购人的资料和数据是真实的。</w:t>
      </w:r>
    </w:p>
    <w:p w14:paraId="2F1E3E9A">
      <w:pPr>
        <w:pStyle w:val="13"/>
        <w:shd w:val="clear"/>
        <w:wordWrap w:val="0"/>
        <w:spacing w:before="0" w:beforeLines="0" w:after="0" w:afterLines="0" w:line="440" w:lineRule="exact"/>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5.招标投标费用</w:t>
      </w:r>
    </w:p>
    <w:p w14:paraId="4B2ABC14">
      <w:pPr>
        <w:pStyle w:val="13"/>
        <w:shd w:val="clear"/>
        <w:wordWrap w:val="0"/>
        <w:spacing w:before="0" w:beforeLines="0" w:after="0" w:afterLines="0" w:line="440" w:lineRule="exact"/>
        <w:ind w:firstLine="420" w:firstLineChars="200"/>
        <w:rPr>
          <w:rFonts w:hint="eastAsia" w:hAnsi="宋体" w:cs="宋体"/>
          <w:b/>
          <w:color w:val="auto"/>
          <w:sz w:val="21"/>
          <w:szCs w:val="21"/>
          <w:highlight w:val="none"/>
        </w:rPr>
      </w:pPr>
      <w:r>
        <w:rPr>
          <w:rFonts w:hint="eastAsia" w:hAnsi="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7A81FF80">
      <w:pPr>
        <w:pStyle w:val="13"/>
        <w:shd w:val="clear"/>
        <w:wordWrap w:val="0"/>
        <w:spacing w:before="0" w:beforeLines="0" w:after="0" w:afterLines="0" w:line="440" w:lineRule="exact"/>
        <w:ind w:firstLine="480"/>
        <w:rPr>
          <w:rFonts w:hint="eastAsia" w:hAnsi="宋体" w:cs="宋体"/>
          <w:b/>
          <w:color w:val="auto"/>
          <w:sz w:val="21"/>
          <w:szCs w:val="21"/>
          <w:highlight w:val="none"/>
        </w:rPr>
      </w:pPr>
      <w:r>
        <w:rPr>
          <w:rFonts w:hint="eastAsia" w:hAnsi="宋体" w:cs="宋体"/>
          <w:b/>
          <w:color w:val="auto"/>
          <w:sz w:val="21"/>
          <w:szCs w:val="21"/>
          <w:highlight w:val="none"/>
        </w:rPr>
        <w:t xml:space="preserve">6.现场勘查 </w:t>
      </w:r>
    </w:p>
    <w:p w14:paraId="3A870991">
      <w:pPr>
        <w:pStyle w:val="13"/>
        <w:shd w:val="clear"/>
        <w:wordWrap w:val="0"/>
        <w:spacing w:before="0" w:beforeLines="0" w:after="0" w:afterLines="0" w:line="440" w:lineRule="exact"/>
        <w:ind w:firstLine="480"/>
        <w:rPr>
          <w:rFonts w:hint="eastAsia" w:hAnsi="宋体" w:cs="宋体"/>
          <w:color w:val="auto"/>
          <w:sz w:val="21"/>
          <w:szCs w:val="21"/>
          <w:highlight w:val="none"/>
        </w:rPr>
      </w:pPr>
      <w:r>
        <w:rPr>
          <w:rFonts w:hint="eastAsia" w:hAnsi="宋体" w:cs="宋体"/>
          <w:color w:val="auto"/>
          <w:sz w:val="21"/>
          <w:szCs w:val="21"/>
          <w:highlight w:val="none"/>
        </w:rPr>
        <w:t>6.1采购方不统一组织投标人前往项目实施场地踏勘，根据项目实际投标需求，投标人可自行前往项目实施场地进行现场踏勘，以获取编制投标文件所需资料，如投标人因未现场踏勘原因导致投标文件出现错误或遗漏的，由投标人自行承担责任。</w:t>
      </w:r>
    </w:p>
    <w:p w14:paraId="4D708D7A">
      <w:pPr>
        <w:pStyle w:val="13"/>
        <w:shd w:val="clear"/>
        <w:wordWrap w:val="0"/>
        <w:spacing w:before="0" w:beforeLines="0" w:after="0" w:afterLines="0" w:line="440" w:lineRule="exact"/>
        <w:ind w:firstLine="480"/>
        <w:rPr>
          <w:rFonts w:hint="eastAsia" w:hAnsi="宋体" w:cs="宋体"/>
          <w:color w:val="auto"/>
          <w:sz w:val="21"/>
          <w:szCs w:val="21"/>
          <w:highlight w:val="none"/>
        </w:rPr>
      </w:pPr>
      <w:r>
        <w:rPr>
          <w:rFonts w:hint="eastAsia" w:hAnsi="宋体" w:cs="宋体"/>
          <w:color w:val="auto"/>
          <w:sz w:val="21"/>
          <w:szCs w:val="21"/>
          <w:highlight w:val="none"/>
        </w:rPr>
        <w:t>6.2投标人在考察过程中发生的各类事件及所发生的各项费用，均由投标人自行承担。采购人和代理机构概不负责。</w:t>
      </w:r>
    </w:p>
    <w:p w14:paraId="79F6EDD5">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6.3采购人向投标人提供的有关现场的数据和资料，是采购人现有的能被投标人利用的资料，采购人对投标人据此做出的任何推论、理解和结论不负责任。</w:t>
      </w:r>
    </w:p>
    <w:p w14:paraId="158EF8A5">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6.4现场踏勘完毕，认为投标人已了解现场情况，并充分理解了为之所承担的风险、义务和责任。</w:t>
      </w:r>
    </w:p>
    <w:p w14:paraId="559286E1">
      <w:pPr>
        <w:shd w:val="clear"/>
        <w:wordWrap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1CDB8895">
      <w:pPr>
        <w:shd w:val="clear"/>
        <w:wordWrap w:val="0"/>
        <w:spacing w:line="440" w:lineRule="exact"/>
        <w:ind w:firstLine="420" w:firstLineChars="200"/>
        <w:rPr>
          <w:rFonts w:hint="eastAsia" w:ascii="宋体" w:hAnsi="宋体" w:cs="宋体"/>
          <w:color w:val="auto"/>
          <w:szCs w:val="21"/>
          <w:highlight w:val="none"/>
        </w:rPr>
      </w:pPr>
      <w:bookmarkStart w:id="35" w:name="_Toc274303230"/>
      <w:bookmarkStart w:id="36" w:name="_Toc362250688"/>
      <w:r>
        <w:rPr>
          <w:rFonts w:hint="eastAsia" w:ascii="宋体" w:hAnsi="宋体" w:cs="宋体"/>
          <w:color w:val="auto"/>
          <w:szCs w:val="21"/>
          <w:highlight w:val="none"/>
        </w:rPr>
        <w:t>本项目接受联合体投标，但联合体单位不得超过两家。</w:t>
      </w:r>
    </w:p>
    <w:p w14:paraId="521F78AE">
      <w:pPr>
        <w:pStyle w:val="3"/>
        <w:shd w:val="clear"/>
        <w:wordWrap w:val="0"/>
        <w:spacing w:before="0" w:after="0" w:line="440" w:lineRule="exact"/>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二、招标文件</w:t>
      </w:r>
      <w:bookmarkEnd w:id="35"/>
      <w:bookmarkEnd w:id="36"/>
    </w:p>
    <w:p w14:paraId="6004D240">
      <w:pPr>
        <w:shd w:val="clear"/>
        <w:wordWrap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61C77F95">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2019E5BE">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采购公告</w:t>
      </w:r>
    </w:p>
    <w:p w14:paraId="1FC5825D">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2613B6CA">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22779124">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024AB978">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31CA8FD1">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0FFEB266">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拟签订的合同文本</w:t>
      </w:r>
    </w:p>
    <w:p w14:paraId="5CAD39C5">
      <w:pPr>
        <w:shd w:val="clear"/>
        <w:wordWrap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54EEADFE">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8.2除8.1内容外，采购人在提交投标文件截止时间前，以书面形式发出的对招标文件的澄清或修改内容，均为招标文件的组成部分，对采购人和投标人起约束作用。</w:t>
      </w:r>
    </w:p>
    <w:p w14:paraId="33D2DA17">
      <w:pPr>
        <w:shd w:val="clear"/>
        <w:wordWrap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49AAC07F">
      <w:pPr>
        <w:shd w:val="clear"/>
        <w:wordWrap w:val="0"/>
        <w:spacing w:line="440" w:lineRule="exact"/>
        <w:ind w:firstLine="420" w:firstLineChars="200"/>
        <w:rPr>
          <w:rFonts w:hint="eastAsia" w:ascii="宋体" w:hAnsi="宋体" w:cs="宋体"/>
          <w:b/>
          <w:bCs/>
          <w:color w:val="auto"/>
          <w:szCs w:val="21"/>
          <w:highlight w:val="none"/>
          <w:shd w:val="pct10" w:color="auto" w:fill="FFFFFF"/>
        </w:rPr>
      </w:pPr>
      <w:r>
        <w:rPr>
          <w:rFonts w:hint="eastAsia" w:ascii="宋体" w:hAnsi="宋体" w:cs="宋体"/>
          <w:color w:val="auto"/>
          <w:szCs w:val="21"/>
          <w:highlight w:val="none"/>
        </w:rPr>
        <w:t>8.4</w:t>
      </w:r>
      <w:r>
        <w:rPr>
          <w:rFonts w:hint="eastAsia" w:ascii="宋体" w:hAnsi="宋体" w:cs="宋体"/>
          <w:b/>
          <w:bCs/>
          <w:color w:val="auto"/>
          <w:szCs w:val="21"/>
          <w:highlight w:val="none"/>
          <w:lang w:val="zh-CN"/>
        </w:rPr>
        <w:t>投标人应认真阅读投标须知、合同条件、规定格式、项目要求、报价要求等招标文件所有的内容。如果投标人的投标文件不能符合招标文件的要求，责任由投标人自负。实质上不响应招标文件要求的投标文件将被拒绝。</w:t>
      </w:r>
    </w:p>
    <w:p w14:paraId="1572B794">
      <w:pPr>
        <w:pStyle w:val="113"/>
        <w:shd w:val="clear"/>
        <w:wordWrap w:val="0"/>
        <w:spacing w:line="44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8</w:t>
      </w:r>
      <w:r>
        <w:rPr>
          <w:rFonts w:hint="eastAsia" w:ascii="宋体" w:hAnsi="宋体" w:cs="宋体"/>
          <w:color w:val="auto"/>
          <w:sz w:val="21"/>
          <w:szCs w:val="21"/>
          <w:highlight w:val="none"/>
        </w:rPr>
        <w:t>.5招标方在政采云系统上设定的内容与招标文件的内容不一致的，以招标文件的内容为准。</w:t>
      </w:r>
    </w:p>
    <w:p w14:paraId="393335A7">
      <w:pPr>
        <w:shd w:val="clear"/>
        <w:wordWrap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5AC687FD">
      <w:pPr>
        <w:shd w:val="clear"/>
        <w:wordWrap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9.1投标人若对招标文件有任何疑问，应于前附表规定的时间以书面形式向采购人和代理机构提出。</w:t>
      </w:r>
    </w:p>
    <w:p w14:paraId="71A1CF79">
      <w:pPr>
        <w:shd w:val="clear"/>
        <w:wordWrap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9.2无论是采购方根据需要主动对招标文件进行必要澄清，或是根据投标人的要求对招标文件做出澄清，采购方的澄清文件会在浙江政府采购网上统一以公告的形式发布，同时政采云系统会向所有已按招标文件规定方式获取招标文件的潜在投标人发送更正提醒信息，潜在投标人请自行到浙江政府采购网上下载澄清（更正）文件，如因投标人未及时关注网上发布的信息而导致的一切投标后果由投标人自行承担。</w:t>
      </w:r>
    </w:p>
    <w:p w14:paraId="7282C017">
      <w:pPr>
        <w:shd w:val="clear"/>
        <w:wordWrap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9.3投标人在前附表规定时间未提交疑问的，视作默认对本次招标过程中招标文件无异议，采购人对其提出的问题可以不作解释。</w:t>
      </w:r>
    </w:p>
    <w:p w14:paraId="7F0DC90E">
      <w:pPr>
        <w:shd w:val="clear"/>
        <w:wordWrap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9.4招标文件澄清、修改、补充等内容均以公告形式明确的内容为准。当招标文件、招标文件的澄清、修改、补充等在同一内容的表述上不一致时，以最后发出的公告文件为准。</w:t>
      </w:r>
    </w:p>
    <w:p w14:paraId="63522842">
      <w:pPr>
        <w:shd w:val="clear"/>
        <w:wordWrap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9.5采购人及招标代理机构工作人员向投标人所作的任何口头答复或电话通知一律无效。</w:t>
      </w:r>
    </w:p>
    <w:p w14:paraId="25967771">
      <w:pPr>
        <w:shd w:val="clear"/>
        <w:wordWrap w:val="0"/>
        <w:spacing w:line="440" w:lineRule="exact"/>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9.6投标人应仔细阅读和检查招标文件的全部内容。如发现缺页或附件不全，应及时向采购人提出，以便补齐。如有疑问，应在投标人须知前附表规定的方式及时间前以书面或传真形式要求澄清问题的文件，要求采购人对招标文件予以澄清。否则，由此引起的损失由投标人自己承担</w:t>
      </w:r>
      <w:r>
        <w:rPr>
          <w:rFonts w:hint="eastAsia" w:ascii="宋体" w:hAnsi="宋体" w:cs="宋体"/>
          <w:color w:val="auto"/>
          <w:spacing w:val="-4"/>
          <w:szCs w:val="21"/>
          <w:highlight w:val="none"/>
        </w:rPr>
        <w:t>。</w:t>
      </w:r>
    </w:p>
    <w:p w14:paraId="40AE5879">
      <w:pPr>
        <w:pStyle w:val="3"/>
        <w:shd w:val="clear"/>
        <w:wordWrap w:val="0"/>
        <w:spacing w:before="0" w:after="0" w:line="440" w:lineRule="exact"/>
        <w:ind w:firstLine="422" w:firstLineChars="200"/>
        <w:rPr>
          <w:rFonts w:hint="eastAsia" w:ascii="宋体" w:hAnsi="宋体" w:cs="宋体"/>
          <w:color w:val="auto"/>
          <w:sz w:val="21"/>
          <w:szCs w:val="21"/>
          <w:highlight w:val="none"/>
        </w:rPr>
      </w:pPr>
      <w:bookmarkStart w:id="37" w:name="_Toc274303231"/>
      <w:bookmarkStart w:id="38" w:name="_Toc362250689"/>
      <w:r>
        <w:rPr>
          <w:rFonts w:hint="eastAsia" w:ascii="宋体" w:hAnsi="宋体" w:cs="宋体"/>
          <w:color w:val="auto"/>
          <w:sz w:val="21"/>
          <w:szCs w:val="21"/>
          <w:highlight w:val="none"/>
        </w:rPr>
        <w:t>三、投标文件</w:t>
      </w:r>
      <w:bookmarkEnd w:id="37"/>
      <w:bookmarkEnd w:id="38"/>
    </w:p>
    <w:p w14:paraId="52E71A5C">
      <w:pPr>
        <w:shd w:val="clear"/>
        <w:wordWrap w:val="0"/>
        <w:spacing w:line="440" w:lineRule="exact"/>
        <w:ind w:firstLine="48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2B4A2319">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10.1投标文件和与投标有关的所有文件均应使用中文。</w:t>
      </w:r>
    </w:p>
    <w:p w14:paraId="0E380B32">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10.2除工程规范另有规定外，投标文件使用的度量衡单位，均采用中华人民共和国法定计量单位。</w:t>
      </w:r>
    </w:p>
    <w:p w14:paraId="1D598708">
      <w:pPr>
        <w:shd w:val="clear"/>
        <w:wordWrap w:val="0"/>
        <w:spacing w:line="44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5AA8A18B">
      <w:pPr>
        <w:pStyle w:val="21"/>
        <w:shd w:val="clear"/>
        <w:wordWrap w:val="0"/>
        <w:spacing w:before="0" w:after="0" w:afterLines="0" w:line="440" w:lineRule="exact"/>
        <w:textAlignment w:val="baseline"/>
        <w:rPr>
          <w:rFonts w:cs="宋体"/>
          <w:color w:val="auto"/>
          <w:kern w:val="0"/>
          <w:sz w:val="21"/>
          <w:szCs w:val="21"/>
          <w:highlight w:val="none"/>
        </w:rPr>
      </w:pPr>
      <w:r>
        <w:rPr>
          <w:rFonts w:cs="宋体"/>
          <w:b/>
          <w:bCs/>
          <w:color w:val="auto"/>
          <w:kern w:val="0"/>
          <w:sz w:val="21"/>
          <w:szCs w:val="21"/>
          <w:highlight w:val="none"/>
        </w:rPr>
        <w:t xml:space="preserve">    </w:t>
      </w:r>
      <w:r>
        <w:rPr>
          <w:rFonts w:cs="宋体"/>
          <w:color w:val="auto"/>
          <w:kern w:val="0"/>
          <w:sz w:val="21"/>
          <w:szCs w:val="21"/>
          <w:highlight w:val="none"/>
        </w:rPr>
        <w:t>11.1投标人应仔细阅读招标文件，了解招标文件的要求，在完全了解招标项目的要求后，编制投标文件。</w:t>
      </w:r>
    </w:p>
    <w:p w14:paraId="3497E5C8">
      <w:pPr>
        <w:pStyle w:val="11"/>
        <w:shd w:val="clear"/>
        <w:wordWrap w:val="0"/>
        <w:spacing w:after="0" w:line="44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11.2编制投标文件时，投标人对招标文件中的要求须逐项逐条作出实质性回答，</w:t>
      </w:r>
      <w:r>
        <w:rPr>
          <w:rFonts w:hint="eastAsia" w:ascii="宋体" w:hAnsi="宋体" w:cs="宋体"/>
          <w:color w:val="auto"/>
          <w:sz w:val="21"/>
          <w:szCs w:val="21"/>
          <w:highlight w:val="none"/>
        </w:rPr>
        <w:t>若有偏离的均应在采购需求偏离表中提出。</w:t>
      </w:r>
      <w:r>
        <w:rPr>
          <w:rFonts w:hint="eastAsia" w:ascii="宋体" w:hAnsi="宋体" w:cs="宋体"/>
          <w:color w:val="auto"/>
          <w:kern w:val="0"/>
          <w:sz w:val="21"/>
          <w:szCs w:val="21"/>
          <w:highlight w:val="none"/>
        </w:rPr>
        <w:t>顺序编号清楚，可用描述性文字及说明材料（说明材料必须加盖</w:t>
      </w:r>
      <w:r>
        <w:rPr>
          <w:rFonts w:hint="eastAsia" w:ascii="宋体" w:hAnsi="宋体" w:cs="宋体"/>
          <w:color w:val="auto"/>
          <w:sz w:val="21"/>
          <w:szCs w:val="21"/>
          <w:highlight w:val="none"/>
        </w:rPr>
        <w:t>电子签章</w:t>
      </w:r>
      <w:r>
        <w:rPr>
          <w:rFonts w:hint="eastAsia" w:ascii="宋体" w:hAnsi="宋体" w:cs="宋体"/>
          <w:color w:val="auto"/>
          <w:kern w:val="0"/>
          <w:sz w:val="21"/>
          <w:szCs w:val="21"/>
          <w:highlight w:val="none"/>
        </w:rPr>
        <w:t>）。</w:t>
      </w:r>
    </w:p>
    <w:p w14:paraId="2AFDDEE5">
      <w:pPr>
        <w:shd w:val="clear"/>
        <w:wordWrap w:val="0"/>
        <w:spacing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11.3 在招标文件对商务技术要求中，投标人必须充分应答和满足用户的强制性的需求，如“★”等，否则将导致废标。</w:t>
      </w:r>
    </w:p>
    <w:p w14:paraId="1780451B">
      <w:pPr>
        <w:shd w:val="clear"/>
        <w:wordWrap w:val="0"/>
        <w:spacing w:line="440" w:lineRule="exact"/>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投标人应提供说明其拟提供的合格性及符合招标文件规定的文件，作为其投标文件的一部分。</w:t>
      </w:r>
    </w:p>
    <w:p w14:paraId="5286023A">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编制的投标文件对招标文件中有关条款未提出异议的，均被视为接受和同意。</w:t>
      </w:r>
    </w:p>
    <w:p w14:paraId="4951C97E">
      <w:pPr>
        <w:shd w:val="clear"/>
        <w:wordWrap w:val="0"/>
        <w:spacing w:line="440" w:lineRule="exact"/>
        <w:ind w:firstLine="48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600DE7F1">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4E7ECD0A">
      <w:pPr>
        <w:shd w:val="clear"/>
        <w:wordWrap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★12.2 递交的投标文件应分为资格响应文件、商务技术响应文件和报价响应文件，资格响应文件、商务技术响应文件为除报价响应文件外的所有内容，电子投标文件中所有加盖公章均采用CA签章。资格响应文件、商务技术响应文件不得含投标报价</w:t>
      </w:r>
      <w:r>
        <w:rPr>
          <w:rFonts w:hint="eastAsia" w:ascii="宋体" w:hAnsi="宋体" w:cs="宋体"/>
          <w:color w:val="auto"/>
          <w:szCs w:val="21"/>
          <w:highlight w:val="none"/>
        </w:rPr>
        <w:t>。</w:t>
      </w:r>
    </w:p>
    <w:p w14:paraId="0417784C">
      <w:pPr>
        <w:pStyle w:val="13"/>
        <w:shd w:val="clear"/>
        <w:wordWrap w:val="0"/>
        <w:spacing w:before="0" w:beforeLines="0" w:after="0" w:afterLines="0" w:line="44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12.3资格响应文件：应包括下列内容（并不仅限于以下）：(扫描件需加盖单位电子签章，提供的所有证书应在有效期内，逾期的无效）</w:t>
      </w:r>
    </w:p>
    <w:p w14:paraId="3EC17024">
      <w:pPr>
        <w:pStyle w:val="19"/>
        <w:shd w:val="clear"/>
        <w:wordWrap w:val="0"/>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（1）有效的法人或者其他组织的营业执照等文件，自然人的身份证；</w:t>
      </w:r>
    </w:p>
    <w:p w14:paraId="6B42F447">
      <w:pPr>
        <w:pStyle w:val="19"/>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rPr>
        <w:t>（2）符合参加政府采购活动应当具备的一般条件的承诺函；</w:t>
      </w:r>
    </w:p>
    <w:p w14:paraId="18232DCC">
      <w:pPr>
        <w:pStyle w:val="26"/>
        <w:shd w:val="clear"/>
        <w:wordWrap w:val="0"/>
        <w:spacing w:line="440" w:lineRule="exact"/>
        <w:ind w:firstLine="406" w:firstLineChars="200"/>
        <w:rPr>
          <w:rFonts w:hint="eastAsia" w:hAnsi="宋体" w:cs="宋体"/>
          <w:b/>
          <w:color w:val="auto"/>
          <w:sz w:val="21"/>
          <w:szCs w:val="21"/>
          <w:highlight w:val="none"/>
        </w:rPr>
      </w:pPr>
      <w:r>
        <w:rPr>
          <w:rFonts w:hint="eastAsia" w:hAnsi="宋体" w:cs="宋体"/>
          <w:b/>
          <w:color w:val="auto"/>
          <w:sz w:val="21"/>
          <w:szCs w:val="21"/>
          <w:highlight w:val="none"/>
        </w:rPr>
        <w:t>12.4商务技术响应文件：应包括下列内容（并不仅限于以下）：(扫描件需加盖单位电子签章，提供的所有证书应在有效期内，逾期的无效）</w:t>
      </w:r>
    </w:p>
    <w:p w14:paraId="2A7E2F6A">
      <w:pPr>
        <w:pStyle w:val="19"/>
        <w:shd w:val="clear"/>
        <w:wordWrap w:val="0"/>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（1）授权委托书/法定代表人（单位负责人、自然人本人）身份证</w:t>
      </w:r>
    </w:p>
    <w:p w14:paraId="24B72E5E">
      <w:pPr>
        <w:pStyle w:val="19"/>
        <w:shd w:val="clear"/>
        <w:wordWrap w:val="0"/>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（2）投标人同类业绩一览表</w:t>
      </w:r>
    </w:p>
    <w:p w14:paraId="79797ADF">
      <w:pPr>
        <w:pStyle w:val="19"/>
        <w:shd w:val="clear"/>
        <w:spacing w:before="120" w:beforeLines="50"/>
        <w:ind w:firstLine="42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（3）软件著作权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数据来源</w:t>
      </w:r>
    </w:p>
    <w:p w14:paraId="22806EAD">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（4）采购需求偏离表</w:t>
      </w:r>
    </w:p>
    <w:p w14:paraId="6B603726">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（5）货物配置清单</w:t>
      </w:r>
    </w:p>
    <w:p w14:paraId="04AABBBE">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（6）技术方案</w:t>
      </w:r>
    </w:p>
    <w:p w14:paraId="049F4C09">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（7）售后服务方案</w:t>
      </w:r>
    </w:p>
    <w:p w14:paraId="701603E1">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（8）培训方案</w:t>
      </w:r>
    </w:p>
    <w:p w14:paraId="25D33D62">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★（9）义乌市政府采购项目投标承诺书</w:t>
      </w:r>
    </w:p>
    <w:p w14:paraId="575F7173">
      <w:pPr>
        <w:pStyle w:val="19"/>
        <w:shd w:val="clear"/>
        <w:spacing w:before="120" w:beforeLines="5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（10）投标人认为须提供的其他资料</w:t>
      </w:r>
    </w:p>
    <w:p w14:paraId="63965E72">
      <w:pPr>
        <w:pStyle w:val="19"/>
        <w:shd w:val="clear"/>
        <w:spacing w:before="120" w:beforeLines="50"/>
        <w:ind w:firstLine="420"/>
        <w:rPr>
          <w:rFonts w:hint="eastAsia" w:ascii="宋体" w:hAnsi="宋体" w:cs="宋体"/>
          <w:b/>
          <w:color w:val="auto"/>
          <w:spacing w:val="-4"/>
          <w:sz w:val="21"/>
          <w:szCs w:val="21"/>
          <w:highlight w:val="none"/>
        </w:rPr>
      </w:pPr>
      <w:r>
        <w:rPr>
          <w:rFonts w:hint="eastAsia" w:ascii="宋体" w:hAnsi="宋体" w:cs="宋体"/>
          <w:b/>
          <w:color w:val="auto"/>
          <w:spacing w:val="-4"/>
          <w:sz w:val="21"/>
          <w:szCs w:val="21"/>
          <w:highlight w:val="none"/>
        </w:rPr>
        <w:t>12.5报价响应文件：应包括下列内容（并不仅限于以下）：</w:t>
      </w:r>
    </w:p>
    <w:p w14:paraId="19CF9A69">
      <w:pPr>
        <w:pStyle w:val="13"/>
        <w:shd w:val="clear"/>
        <w:wordWrap w:val="0"/>
        <w:spacing w:before="0" w:beforeLines="0" w:after="0" w:afterLines="0" w:line="440" w:lineRule="exact"/>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w:t>
      </w:r>
    </w:p>
    <w:p w14:paraId="193A2C69">
      <w:pPr>
        <w:pStyle w:val="19"/>
        <w:shd w:val="clear"/>
        <w:wordWrap w:val="0"/>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（2）开标一览表</w:t>
      </w:r>
    </w:p>
    <w:p w14:paraId="5DE324F6">
      <w:pPr>
        <w:shd w:val="clear"/>
        <w:wordWrap w:val="0"/>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（3）报价情况说明（如有）</w:t>
      </w:r>
    </w:p>
    <w:p w14:paraId="59A43D96">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小企业声明函（如有）｛符合中小微企业有关政策的投标人需提供本项材料。投标人应根据《软件和信息技术服务业和信息化部、国家统计局、国家发展和改革委员会、财政部关于印发中小企业划型标准规定的通知》（工信部联企业〔2011〕300号）规定的划分标准，填报企业规模类型。投标人也可在国务院客户端或软件和信息技术服务业和信息化部网站上，使用中小企业规模类型自测小程序识别企业规模类型｝；</w:t>
      </w:r>
    </w:p>
    <w:p w14:paraId="45613628">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）属于监狱企业的说明文件（符合监狱企业有关政策的投标人需提供本项材料）；</w:t>
      </w:r>
    </w:p>
    <w:p w14:paraId="73F40C87">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）残疾人福利性单位声明函（符合残疾人福利性单位有关政策的投标人需提供本项材料）。</w:t>
      </w:r>
    </w:p>
    <w:p w14:paraId="5D0975D9">
      <w:pPr>
        <w:shd w:val="clear"/>
        <w:wordWrap w:val="0"/>
        <w:spacing w:line="44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13.投标人资格的有关说明资料</w:t>
      </w:r>
    </w:p>
    <w:p w14:paraId="6E0146C0">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13.1投标人应提交说明其有资格参加投标和中标后有能力履行合同的文件，并作为其投标文件的一部分。</w:t>
      </w:r>
    </w:p>
    <w:p w14:paraId="3E084D0B">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投标人提交的合格性的说明文件应使采购人满意，投标人在投标时应是符合条件的投标人。</w:t>
      </w:r>
    </w:p>
    <w:p w14:paraId="76FCD611">
      <w:pPr>
        <w:pStyle w:val="13"/>
        <w:shd w:val="clear"/>
        <w:wordWrap w:val="0"/>
        <w:spacing w:before="0" w:beforeLines="0" w:after="0" w:afterLines="0" w:line="440" w:lineRule="exact"/>
        <w:ind w:firstLine="413" w:firstLineChars="196"/>
        <w:rPr>
          <w:rFonts w:hint="eastAsia" w:hAnsi="宋体" w:cs="宋体"/>
          <w:b/>
          <w:bCs/>
          <w:color w:val="auto"/>
          <w:sz w:val="21"/>
          <w:szCs w:val="21"/>
          <w:highlight w:val="none"/>
        </w:rPr>
      </w:pPr>
      <w:r>
        <w:rPr>
          <w:rFonts w:hint="eastAsia" w:hAnsi="宋体" w:cs="宋体"/>
          <w:b/>
          <w:bCs/>
          <w:color w:val="auto"/>
          <w:sz w:val="21"/>
          <w:szCs w:val="21"/>
          <w:highlight w:val="none"/>
        </w:rPr>
        <w:t>14.报价要求</w:t>
      </w:r>
    </w:p>
    <w:p w14:paraId="4AD18F8B">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14.1投标人应根据国家的有关规定和</w:t>
      </w:r>
      <w:r>
        <w:rPr>
          <w:rFonts w:hint="eastAsia" w:hAnsi="宋体" w:cs="宋体"/>
          <w:b/>
          <w:color w:val="auto"/>
          <w:sz w:val="21"/>
          <w:szCs w:val="21"/>
          <w:highlight w:val="none"/>
        </w:rPr>
        <w:t>招标文件要求</w:t>
      </w:r>
      <w:r>
        <w:rPr>
          <w:rFonts w:hint="eastAsia" w:hAnsi="宋体" w:cs="宋体"/>
          <w:color w:val="auto"/>
          <w:sz w:val="21"/>
          <w:szCs w:val="21"/>
          <w:highlight w:val="none"/>
        </w:rPr>
        <w:t>并结合企业的实际情况进行报价。报价以人民币为结算货币，投标报价包括货物价款、附件、配件、备品备件、维修工具、运输费、装卸费、安装调试费、系统集成费、技术指导费、第三方检测费、维护费、技术资料费、保险费、利润、税金、售后服务费、完成本项目的其他费用和政策性文件规定及合同包含的所有风险、责任等各项应有费用，如有漏项，视同已包含在其总项目中，合同总价不予调整。</w:t>
      </w:r>
    </w:p>
    <w:p w14:paraId="5B6723E9">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14.2中标后，</w:t>
      </w:r>
      <w:r>
        <w:rPr>
          <w:rFonts w:hint="eastAsia" w:hAnsi="宋体" w:cs="宋体"/>
          <w:b/>
          <w:color w:val="auto"/>
          <w:sz w:val="21"/>
          <w:szCs w:val="21"/>
          <w:highlight w:val="none"/>
        </w:rPr>
        <w:t>中标人所填写的单价在合同实施期间不因市场变化因素而变动；</w:t>
      </w:r>
      <w:r>
        <w:rPr>
          <w:rFonts w:hint="eastAsia" w:hAnsi="宋体" w:cs="宋体"/>
          <w:color w:val="auto"/>
          <w:sz w:val="21"/>
          <w:szCs w:val="21"/>
          <w:highlight w:val="none"/>
        </w:rPr>
        <w:t>投标人在计算报价时应考虑一定的风险系数。</w:t>
      </w:r>
    </w:p>
    <w:p w14:paraId="65D04766">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14.3投标人应按招标文件规定的报价格式进行投标报价。投标人对每项服务只允许有一个报价，采购人不接受任何有选择性的报价。</w:t>
      </w:r>
    </w:p>
    <w:p w14:paraId="077BCF56">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14.4</w:t>
      </w:r>
      <w:r>
        <w:rPr>
          <w:rFonts w:hint="eastAsia" w:hAnsi="宋体" w:cs="宋体"/>
          <w:color w:val="auto"/>
          <w:spacing w:val="-8"/>
          <w:sz w:val="21"/>
          <w:szCs w:val="21"/>
          <w:highlight w:val="none"/>
        </w:rPr>
        <w:t>采购人不接受低于成本的投标报价，也不接受招标项目范围内的捐赠。</w:t>
      </w:r>
    </w:p>
    <w:p w14:paraId="44376EC8">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14.5投标人按照上述要求编制投标报价。一旦确认某一投标人中标，除合同规定的可调整内容外，中标人不得要求追加任何费用。</w:t>
      </w:r>
    </w:p>
    <w:p w14:paraId="13C07D5F">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14.6须由中标单位开具正式发票。</w:t>
      </w:r>
    </w:p>
    <w:p w14:paraId="36CE3C4E">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14.7招标文件中规定由投标人承担并支付的相关费用在投标报价时应一并考虑。</w:t>
      </w:r>
    </w:p>
    <w:p w14:paraId="7896FC1B">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14.8投标人应按招标文件以及规定的格式及内容填写报价等相关表格。对没有填报的费用，采购人将不予支付，并认为此项费用已包含在投标总价中。</w:t>
      </w:r>
    </w:p>
    <w:p w14:paraId="33BBE987">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14.9对同一种货物或工作内容只允许有一个报价，有选择的报价将不予接受。</w:t>
      </w:r>
    </w:p>
    <w:p w14:paraId="52E358F8">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14.10在履约过程中出现任何安全事故由投标人负全责。</w:t>
      </w:r>
    </w:p>
    <w:p w14:paraId="3B12B271">
      <w:pPr>
        <w:shd w:val="clear"/>
        <w:wordWrap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15.投标文件格式</w:t>
      </w:r>
    </w:p>
    <w:p w14:paraId="71466289">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15.1</w:t>
      </w:r>
      <w:r>
        <w:rPr>
          <w:rFonts w:hint="eastAsia" w:ascii="宋体" w:hAnsi="宋体" w:cs="宋体"/>
          <w:color w:val="auto"/>
          <w:szCs w:val="21"/>
          <w:highlight w:val="none"/>
        </w:rPr>
        <w:t>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42409399">
      <w:pPr>
        <w:pStyle w:val="13"/>
        <w:shd w:val="clear"/>
        <w:wordWrap w:val="0"/>
        <w:spacing w:before="0" w:beforeLines="0" w:after="0" w:afterLines="0" w:line="44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16.投标文件编制要求</w:t>
      </w:r>
    </w:p>
    <w:p w14:paraId="3AD244C7">
      <w:pPr>
        <w:shd w:val="clea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16.1投标人应根据电子投标操作指南按本招标文件规定的格式和顺序编制电子投标文件并进行关联定位。</w:t>
      </w:r>
    </w:p>
    <w:p w14:paraId="4F6DB169">
      <w:pPr>
        <w:pStyle w:val="13"/>
        <w:shd w:val="clear"/>
        <w:wordWrap w:val="0"/>
        <w:spacing w:before="0" w:beforeLines="0" w:after="0" w:afterLines="0" w:line="440" w:lineRule="exact"/>
        <w:ind w:firstLine="420" w:firstLineChars="200"/>
        <w:rPr>
          <w:rFonts w:hint="eastAsia" w:hAnsi="宋体" w:cs="宋体"/>
          <w:color w:val="auto"/>
          <w:spacing w:val="-4"/>
          <w:sz w:val="21"/>
          <w:szCs w:val="21"/>
          <w:highlight w:val="none"/>
        </w:rPr>
      </w:pPr>
      <w:r>
        <w:rPr>
          <w:rFonts w:hint="eastAsia" w:hAnsi="宋体" w:cs="宋体"/>
          <w:color w:val="auto"/>
          <w:sz w:val="21"/>
          <w:szCs w:val="21"/>
          <w:highlight w:val="none"/>
        </w:rPr>
        <w:t>16.2由于未按招标文件的规定要求编制投标文件，导致评审小组作出对投标人的误判，责任由投标人自己承担</w:t>
      </w:r>
      <w:r>
        <w:rPr>
          <w:rFonts w:hint="eastAsia" w:hAnsi="宋体" w:cs="宋体"/>
          <w:color w:val="auto"/>
          <w:spacing w:val="-4"/>
          <w:sz w:val="21"/>
          <w:szCs w:val="21"/>
          <w:highlight w:val="none"/>
        </w:rPr>
        <w:t>。</w:t>
      </w:r>
    </w:p>
    <w:p w14:paraId="2D9CB0FD">
      <w:pPr>
        <w:pStyle w:val="13"/>
        <w:shd w:val="clear"/>
        <w:wordWrap w:val="0"/>
        <w:spacing w:before="0" w:beforeLines="0" w:after="0" w:afterLines="0" w:line="44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17.投标保证金：无。</w:t>
      </w:r>
    </w:p>
    <w:p w14:paraId="1C652161">
      <w:pPr>
        <w:pStyle w:val="13"/>
        <w:shd w:val="clear"/>
        <w:wordWrap w:val="0"/>
        <w:spacing w:before="0" w:beforeLines="0" w:after="0" w:afterLines="0" w:line="44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18.投标人发生下列情况之一时，将按失信行为上报义乌市信用管理部门：</w:t>
      </w:r>
    </w:p>
    <w:p w14:paraId="72CF047E">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（1）投标人在规定的投标有效期内撤回投标或放弃中标的；</w:t>
      </w:r>
    </w:p>
    <w:p w14:paraId="653B892C">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（2）有意串标或提供虚假材料者的；</w:t>
      </w:r>
    </w:p>
    <w:p w14:paraId="6AE4E19E">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（3）中标人在收到中标通知书后，因自身原因不能在投标有效期内和采购人签订合同。</w:t>
      </w:r>
    </w:p>
    <w:p w14:paraId="45FE7E83">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（4）中标人未在规定时间内缴纳招标代理费的。</w:t>
      </w:r>
    </w:p>
    <w:p w14:paraId="6CE31396">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（5）中标投标人在标后履约过程中未按合同约定的期限和要求履约的。</w:t>
      </w:r>
    </w:p>
    <w:p w14:paraId="3C1F875D">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（6）因中标投标人原因在标后履约过程中擅自终止合同的。</w:t>
      </w:r>
    </w:p>
    <w:p w14:paraId="6360F000">
      <w:pPr>
        <w:pStyle w:val="13"/>
        <w:shd w:val="clear"/>
        <w:wordWrap w:val="0"/>
        <w:spacing w:before="0" w:beforeLines="0" w:after="0" w:afterLines="0" w:line="440" w:lineRule="exact"/>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（7）不符合招标文件要求的其他失信行为。</w:t>
      </w:r>
    </w:p>
    <w:p w14:paraId="41E6D228">
      <w:pPr>
        <w:pStyle w:val="13"/>
        <w:shd w:val="clear"/>
        <w:wordWrap w:val="0"/>
        <w:spacing w:before="0" w:beforeLines="0" w:after="0" w:afterLines="0" w:line="440" w:lineRule="exact"/>
        <w:ind w:firstLine="422" w:firstLineChars="200"/>
        <w:rPr>
          <w:rFonts w:hint="eastAsia" w:hAnsi="宋体" w:cs="宋体"/>
          <w:b/>
          <w:color w:val="auto"/>
          <w:kern w:val="0"/>
          <w:sz w:val="21"/>
          <w:szCs w:val="21"/>
          <w:highlight w:val="none"/>
        </w:rPr>
      </w:pPr>
      <w:r>
        <w:rPr>
          <w:rFonts w:hint="eastAsia" w:hAnsi="宋体" w:cs="宋体"/>
          <w:b/>
          <w:color w:val="auto"/>
          <w:kern w:val="0"/>
          <w:sz w:val="21"/>
          <w:szCs w:val="21"/>
          <w:highlight w:val="none"/>
        </w:rPr>
        <w:t>19.采购代理服务费</w:t>
      </w:r>
    </w:p>
    <w:p w14:paraId="619BD750">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kern w:val="0"/>
          <w:sz w:val="21"/>
          <w:szCs w:val="21"/>
          <w:highlight w:val="none"/>
        </w:rPr>
        <w:t>19.1采购代理服务费：</w:t>
      </w:r>
      <w:r>
        <w:rPr>
          <w:rFonts w:hint="eastAsia" w:hAnsi="宋体" w:cs="宋体"/>
          <w:color w:val="auto"/>
          <w:sz w:val="21"/>
          <w:szCs w:val="21"/>
          <w:highlight w:val="none"/>
        </w:rPr>
        <w:t>具体详见下表。</w:t>
      </w:r>
    </w:p>
    <w:tbl>
      <w:tblPr>
        <w:tblStyle w:val="27"/>
        <w:tblW w:w="47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443"/>
        <w:gridCol w:w="5659"/>
      </w:tblGrid>
      <w:tr w14:paraId="56097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91" w:type="pct"/>
            <w:tcMar>
              <w:top w:w="0" w:type="dxa"/>
              <w:left w:w="108" w:type="dxa"/>
              <w:bottom w:w="0" w:type="dxa"/>
              <w:right w:w="108" w:type="dxa"/>
            </w:tcMar>
            <w:vAlign w:val="center"/>
          </w:tcPr>
          <w:p w14:paraId="29E499E9">
            <w:pPr>
              <w:shd w:val="clea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中标金额（万元）</w:t>
            </w:r>
          </w:p>
        </w:tc>
        <w:tc>
          <w:tcPr>
            <w:tcW w:w="3108" w:type="pct"/>
            <w:tcMar>
              <w:top w:w="0" w:type="dxa"/>
              <w:left w:w="108" w:type="dxa"/>
              <w:bottom w:w="0" w:type="dxa"/>
              <w:right w:w="108" w:type="dxa"/>
            </w:tcMar>
            <w:vAlign w:val="center"/>
          </w:tcPr>
          <w:p w14:paraId="04CA2B75">
            <w:pPr>
              <w:shd w:val="clea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收费标准（费率，%）</w:t>
            </w:r>
          </w:p>
        </w:tc>
      </w:tr>
      <w:tr w14:paraId="5EAF6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91" w:type="pct"/>
            <w:tcMar>
              <w:top w:w="0" w:type="dxa"/>
              <w:left w:w="108" w:type="dxa"/>
              <w:bottom w:w="0" w:type="dxa"/>
              <w:right w:w="108" w:type="dxa"/>
            </w:tcMar>
            <w:vAlign w:val="center"/>
          </w:tcPr>
          <w:p w14:paraId="2ADE2F44">
            <w:pPr>
              <w:shd w:val="clear"/>
              <w:wordWrap w:val="0"/>
              <w:jc w:val="center"/>
              <w:rPr>
                <w:rFonts w:hint="eastAsia" w:ascii="宋体" w:hAnsi="宋体" w:cs="宋体"/>
                <w:color w:val="auto"/>
                <w:szCs w:val="21"/>
                <w:highlight w:val="none"/>
              </w:rPr>
            </w:pPr>
            <w:r>
              <w:rPr>
                <w:rFonts w:hint="eastAsia" w:ascii="宋体" w:hAnsi="宋体" w:cs="宋体"/>
                <w:color w:val="auto"/>
                <w:szCs w:val="21"/>
                <w:highlight w:val="none"/>
              </w:rPr>
              <w:t>100以下</w:t>
            </w:r>
          </w:p>
        </w:tc>
        <w:tc>
          <w:tcPr>
            <w:tcW w:w="3108" w:type="pct"/>
            <w:tcMar>
              <w:top w:w="0" w:type="dxa"/>
              <w:left w:w="108" w:type="dxa"/>
              <w:bottom w:w="0" w:type="dxa"/>
              <w:right w:w="108" w:type="dxa"/>
            </w:tcMar>
            <w:vAlign w:val="center"/>
          </w:tcPr>
          <w:p w14:paraId="2009FBA6">
            <w:pPr>
              <w:shd w:val="clear"/>
              <w:wordWrap w:val="0"/>
              <w:jc w:val="center"/>
              <w:rPr>
                <w:rFonts w:hint="eastAsia" w:ascii="宋体" w:hAnsi="宋体" w:cs="宋体"/>
                <w:color w:val="auto"/>
                <w:szCs w:val="21"/>
                <w:highlight w:val="none"/>
              </w:rPr>
            </w:pPr>
            <w:r>
              <w:rPr>
                <w:rFonts w:hint="eastAsia" w:ascii="宋体" w:hAnsi="宋体" w:cs="宋体"/>
                <w:color w:val="auto"/>
                <w:szCs w:val="21"/>
                <w:highlight w:val="none"/>
              </w:rPr>
              <w:t>1.05（不足叁仟元按叁仟元计取）</w:t>
            </w:r>
          </w:p>
        </w:tc>
      </w:tr>
    </w:tbl>
    <w:p w14:paraId="20E57DB2">
      <w:pPr>
        <w:widowControl/>
        <w:shd w:val="clea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19.2</w:t>
      </w:r>
      <w:r>
        <w:rPr>
          <w:rFonts w:hint="eastAsia" w:ascii="宋体" w:hAnsi="宋体" w:cs="宋体"/>
          <w:color w:val="auto"/>
          <w:szCs w:val="21"/>
          <w:highlight w:val="none"/>
        </w:rPr>
        <w:t>采购代理服务费由</w:t>
      </w:r>
      <w:r>
        <w:rPr>
          <w:rFonts w:hint="eastAsia" w:ascii="宋体" w:hAnsi="宋体" w:cs="宋体"/>
          <w:color w:val="auto"/>
          <w:szCs w:val="21"/>
          <w:highlight w:val="none"/>
          <w:u w:val="single"/>
        </w:rPr>
        <w:t>中标人</w:t>
      </w:r>
      <w:r>
        <w:rPr>
          <w:rFonts w:hint="eastAsia" w:ascii="宋体" w:hAnsi="宋体" w:cs="宋体"/>
          <w:color w:val="auto"/>
          <w:szCs w:val="21"/>
          <w:highlight w:val="none"/>
        </w:rPr>
        <w:t>缴纳，可用银行汇票、电汇、银行本票、现金等方式支付，未按规定时间缴纳代理服务费的，将按失信行为上报义乌市信用管理部门。</w:t>
      </w:r>
    </w:p>
    <w:p w14:paraId="7C15208F">
      <w:pPr>
        <w:shd w:val="clear"/>
        <w:tabs>
          <w:tab w:val="left" w:pos="3440"/>
        </w:tabs>
        <w:wordWrap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20.投标有效期</w:t>
      </w:r>
      <w:r>
        <w:rPr>
          <w:rFonts w:hint="eastAsia" w:ascii="宋体" w:hAnsi="宋体" w:cs="宋体"/>
          <w:b/>
          <w:bCs/>
          <w:color w:val="auto"/>
          <w:szCs w:val="21"/>
          <w:highlight w:val="none"/>
        </w:rPr>
        <w:tab/>
      </w:r>
    </w:p>
    <w:p w14:paraId="56816E8F">
      <w:pPr>
        <w:shd w:val="clear"/>
        <w:wordWrap w:val="0"/>
        <w:spacing w:line="44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 投标文件从开标之日起，</w:t>
      </w:r>
      <w:r>
        <w:rPr>
          <w:rFonts w:hint="eastAsia" w:ascii="宋体" w:hAnsi="宋体" w:cs="宋体"/>
          <w:b/>
          <w:bCs/>
          <w:color w:val="auto"/>
          <w:szCs w:val="21"/>
          <w:highlight w:val="none"/>
        </w:rPr>
        <w:t>投标有效期为90天</w:t>
      </w:r>
      <w:r>
        <w:rPr>
          <w:rFonts w:hint="eastAsia" w:ascii="宋体" w:hAnsi="宋体" w:cs="宋体"/>
          <w:color w:val="auto"/>
          <w:szCs w:val="21"/>
          <w:highlight w:val="none"/>
        </w:rPr>
        <w:t>。</w:t>
      </w:r>
    </w:p>
    <w:p w14:paraId="7DF9CF08">
      <w:pPr>
        <w:pStyle w:val="13"/>
        <w:shd w:val="clear"/>
        <w:wordWrap w:val="0"/>
        <w:spacing w:before="0" w:beforeLines="0" w:after="0" w:afterLines="0" w:line="44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20.2 特殊情况下，在原投标有效期截止之前，采购人可要求投标人同意延长有效期，这种要求与答复均应以书面形式提交。</w:t>
      </w:r>
    </w:p>
    <w:p w14:paraId="5EE10CEF">
      <w:pPr>
        <w:pStyle w:val="3"/>
        <w:shd w:val="clear"/>
        <w:wordWrap w:val="0"/>
        <w:spacing w:before="0" w:after="0" w:line="440" w:lineRule="exact"/>
        <w:ind w:firstLine="422" w:firstLineChars="200"/>
        <w:rPr>
          <w:rFonts w:hint="eastAsia" w:ascii="宋体" w:hAnsi="宋体" w:cs="宋体"/>
          <w:color w:val="auto"/>
          <w:sz w:val="21"/>
          <w:szCs w:val="21"/>
          <w:highlight w:val="none"/>
        </w:rPr>
      </w:pPr>
      <w:bookmarkStart w:id="39" w:name="_Toc362250690"/>
      <w:bookmarkStart w:id="40" w:name="_Toc274303232"/>
      <w:r>
        <w:rPr>
          <w:rFonts w:hint="eastAsia" w:ascii="宋体" w:hAnsi="宋体" w:cs="宋体"/>
          <w:color w:val="auto"/>
          <w:sz w:val="21"/>
          <w:szCs w:val="21"/>
          <w:highlight w:val="none"/>
        </w:rPr>
        <w:t>四、投标文件的递交</w:t>
      </w:r>
      <w:bookmarkEnd w:id="39"/>
      <w:bookmarkEnd w:id="40"/>
    </w:p>
    <w:p w14:paraId="5FA6D5DB">
      <w:pPr>
        <w:shd w:val="clear"/>
        <w:tabs>
          <w:tab w:val="left" w:pos="315"/>
        </w:tabs>
        <w:wordWrap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21.电子投标文件上传的地点和截止时间</w:t>
      </w:r>
    </w:p>
    <w:p w14:paraId="53DFB1C4">
      <w:pPr>
        <w:shd w:val="clear"/>
        <w:tabs>
          <w:tab w:val="left" w:pos="315"/>
        </w:tabs>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投标人应于</w:t>
      </w:r>
      <w:r>
        <w:rPr>
          <w:rFonts w:hint="eastAsia" w:ascii="宋体" w:hAnsi="宋体" w:cs="宋体"/>
          <w:b/>
          <w:bCs/>
          <w:color w:val="auto"/>
          <w:szCs w:val="21"/>
          <w:highlight w:val="none"/>
          <w:lang w:eastAsia="zh-CN"/>
        </w:rPr>
        <w:t>2026年4月29日14:00:00</w:t>
      </w:r>
      <w:r>
        <w:rPr>
          <w:rFonts w:hint="eastAsia" w:ascii="宋体" w:hAnsi="宋体" w:cs="宋体"/>
          <w:b/>
          <w:bCs/>
          <w:color w:val="auto"/>
          <w:szCs w:val="21"/>
          <w:highlight w:val="none"/>
        </w:rPr>
        <w:t>（北京时间）</w:t>
      </w:r>
      <w:r>
        <w:rPr>
          <w:rFonts w:hint="eastAsia" w:ascii="宋体" w:hAnsi="宋体" w:cs="宋体"/>
          <w:color w:val="auto"/>
          <w:szCs w:val="21"/>
          <w:highlight w:val="none"/>
        </w:rPr>
        <w:t>前在“政采云”平台上自行加密上传电子投标文件，逾期上传或未按要求上传的投标文件将予以拒收。</w:t>
      </w:r>
    </w:p>
    <w:p w14:paraId="15E78EBA">
      <w:pPr>
        <w:shd w:val="clear"/>
        <w:tabs>
          <w:tab w:val="left" w:pos="315"/>
        </w:tabs>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22.迟交的投标文件</w:t>
      </w:r>
    </w:p>
    <w:p w14:paraId="7A2EE92D">
      <w:pPr>
        <w:shd w:val="clear"/>
        <w:tabs>
          <w:tab w:val="left" w:pos="315"/>
        </w:tabs>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招标方在规定的投标截止时间以后“政采云”平台将不接收投标文件。</w:t>
      </w:r>
    </w:p>
    <w:p w14:paraId="196E8D4E">
      <w:pPr>
        <w:shd w:val="clear"/>
        <w:tabs>
          <w:tab w:val="left" w:pos="315"/>
        </w:tabs>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23.投标文件解密</w:t>
      </w:r>
    </w:p>
    <w:p w14:paraId="4A7AC843">
      <w:pPr>
        <w:shd w:val="clear"/>
        <w:tabs>
          <w:tab w:val="left" w:pos="315"/>
        </w:tabs>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开标时间后1小时内（</w:t>
      </w:r>
      <w:r>
        <w:rPr>
          <w:rFonts w:hint="eastAsia" w:ascii="宋体" w:hAnsi="宋体" w:cs="宋体"/>
          <w:color w:val="auto"/>
          <w:szCs w:val="21"/>
          <w:highlight w:val="none"/>
          <w:lang w:eastAsia="zh-CN"/>
        </w:rPr>
        <w:t>2026年4月29日15:00</w:t>
      </w:r>
      <w:r>
        <w:rPr>
          <w:rFonts w:hint="eastAsia" w:ascii="宋体" w:hAnsi="宋体" w:cs="宋体"/>
          <w:color w:val="auto"/>
          <w:szCs w:val="21"/>
          <w:highlight w:val="none"/>
        </w:rPr>
        <w:t>前）投标人可以登录“政采云”平台，用“项目采购－开标评标”功能进行解密投标文件。若投标人在规定时间内（</w:t>
      </w:r>
      <w:r>
        <w:rPr>
          <w:rFonts w:hint="eastAsia" w:ascii="宋体" w:hAnsi="宋体" w:cs="宋体"/>
          <w:color w:val="auto"/>
          <w:szCs w:val="21"/>
          <w:highlight w:val="none"/>
          <w:lang w:eastAsia="zh-CN"/>
        </w:rPr>
        <w:t>2026年4月29日15:00</w:t>
      </w:r>
      <w:r>
        <w:rPr>
          <w:rFonts w:hint="eastAsia" w:ascii="宋体" w:hAnsi="宋体" w:cs="宋体"/>
          <w:color w:val="auto"/>
          <w:szCs w:val="21"/>
          <w:highlight w:val="none"/>
        </w:rPr>
        <w:t>前）无法解密或解密失败，将导致投标无效或失败。</w:t>
      </w:r>
    </w:p>
    <w:p w14:paraId="3C0E087D">
      <w:pPr>
        <w:shd w:val="clear"/>
        <w:tabs>
          <w:tab w:val="left" w:pos="315"/>
        </w:tabs>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备注：为确保采购项目顺利实施，避免因政采云上电子投标文件解密失败导致投标人投标无效，投标人可在</w:t>
      </w:r>
      <w:r>
        <w:rPr>
          <w:rFonts w:hint="eastAsia" w:ascii="宋体" w:hAnsi="宋体" w:cs="宋体"/>
          <w:color w:val="auto"/>
          <w:szCs w:val="21"/>
          <w:highlight w:val="none"/>
          <w:u w:val="single"/>
          <w:lang w:eastAsia="zh-CN"/>
        </w:rPr>
        <w:t>2026年4月29日</w:t>
      </w:r>
      <w:r>
        <w:rPr>
          <w:rFonts w:hint="eastAsia" w:ascii="宋体" w:hAnsi="宋体" w:cs="宋体"/>
          <w:color w:val="auto"/>
          <w:szCs w:val="21"/>
          <w:highlight w:val="none"/>
          <w:u w:val="single"/>
        </w:rPr>
        <w:t>09:30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投标人自行保管，如政采云上电子投标文件出现解密失败情况（开标当日09:30-</w:t>
      </w:r>
      <w:r>
        <w:rPr>
          <w:rFonts w:hint="eastAsia" w:ascii="宋体" w:hAnsi="宋体" w:cs="宋体"/>
          <w:color w:val="auto"/>
          <w:szCs w:val="21"/>
          <w:highlight w:val="none"/>
          <w:u w:val="single"/>
          <w:lang w:eastAsia="zh-CN"/>
        </w:rPr>
        <w:t>15:00</w:t>
      </w:r>
      <w:r>
        <w:rPr>
          <w:rFonts w:hint="eastAsia" w:ascii="宋体" w:hAnsi="宋体" w:cs="宋体"/>
          <w:color w:val="auto"/>
          <w:szCs w:val="21"/>
          <w:highlight w:val="none"/>
          <w:u w:val="single"/>
        </w:rPr>
        <w:t>期间进行解密），投标人可按照自身意愿确认是否同意提供加密密码解密传送至浙江求是招标代理有限公司邮箱（qszbyw@qszb.net）的备份文件，并以备份文件作为替代电子投标文件，如投标人未按照规定时间（</w:t>
      </w:r>
      <w:r>
        <w:rPr>
          <w:rFonts w:hint="eastAsia" w:ascii="宋体" w:hAnsi="宋体" w:cs="宋体"/>
          <w:color w:val="auto"/>
          <w:szCs w:val="21"/>
          <w:highlight w:val="none"/>
          <w:u w:val="single"/>
          <w:lang w:eastAsia="zh-CN"/>
        </w:rPr>
        <w:t>2026年4月29日</w:t>
      </w:r>
      <w:r>
        <w:rPr>
          <w:rFonts w:hint="eastAsia" w:ascii="宋体" w:hAnsi="宋体" w:cs="宋体"/>
          <w:color w:val="auto"/>
          <w:szCs w:val="21"/>
          <w:highlight w:val="none"/>
          <w:u w:val="single"/>
        </w:rPr>
        <w:t>09:30前）及要求提供有效备份文件，同时政采云上投标文件解密失败的，将导致投标无效</w:t>
      </w:r>
      <w:r>
        <w:rPr>
          <w:rFonts w:hint="eastAsia" w:ascii="宋体" w:hAnsi="宋体" w:cs="宋体"/>
          <w:color w:val="auto"/>
          <w:szCs w:val="21"/>
          <w:highlight w:val="none"/>
        </w:rPr>
        <w:t>。</w:t>
      </w:r>
    </w:p>
    <w:p w14:paraId="426177BD">
      <w:pPr>
        <w:shd w:val="clear"/>
        <w:tabs>
          <w:tab w:val="left" w:pos="315"/>
        </w:tabs>
        <w:wordWrap w:val="0"/>
        <w:spacing w:line="440" w:lineRule="exact"/>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24.</w:t>
      </w:r>
      <w:r>
        <w:rPr>
          <w:rFonts w:hint="eastAsia" w:ascii="宋体" w:hAnsi="宋体" w:cs="宋体"/>
          <w:b/>
          <w:bCs/>
          <w:color w:val="auto"/>
          <w:szCs w:val="21"/>
          <w:highlight w:val="none"/>
        </w:rPr>
        <w:t>投标文件的补充、修改与撤回</w:t>
      </w:r>
    </w:p>
    <w:p w14:paraId="7C7777F2">
      <w:pPr>
        <w:pStyle w:val="13"/>
        <w:shd w:val="clear"/>
        <w:wordWrap w:val="0"/>
        <w:spacing w:before="0" w:beforeLines="0" w:after="0" w:afterLines="0" w:line="440" w:lineRule="exact"/>
        <w:ind w:firstLine="480"/>
        <w:rPr>
          <w:rFonts w:hint="eastAsia" w:hAnsi="宋体" w:cs="宋体"/>
          <w:color w:val="auto"/>
          <w:sz w:val="21"/>
          <w:szCs w:val="21"/>
          <w:highlight w:val="none"/>
        </w:rPr>
      </w:pPr>
      <w:r>
        <w:rPr>
          <w:rFonts w:hint="eastAsia" w:hAnsi="宋体" w:cs="宋体"/>
          <w:color w:val="auto"/>
          <w:sz w:val="21"/>
          <w:szCs w:val="21"/>
          <w:highlight w:val="none"/>
        </w:rPr>
        <w:t>24.1投标人在提交投标文件以后，在规定的投标截止时间之前，可以重新补充修改或撤回已上传的投标文件，补充、修改的内容为投标文件的组成部分。</w:t>
      </w:r>
    </w:p>
    <w:p w14:paraId="5789E285">
      <w:pPr>
        <w:pStyle w:val="13"/>
        <w:shd w:val="clear"/>
        <w:wordWrap w:val="0"/>
        <w:spacing w:before="0" w:beforeLines="0" w:after="0" w:afterLines="0" w:line="440" w:lineRule="exact"/>
        <w:ind w:firstLine="480"/>
        <w:rPr>
          <w:rFonts w:hint="eastAsia" w:hAnsi="宋体" w:cs="宋体"/>
          <w:color w:val="auto"/>
          <w:sz w:val="21"/>
          <w:szCs w:val="21"/>
          <w:highlight w:val="none"/>
        </w:rPr>
      </w:pPr>
      <w:r>
        <w:rPr>
          <w:rFonts w:hint="eastAsia" w:hAnsi="宋体" w:cs="宋体"/>
          <w:color w:val="auto"/>
          <w:sz w:val="21"/>
          <w:szCs w:val="21"/>
          <w:highlight w:val="none"/>
        </w:rPr>
        <w:t>24.2在投标截止时间之后，投标人不得对其投标做任何修改。</w:t>
      </w:r>
    </w:p>
    <w:p w14:paraId="2E63D708">
      <w:pPr>
        <w:pStyle w:val="13"/>
        <w:shd w:val="clear"/>
        <w:wordWrap w:val="0"/>
        <w:spacing w:before="0" w:beforeLines="0" w:after="0" w:afterLines="0" w:line="440" w:lineRule="exact"/>
        <w:ind w:firstLine="480"/>
        <w:rPr>
          <w:rFonts w:hint="eastAsia" w:hAnsi="宋体" w:cs="宋体"/>
          <w:color w:val="auto"/>
          <w:spacing w:val="-8"/>
          <w:sz w:val="21"/>
          <w:szCs w:val="21"/>
          <w:highlight w:val="none"/>
        </w:rPr>
      </w:pPr>
      <w:r>
        <w:rPr>
          <w:rFonts w:hint="eastAsia" w:hAnsi="宋体" w:cs="宋体"/>
          <w:color w:val="auto"/>
          <w:sz w:val="21"/>
          <w:szCs w:val="21"/>
          <w:highlight w:val="none"/>
        </w:rPr>
        <w:t>24.3从投标截止时间至投标人在投标书格式中确定的投标有效期期满这段时间内，投标人不得撤回其投标</w:t>
      </w:r>
      <w:r>
        <w:rPr>
          <w:rFonts w:hint="eastAsia" w:hAnsi="宋体" w:cs="宋体"/>
          <w:color w:val="auto"/>
          <w:spacing w:val="-6"/>
          <w:sz w:val="21"/>
          <w:szCs w:val="21"/>
          <w:highlight w:val="none"/>
        </w:rPr>
        <w:t>。</w:t>
      </w:r>
    </w:p>
    <w:p w14:paraId="5366D2B3">
      <w:pPr>
        <w:pStyle w:val="3"/>
        <w:shd w:val="clear"/>
        <w:wordWrap w:val="0"/>
        <w:spacing w:before="0" w:after="0" w:line="440" w:lineRule="exact"/>
        <w:rPr>
          <w:rFonts w:hint="eastAsia" w:ascii="宋体" w:hAnsi="宋体" w:cs="宋体"/>
          <w:color w:val="auto"/>
          <w:sz w:val="21"/>
          <w:szCs w:val="21"/>
          <w:highlight w:val="none"/>
        </w:rPr>
      </w:pPr>
      <w:bookmarkStart w:id="41" w:name="_Toc362250691"/>
      <w:bookmarkStart w:id="42" w:name="_Toc274303233"/>
      <w:r>
        <w:rPr>
          <w:rFonts w:hint="eastAsia" w:ascii="宋体" w:hAnsi="宋体" w:cs="宋体"/>
          <w:color w:val="auto"/>
          <w:sz w:val="21"/>
          <w:szCs w:val="21"/>
          <w:highlight w:val="none"/>
        </w:rPr>
        <w:t>五、其他</w:t>
      </w:r>
      <w:bookmarkEnd w:id="41"/>
      <w:bookmarkEnd w:id="42"/>
    </w:p>
    <w:p w14:paraId="52BE89DE">
      <w:pPr>
        <w:shd w:val="clear"/>
        <w:wordWrap w:val="0"/>
        <w:adjustRightInd w:val="0"/>
        <w:snapToGrid w:val="0"/>
        <w:spacing w:line="440" w:lineRule="exact"/>
        <w:ind w:firstLine="422" w:firstLineChars="200"/>
        <w:jc w:val="left"/>
        <w:rPr>
          <w:rFonts w:hint="eastAsia" w:ascii="宋体" w:hAnsi="宋体" w:cs="宋体"/>
          <w:color w:val="auto"/>
          <w:spacing w:val="-6"/>
          <w:szCs w:val="21"/>
          <w:highlight w:val="none"/>
        </w:rPr>
      </w:pPr>
      <w:r>
        <w:rPr>
          <w:rFonts w:hint="eastAsia" w:ascii="宋体" w:hAnsi="宋体" w:cs="宋体"/>
          <w:b/>
          <w:bCs/>
          <w:color w:val="auto"/>
          <w:szCs w:val="21"/>
          <w:highlight w:val="none"/>
        </w:rPr>
        <w:t>25.本招标文件解释权归采购人。</w:t>
      </w:r>
    </w:p>
    <w:bookmarkEnd w:id="34"/>
    <w:p w14:paraId="091D528C">
      <w:pPr>
        <w:shd w:val="clear"/>
        <w:wordWrap w:val="0"/>
        <w:adjustRightInd w:val="0"/>
        <w:snapToGrid w:val="0"/>
        <w:spacing w:line="288" w:lineRule="auto"/>
        <w:ind w:left="238"/>
        <w:jc w:val="center"/>
        <w:outlineLvl w:val="0"/>
        <w:rPr>
          <w:rFonts w:hint="eastAsia"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color w:val="auto"/>
          <w:sz w:val="32"/>
          <w:szCs w:val="32"/>
          <w:highlight w:val="none"/>
        </w:rPr>
        <w:t>第三章  招标项目要求</w:t>
      </w:r>
    </w:p>
    <w:p w14:paraId="7A01A13D">
      <w:pPr>
        <w:shd w:val="clear"/>
        <w:wordWrap w:val="0"/>
        <w:adjustRightInd w:val="0"/>
        <w:snapToGrid w:val="0"/>
        <w:spacing w:line="288"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一、为落实政府采购政策需满足的要求</w:t>
      </w:r>
    </w:p>
    <w:tbl>
      <w:tblPr>
        <w:tblStyle w:val="27"/>
        <w:tblW w:w="9655"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01"/>
        <w:gridCol w:w="5846"/>
      </w:tblGrid>
      <w:tr w14:paraId="0479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63B3DB00">
            <w:pPr>
              <w:shd w:val="clear"/>
              <w:wordWrap w:val="0"/>
              <w:adjustRightInd w:val="0"/>
              <w:snapToGrid w:val="0"/>
              <w:jc w:val="center"/>
              <w:rPr>
                <w:rFonts w:hint="eastAsia" w:ascii="宋体" w:hAnsi="宋体" w:cs="宋体"/>
                <w:b/>
                <w:bCs/>
                <w:color w:val="auto"/>
                <w:szCs w:val="21"/>
                <w:highlight w:val="none"/>
              </w:rPr>
            </w:pPr>
            <w:bookmarkStart w:id="43" w:name="_Hlk45005599"/>
            <w:r>
              <w:rPr>
                <w:rFonts w:hint="eastAsia" w:ascii="宋体" w:hAnsi="宋体" w:cs="宋体"/>
                <w:b/>
                <w:bCs/>
                <w:color w:val="auto"/>
                <w:szCs w:val="21"/>
                <w:highlight w:val="none"/>
              </w:rPr>
              <w:t>序号</w:t>
            </w:r>
          </w:p>
        </w:tc>
        <w:tc>
          <w:tcPr>
            <w:tcW w:w="3101" w:type="dxa"/>
            <w:vAlign w:val="center"/>
          </w:tcPr>
          <w:p w14:paraId="796918FA">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政策名称</w:t>
            </w:r>
          </w:p>
        </w:tc>
        <w:tc>
          <w:tcPr>
            <w:tcW w:w="5846" w:type="dxa"/>
            <w:vAlign w:val="center"/>
          </w:tcPr>
          <w:p w14:paraId="222861A2">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r>
      <w:tr w14:paraId="562A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502113BC">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rPr>
              <w:t>1</w:t>
            </w:r>
          </w:p>
        </w:tc>
        <w:tc>
          <w:tcPr>
            <w:tcW w:w="3101" w:type="dxa"/>
            <w:vAlign w:val="center"/>
          </w:tcPr>
          <w:p w14:paraId="2851EBF4">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政府采购进口产品</w:t>
            </w:r>
          </w:p>
        </w:tc>
        <w:tc>
          <w:tcPr>
            <w:tcW w:w="5846" w:type="dxa"/>
            <w:vAlign w:val="center"/>
          </w:tcPr>
          <w:p w14:paraId="06206BBE">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不允许采购进口产品</w:t>
            </w:r>
          </w:p>
        </w:tc>
      </w:tr>
      <w:tr w14:paraId="47E8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2E5C6539">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rPr>
              <w:t>2</w:t>
            </w:r>
          </w:p>
        </w:tc>
        <w:tc>
          <w:tcPr>
            <w:tcW w:w="3101" w:type="dxa"/>
            <w:vAlign w:val="center"/>
          </w:tcPr>
          <w:p w14:paraId="21D6A684">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政府强制采购节能产品</w:t>
            </w:r>
          </w:p>
        </w:tc>
        <w:tc>
          <w:tcPr>
            <w:tcW w:w="5846" w:type="dxa"/>
            <w:vAlign w:val="center"/>
          </w:tcPr>
          <w:p w14:paraId="7210EBAC">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不适用</w:t>
            </w:r>
          </w:p>
        </w:tc>
      </w:tr>
      <w:tr w14:paraId="32C5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10E2D15C">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rPr>
              <w:t>3</w:t>
            </w:r>
          </w:p>
        </w:tc>
        <w:tc>
          <w:tcPr>
            <w:tcW w:w="3101" w:type="dxa"/>
            <w:vAlign w:val="center"/>
          </w:tcPr>
          <w:p w14:paraId="6BFC836C">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政府优先采购节能、环保产品</w:t>
            </w:r>
          </w:p>
        </w:tc>
        <w:tc>
          <w:tcPr>
            <w:tcW w:w="5846" w:type="dxa"/>
            <w:vAlign w:val="center"/>
          </w:tcPr>
          <w:p w14:paraId="66380645">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不适用</w:t>
            </w:r>
          </w:p>
        </w:tc>
      </w:tr>
      <w:tr w14:paraId="1B74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7B234DF6">
            <w:pPr>
              <w:shd w:val="clear"/>
              <w:wordWrap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101" w:type="dxa"/>
            <w:vAlign w:val="center"/>
          </w:tcPr>
          <w:p w14:paraId="7420C70C">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政府采购支持科技创新</w:t>
            </w:r>
          </w:p>
        </w:tc>
        <w:tc>
          <w:tcPr>
            <w:tcW w:w="5846" w:type="dxa"/>
            <w:vAlign w:val="center"/>
          </w:tcPr>
          <w:p w14:paraId="74C2A0CD">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不适用</w:t>
            </w:r>
          </w:p>
        </w:tc>
      </w:tr>
      <w:tr w14:paraId="2017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0B482D62">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rPr>
              <w:t>5</w:t>
            </w:r>
          </w:p>
        </w:tc>
        <w:tc>
          <w:tcPr>
            <w:tcW w:w="3101" w:type="dxa"/>
            <w:vAlign w:val="center"/>
          </w:tcPr>
          <w:p w14:paraId="139EB379">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政府采购促进中小企业发展</w:t>
            </w:r>
          </w:p>
        </w:tc>
        <w:tc>
          <w:tcPr>
            <w:tcW w:w="5846" w:type="dxa"/>
            <w:vAlign w:val="center"/>
          </w:tcPr>
          <w:p w14:paraId="4633F878">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提供材料详见招标文件第八章“投标文件部分格式”</w:t>
            </w:r>
          </w:p>
          <w:p w14:paraId="71E2A92E">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本项目属性为：货物</w:t>
            </w:r>
          </w:p>
          <w:p w14:paraId="57EA0A52">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采购标的对应的中小企业划分标准所属行业：软件和信息技术服务业；</w:t>
            </w:r>
          </w:p>
          <w:p w14:paraId="00EEE2DC">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b/>
                <w:bCs/>
                <w:color w:val="auto"/>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3C01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24EA57A9">
            <w:pPr>
              <w:shd w:val="clear"/>
              <w:wordWrap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101" w:type="dxa"/>
            <w:vAlign w:val="center"/>
          </w:tcPr>
          <w:p w14:paraId="1212FD31">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政府采购支持监狱企业发展</w:t>
            </w:r>
          </w:p>
        </w:tc>
        <w:tc>
          <w:tcPr>
            <w:tcW w:w="5846" w:type="dxa"/>
            <w:vAlign w:val="center"/>
          </w:tcPr>
          <w:p w14:paraId="2B25C5C9">
            <w:pPr>
              <w:shd w:val="clear"/>
              <w:wordWrap w:val="0"/>
              <w:adjustRightInd w:val="0"/>
              <w:snapToGrid w:val="0"/>
              <w:jc w:val="left"/>
              <w:rPr>
                <w:rFonts w:hint="eastAsia" w:ascii="宋体" w:hAnsi="宋体" w:cs="宋体"/>
                <w:b/>
                <w:bCs/>
                <w:color w:val="auto"/>
                <w:szCs w:val="21"/>
                <w:highlight w:val="none"/>
              </w:rPr>
            </w:pPr>
            <w:r>
              <w:rPr>
                <w:rFonts w:hint="eastAsia" w:ascii="宋体" w:hAnsi="宋体" w:cs="宋体"/>
                <w:color w:val="auto"/>
                <w:szCs w:val="21"/>
                <w:highlight w:val="none"/>
              </w:rPr>
              <w:t>提供材料详见招标文件第八章“投标文件部分格式”</w:t>
            </w:r>
          </w:p>
        </w:tc>
      </w:tr>
      <w:tr w14:paraId="687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64EE49DA">
            <w:pPr>
              <w:shd w:val="clear"/>
              <w:wordWrap w:val="0"/>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3101" w:type="dxa"/>
            <w:vAlign w:val="center"/>
          </w:tcPr>
          <w:p w14:paraId="24B8D48D">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政府采购促进残疾人就业</w:t>
            </w:r>
          </w:p>
        </w:tc>
        <w:tc>
          <w:tcPr>
            <w:tcW w:w="5846" w:type="dxa"/>
            <w:vAlign w:val="center"/>
          </w:tcPr>
          <w:p w14:paraId="4F959A11">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提供材料详见招标文件第八章“投标文件部分格式”</w:t>
            </w:r>
          </w:p>
        </w:tc>
      </w:tr>
      <w:tr w14:paraId="472C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7960373B">
            <w:pPr>
              <w:shd w:val="clear"/>
              <w:wordWrap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3101" w:type="dxa"/>
            <w:vAlign w:val="center"/>
          </w:tcPr>
          <w:p w14:paraId="75E30B1D">
            <w:pPr>
              <w:shd w:val="clear"/>
              <w:wordWrap w:val="0"/>
              <w:adjustRightInd w:val="0"/>
              <w:snapToGrid w:val="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支持本国产品</w:t>
            </w:r>
          </w:p>
        </w:tc>
        <w:tc>
          <w:tcPr>
            <w:tcW w:w="5846" w:type="dxa"/>
            <w:vAlign w:val="center"/>
          </w:tcPr>
          <w:p w14:paraId="240C6B21">
            <w:pPr>
              <w:shd w:val="clear"/>
              <w:wordWrap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不适用</w:t>
            </w:r>
          </w:p>
        </w:tc>
      </w:tr>
      <w:bookmarkEnd w:id="43"/>
    </w:tbl>
    <w:p w14:paraId="25053880">
      <w:pPr>
        <w:shd w:val="clear"/>
        <w:wordWrap w:val="0"/>
        <w:adjustRightInd w:val="0"/>
        <w:snapToGrid w:val="0"/>
        <w:spacing w:line="288"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二、采购资金的支付方式、时间、条件</w:t>
      </w:r>
    </w:p>
    <w:tbl>
      <w:tblPr>
        <w:tblStyle w:val="27"/>
        <w:tblW w:w="9658" w:type="dxa"/>
        <w:tblInd w:w="-2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815"/>
      </w:tblGrid>
      <w:tr w14:paraId="513F1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8" w:hRule="atLeast"/>
        </w:trPr>
        <w:tc>
          <w:tcPr>
            <w:tcW w:w="1843" w:type="dxa"/>
            <w:tcBorders>
              <w:top w:val="single" w:color="auto" w:sz="4" w:space="0"/>
              <w:left w:val="single" w:color="auto" w:sz="4" w:space="0"/>
              <w:bottom w:val="single" w:color="auto" w:sz="4" w:space="0"/>
              <w:right w:val="single" w:color="auto" w:sz="4" w:space="0"/>
            </w:tcBorders>
            <w:vAlign w:val="center"/>
          </w:tcPr>
          <w:p w14:paraId="39C46A9F">
            <w:pPr>
              <w:shd w:val="clear"/>
              <w:wordWrap w:val="0"/>
              <w:adjustRightInd w:val="0"/>
              <w:snapToGrid w:val="0"/>
              <w:jc w:val="center"/>
              <w:rPr>
                <w:rFonts w:hint="eastAsia" w:ascii="宋体" w:hAnsi="宋体" w:cs="宋体"/>
                <w:b/>
                <w:color w:val="auto"/>
                <w:spacing w:val="-6"/>
                <w:szCs w:val="21"/>
                <w:highlight w:val="none"/>
              </w:rPr>
            </w:pPr>
            <w:bookmarkStart w:id="44" w:name="_Hlk45005608"/>
            <w:r>
              <w:rPr>
                <w:rFonts w:hint="eastAsia" w:ascii="宋体" w:hAnsi="宋体" w:cs="宋体"/>
                <w:b/>
                <w:color w:val="auto"/>
                <w:spacing w:val="-6"/>
                <w:szCs w:val="21"/>
                <w:highlight w:val="none"/>
              </w:rPr>
              <w:t>履约保证金</w:t>
            </w:r>
          </w:p>
        </w:tc>
        <w:tc>
          <w:tcPr>
            <w:tcW w:w="7815" w:type="dxa"/>
            <w:tcBorders>
              <w:top w:val="single" w:color="auto" w:sz="4" w:space="0"/>
              <w:left w:val="single" w:color="auto" w:sz="4" w:space="0"/>
              <w:bottom w:val="single" w:color="auto" w:sz="4" w:space="0"/>
              <w:right w:val="single" w:color="auto" w:sz="4" w:space="0"/>
            </w:tcBorders>
            <w:vAlign w:val="center"/>
          </w:tcPr>
          <w:p w14:paraId="3005E37A">
            <w:pPr>
              <w:shd w:val="clear"/>
              <w:wordWrap w:val="0"/>
              <w:adjustRightInd w:val="0"/>
              <w:snapToGrid w:val="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无</w:t>
            </w:r>
          </w:p>
        </w:tc>
      </w:tr>
      <w:tr w14:paraId="6027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6BF13357">
            <w:pPr>
              <w:shd w:val="clear"/>
              <w:wordWrap w:val="0"/>
              <w:adjustRightInd w:val="0"/>
              <w:snapToGrid w:val="0"/>
              <w:jc w:val="center"/>
              <w:rPr>
                <w:rFonts w:hint="eastAsia" w:ascii="宋体" w:hAnsi="宋体" w:cs="宋体"/>
                <w:b/>
                <w:color w:val="auto"/>
                <w:spacing w:val="-6"/>
                <w:szCs w:val="21"/>
                <w:highlight w:val="none"/>
              </w:rPr>
            </w:pPr>
            <w:r>
              <w:rPr>
                <w:rFonts w:hint="eastAsia" w:ascii="宋体" w:hAnsi="宋体" w:cs="宋体"/>
                <w:color w:val="auto"/>
                <w:szCs w:val="21"/>
                <w:highlight w:val="none"/>
              </w:rPr>
              <w:t>★</w:t>
            </w:r>
            <w:r>
              <w:rPr>
                <w:rFonts w:hint="eastAsia" w:ascii="宋体" w:hAnsi="宋体" w:cs="宋体"/>
                <w:b/>
                <w:color w:val="auto"/>
                <w:spacing w:val="-6"/>
                <w:szCs w:val="21"/>
                <w:highlight w:val="none"/>
              </w:rPr>
              <w:t>付款方式</w:t>
            </w:r>
          </w:p>
        </w:tc>
        <w:tc>
          <w:tcPr>
            <w:tcW w:w="7815" w:type="dxa"/>
            <w:tcBorders>
              <w:top w:val="single" w:color="auto" w:sz="4" w:space="0"/>
              <w:left w:val="single" w:color="auto" w:sz="4" w:space="0"/>
              <w:bottom w:val="single" w:color="auto" w:sz="4" w:space="0"/>
              <w:right w:val="single" w:color="auto" w:sz="4" w:space="0"/>
            </w:tcBorders>
            <w:vAlign w:val="center"/>
          </w:tcPr>
          <w:p w14:paraId="1C386F39">
            <w:pPr>
              <w:shd w:val="clear"/>
              <w:wordWrap w:val="0"/>
              <w:autoSpaceDE w:val="0"/>
              <w:autoSpaceDN w:val="0"/>
              <w:adjustRightInd w:val="0"/>
              <w:snapToGrid w:val="0"/>
              <w:spacing w:line="288"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1.在合同生效以及具备实施条件后7个工作日内，采购人向中标人30%合同价款；</w:t>
            </w:r>
          </w:p>
          <w:p w14:paraId="0572D365">
            <w:pPr>
              <w:shd w:val="clear"/>
              <w:wordWrap w:val="0"/>
              <w:autoSpaceDE w:val="0"/>
              <w:autoSpaceDN w:val="0"/>
              <w:adjustRightInd w:val="0"/>
              <w:snapToGrid w:val="0"/>
              <w:spacing w:line="288"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大型企业在项目验收通过并收到中标人发票后7个工作日内支付65%合同金额，免费维护期过后并收到中标人发票后7个工作日内支付5%合同金额。（如果中标人是中小企业的，项目通过终验后并收到发票后7个工作日内支付至合同价的100%）</w:t>
            </w:r>
          </w:p>
          <w:p w14:paraId="10532F1E">
            <w:pPr>
              <w:pStyle w:val="13"/>
              <w:shd w:val="clear"/>
              <w:spacing w:before="0" w:beforeLines="0" w:after="0" w:afterLines="0" w:line="240" w:lineRule="auto"/>
              <w:rPr>
                <w:rFonts w:hint="eastAsia" w:hAnsi="宋体" w:cs="宋体"/>
                <w:bCs/>
                <w:color w:val="auto"/>
                <w:sz w:val="21"/>
                <w:szCs w:val="21"/>
                <w:highlight w:val="none"/>
              </w:rPr>
            </w:pPr>
            <w:r>
              <w:rPr>
                <w:rFonts w:hint="eastAsia" w:hAnsi="宋体" w:cs="宋体"/>
                <w:bCs/>
                <w:color w:val="auto"/>
                <w:sz w:val="21"/>
                <w:szCs w:val="21"/>
                <w:highlight w:val="none"/>
              </w:rPr>
              <w:t>3.合同价款均为含税价。中标人在收款之前，向采购人提供等额、合法、有效的税务发票，采购人凭发票付款。如中标人未按约定提供发票的，采购人有权拒绝付款，直至收到中标人提交的相应发票为止，在此情况下，采购人不承担逾期付款违约责任。</w:t>
            </w:r>
          </w:p>
          <w:p w14:paraId="17B1B626">
            <w:pPr>
              <w:shd w:val="clear"/>
              <w:wordWrap w:val="0"/>
              <w:autoSpaceDE w:val="0"/>
              <w:autoSpaceDN w:val="0"/>
              <w:adjustRightInd w:val="0"/>
              <w:snapToGrid w:val="0"/>
              <w:spacing w:line="288" w:lineRule="auto"/>
              <w:jc w:val="left"/>
              <w:rPr>
                <w:rFonts w:hint="eastAsia" w:ascii="宋体" w:hAnsi="宋体" w:cs="宋体"/>
                <w:color w:val="auto"/>
                <w:spacing w:val="-6"/>
                <w:kern w:val="0"/>
                <w:szCs w:val="21"/>
                <w:highlight w:val="none"/>
              </w:rPr>
            </w:pPr>
            <w:r>
              <w:rPr>
                <w:rFonts w:hint="eastAsia" w:ascii="宋体" w:hAnsi="宋体" w:cs="宋体"/>
                <w:b/>
                <w:color w:val="auto"/>
                <w:sz w:val="15"/>
                <w:szCs w:val="15"/>
                <w:highlight w:val="none"/>
              </w:rPr>
              <w:t>注：在签订合同时，中标人明确表示无需预付款或者主动要求降低预付款比例的，采购人可不支付或减少预付款支付比例。</w:t>
            </w:r>
          </w:p>
        </w:tc>
      </w:tr>
      <w:bookmarkEnd w:id="44"/>
    </w:tbl>
    <w:p w14:paraId="40A7FCB3">
      <w:pPr>
        <w:shd w:val="clear"/>
        <w:wordWrap w:val="0"/>
        <w:adjustRightInd w:val="0"/>
        <w:snapToGrid w:val="0"/>
        <w:spacing w:line="288"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三、服务要求（技术要求里另有注明的以技术要求为准）</w:t>
      </w:r>
    </w:p>
    <w:tbl>
      <w:tblPr>
        <w:tblStyle w:val="27"/>
        <w:tblW w:w="9678" w:type="dxa"/>
        <w:tblInd w:w="-23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835"/>
      </w:tblGrid>
      <w:tr w14:paraId="1855B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3" w:type="dxa"/>
            <w:tcBorders>
              <w:top w:val="single" w:color="auto" w:sz="4" w:space="0"/>
              <w:left w:val="single" w:color="auto" w:sz="4" w:space="0"/>
              <w:bottom w:val="single" w:color="auto" w:sz="4" w:space="0"/>
              <w:right w:val="single" w:color="auto" w:sz="4" w:space="0"/>
            </w:tcBorders>
            <w:vAlign w:val="center"/>
          </w:tcPr>
          <w:p w14:paraId="71B58504">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交付时间</w:t>
            </w:r>
          </w:p>
        </w:tc>
        <w:tc>
          <w:tcPr>
            <w:tcW w:w="7835" w:type="dxa"/>
            <w:tcBorders>
              <w:top w:val="single" w:color="auto" w:sz="4" w:space="0"/>
              <w:left w:val="single" w:color="auto" w:sz="4" w:space="0"/>
              <w:bottom w:val="single" w:color="auto" w:sz="4" w:space="0"/>
              <w:right w:val="single" w:color="auto" w:sz="4" w:space="0"/>
            </w:tcBorders>
            <w:vAlign w:val="center"/>
          </w:tcPr>
          <w:p w14:paraId="095BDB76">
            <w:pPr>
              <w:shd w:val="clear"/>
              <w:wordWrap w:val="0"/>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自合同签订之日起3个月内上线试运行，试运行3个月</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满足采购人要求后进行终验</w:t>
            </w:r>
            <w:r>
              <w:rPr>
                <w:rFonts w:hint="eastAsia" w:ascii="宋体" w:hAnsi="宋体" w:cs="宋体"/>
                <w:color w:val="auto"/>
                <w:szCs w:val="21"/>
                <w:highlight w:val="none"/>
                <w:lang w:eastAsia="zh-CN"/>
              </w:rPr>
              <w:t>。</w:t>
            </w:r>
          </w:p>
        </w:tc>
      </w:tr>
      <w:tr w14:paraId="2A677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43" w:type="dxa"/>
            <w:tcBorders>
              <w:top w:val="single" w:color="auto" w:sz="4" w:space="0"/>
              <w:left w:val="single" w:color="auto" w:sz="4" w:space="0"/>
              <w:bottom w:val="single" w:color="auto" w:sz="4" w:space="0"/>
              <w:right w:val="single" w:color="auto" w:sz="4" w:space="0"/>
            </w:tcBorders>
            <w:vAlign w:val="center"/>
          </w:tcPr>
          <w:p w14:paraId="5E845EC7">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交付地点</w:t>
            </w:r>
          </w:p>
        </w:tc>
        <w:tc>
          <w:tcPr>
            <w:tcW w:w="7835" w:type="dxa"/>
            <w:tcBorders>
              <w:top w:val="single" w:color="auto" w:sz="4" w:space="0"/>
              <w:left w:val="single" w:color="auto" w:sz="4" w:space="0"/>
              <w:bottom w:val="single" w:color="auto" w:sz="4" w:space="0"/>
              <w:right w:val="single" w:color="auto" w:sz="4" w:space="0"/>
            </w:tcBorders>
            <w:vAlign w:val="center"/>
          </w:tcPr>
          <w:p w14:paraId="17294E86">
            <w:pPr>
              <w:shd w:val="clea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采购人指定地点。</w:t>
            </w:r>
          </w:p>
        </w:tc>
      </w:tr>
      <w:tr w14:paraId="44B6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3" w:type="dxa"/>
            <w:tcBorders>
              <w:top w:val="single" w:color="auto" w:sz="4" w:space="0"/>
              <w:left w:val="single" w:color="auto" w:sz="4" w:space="0"/>
              <w:bottom w:val="single" w:color="auto" w:sz="4" w:space="0"/>
              <w:right w:val="single" w:color="auto" w:sz="4" w:space="0"/>
            </w:tcBorders>
            <w:vAlign w:val="center"/>
          </w:tcPr>
          <w:p w14:paraId="256C6764">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lang w:bidi="ar"/>
              </w:rPr>
              <w:t>★</w:t>
            </w:r>
            <w:r>
              <w:rPr>
                <w:rFonts w:hint="eastAsia" w:ascii="宋体" w:hAnsi="宋体" w:cs="宋体"/>
                <w:b/>
                <w:bCs/>
                <w:color w:val="auto"/>
                <w:szCs w:val="21"/>
                <w:highlight w:val="none"/>
                <w:lang w:bidi="ar"/>
              </w:rPr>
              <w:t>免费维护期</w:t>
            </w:r>
          </w:p>
        </w:tc>
        <w:tc>
          <w:tcPr>
            <w:tcW w:w="7835" w:type="dxa"/>
            <w:tcBorders>
              <w:top w:val="single" w:color="auto" w:sz="4" w:space="0"/>
              <w:left w:val="single" w:color="auto" w:sz="4" w:space="0"/>
              <w:bottom w:val="single" w:color="auto" w:sz="4" w:space="0"/>
              <w:right w:val="single" w:color="auto" w:sz="4" w:space="0"/>
            </w:tcBorders>
            <w:vAlign w:val="center"/>
          </w:tcPr>
          <w:p w14:paraId="564D37B5">
            <w:pPr>
              <w:shd w:val="clea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lang w:bidi="ar"/>
              </w:rPr>
              <w:t>1年，自项目验收合格后开始计算（若产品另有超过</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年免费维护期规定的，按其规定执行）。</w:t>
            </w:r>
          </w:p>
        </w:tc>
      </w:tr>
      <w:tr w14:paraId="02229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2B698662">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服务标准、期限、效率</w:t>
            </w:r>
          </w:p>
        </w:tc>
        <w:tc>
          <w:tcPr>
            <w:tcW w:w="7835" w:type="dxa"/>
            <w:tcBorders>
              <w:top w:val="single" w:color="auto" w:sz="4" w:space="0"/>
              <w:left w:val="single" w:color="auto" w:sz="4" w:space="0"/>
              <w:bottom w:val="single" w:color="auto" w:sz="4" w:space="0"/>
              <w:right w:val="single" w:color="auto" w:sz="4" w:space="0"/>
            </w:tcBorders>
            <w:vAlign w:val="center"/>
          </w:tcPr>
          <w:p w14:paraId="2D00918E">
            <w:pPr>
              <w:shd w:val="clear"/>
              <w:wordWrap w:val="0"/>
              <w:adjustRightInd w:val="0"/>
              <w:snapToGrid w:val="0"/>
              <w:spacing w:line="288"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1.免费维护期内，若因软件系统本身设计缺陷、程序漏洞等自身原因引发故障，中标人免费提供故障排查、修复等解决方案，确保系统恢复正常使用。若上述故障经中标人处理后仍无法排除，或故障导致采购人正常工作持续受影响的，每发生一次此类情形，本项目免费维护期相应延长60天，延长周期自故障彻底解决并经采购人确认之日起计算。每三个月安排数据库工程师对数据库进行常规维护，保证系统运行顺畅。每半年安排工程师对全部系统进行维护，确保设置运作正常。</w:t>
            </w:r>
            <w:r>
              <w:rPr>
                <w:rFonts w:hint="eastAsia" w:ascii="宋体" w:hAnsi="宋体" w:cs="宋体"/>
                <w:color w:val="auto"/>
                <w:szCs w:val="21"/>
                <w:highlight w:val="none"/>
                <w:lang w:val="en-US" w:eastAsia="zh-CN" w:bidi="ar"/>
              </w:rPr>
              <w:t>软件使用期内</w:t>
            </w:r>
            <w:r>
              <w:rPr>
                <w:rFonts w:hint="eastAsia" w:ascii="宋体" w:hAnsi="宋体" w:cs="宋体"/>
                <w:color w:val="auto"/>
                <w:szCs w:val="21"/>
                <w:highlight w:val="none"/>
                <w:lang w:bidi="ar"/>
              </w:rPr>
              <w:t>提供技术支持和技术服务。</w:t>
            </w:r>
          </w:p>
          <w:p w14:paraId="041FFD18">
            <w:pPr>
              <w:shd w:val="clear"/>
              <w:wordWrap w:val="0"/>
              <w:adjustRightInd w:val="0"/>
              <w:snapToGrid w:val="0"/>
              <w:spacing w:line="288"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2.免费维护期内指定专门保障团队开展实时维护，提供的系统维护、应急维护、完善修改、软件迁移、系统更新等费用包含在投标总价中；</w:t>
            </w:r>
          </w:p>
          <w:p w14:paraId="3C279948">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rPr>
              <w:t>.在免费维护期内，中标人对所提供的软件系统因设计缺陷、程序漏洞等自身原因引发的故障承担全部责任；对于软件系统出现的质量缺陷及安全隐患，在约定响应时间内完成处理解决，并承担由此产生的直接费用（包括但不限于技术维修、漏洞修复、部件更换等费用）。</w:t>
            </w:r>
          </w:p>
          <w:p w14:paraId="741C56D9">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4.中标人为采购人提供7×24小时不间断技术支持服务（支持电话、在线客服、远程协助等多渠道沟通方式），具体故障处理要求如下：</w:t>
            </w:r>
          </w:p>
          <w:p w14:paraId="6A41186C">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4.1紧急故障：指软件系统崩溃、数据泄露风险、核心功能无法使用等影响采购人正常业务开展的故障。中标人接到采购人通知后，1小时内完成首次响应（含远程排查），远程无法解决时12小时内到达现场处理，且确保12小时内完成故障修复；</w:t>
            </w:r>
          </w:p>
          <w:p w14:paraId="37F67ABB">
            <w:pPr>
              <w:shd w:val="clear"/>
              <w:wordWrap w:val="0"/>
              <w:adjustRightInd w:val="0"/>
              <w:snapToGrid w:val="0"/>
              <w:spacing w:line="288" w:lineRule="auto"/>
              <w:rPr>
                <w:rFonts w:hint="eastAsia" w:ascii="宋体" w:hAnsi="宋体" w:cs="宋体"/>
                <w:color w:val="auto"/>
                <w:szCs w:val="21"/>
                <w:highlight w:val="none"/>
                <w:u w:val="single"/>
              </w:rPr>
            </w:pPr>
            <w:r>
              <w:rPr>
                <w:rFonts w:hint="eastAsia" w:ascii="宋体" w:hAnsi="宋体" w:cs="宋体"/>
                <w:color w:val="auto"/>
                <w:szCs w:val="21"/>
                <w:highlight w:val="none"/>
              </w:rPr>
              <w:t>4.2一般故障：指不影响核心业务运行的功能异常、操作问题等故障。中标人接到采购人通知后，2小时内完成首次响应（含远程排查），远程无法解决时24小时内到达现场处理，且确保24小时内完成故障修复。</w:t>
            </w:r>
          </w:p>
          <w:p w14:paraId="33D4A161">
            <w:pPr>
              <w:shd w:val="clear"/>
              <w:wordWrap w:val="0"/>
              <w:adjustRightInd w:val="0"/>
              <w:snapToGrid w:val="0"/>
              <w:spacing w:line="288" w:lineRule="auto"/>
              <w:rPr>
                <w:rFonts w:hint="eastAsia" w:ascii="宋体" w:hAnsi="宋体" w:cs="宋体"/>
                <w:color w:val="auto"/>
                <w:szCs w:val="21"/>
                <w:highlight w:val="none"/>
                <w:u w:val="single"/>
              </w:rPr>
            </w:pPr>
            <w:r>
              <w:rPr>
                <w:rFonts w:hint="eastAsia" w:ascii="宋体" w:hAnsi="宋体" w:cs="宋体"/>
                <w:color w:val="auto"/>
                <w:szCs w:val="21"/>
                <w:highlight w:val="none"/>
              </w:rPr>
              <w:t>6.投标人需提供详细的售后服务方案，包括免费维护期内服务内容[定期走访或远程维护时间区间、周期和详细规划（方式、人员、维护内容）、重大事项及时响应（不同响应级别人员、时间、内容）、服务请求方式（即时和非即时）、服务请求流程]、重大事项及时响应（不同响应级别人员、时间、内容、费用）]、运行服务档案、用户投诉受理等。</w:t>
            </w:r>
          </w:p>
        </w:tc>
      </w:tr>
      <w:tr w14:paraId="2C9A7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1843" w:type="dxa"/>
            <w:tcBorders>
              <w:top w:val="single" w:color="auto" w:sz="4" w:space="0"/>
              <w:left w:val="single" w:color="auto" w:sz="4" w:space="0"/>
              <w:bottom w:val="single" w:color="auto" w:sz="4" w:space="0"/>
              <w:right w:val="single" w:color="auto" w:sz="4" w:space="0"/>
            </w:tcBorders>
            <w:vAlign w:val="center"/>
          </w:tcPr>
          <w:p w14:paraId="660DBAA4">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其他技术、服务要求</w:t>
            </w:r>
          </w:p>
        </w:tc>
        <w:tc>
          <w:tcPr>
            <w:tcW w:w="7835" w:type="dxa"/>
            <w:tcBorders>
              <w:top w:val="single" w:color="auto" w:sz="4" w:space="0"/>
              <w:left w:val="single" w:color="auto" w:sz="4" w:space="0"/>
              <w:bottom w:val="single" w:color="auto" w:sz="4" w:space="0"/>
              <w:right w:val="single" w:color="auto" w:sz="4" w:space="0"/>
            </w:tcBorders>
            <w:vAlign w:val="center"/>
          </w:tcPr>
          <w:p w14:paraId="09D5DB8E">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1.技术资料</w:t>
            </w:r>
          </w:p>
          <w:p w14:paraId="7C48C41C">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1.1投标人需按招标文件规定的时间向采购人提供完整的软件系统相关技术资料，包括但不限于操作手册、安装部署指南、接口说明文档、维护手册等。</w:t>
            </w:r>
          </w:p>
          <w:p w14:paraId="28FF5BED">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1.2没有采购人事先书面同意，中标人不得将由采购人提供的有关合同或任何合同条文、规格要求、计划方案、技术图纸或资料提供给与履行合同无关的任何第三方。即使向履行本合同有关的人员提供，也需注意保密并限于履行合同的必需范围。</w:t>
            </w:r>
          </w:p>
          <w:p w14:paraId="086A68DC">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2.权利保证</w:t>
            </w:r>
          </w:p>
          <w:p w14:paraId="2ED03D40">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投标人保证所交付的软件系统及相关服务（包括程序代码、技术文档、功能模块等），均为合法所有或已获得合法授权，不会侵犯任何第三方的著作权、专利权、商标权、商业秘密等知识产权及其他合法权益。如因知识产权侵权引发针对采购人的争议、索赔、诉讼等，全部法律责任、赔偿费用及相关支出（包括但不限于诉讼费、律师费、赔偿金）均由投标人承担，且采购人有权解除合同并要求投标人赔偿损失。</w:t>
            </w:r>
          </w:p>
          <w:p w14:paraId="4909E6C4">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3.产权担保</w:t>
            </w:r>
          </w:p>
          <w:p w14:paraId="637DD54F">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投标人保证所交付的软件系统知识产权归属清晰，无任何抵押、查封、质押等权利限制，亦无任何第三方就该软件系统主张权利或提出异议的情形。如因权利瑕疵导致采购人无法正常使用软件系统，投标人需承担全额赔偿责任。</w:t>
            </w:r>
          </w:p>
          <w:p w14:paraId="3B3A0D8D">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4.技术支持：</w:t>
            </w:r>
          </w:p>
          <w:p w14:paraId="3998D2D6">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中标人在免费维护期内，免费提供软件系统的功能性升级、安全补丁更新及技术支持服务，并及时向采购人提供新功能、新应用的操作指南、培训资料等相关文档。</w:t>
            </w:r>
          </w:p>
          <w:p w14:paraId="6BE4B1AE">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5.投标人需提供相应的技术方案包括但不限于以下内容：</w:t>
            </w:r>
          </w:p>
          <w:p w14:paraId="3EF050FD">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5.1整体技术方案（包括组织实施方案、整体工作流程、进度安排等）；</w:t>
            </w:r>
          </w:p>
          <w:p w14:paraId="1C77FE06">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5.2平台运行方案；</w:t>
            </w:r>
          </w:p>
          <w:p w14:paraId="40EB893E">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5.3项目管理制度（包括质量管理制度、人员管理制度等）。</w:t>
            </w:r>
          </w:p>
        </w:tc>
      </w:tr>
      <w:tr w14:paraId="1DED4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7823575F">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培训</w:t>
            </w:r>
          </w:p>
        </w:tc>
        <w:tc>
          <w:tcPr>
            <w:tcW w:w="7835" w:type="dxa"/>
            <w:tcBorders>
              <w:top w:val="single" w:color="auto" w:sz="4" w:space="0"/>
              <w:left w:val="single" w:color="auto" w:sz="4" w:space="0"/>
              <w:bottom w:val="single" w:color="auto" w:sz="4" w:space="0"/>
              <w:right w:val="single" w:color="auto" w:sz="4" w:space="0"/>
            </w:tcBorders>
            <w:vAlign w:val="center"/>
          </w:tcPr>
          <w:p w14:paraId="4AF95A1D">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1.投标人需对采购人的操作人员、工作人员免费进行培训；</w:t>
            </w:r>
          </w:p>
          <w:p w14:paraId="468CB541">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2.培训实现方式、时间、地点、人数应在投标文件中详细说明；</w:t>
            </w:r>
          </w:p>
          <w:p w14:paraId="7E15500E">
            <w:pPr>
              <w:shd w:val="clear"/>
              <w:wordWrap w:val="0"/>
              <w:adjustRightInd w:val="0"/>
              <w:snapToGrid w:val="0"/>
              <w:spacing w:line="288" w:lineRule="auto"/>
              <w:rPr>
                <w:rFonts w:hint="eastAsia" w:ascii="宋体" w:hAnsi="宋体" w:cs="宋体"/>
                <w:b/>
                <w:bCs/>
                <w:color w:val="auto"/>
                <w:szCs w:val="21"/>
                <w:highlight w:val="none"/>
              </w:rPr>
            </w:pPr>
            <w:r>
              <w:rPr>
                <w:rFonts w:hint="eastAsia" w:ascii="宋体" w:hAnsi="宋体" w:cs="宋体"/>
                <w:color w:val="auto"/>
                <w:szCs w:val="21"/>
                <w:highlight w:val="none"/>
              </w:rPr>
              <w:t>3.投标人需提供相应的培训方案（</w:t>
            </w:r>
            <w:r>
              <w:rPr>
                <w:rFonts w:hint="eastAsia" w:ascii="宋体" w:hAnsi="宋体" w:cs="宋体"/>
                <w:color w:val="auto"/>
                <w:szCs w:val="21"/>
                <w:highlight w:val="none"/>
                <w:lang w:bidi="ar"/>
              </w:rPr>
              <w:t>包括但不限于</w:t>
            </w:r>
            <w:r>
              <w:rPr>
                <w:rFonts w:hint="eastAsia" w:ascii="宋体" w:hAnsi="宋体" w:cs="宋体"/>
                <w:color w:val="auto"/>
                <w:szCs w:val="21"/>
                <w:highlight w:val="none"/>
              </w:rPr>
              <w:t>培训内容、培训频次、培训目标、培训形式）。</w:t>
            </w:r>
          </w:p>
        </w:tc>
      </w:tr>
      <w:tr w14:paraId="3EE53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3D93D6D">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pacing w:val="-4"/>
                <w:szCs w:val="21"/>
                <w:highlight w:val="none"/>
              </w:rPr>
              <w:t>项目团队要求</w:t>
            </w:r>
          </w:p>
        </w:tc>
        <w:tc>
          <w:tcPr>
            <w:tcW w:w="7835" w:type="dxa"/>
            <w:tcBorders>
              <w:top w:val="single" w:color="auto" w:sz="4" w:space="0"/>
              <w:left w:val="single" w:color="auto" w:sz="4" w:space="0"/>
              <w:bottom w:val="single" w:color="auto" w:sz="4" w:space="0"/>
              <w:right w:val="single" w:color="auto" w:sz="4" w:space="0"/>
            </w:tcBorders>
            <w:vAlign w:val="center"/>
          </w:tcPr>
          <w:p w14:paraId="759FEB2E">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1.投标人需根据项目工作量、复杂度等，提出合理且充足的技术人员配置方案（包括各岗位人员数量），确保满足项目并行安装、调试等问题处理的需求。团队应结构清晰，职责明确；</w:t>
            </w:r>
          </w:p>
          <w:p w14:paraId="48B9B6A6">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2.投标人需建立关键岗位人员的后备机制。如核心人员因不可抗力必须离岗，需提前通知采购人并立即提供具备同等资质和经验水平的替补人员，经采购人认可后方可更换；</w:t>
            </w:r>
          </w:p>
          <w:p w14:paraId="1B8E2CF5">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3.项目交付前，中标人需对采购人的运维管理人员进行充分的技术培训和系统交接，确保其掌握必要的操作、维护和排障技能。</w:t>
            </w:r>
          </w:p>
        </w:tc>
      </w:tr>
      <w:tr w14:paraId="6D43F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78931FF2">
            <w:pPr>
              <w:shd w:val="clear"/>
              <w:wordWrap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验收标准</w:t>
            </w:r>
          </w:p>
        </w:tc>
        <w:tc>
          <w:tcPr>
            <w:tcW w:w="7835" w:type="dxa"/>
            <w:tcBorders>
              <w:top w:val="single" w:color="auto" w:sz="4" w:space="0"/>
              <w:left w:val="single" w:color="auto" w:sz="4" w:space="0"/>
              <w:bottom w:val="single" w:color="auto" w:sz="4" w:space="0"/>
              <w:right w:val="single" w:color="auto" w:sz="4" w:space="0"/>
            </w:tcBorders>
            <w:vAlign w:val="center"/>
          </w:tcPr>
          <w:p w14:paraId="7E0C1D0C">
            <w:pPr>
              <w:shd w:val="clea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1.验收由采购人负责实施；</w:t>
            </w:r>
          </w:p>
          <w:p w14:paraId="67DBD802">
            <w:pPr>
              <w:shd w:val="clea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2.试运行</w:t>
            </w:r>
          </w:p>
          <w:p w14:paraId="7D84DD86">
            <w:pPr>
              <w:shd w:val="clear"/>
              <w:wordWrap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2.1中标人应对整个项目进行为期至少三个月的连续试运行，在试运行期间，中标人应对所出现的问题及时进行解决、调整，并做好记录，此记录将作为验收的依据之一；</w:t>
            </w:r>
          </w:p>
          <w:p w14:paraId="25E2DBB5">
            <w:pPr>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2.2试运行期间，如果系统没有发生较大问题（不影响系统使用），试运行结束；如果系统发生较大问题，试运行期延长，直至系统连续运行7个日历天没有发生较大问题为止，试运行期为三个月，如果三个月内未能通过试运行，</w:t>
            </w:r>
            <w:r>
              <w:rPr>
                <w:rFonts w:hint="eastAsia" w:ascii="宋体" w:hAnsi="宋体" w:cs="宋体"/>
                <w:color w:val="auto"/>
                <w:kern w:val="0"/>
                <w:szCs w:val="21"/>
                <w:highlight w:val="none"/>
                <w:lang w:val="en-US" w:eastAsia="zh-CN"/>
              </w:rPr>
              <w:t>中标人需在一个月内按照采购人的要求完成整改，若整改后仍无法满足采购人的实际使用需求，</w:t>
            </w:r>
            <w:r>
              <w:rPr>
                <w:rFonts w:hint="eastAsia" w:ascii="宋体" w:hAnsi="宋体" w:cs="宋体"/>
                <w:color w:val="auto"/>
                <w:kern w:val="0"/>
                <w:szCs w:val="21"/>
                <w:highlight w:val="none"/>
              </w:rPr>
              <w:t>采购人有权终止合同，并要求中标人赔偿损失。</w:t>
            </w:r>
          </w:p>
          <w:p w14:paraId="2C5DB3B6">
            <w:pPr>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2.3 </w:t>
            </w:r>
            <w:r>
              <w:rPr>
                <w:rFonts w:hint="eastAsia" w:ascii="宋体" w:hAnsi="宋体" w:cs="宋体"/>
                <w:color w:val="auto"/>
                <w:szCs w:val="21"/>
                <w:highlight w:val="none"/>
              </w:rPr>
              <w:t>试运行满足采购人要求后进行验收。</w:t>
            </w:r>
          </w:p>
          <w:p w14:paraId="110C9034">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2.验收依据</w:t>
            </w:r>
          </w:p>
          <w:p w14:paraId="2F16D4D7">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2.1合同、招标文件、投标文件；</w:t>
            </w:r>
          </w:p>
          <w:p w14:paraId="3A5A2D3A">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2.2中标人提供的技术规格、经采购人认可的有效检验文件；</w:t>
            </w:r>
          </w:p>
          <w:p w14:paraId="48A059E7">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2.3中标人在投标文件中提供的经采购人认可的验收标准（符合中国有关的国家、地方、行业标准）和检测办法及相应检测手段。</w:t>
            </w:r>
          </w:p>
          <w:p w14:paraId="121F9744">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3.验收合格的条件</w:t>
            </w:r>
          </w:p>
          <w:p w14:paraId="6C5AB6F6">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3.1符合软件产品标准和招标文件及合同的要求；</w:t>
            </w:r>
          </w:p>
          <w:p w14:paraId="1F5B90BB">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3.2在进行测试和验收过程中发现的问题已被解决并得到采购人的认可；</w:t>
            </w:r>
          </w:p>
          <w:p w14:paraId="78C24CC3">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3.3完成开发环境在采购人单位本地化部署；</w:t>
            </w:r>
          </w:p>
          <w:p w14:paraId="08214836">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3.4所有提供的服务符合采购人要求并获得认可；</w:t>
            </w:r>
          </w:p>
          <w:p w14:paraId="3AA02A1E">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3.5所有相关的技术文件及资料均已提交并得到采购人认可。</w:t>
            </w:r>
          </w:p>
        </w:tc>
      </w:tr>
    </w:tbl>
    <w:p w14:paraId="6EE73E20">
      <w:pPr>
        <w:shd w:val="clear"/>
        <w:wordWrap w:val="0"/>
        <w:adjustRightInd w:val="0"/>
        <w:snapToGrid w:val="0"/>
        <w:spacing w:line="288" w:lineRule="auto"/>
        <w:outlineLvl w:val="1"/>
        <w:rPr>
          <w:rFonts w:hint="eastAsia" w:ascii="宋体" w:hAnsi="宋体" w:cs="宋体"/>
          <w:b/>
          <w:color w:val="auto"/>
          <w:szCs w:val="21"/>
          <w:highlight w:val="none"/>
        </w:rPr>
      </w:pPr>
      <w:r>
        <w:rPr>
          <w:rFonts w:hint="eastAsia" w:ascii="宋体" w:hAnsi="宋体" w:cs="宋体"/>
          <w:b/>
          <w:color w:val="auto"/>
          <w:szCs w:val="21"/>
          <w:highlight w:val="none"/>
        </w:rPr>
        <w:t>四、技术要求</w:t>
      </w:r>
    </w:p>
    <w:p w14:paraId="19CA9E5E">
      <w:pPr>
        <w:shd w:val="clear"/>
        <w:wordWrap w:val="0"/>
        <w:adjustRightInd w:val="0"/>
        <w:snapToGrid w:val="0"/>
        <w:spacing w:line="288" w:lineRule="auto"/>
        <w:rPr>
          <w:rFonts w:hint="eastAsia" w:ascii="宋体" w:hAnsi="宋体" w:cs="宋体"/>
          <w:b/>
          <w:bCs/>
          <w:color w:val="auto"/>
          <w:szCs w:val="21"/>
          <w:highlight w:val="none"/>
        </w:rPr>
      </w:pPr>
      <w:bookmarkStart w:id="45" w:name="_Hlk92271413"/>
      <w:r>
        <w:rPr>
          <w:rFonts w:hint="eastAsia" w:ascii="宋体" w:hAnsi="宋体" w:cs="宋体"/>
          <w:b/>
          <w:bCs/>
          <w:color w:val="auto"/>
          <w:szCs w:val="21"/>
          <w:highlight w:val="none"/>
        </w:rPr>
        <w:t>1.需执行的国家相关标准、行业标准、地方标准或者其他标准、规范：</w:t>
      </w:r>
      <w:bookmarkStart w:id="46" w:name="_Hlk94018176"/>
      <w:r>
        <w:rPr>
          <w:rFonts w:hint="eastAsia" w:ascii="宋体" w:hAnsi="宋体" w:cs="宋体"/>
          <w:color w:val="auto"/>
          <w:szCs w:val="21"/>
          <w:highlight w:val="none"/>
        </w:rPr>
        <w:t>如技术要求中未注明需执行的国家相关标准、行业标准、地方标准或者其他标准、规范的，执行最新标准、规范。</w:t>
      </w:r>
      <w:bookmarkEnd w:id="46"/>
    </w:p>
    <w:bookmarkEnd w:id="45"/>
    <w:p w14:paraId="090EF7DA">
      <w:pPr>
        <w:shd w:val="clear"/>
        <w:wordWrap w:val="0"/>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2.需实现的功能或者目标：</w:t>
      </w:r>
      <w:r>
        <w:rPr>
          <w:rFonts w:hint="eastAsia" w:ascii="宋体" w:hAnsi="宋体" w:cs="宋体"/>
          <w:color w:val="auto"/>
          <w:szCs w:val="21"/>
          <w:highlight w:val="none"/>
        </w:rPr>
        <w:t>满足浙江大学医学院附属第四医院基于医学大模型的临床智能预警监测平台项目的使用需求</w:t>
      </w:r>
      <w:r>
        <w:rPr>
          <w:rFonts w:hint="eastAsia" w:ascii="宋体" w:hAnsi="宋体" w:cs="宋体"/>
          <w:b/>
          <w:bCs/>
          <w:color w:val="auto"/>
          <w:szCs w:val="21"/>
          <w:highlight w:val="none"/>
        </w:rPr>
        <w:t>。</w:t>
      </w:r>
    </w:p>
    <w:p w14:paraId="35151F40">
      <w:pPr>
        <w:shd w:val="clear"/>
        <w:wordWrap w:val="0"/>
        <w:adjustRightInd w:val="0"/>
        <w:snapToGrid w:val="0"/>
        <w:spacing w:line="288" w:lineRule="auto"/>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rPr>
        <w:t>3.需满足的质量、安全、技术规格、物理特性等要求：</w:t>
      </w:r>
    </w:p>
    <w:p w14:paraId="4F12828D">
      <w:pPr>
        <w:shd w:val="clear"/>
        <w:wordWrap w:val="0"/>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3.1 AI技术要求</w:t>
      </w:r>
    </w:p>
    <w:p w14:paraId="4E904B2B">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通用大模型适配底座</w:t>
      </w:r>
    </w:p>
    <w:p w14:paraId="05E95657">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（1）大模型接入：支持提供在线/离线 API 的 LLM、ASR/Speech2text、TTS等模型的接入。</w:t>
      </w:r>
    </w:p>
    <w:p w14:paraId="7BF6B44C">
      <w:pPr>
        <w:shd w:val="clear"/>
        <w:wordWrap w:val="0"/>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（2）可视化流程编排：提供拖拽式界面，支持自定义节点与连接逻辑。</w:t>
      </w:r>
    </w:p>
    <w:p w14:paraId="1A43B399">
      <w:pPr>
        <w:shd w:val="clear"/>
        <w:wordWrap w:val="0"/>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3.2 采购清单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4355"/>
        <w:gridCol w:w="1725"/>
        <w:gridCol w:w="2407"/>
      </w:tblGrid>
      <w:tr w14:paraId="44C7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75CA90A4">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355" w:type="dxa"/>
            <w:vAlign w:val="center"/>
          </w:tcPr>
          <w:p w14:paraId="46230A7A">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725" w:type="dxa"/>
            <w:vAlign w:val="center"/>
          </w:tcPr>
          <w:p w14:paraId="75754699">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2407" w:type="dxa"/>
            <w:vAlign w:val="center"/>
          </w:tcPr>
          <w:p w14:paraId="11A2BB20">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是否允许进口</w:t>
            </w:r>
          </w:p>
        </w:tc>
      </w:tr>
      <w:tr w14:paraId="22F5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Align w:val="center"/>
          </w:tcPr>
          <w:p w14:paraId="4F603EC9">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355" w:type="dxa"/>
            <w:vAlign w:val="center"/>
          </w:tcPr>
          <w:p w14:paraId="1E5E25C3">
            <w:pPr>
              <w:shd w:val="clear"/>
              <w:wordWrap w:val="0"/>
              <w:adjustRightInd w:val="0"/>
              <w:snapToGrid w:val="0"/>
              <w:spacing w:line="288" w:lineRule="auto"/>
              <w:jc w:val="center"/>
              <w:rPr>
                <w:rFonts w:hint="eastAsia" w:ascii="宋体" w:hAnsi="宋体" w:cs="宋体"/>
                <w:color w:val="auto"/>
                <w:szCs w:val="21"/>
                <w:highlight w:val="none"/>
              </w:rPr>
            </w:pPr>
            <w:r>
              <w:rPr>
                <w:rFonts w:ascii="宋体" w:hAnsi="宋体" w:cs="宋体"/>
                <w:color w:val="auto"/>
                <w:szCs w:val="21"/>
                <w:highlight w:val="none"/>
              </w:rPr>
              <w:t>基于医学大模型的临床智能预警监测平台</w:t>
            </w:r>
          </w:p>
        </w:tc>
        <w:tc>
          <w:tcPr>
            <w:tcW w:w="1725" w:type="dxa"/>
            <w:vAlign w:val="center"/>
          </w:tcPr>
          <w:p w14:paraId="785EABDD">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1套</w:t>
            </w:r>
          </w:p>
        </w:tc>
        <w:tc>
          <w:tcPr>
            <w:tcW w:w="2407" w:type="dxa"/>
            <w:vAlign w:val="center"/>
          </w:tcPr>
          <w:p w14:paraId="329386B6">
            <w:pPr>
              <w:shd w:val="clear"/>
              <w:wordWrap w:val="0"/>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否</w:t>
            </w:r>
          </w:p>
        </w:tc>
      </w:tr>
    </w:tbl>
    <w:p w14:paraId="1AF4227B">
      <w:pPr>
        <w:shd w:val="clear"/>
        <w:wordWrap w:val="0"/>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3.3功能要求</w:t>
      </w:r>
    </w:p>
    <w:tbl>
      <w:tblPr>
        <w:tblStyle w:val="27"/>
        <w:tblW w:w="4996" w:type="pct"/>
        <w:tblInd w:w="96" w:type="dxa"/>
        <w:tblLayout w:type="autofit"/>
        <w:tblCellMar>
          <w:top w:w="0" w:type="dxa"/>
          <w:left w:w="108" w:type="dxa"/>
          <w:bottom w:w="0" w:type="dxa"/>
          <w:right w:w="108" w:type="dxa"/>
        </w:tblCellMar>
      </w:tblPr>
      <w:tblGrid>
        <w:gridCol w:w="568"/>
        <w:gridCol w:w="980"/>
        <w:gridCol w:w="1813"/>
        <w:gridCol w:w="6259"/>
      </w:tblGrid>
      <w:tr w14:paraId="0DE74E58">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shd w:val="clear" w:color="auto" w:fill="30C0B4"/>
            <w:vAlign w:val="center"/>
          </w:tcPr>
          <w:p w14:paraId="759BADF8">
            <w:pPr>
              <w:widowControl/>
              <w:shd w:val="clear"/>
              <w:jc w:val="cente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序号</w:t>
            </w:r>
          </w:p>
        </w:tc>
        <w:tc>
          <w:tcPr>
            <w:tcW w:w="1451" w:type="pct"/>
            <w:gridSpan w:val="2"/>
            <w:tcBorders>
              <w:top w:val="single" w:color="000000" w:sz="4" w:space="0"/>
              <w:left w:val="single" w:color="000000" w:sz="4" w:space="0"/>
              <w:bottom w:val="single" w:color="000000" w:sz="4" w:space="0"/>
              <w:right w:val="single" w:color="000000" w:sz="4" w:space="0"/>
            </w:tcBorders>
            <w:shd w:val="clear" w:color="auto" w:fill="30C0B4"/>
            <w:vAlign w:val="center"/>
          </w:tcPr>
          <w:p w14:paraId="44B94DAE">
            <w:pPr>
              <w:widowControl/>
              <w:shd w:val="clear"/>
              <w:jc w:val="cente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系统模块功能</w:t>
            </w:r>
          </w:p>
        </w:tc>
        <w:tc>
          <w:tcPr>
            <w:tcW w:w="3252" w:type="pct"/>
            <w:tcBorders>
              <w:top w:val="single" w:color="000000" w:sz="4" w:space="0"/>
              <w:left w:val="single" w:color="000000" w:sz="4" w:space="0"/>
              <w:bottom w:val="single" w:color="000000" w:sz="4" w:space="0"/>
              <w:right w:val="single" w:color="000000" w:sz="4" w:space="0"/>
            </w:tcBorders>
            <w:shd w:val="clear" w:color="auto" w:fill="30C0B4"/>
            <w:vAlign w:val="center"/>
          </w:tcPr>
          <w:p w14:paraId="50EB3E28">
            <w:pPr>
              <w:widowControl/>
              <w:shd w:val="clear"/>
              <w:jc w:val="cente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技术参数及要求</w:t>
            </w:r>
          </w:p>
        </w:tc>
      </w:tr>
      <w:tr w14:paraId="7307FEA5">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D7376DE">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204F2988">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大模型底座</w:t>
            </w:r>
          </w:p>
        </w:tc>
        <w:tc>
          <w:tcPr>
            <w:tcW w:w="942" w:type="pct"/>
            <w:tcBorders>
              <w:top w:val="single" w:color="000000" w:sz="4" w:space="0"/>
              <w:left w:val="single" w:color="000000" w:sz="4" w:space="0"/>
              <w:bottom w:val="single" w:color="000000" w:sz="4" w:space="0"/>
              <w:right w:val="single" w:color="000000" w:sz="4" w:space="0"/>
            </w:tcBorders>
            <w:vAlign w:val="center"/>
          </w:tcPr>
          <w:p w14:paraId="0A41AC8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大模型接入</w:t>
            </w:r>
          </w:p>
        </w:tc>
        <w:tc>
          <w:tcPr>
            <w:tcW w:w="3252" w:type="pct"/>
            <w:tcBorders>
              <w:top w:val="single" w:color="000000" w:sz="4" w:space="0"/>
              <w:left w:val="single" w:color="000000" w:sz="4" w:space="0"/>
              <w:bottom w:val="single" w:color="000000" w:sz="4" w:space="0"/>
              <w:right w:val="single" w:color="000000" w:sz="4" w:space="0"/>
            </w:tcBorders>
            <w:vAlign w:val="center"/>
          </w:tcPr>
          <w:p w14:paraId="616B375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支持提供在线/离线 API 的 LLM、ASR/Speech2text、TTS等模型的接入。</w:t>
            </w:r>
          </w:p>
        </w:tc>
      </w:tr>
      <w:tr w14:paraId="13AD6177">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30EA376">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C0F40E0">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817EF56">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可视化流程编排</w:t>
            </w:r>
          </w:p>
        </w:tc>
        <w:tc>
          <w:tcPr>
            <w:tcW w:w="3252" w:type="pct"/>
            <w:tcBorders>
              <w:top w:val="single" w:color="000000" w:sz="4" w:space="0"/>
              <w:left w:val="single" w:color="000000" w:sz="4" w:space="0"/>
              <w:bottom w:val="single" w:color="000000" w:sz="4" w:space="0"/>
              <w:right w:val="single" w:color="000000" w:sz="4" w:space="0"/>
            </w:tcBorders>
            <w:vAlign w:val="center"/>
          </w:tcPr>
          <w:p w14:paraId="62FC34C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提供拖拽式界面，支持自定义节点与连接逻辑。</w:t>
            </w:r>
          </w:p>
        </w:tc>
      </w:tr>
      <w:tr w14:paraId="7E77817D">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A946DC1">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A7421F3">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EDC391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▲AI推荐诊疗计划</w:t>
            </w:r>
          </w:p>
        </w:tc>
        <w:tc>
          <w:tcPr>
            <w:tcW w:w="3252" w:type="pct"/>
            <w:tcBorders>
              <w:top w:val="single" w:color="000000" w:sz="4" w:space="0"/>
              <w:left w:val="single" w:color="000000" w:sz="4" w:space="0"/>
              <w:bottom w:val="single" w:color="000000" w:sz="4" w:space="0"/>
              <w:right w:val="single" w:color="000000" w:sz="4" w:space="0"/>
            </w:tcBorders>
            <w:vAlign w:val="center"/>
          </w:tcPr>
          <w:p w14:paraId="4A6AFA7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支持在筛查任务展示页面提供“AI推荐诊疗计划”功能，模型根据患者的筛查结果和阳性病历文本信息推荐后续的诊疗计划。</w:t>
            </w:r>
          </w:p>
        </w:tc>
      </w:tr>
      <w:tr w14:paraId="240B938B">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F674D6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B6978B3">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A4297F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筛查任务查看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0366FBD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支持展示患者的筛查结果与大模型筛查依据，帮助筛查专管员快速定位患者当前的问题。</w:t>
            </w:r>
          </w:p>
        </w:tc>
      </w:tr>
      <w:tr w14:paraId="12239444">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4B3114B">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3F754EB">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E260C6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补充知识维护</w:t>
            </w:r>
          </w:p>
        </w:tc>
        <w:tc>
          <w:tcPr>
            <w:tcW w:w="3252" w:type="pct"/>
            <w:tcBorders>
              <w:top w:val="single" w:color="000000" w:sz="4" w:space="0"/>
              <w:left w:val="single" w:color="000000" w:sz="4" w:space="0"/>
              <w:bottom w:val="single" w:color="000000" w:sz="4" w:space="0"/>
              <w:right w:val="single" w:color="000000" w:sz="4" w:space="0"/>
            </w:tcBorders>
            <w:vAlign w:val="center"/>
          </w:tcPr>
          <w:p w14:paraId="3B6EC2F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支持为规则提供补充医学知识内容，辅助判断与解释。</w:t>
            </w:r>
          </w:p>
        </w:tc>
      </w:tr>
      <w:tr w14:paraId="024745E9">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60DAA9F">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68BD84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A9CAAD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筛查参数调试</w:t>
            </w:r>
          </w:p>
        </w:tc>
        <w:tc>
          <w:tcPr>
            <w:tcW w:w="3252" w:type="pct"/>
            <w:tcBorders>
              <w:top w:val="single" w:color="000000" w:sz="4" w:space="0"/>
              <w:left w:val="single" w:color="000000" w:sz="4" w:space="0"/>
              <w:bottom w:val="single" w:color="000000" w:sz="4" w:space="0"/>
              <w:right w:val="single" w:color="000000" w:sz="4" w:space="0"/>
            </w:tcBorders>
            <w:vAlign w:val="center"/>
          </w:tcPr>
          <w:p w14:paraId="2274FFA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支持开发人员输入筛查条件进行调试与验证。</w:t>
            </w:r>
          </w:p>
        </w:tc>
      </w:tr>
      <w:tr w14:paraId="318FF2A3">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F741D78">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07102E2">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FC60A9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新增筛查调试参数</w:t>
            </w:r>
          </w:p>
        </w:tc>
        <w:tc>
          <w:tcPr>
            <w:tcW w:w="3252" w:type="pct"/>
            <w:tcBorders>
              <w:top w:val="single" w:color="000000" w:sz="4" w:space="0"/>
              <w:left w:val="single" w:color="000000" w:sz="4" w:space="0"/>
              <w:bottom w:val="single" w:color="000000" w:sz="4" w:space="0"/>
              <w:right w:val="single" w:color="000000" w:sz="4" w:space="0"/>
            </w:tcBorders>
            <w:vAlign w:val="center"/>
          </w:tcPr>
          <w:p w14:paraId="237BB961">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支持配置新的筛查参数集用于测试不同条件下的匹配情况。</w:t>
            </w:r>
          </w:p>
        </w:tc>
      </w:tr>
      <w:tr w14:paraId="173DC6D5">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74F0180A">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8</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3996F4F">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40506E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筛查调试结果展示</w:t>
            </w:r>
          </w:p>
        </w:tc>
        <w:tc>
          <w:tcPr>
            <w:tcW w:w="3252" w:type="pct"/>
            <w:tcBorders>
              <w:top w:val="single" w:color="000000" w:sz="4" w:space="0"/>
              <w:left w:val="single" w:color="000000" w:sz="4" w:space="0"/>
              <w:bottom w:val="single" w:color="000000" w:sz="4" w:space="0"/>
              <w:right w:val="single" w:color="000000" w:sz="4" w:space="0"/>
            </w:tcBorders>
            <w:vAlign w:val="center"/>
          </w:tcPr>
          <w:p w14:paraId="0710476A">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支持展示调试过程中的匹配结果，用于验证规则有效性。</w:t>
            </w:r>
          </w:p>
        </w:tc>
      </w:tr>
      <w:tr w14:paraId="0563247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DB4EF5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5D1DF68">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223809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筛查调试依据展示</w:t>
            </w:r>
          </w:p>
        </w:tc>
        <w:tc>
          <w:tcPr>
            <w:tcW w:w="3252" w:type="pct"/>
            <w:tcBorders>
              <w:top w:val="single" w:color="000000" w:sz="4" w:space="0"/>
              <w:left w:val="single" w:color="000000" w:sz="4" w:space="0"/>
              <w:bottom w:val="single" w:color="000000" w:sz="4" w:space="0"/>
              <w:right w:val="single" w:color="000000" w:sz="4" w:space="0"/>
            </w:tcBorders>
            <w:vAlign w:val="center"/>
          </w:tcPr>
          <w:p w14:paraId="4DB0B95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支持提示调试结果所依据的具体条件命中路径。</w:t>
            </w:r>
          </w:p>
        </w:tc>
      </w:tr>
      <w:tr w14:paraId="1BE3842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FE8DB59">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10</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2F18890F">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流失风险监测</w:t>
            </w:r>
          </w:p>
        </w:tc>
        <w:tc>
          <w:tcPr>
            <w:tcW w:w="942" w:type="pct"/>
            <w:tcBorders>
              <w:top w:val="single" w:color="000000" w:sz="4" w:space="0"/>
              <w:left w:val="single" w:color="000000" w:sz="4" w:space="0"/>
              <w:bottom w:val="single" w:color="000000" w:sz="4" w:space="0"/>
              <w:right w:val="single" w:color="000000" w:sz="4" w:space="0"/>
            </w:tcBorders>
            <w:vAlign w:val="center"/>
          </w:tcPr>
          <w:p w14:paraId="57E0C051">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流失风险监测</w:t>
            </w:r>
          </w:p>
        </w:tc>
        <w:tc>
          <w:tcPr>
            <w:tcW w:w="3252" w:type="pct"/>
            <w:tcBorders>
              <w:top w:val="single" w:color="000000" w:sz="4" w:space="0"/>
              <w:left w:val="single" w:color="000000" w:sz="4" w:space="0"/>
              <w:bottom w:val="single" w:color="000000" w:sz="4" w:space="0"/>
              <w:right w:val="single" w:color="000000" w:sz="4" w:space="0"/>
            </w:tcBorders>
            <w:vAlign w:val="center"/>
          </w:tcPr>
          <w:p w14:paraId="000C0A2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系统结合患者的病历、报告数据，自动监测患者存在的手术指征（或科室自定义的相关指征）</w:t>
            </w:r>
          </w:p>
        </w:tc>
      </w:tr>
      <w:tr w14:paraId="195324C8">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B308579">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B2BFCA2">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20EBF2E">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风险患者标记</w:t>
            </w:r>
          </w:p>
        </w:tc>
        <w:tc>
          <w:tcPr>
            <w:tcW w:w="3252" w:type="pct"/>
            <w:tcBorders>
              <w:top w:val="single" w:color="000000" w:sz="4" w:space="0"/>
              <w:left w:val="single" w:color="000000" w:sz="4" w:space="0"/>
              <w:bottom w:val="single" w:color="000000" w:sz="4" w:space="0"/>
              <w:right w:val="single" w:color="000000" w:sz="4" w:space="0"/>
            </w:tcBorders>
            <w:vAlign w:val="center"/>
          </w:tcPr>
          <w:p w14:paraId="3D1EE3B6">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识别与监测患者相关指征的治疗情况，对应收却未收治的患者进行标记，并根据患者的收治必要性分出相应的分级</w:t>
            </w:r>
          </w:p>
        </w:tc>
      </w:tr>
      <w:tr w14:paraId="1EEF6D57">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6E2BC6A">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12</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3C00BFA">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B257DD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风险审查推送</w:t>
            </w:r>
          </w:p>
        </w:tc>
        <w:tc>
          <w:tcPr>
            <w:tcW w:w="3252" w:type="pct"/>
            <w:tcBorders>
              <w:top w:val="single" w:color="000000" w:sz="4" w:space="0"/>
              <w:left w:val="single" w:color="000000" w:sz="4" w:space="0"/>
              <w:bottom w:val="single" w:color="000000" w:sz="4" w:space="0"/>
              <w:right w:val="single" w:color="000000" w:sz="4" w:space="0"/>
            </w:tcBorders>
            <w:vAlign w:val="center"/>
          </w:tcPr>
          <w:p w14:paraId="68E8B0D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被标记患者存在较大流失风险，系统可自动分发至相关科室，由合适的人员进行审查与追踪</w:t>
            </w:r>
          </w:p>
        </w:tc>
      </w:tr>
      <w:tr w14:paraId="6D0F26D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5BC6477">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13</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075C2A24">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分发患者召回</w:t>
            </w:r>
          </w:p>
        </w:tc>
        <w:tc>
          <w:tcPr>
            <w:tcW w:w="942" w:type="pct"/>
            <w:tcBorders>
              <w:top w:val="single" w:color="000000" w:sz="4" w:space="0"/>
              <w:left w:val="single" w:color="000000" w:sz="4" w:space="0"/>
              <w:bottom w:val="single" w:color="000000" w:sz="4" w:space="0"/>
              <w:right w:val="single" w:color="000000" w:sz="4" w:space="0"/>
            </w:tcBorders>
            <w:vAlign w:val="center"/>
          </w:tcPr>
          <w:p w14:paraId="681102C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本科室接诊提醒</w:t>
            </w:r>
          </w:p>
        </w:tc>
        <w:tc>
          <w:tcPr>
            <w:tcW w:w="3252" w:type="pct"/>
            <w:tcBorders>
              <w:top w:val="single" w:color="000000" w:sz="4" w:space="0"/>
              <w:left w:val="single" w:color="000000" w:sz="4" w:space="0"/>
              <w:bottom w:val="single" w:color="000000" w:sz="4" w:space="0"/>
              <w:right w:val="single" w:color="000000" w:sz="4" w:space="0"/>
            </w:tcBorders>
            <w:vAlign w:val="center"/>
          </w:tcPr>
          <w:p w14:paraId="4570A81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对于本科室应收未收的患者，分发至患者的接诊医生，提醒医生重点关注，并由接诊医生进行处理与收治。</w:t>
            </w:r>
          </w:p>
        </w:tc>
      </w:tr>
      <w:tr w14:paraId="1460B8A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6DAE02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44056895">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1CF10AD0">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跨科室收治审查</w:t>
            </w:r>
          </w:p>
        </w:tc>
        <w:tc>
          <w:tcPr>
            <w:tcW w:w="3252" w:type="pct"/>
            <w:tcBorders>
              <w:top w:val="single" w:color="000000" w:sz="4" w:space="0"/>
              <w:left w:val="single" w:color="000000" w:sz="4" w:space="0"/>
              <w:bottom w:val="single" w:color="000000" w:sz="4" w:space="0"/>
              <w:right w:val="single" w:color="000000" w:sz="4" w:space="0"/>
            </w:tcBorders>
            <w:vAlign w:val="center"/>
          </w:tcPr>
          <w:p w14:paraId="47CBC26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对于本科室应收但未在本科室就诊的患者（定义为跨科室患者），分发至本科室的专管员处，由科室专管员统一管理与审查。</w:t>
            </w:r>
          </w:p>
        </w:tc>
      </w:tr>
      <w:tr w14:paraId="62130F22">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C646C78">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15</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2368361">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0D107C9">
            <w:pPr>
              <w:widowControl/>
              <w:shd w:val="clear"/>
              <w:textAlignment w:val="center"/>
              <w:rPr>
                <w:rFonts w:hint="eastAsia" w:eastAsia="等线" w:cs="等线"/>
                <w:color w:val="auto"/>
                <w:highlight w:val="none"/>
              </w:rPr>
            </w:pPr>
            <w:r>
              <w:rPr>
                <w:rFonts w:hint="eastAsia" w:eastAsia="等线" w:cs="等线"/>
                <w:color w:val="auto"/>
                <w:kern w:val="0"/>
                <w:highlight w:val="none"/>
                <w:lang w:bidi="ar"/>
              </w:rPr>
              <w:t>▲</w:t>
            </w:r>
            <w:r>
              <w:rPr>
                <w:rStyle w:val="123"/>
                <w:rFonts w:hint="default"/>
                <w:color w:val="auto"/>
                <w:highlight w:val="none"/>
                <w:lang w:bidi="ar"/>
              </w:rPr>
              <w:t>查看依据</w:t>
            </w:r>
          </w:p>
        </w:tc>
        <w:tc>
          <w:tcPr>
            <w:tcW w:w="3252" w:type="pct"/>
            <w:tcBorders>
              <w:top w:val="single" w:color="000000" w:sz="4" w:space="0"/>
              <w:left w:val="single" w:color="000000" w:sz="4" w:space="0"/>
              <w:bottom w:val="single" w:color="000000" w:sz="4" w:space="0"/>
              <w:right w:val="single" w:color="000000" w:sz="4" w:space="0"/>
            </w:tcBorders>
            <w:vAlign w:val="center"/>
          </w:tcPr>
          <w:p w14:paraId="352C676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对于推送的患者，专管员可以查看其被推送的原因与相关的原始数据（病历文书、报告、处方单等）</w:t>
            </w:r>
          </w:p>
        </w:tc>
      </w:tr>
      <w:tr w14:paraId="4BACFD79">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9A6A7E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16</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DEEEEAB">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85801C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查看患者动向</w:t>
            </w:r>
          </w:p>
        </w:tc>
        <w:tc>
          <w:tcPr>
            <w:tcW w:w="3252" w:type="pct"/>
            <w:tcBorders>
              <w:top w:val="single" w:color="000000" w:sz="4" w:space="0"/>
              <w:left w:val="single" w:color="000000" w:sz="4" w:space="0"/>
              <w:bottom w:val="single" w:color="000000" w:sz="4" w:space="0"/>
              <w:right w:val="single" w:color="000000" w:sz="4" w:space="0"/>
            </w:tcBorders>
            <w:vAlign w:val="center"/>
          </w:tcPr>
          <w:p w14:paraId="72873846">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系统自动梳理患者在院内的就诊记录，专管员可快速了解并确认患者是否需要进一步召回</w:t>
            </w:r>
          </w:p>
        </w:tc>
      </w:tr>
      <w:tr w14:paraId="5BD0CD1E">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B34118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AB5B4D7">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EB32E0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关键患者通知</w:t>
            </w:r>
          </w:p>
        </w:tc>
        <w:tc>
          <w:tcPr>
            <w:tcW w:w="3252" w:type="pct"/>
            <w:tcBorders>
              <w:top w:val="single" w:color="000000" w:sz="4" w:space="0"/>
              <w:left w:val="single" w:color="000000" w:sz="4" w:space="0"/>
              <w:bottom w:val="single" w:color="000000" w:sz="4" w:space="0"/>
              <w:right w:val="single" w:color="000000" w:sz="4" w:space="0"/>
            </w:tcBorders>
            <w:vAlign w:val="center"/>
          </w:tcPr>
          <w:p w14:paraId="40B03C2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对于需要优先就诊的关键患者，专管员可以通过短信发送优先加号的凭证，或通过电话联系后直接为患者办理住院证。</w:t>
            </w:r>
          </w:p>
        </w:tc>
      </w:tr>
      <w:tr w14:paraId="4BCC400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4EDF42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18</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1DC9E75F">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纳管患者追踪</w:t>
            </w:r>
          </w:p>
        </w:tc>
        <w:tc>
          <w:tcPr>
            <w:tcW w:w="942" w:type="pct"/>
            <w:tcBorders>
              <w:top w:val="single" w:color="000000" w:sz="4" w:space="0"/>
              <w:left w:val="single" w:color="000000" w:sz="4" w:space="0"/>
              <w:bottom w:val="single" w:color="000000" w:sz="4" w:space="0"/>
              <w:right w:val="single" w:color="000000" w:sz="4" w:space="0"/>
            </w:tcBorders>
            <w:vAlign w:val="center"/>
          </w:tcPr>
          <w:p w14:paraId="721892D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患者纳入管理</w:t>
            </w:r>
          </w:p>
        </w:tc>
        <w:tc>
          <w:tcPr>
            <w:tcW w:w="3252" w:type="pct"/>
            <w:tcBorders>
              <w:top w:val="single" w:color="000000" w:sz="4" w:space="0"/>
              <w:left w:val="single" w:color="000000" w:sz="4" w:space="0"/>
              <w:bottom w:val="single" w:color="000000" w:sz="4" w:space="0"/>
              <w:right w:val="single" w:color="000000" w:sz="4" w:space="0"/>
            </w:tcBorders>
            <w:vAlign w:val="center"/>
          </w:tcPr>
          <w:p w14:paraId="51A2E66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对有价值的患者进行纳管，建立患者管理流程，便于后续的二次管理和服务。</w:t>
            </w:r>
          </w:p>
        </w:tc>
      </w:tr>
      <w:tr w14:paraId="6492F886">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7316918">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19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3E2DFDF">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D22A92E">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批量纳管</w:t>
            </w:r>
          </w:p>
        </w:tc>
        <w:tc>
          <w:tcPr>
            <w:tcW w:w="3252" w:type="pct"/>
            <w:tcBorders>
              <w:top w:val="single" w:color="000000" w:sz="4" w:space="0"/>
              <w:left w:val="single" w:color="000000" w:sz="4" w:space="0"/>
              <w:bottom w:val="single" w:color="000000" w:sz="4" w:space="0"/>
              <w:right w:val="single" w:color="000000" w:sz="4" w:space="0"/>
            </w:tcBorders>
            <w:vAlign w:val="center"/>
          </w:tcPr>
          <w:p w14:paraId="317641B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提供多种筛选方式，支持将筛选出来的患者进行批量纳管。</w:t>
            </w:r>
          </w:p>
        </w:tc>
      </w:tr>
      <w:tr w14:paraId="7E98D906">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458D83B">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20</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2D750BE0">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ED24E0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纳管特殊信息提示</w:t>
            </w:r>
          </w:p>
        </w:tc>
        <w:tc>
          <w:tcPr>
            <w:tcW w:w="3252" w:type="pct"/>
            <w:tcBorders>
              <w:top w:val="single" w:color="000000" w:sz="4" w:space="0"/>
              <w:left w:val="single" w:color="000000" w:sz="4" w:space="0"/>
              <w:bottom w:val="single" w:color="000000" w:sz="4" w:space="0"/>
              <w:right w:val="single" w:color="000000" w:sz="4" w:space="0"/>
            </w:tcBorders>
            <w:vAlign w:val="center"/>
          </w:tcPr>
          <w:p w14:paraId="30916956">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对于可见的患者，可以选择纳管，单个患者（任务）不可被多人纳管，当纳管时，该患者若已被纳管，提示纳管情况。</w:t>
            </w:r>
          </w:p>
        </w:tc>
      </w:tr>
      <w:tr w14:paraId="46A9D2EF">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70CF1BF">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21EBB7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BEAAF11">
            <w:pPr>
              <w:widowControl/>
              <w:shd w:val="clear"/>
              <w:textAlignment w:val="center"/>
              <w:rPr>
                <w:rFonts w:hint="eastAsia" w:eastAsia="等线" w:cs="等线"/>
                <w:color w:val="auto"/>
                <w:highlight w:val="none"/>
              </w:rPr>
            </w:pPr>
            <w:r>
              <w:rPr>
                <w:rFonts w:hint="eastAsia" w:eastAsia="等线" w:cs="等线"/>
                <w:color w:val="auto"/>
                <w:kern w:val="0"/>
                <w:highlight w:val="none"/>
                <w:lang w:bidi="ar"/>
              </w:rPr>
              <w:t>▲</w:t>
            </w:r>
            <w:r>
              <w:rPr>
                <w:rStyle w:val="123"/>
                <w:rFonts w:hint="default"/>
                <w:color w:val="auto"/>
                <w:highlight w:val="none"/>
                <w:lang w:bidi="ar"/>
              </w:rPr>
              <w:t>召回目标管理</w:t>
            </w:r>
          </w:p>
        </w:tc>
        <w:tc>
          <w:tcPr>
            <w:tcW w:w="3252" w:type="pct"/>
            <w:tcBorders>
              <w:top w:val="single" w:color="000000" w:sz="4" w:space="0"/>
              <w:left w:val="single" w:color="000000" w:sz="4" w:space="0"/>
              <w:bottom w:val="single" w:color="000000" w:sz="4" w:space="0"/>
              <w:right w:val="single" w:color="000000" w:sz="4" w:space="0"/>
            </w:tcBorders>
            <w:vAlign w:val="center"/>
          </w:tcPr>
          <w:p w14:paraId="44D59E7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在纳管时可设置召回目标，如复诊时间、检查项目等，便于后续的患者管理和跟踪。</w:t>
            </w:r>
          </w:p>
        </w:tc>
      </w:tr>
      <w:tr w14:paraId="274C5C5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7976D7D4">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22</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21AD2A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AF7CB7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纳管患者列表</w:t>
            </w:r>
          </w:p>
        </w:tc>
        <w:tc>
          <w:tcPr>
            <w:tcW w:w="3252" w:type="pct"/>
            <w:tcBorders>
              <w:top w:val="single" w:color="000000" w:sz="4" w:space="0"/>
              <w:left w:val="single" w:color="000000" w:sz="4" w:space="0"/>
              <w:bottom w:val="single" w:color="000000" w:sz="4" w:space="0"/>
              <w:right w:val="single" w:color="000000" w:sz="4" w:space="0"/>
            </w:tcBorders>
            <w:vAlign w:val="center"/>
          </w:tcPr>
          <w:p w14:paraId="76E04FA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提供纳入管理患者列表，帮助专管员对纳管患者进行管理。</w:t>
            </w:r>
          </w:p>
        </w:tc>
      </w:tr>
      <w:tr w14:paraId="292080AB">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1EA6311">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23</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49A9C5F">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7460E8E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患者回院追踪</w:t>
            </w:r>
          </w:p>
        </w:tc>
        <w:tc>
          <w:tcPr>
            <w:tcW w:w="3252" w:type="pct"/>
            <w:tcBorders>
              <w:top w:val="single" w:color="000000" w:sz="4" w:space="0"/>
              <w:left w:val="single" w:color="000000" w:sz="4" w:space="0"/>
              <w:bottom w:val="single" w:color="000000" w:sz="4" w:space="0"/>
              <w:right w:val="single" w:color="000000" w:sz="4" w:space="0"/>
            </w:tcBorders>
            <w:vAlign w:val="center"/>
          </w:tcPr>
          <w:p w14:paraId="5A0DABFB">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追踪纳管患者的回院状态，记录患者的实际回院情况，便于评估管理效果。</w:t>
            </w:r>
          </w:p>
        </w:tc>
      </w:tr>
      <w:tr w14:paraId="0594873B">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E04E8C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23742441">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73056DD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自动闭环</w:t>
            </w:r>
          </w:p>
        </w:tc>
        <w:tc>
          <w:tcPr>
            <w:tcW w:w="3252" w:type="pct"/>
            <w:tcBorders>
              <w:top w:val="single" w:color="000000" w:sz="4" w:space="0"/>
              <w:left w:val="single" w:color="000000" w:sz="4" w:space="0"/>
              <w:bottom w:val="single" w:color="000000" w:sz="4" w:space="0"/>
              <w:right w:val="single" w:color="000000" w:sz="4" w:space="0"/>
            </w:tcBorders>
            <w:vAlign w:val="center"/>
          </w:tcPr>
          <w:p w14:paraId="1E3EE51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APTS系统自动跟踪患者回院状态，根据召回目标实现自动闭环管理，提高管理效率。</w:t>
            </w:r>
          </w:p>
        </w:tc>
      </w:tr>
      <w:tr w14:paraId="77DEFFA6">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62DE477">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25</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EF2C529">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75CAFACB">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查看回院追踪历史</w:t>
            </w:r>
          </w:p>
        </w:tc>
        <w:tc>
          <w:tcPr>
            <w:tcW w:w="3252" w:type="pct"/>
            <w:tcBorders>
              <w:top w:val="single" w:color="000000" w:sz="4" w:space="0"/>
              <w:left w:val="single" w:color="000000" w:sz="4" w:space="0"/>
              <w:bottom w:val="single" w:color="000000" w:sz="4" w:space="0"/>
              <w:right w:val="single" w:color="000000" w:sz="4" w:space="0"/>
            </w:tcBorders>
            <w:vAlign w:val="center"/>
          </w:tcPr>
          <w:p w14:paraId="3F9281D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支持查看患者的历次回院状态记录，帮助筛查专管员了解患者的长期治疗情况。</w:t>
            </w:r>
          </w:p>
        </w:tc>
      </w:tr>
      <w:tr w14:paraId="1974DAFB">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F33654B">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26</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0F2E751F">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任务处理中心</w:t>
            </w:r>
          </w:p>
        </w:tc>
        <w:tc>
          <w:tcPr>
            <w:tcW w:w="942" w:type="pct"/>
            <w:tcBorders>
              <w:top w:val="single" w:color="000000" w:sz="4" w:space="0"/>
              <w:left w:val="single" w:color="000000" w:sz="4" w:space="0"/>
              <w:bottom w:val="single" w:color="000000" w:sz="4" w:space="0"/>
              <w:right w:val="single" w:color="000000" w:sz="4" w:space="0"/>
            </w:tcBorders>
            <w:vAlign w:val="center"/>
          </w:tcPr>
          <w:p w14:paraId="48B93C6E">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处理模式</w:t>
            </w:r>
          </w:p>
        </w:tc>
        <w:tc>
          <w:tcPr>
            <w:tcW w:w="3252" w:type="pct"/>
            <w:tcBorders>
              <w:top w:val="single" w:color="000000" w:sz="4" w:space="0"/>
              <w:left w:val="single" w:color="000000" w:sz="4" w:space="0"/>
              <w:bottom w:val="single" w:color="000000" w:sz="4" w:space="0"/>
              <w:right w:val="single" w:color="000000" w:sz="4" w:space="0"/>
            </w:tcBorders>
            <w:vAlign w:val="center"/>
          </w:tcPr>
          <w:p w14:paraId="476DEEEA">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提供多种患者处理模式，如单条处理、批量处理等，满足不同场景下的患者管理需求。</w:t>
            </w:r>
          </w:p>
        </w:tc>
      </w:tr>
      <w:tr w14:paraId="3F3E25D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942AEBA">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23880348">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7101549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快捷作废原因填写</w:t>
            </w:r>
          </w:p>
        </w:tc>
        <w:tc>
          <w:tcPr>
            <w:tcW w:w="3252" w:type="pct"/>
            <w:tcBorders>
              <w:top w:val="single" w:color="000000" w:sz="4" w:space="0"/>
              <w:left w:val="single" w:color="000000" w:sz="4" w:space="0"/>
              <w:bottom w:val="single" w:color="000000" w:sz="4" w:space="0"/>
              <w:right w:val="single" w:color="000000" w:sz="4" w:space="0"/>
            </w:tcBorders>
            <w:vAlign w:val="center"/>
          </w:tcPr>
          <w:p w14:paraId="5EA7836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支持对无需管理的患者进行作废处理并记录作废原因，确保数据的整洁性和准确性。</w:t>
            </w:r>
          </w:p>
        </w:tc>
      </w:tr>
      <w:tr w14:paraId="6EEDA2A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B214575">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28</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4E91917">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6EB61D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筛查任务快捷编辑</w:t>
            </w:r>
          </w:p>
        </w:tc>
        <w:tc>
          <w:tcPr>
            <w:tcW w:w="3252" w:type="pct"/>
            <w:tcBorders>
              <w:top w:val="single" w:color="000000" w:sz="4" w:space="0"/>
              <w:left w:val="single" w:color="000000" w:sz="4" w:space="0"/>
              <w:bottom w:val="single" w:color="000000" w:sz="4" w:space="0"/>
              <w:right w:val="single" w:color="000000" w:sz="4" w:space="0"/>
            </w:tcBorders>
            <w:vAlign w:val="center"/>
          </w:tcPr>
          <w:p w14:paraId="01B6059B">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支持对筛查任务进行备注，APTS提供快捷筛选项。</w:t>
            </w:r>
          </w:p>
        </w:tc>
      </w:tr>
      <w:tr w14:paraId="7DBCC34C">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46110B1">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29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251E52D8">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96BE38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闭环流程图</w:t>
            </w:r>
          </w:p>
        </w:tc>
        <w:tc>
          <w:tcPr>
            <w:tcW w:w="3252" w:type="pct"/>
            <w:tcBorders>
              <w:top w:val="single" w:color="000000" w:sz="4" w:space="0"/>
              <w:left w:val="single" w:color="000000" w:sz="4" w:space="0"/>
              <w:bottom w:val="single" w:color="000000" w:sz="4" w:space="0"/>
              <w:right w:val="single" w:color="000000" w:sz="4" w:space="0"/>
            </w:tcBorders>
            <w:vAlign w:val="center"/>
          </w:tcPr>
          <w:p w14:paraId="6190398B">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提供患者管理的闭环流程图，展示患者从筛查到筛查专管员查看处理、到患者再次回院就诊的完整流程，确保管理的连贯性和完整性。</w:t>
            </w:r>
          </w:p>
        </w:tc>
      </w:tr>
      <w:tr w14:paraId="34494D0A">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DE2152B">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30</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B9B8C29">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7C1FFE2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患者预约挂号提示</w:t>
            </w:r>
          </w:p>
        </w:tc>
        <w:tc>
          <w:tcPr>
            <w:tcW w:w="3252" w:type="pct"/>
            <w:tcBorders>
              <w:top w:val="single" w:color="000000" w:sz="4" w:space="0"/>
              <w:left w:val="single" w:color="000000" w:sz="4" w:space="0"/>
              <w:bottom w:val="single" w:color="000000" w:sz="4" w:space="0"/>
              <w:right w:val="single" w:color="000000" w:sz="4" w:space="0"/>
            </w:tcBorders>
            <w:vAlign w:val="center"/>
          </w:tcPr>
          <w:p w14:paraId="4DCAE47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当专管员处理患者信息时，若患者已预约挂号，系统会自动提示，避免专管员重复通知患者回院。</w:t>
            </w:r>
          </w:p>
        </w:tc>
      </w:tr>
      <w:tr w14:paraId="5E7791ED">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8835F3B">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EA246D9">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5ED7EF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患者住院提示</w:t>
            </w:r>
          </w:p>
        </w:tc>
        <w:tc>
          <w:tcPr>
            <w:tcW w:w="3252" w:type="pct"/>
            <w:tcBorders>
              <w:top w:val="single" w:color="000000" w:sz="4" w:space="0"/>
              <w:left w:val="single" w:color="000000" w:sz="4" w:space="0"/>
              <w:bottom w:val="single" w:color="000000" w:sz="4" w:space="0"/>
              <w:right w:val="single" w:color="000000" w:sz="4" w:space="0"/>
            </w:tcBorders>
            <w:vAlign w:val="center"/>
          </w:tcPr>
          <w:p w14:paraId="4C15124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当专管员处理患者信息时，若患者已住院或有住院预约，系统会自动提示，避免专管员重复通知患者回院。</w:t>
            </w:r>
          </w:p>
        </w:tc>
      </w:tr>
      <w:tr w14:paraId="548ACCEB">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3AB466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32</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C843313">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5DD819D">
            <w:pPr>
              <w:widowControl/>
              <w:shd w:val="clear"/>
              <w:textAlignment w:val="center"/>
              <w:rPr>
                <w:rFonts w:hint="eastAsia" w:eastAsia="等线" w:cs="等线"/>
                <w:color w:val="auto"/>
                <w:highlight w:val="none"/>
              </w:rPr>
            </w:pPr>
            <w:r>
              <w:rPr>
                <w:rFonts w:hint="eastAsia" w:eastAsia="等线" w:cs="等线"/>
                <w:color w:val="auto"/>
                <w:kern w:val="0"/>
                <w:highlight w:val="none"/>
                <w:lang w:bidi="ar"/>
              </w:rPr>
              <w:t>▲</w:t>
            </w:r>
            <w:r>
              <w:rPr>
                <w:rStyle w:val="123"/>
                <w:rFonts w:hint="default"/>
                <w:color w:val="auto"/>
                <w:highlight w:val="none"/>
                <w:lang w:bidi="ar"/>
              </w:rPr>
              <w:t>患者复诊标签</w:t>
            </w:r>
          </w:p>
        </w:tc>
        <w:tc>
          <w:tcPr>
            <w:tcW w:w="3252" w:type="pct"/>
            <w:tcBorders>
              <w:top w:val="single" w:color="000000" w:sz="4" w:space="0"/>
              <w:left w:val="single" w:color="000000" w:sz="4" w:space="0"/>
              <w:bottom w:val="single" w:color="000000" w:sz="4" w:space="0"/>
              <w:right w:val="single" w:color="000000" w:sz="4" w:space="0"/>
            </w:tcBorders>
            <w:vAlign w:val="center"/>
          </w:tcPr>
          <w:p w14:paraId="51776C1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展示患者复诊标签，帮助医生判断患者当次就诊是否复诊。</w:t>
            </w:r>
          </w:p>
        </w:tc>
      </w:tr>
      <w:tr w14:paraId="206AAADD">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24F4FF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33</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626DAD6">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FA1923E">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关联的处理记录提示功能</w:t>
            </w:r>
          </w:p>
        </w:tc>
        <w:tc>
          <w:tcPr>
            <w:tcW w:w="3252" w:type="pct"/>
            <w:tcBorders>
              <w:top w:val="single" w:color="000000" w:sz="4" w:space="0"/>
              <w:left w:val="single" w:color="000000" w:sz="4" w:space="0"/>
              <w:bottom w:val="single" w:color="000000" w:sz="4" w:space="0"/>
              <w:right w:val="single" w:color="000000" w:sz="4" w:space="0"/>
            </w:tcBorders>
            <w:vAlign w:val="center"/>
          </w:tcPr>
          <w:p w14:paraId="77A8FC4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当第二个处理的专管员接手患者时，系统会提示上个专管员的处理记录。</w:t>
            </w:r>
          </w:p>
        </w:tc>
      </w:tr>
      <w:tr w14:paraId="59D41E9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CEC33A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016B55A">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FAC760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门诊复诊模板</w:t>
            </w:r>
          </w:p>
        </w:tc>
        <w:tc>
          <w:tcPr>
            <w:tcW w:w="3252" w:type="pct"/>
            <w:tcBorders>
              <w:top w:val="single" w:color="000000" w:sz="4" w:space="0"/>
              <w:left w:val="single" w:color="000000" w:sz="4" w:space="0"/>
              <w:bottom w:val="single" w:color="000000" w:sz="4" w:space="0"/>
              <w:right w:val="single" w:color="000000" w:sz="4" w:space="0"/>
            </w:tcBorders>
            <w:vAlign w:val="center"/>
          </w:tcPr>
          <w:p w14:paraId="6FEA2500">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提供门诊复诊的标准化短信模板，帮助筛查专管员触达患者，提高工作效率。</w:t>
            </w:r>
          </w:p>
        </w:tc>
      </w:tr>
      <w:tr w14:paraId="4C129A67">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402B4D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35</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7423D21B">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21B2EB1">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专家优先加号模板</w:t>
            </w:r>
          </w:p>
        </w:tc>
        <w:tc>
          <w:tcPr>
            <w:tcW w:w="3252" w:type="pct"/>
            <w:tcBorders>
              <w:top w:val="single" w:color="000000" w:sz="4" w:space="0"/>
              <w:left w:val="single" w:color="000000" w:sz="4" w:space="0"/>
              <w:bottom w:val="single" w:color="000000" w:sz="4" w:space="0"/>
              <w:right w:val="single" w:color="000000" w:sz="4" w:space="0"/>
            </w:tcBorders>
            <w:vAlign w:val="center"/>
          </w:tcPr>
          <w:p w14:paraId="264B5B4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提供专家优先加号的标准化短信模板，帮助筛查专管员触达患者，提高工作效率。</w:t>
            </w:r>
          </w:p>
        </w:tc>
      </w:tr>
      <w:tr w14:paraId="2CDEEA3E">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0FD53D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36</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FBA9B6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B75D87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群发短信</w:t>
            </w:r>
          </w:p>
        </w:tc>
        <w:tc>
          <w:tcPr>
            <w:tcW w:w="3252" w:type="pct"/>
            <w:tcBorders>
              <w:top w:val="single" w:color="000000" w:sz="4" w:space="0"/>
              <w:left w:val="single" w:color="000000" w:sz="4" w:space="0"/>
              <w:bottom w:val="single" w:color="000000" w:sz="4" w:space="0"/>
              <w:right w:val="single" w:color="000000" w:sz="4" w:space="0"/>
            </w:tcBorders>
            <w:vAlign w:val="center"/>
          </w:tcPr>
          <w:p w14:paraId="7592BAD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支持向患者群发短信，用于提醒复诊等信息，提高患者的依从性。</w:t>
            </w:r>
          </w:p>
        </w:tc>
      </w:tr>
      <w:tr w14:paraId="36D753D9">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46182A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2FEF3777">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987A99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已电联标记</w:t>
            </w:r>
          </w:p>
        </w:tc>
        <w:tc>
          <w:tcPr>
            <w:tcW w:w="3252" w:type="pct"/>
            <w:tcBorders>
              <w:top w:val="single" w:color="000000" w:sz="4" w:space="0"/>
              <w:left w:val="single" w:color="000000" w:sz="4" w:space="0"/>
              <w:bottom w:val="single" w:color="000000" w:sz="4" w:space="0"/>
              <w:right w:val="single" w:color="000000" w:sz="4" w:space="0"/>
            </w:tcBorders>
            <w:vAlign w:val="center"/>
          </w:tcPr>
          <w:p w14:paraId="4DC3A8B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支持电话标记功能，记录筛查专管员与患者的电话沟通情况，便于后续工作量统计和跟踪。</w:t>
            </w:r>
          </w:p>
        </w:tc>
      </w:tr>
      <w:tr w14:paraId="2DB4FC4E">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E7BA42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38</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4DE38190">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BF20B1A">
            <w:pPr>
              <w:widowControl/>
              <w:shd w:val="clear"/>
              <w:textAlignment w:val="center"/>
              <w:rPr>
                <w:rFonts w:hint="eastAsia" w:ascii="宋体" w:hAnsi="宋体" w:cs="宋体"/>
                <w:color w:val="auto"/>
                <w:sz w:val="16"/>
                <w:szCs w:val="16"/>
                <w:highlight w:val="none"/>
              </w:rPr>
            </w:pPr>
            <w:r>
              <w:rPr>
                <w:rFonts w:hint="eastAsia" w:ascii="宋体" w:hAnsi="宋体" w:cs="宋体"/>
                <w:b/>
                <w:bCs/>
                <w:color w:val="auto"/>
                <w:kern w:val="0"/>
                <w:sz w:val="16"/>
                <w:szCs w:val="16"/>
                <w:highlight w:val="none"/>
                <w:lang w:bidi="ar"/>
              </w:rPr>
              <w:t>患者就诊史列表</w:t>
            </w:r>
          </w:p>
        </w:tc>
        <w:tc>
          <w:tcPr>
            <w:tcW w:w="3252" w:type="pct"/>
            <w:tcBorders>
              <w:top w:val="single" w:color="000000" w:sz="4" w:space="0"/>
              <w:left w:val="single" w:color="000000" w:sz="4" w:space="0"/>
              <w:bottom w:val="single" w:color="000000" w:sz="4" w:space="0"/>
              <w:right w:val="single" w:color="000000" w:sz="4" w:space="0"/>
            </w:tcBorders>
            <w:vAlign w:val="center"/>
          </w:tcPr>
          <w:p w14:paraId="7FE3D5B6">
            <w:pPr>
              <w:widowControl/>
              <w:shd w:val="clear"/>
              <w:textAlignment w:val="center"/>
              <w:rPr>
                <w:rFonts w:hint="eastAsia" w:ascii="宋体" w:hAnsi="宋体" w:cs="宋体"/>
                <w:color w:val="auto"/>
                <w:sz w:val="16"/>
                <w:szCs w:val="16"/>
                <w:highlight w:val="none"/>
              </w:rPr>
            </w:pPr>
            <w:r>
              <w:rPr>
                <w:rFonts w:hint="eastAsia" w:ascii="宋体" w:hAnsi="宋体" w:cs="宋体"/>
                <w:b/>
                <w:bCs/>
                <w:color w:val="auto"/>
                <w:kern w:val="0"/>
                <w:sz w:val="16"/>
                <w:szCs w:val="16"/>
                <w:highlight w:val="none"/>
                <w:lang w:bidi="ar"/>
              </w:rPr>
              <w:t>提供按照时间线罗列的患者历次就诊信息，包括就诊日期、诊断结果、就诊科室等，便于筛查专管员全面了解患者的就医历程。【演示项】</w:t>
            </w:r>
          </w:p>
        </w:tc>
      </w:tr>
      <w:tr w14:paraId="245D086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87F7FE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39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783FD53">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17C5FF7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患者360查看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44DAEF6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接入医院的360度患者视图系统，整合患者的所有医疗信息，提供全面的患者视图</w:t>
            </w:r>
            <w:r>
              <w:rPr>
                <w:rFonts w:hint="eastAsia" w:ascii="宋体" w:hAnsi="宋体" w:cs="宋体"/>
                <w:color w:val="auto"/>
                <w:kern w:val="0"/>
                <w:sz w:val="16"/>
                <w:szCs w:val="16"/>
                <w:highlight w:val="none"/>
                <w:lang w:eastAsia="zh-CN" w:bidi="ar"/>
              </w:rPr>
              <w:t>，无需支付额外接口使用费</w:t>
            </w:r>
            <w:r>
              <w:rPr>
                <w:rFonts w:hint="eastAsia" w:ascii="宋体" w:hAnsi="宋体" w:cs="宋体"/>
                <w:color w:val="auto"/>
                <w:kern w:val="0"/>
                <w:sz w:val="16"/>
                <w:szCs w:val="16"/>
                <w:highlight w:val="none"/>
                <w:lang w:bidi="ar"/>
              </w:rPr>
              <w:t>。</w:t>
            </w:r>
          </w:p>
        </w:tc>
      </w:tr>
      <w:tr w14:paraId="7A10D2C3">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8AA9689">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40</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D080E7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83F00C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检查报告查看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6967341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提供患者的检查报告查看功能，方便筛查专管员随时了解患者的检查结果。</w:t>
            </w:r>
          </w:p>
        </w:tc>
      </w:tr>
      <w:tr w14:paraId="2B39CAF7">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DAEA9B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9F8856A">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CAC7EB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门诊病历查看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6726CDB0">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提供患者的门诊病历查看功能，方便筛查专管员随时了解患者的病历信息。</w:t>
            </w:r>
          </w:p>
        </w:tc>
      </w:tr>
      <w:tr w14:paraId="6C3C1B8D">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BDE9179">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42</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E6A7136">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5D1899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住院病历查看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4D30BA3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提供患者的住院病历查看功能，方便筛查专管员随时了解患者的病历信息。</w:t>
            </w:r>
          </w:p>
        </w:tc>
      </w:tr>
      <w:tr w14:paraId="382E5CE7">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F29092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43</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360DF3CD">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科室召回管理</w:t>
            </w:r>
          </w:p>
        </w:tc>
        <w:tc>
          <w:tcPr>
            <w:tcW w:w="942" w:type="pct"/>
            <w:tcBorders>
              <w:top w:val="single" w:color="000000" w:sz="4" w:space="0"/>
              <w:left w:val="single" w:color="000000" w:sz="4" w:space="0"/>
              <w:bottom w:val="single" w:color="000000" w:sz="4" w:space="0"/>
              <w:right w:val="single" w:color="000000" w:sz="4" w:space="0"/>
            </w:tcBorders>
            <w:vAlign w:val="center"/>
          </w:tcPr>
          <w:p w14:paraId="3FC54BDC">
            <w:pPr>
              <w:widowControl/>
              <w:shd w:val="clea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患者召回闭环</w:t>
            </w:r>
          </w:p>
        </w:tc>
        <w:tc>
          <w:tcPr>
            <w:tcW w:w="3252" w:type="pct"/>
            <w:tcBorders>
              <w:top w:val="single" w:color="000000" w:sz="4" w:space="0"/>
              <w:left w:val="single" w:color="000000" w:sz="4" w:space="0"/>
              <w:bottom w:val="single" w:color="000000" w:sz="4" w:space="0"/>
              <w:right w:val="single" w:color="000000" w:sz="4" w:space="0"/>
            </w:tcBorders>
            <w:vAlign w:val="center"/>
          </w:tcPr>
          <w:p w14:paraId="467C5F48">
            <w:pPr>
              <w:widowControl/>
              <w:shd w:val="clea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系统支持已流失患者的闭环管理，支持追踪筛查-分发-审查-通知-收治回院等各节点的操作记录。【演示项】</w:t>
            </w:r>
          </w:p>
        </w:tc>
      </w:tr>
      <w:tr w14:paraId="54A16B36">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FDEC95E">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41C7A3B1">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ECE09B0">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科室任务追踪</w:t>
            </w:r>
          </w:p>
        </w:tc>
        <w:tc>
          <w:tcPr>
            <w:tcW w:w="3252" w:type="pct"/>
            <w:tcBorders>
              <w:top w:val="single" w:color="000000" w:sz="4" w:space="0"/>
              <w:left w:val="single" w:color="000000" w:sz="4" w:space="0"/>
              <w:bottom w:val="single" w:color="000000" w:sz="4" w:space="0"/>
              <w:right w:val="single" w:color="000000" w:sz="4" w:space="0"/>
            </w:tcBorders>
            <w:vAlign w:val="center"/>
          </w:tcPr>
          <w:p w14:paraId="7C6B0F2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专管员可以查看分发至本科室接诊医生处的患者召回闭环情况，对未及时处理的医生进行通知或帮助其进行处理</w:t>
            </w:r>
          </w:p>
        </w:tc>
      </w:tr>
      <w:tr w14:paraId="0F1C17A9">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D3272D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45</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4D657D0A">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14153461">
            <w:pPr>
              <w:widowControl/>
              <w:shd w:val="clear"/>
              <w:textAlignment w:val="center"/>
              <w:rPr>
                <w:rFonts w:hint="eastAsia" w:eastAsia="等线" w:cs="等线"/>
                <w:color w:val="auto"/>
                <w:highlight w:val="none"/>
              </w:rPr>
            </w:pPr>
            <w:r>
              <w:rPr>
                <w:rFonts w:hint="eastAsia" w:eastAsia="等线" w:cs="等线"/>
                <w:color w:val="auto"/>
                <w:kern w:val="0"/>
                <w:highlight w:val="none"/>
                <w:lang w:bidi="ar"/>
              </w:rPr>
              <w:t>▲</w:t>
            </w:r>
            <w:r>
              <w:rPr>
                <w:rStyle w:val="123"/>
                <w:rFonts w:hint="default"/>
                <w:color w:val="auto"/>
                <w:highlight w:val="none"/>
                <w:lang w:bidi="ar"/>
              </w:rPr>
              <w:t>患者流向分析</w:t>
            </w:r>
          </w:p>
        </w:tc>
        <w:tc>
          <w:tcPr>
            <w:tcW w:w="3252" w:type="pct"/>
            <w:tcBorders>
              <w:top w:val="single" w:color="000000" w:sz="4" w:space="0"/>
              <w:left w:val="single" w:color="000000" w:sz="4" w:space="0"/>
              <w:bottom w:val="single" w:color="000000" w:sz="4" w:space="0"/>
              <w:right w:val="single" w:color="000000" w:sz="4" w:space="0"/>
            </w:tcBorders>
            <w:vAlign w:val="center"/>
          </w:tcPr>
          <w:p w14:paraId="7943485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科室专管员可查看本科室、跨科室患者的收治情况与就诊流向统计</w:t>
            </w:r>
          </w:p>
        </w:tc>
      </w:tr>
      <w:tr w14:paraId="664D8237">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C661FBE">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46</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2792D13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规则制定与管理</w:t>
            </w:r>
          </w:p>
        </w:tc>
        <w:tc>
          <w:tcPr>
            <w:tcW w:w="942" w:type="pct"/>
            <w:tcBorders>
              <w:top w:val="single" w:color="000000" w:sz="4" w:space="0"/>
              <w:left w:val="single" w:color="000000" w:sz="4" w:space="0"/>
              <w:bottom w:val="single" w:color="000000" w:sz="4" w:space="0"/>
              <w:right w:val="single" w:color="000000" w:sz="4" w:space="0"/>
            </w:tcBorders>
            <w:vAlign w:val="center"/>
          </w:tcPr>
          <w:p w14:paraId="40C831E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科室个性化</w:t>
            </w:r>
          </w:p>
        </w:tc>
        <w:tc>
          <w:tcPr>
            <w:tcW w:w="3252" w:type="pct"/>
            <w:tcBorders>
              <w:top w:val="single" w:color="000000" w:sz="4" w:space="0"/>
              <w:left w:val="single" w:color="000000" w:sz="4" w:space="0"/>
              <w:bottom w:val="single" w:color="000000" w:sz="4" w:space="0"/>
              <w:right w:val="single" w:color="000000" w:sz="4" w:space="0"/>
            </w:tcBorders>
            <w:vAlign w:val="center"/>
          </w:tcPr>
          <w:p w14:paraId="79B166D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各科室可以根据科室的综合情况自由制定需检测的相关指征，数据来源包含患者基础信息、就诊记录、相关报告等</w:t>
            </w:r>
          </w:p>
        </w:tc>
      </w:tr>
      <w:tr w14:paraId="40CFC98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67D311F">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54B28FEF">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1331D246">
            <w:pPr>
              <w:widowControl/>
              <w:shd w:val="clea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规则分级分管</w:t>
            </w:r>
          </w:p>
        </w:tc>
        <w:tc>
          <w:tcPr>
            <w:tcW w:w="3252" w:type="pct"/>
            <w:tcBorders>
              <w:top w:val="single" w:color="000000" w:sz="4" w:space="0"/>
              <w:left w:val="single" w:color="000000" w:sz="4" w:space="0"/>
              <w:bottom w:val="single" w:color="000000" w:sz="4" w:space="0"/>
              <w:right w:val="single" w:color="000000" w:sz="4" w:space="0"/>
            </w:tcBorders>
            <w:vAlign w:val="center"/>
          </w:tcPr>
          <w:p w14:paraId="22CD206C">
            <w:pPr>
              <w:widowControl/>
              <w:shd w:val="clear"/>
              <w:textAlignment w:val="center"/>
              <w:rPr>
                <w:rFonts w:hint="eastAsia" w:ascii="宋体" w:hAnsi="宋体" w:cs="宋体"/>
                <w:b/>
                <w:bCs/>
                <w:color w:val="auto"/>
                <w:sz w:val="16"/>
                <w:szCs w:val="16"/>
                <w:highlight w:val="none"/>
              </w:rPr>
            </w:pPr>
            <w:r>
              <w:rPr>
                <w:rFonts w:hint="eastAsia" w:ascii="宋体" w:hAnsi="宋体" w:cs="宋体"/>
                <w:b/>
                <w:bCs/>
                <w:color w:val="auto"/>
                <w:kern w:val="0"/>
                <w:sz w:val="16"/>
                <w:szCs w:val="16"/>
                <w:highlight w:val="none"/>
                <w:lang w:bidi="ar"/>
              </w:rPr>
              <w:t>管理员可以根据科室的定义，设置特定患者标记的级别与需要分发的科室或专家。【演示项】</w:t>
            </w:r>
          </w:p>
        </w:tc>
      </w:tr>
      <w:tr w14:paraId="484E0ED3">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DB1B5A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48</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5E7E12AA">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钉钉管理</w:t>
            </w:r>
          </w:p>
        </w:tc>
        <w:tc>
          <w:tcPr>
            <w:tcW w:w="942" w:type="pct"/>
            <w:tcBorders>
              <w:top w:val="single" w:color="000000" w:sz="4" w:space="0"/>
              <w:left w:val="single" w:color="000000" w:sz="4" w:space="0"/>
              <w:bottom w:val="single" w:color="000000" w:sz="4" w:space="0"/>
              <w:right w:val="single" w:color="000000" w:sz="4" w:space="0"/>
            </w:tcBorders>
            <w:vAlign w:val="center"/>
          </w:tcPr>
          <w:p w14:paraId="07328B41">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任务分发提醒</w:t>
            </w:r>
          </w:p>
        </w:tc>
        <w:tc>
          <w:tcPr>
            <w:tcW w:w="3252" w:type="pct"/>
            <w:tcBorders>
              <w:top w:val="single" w:color="000000" w:sz="4" w:space="0"/>
              <w:left w:val="single" w:color="000000" w:sz="4" w:space="0"/>
              <w:bottom w:val="single" w:color="000000" w:sz="4" w:space="0"/>
              <w:right w:val="single" w:color="000000" w:sz="4" w:space="0"/>
            </w:tcBorders>
            <w:vAlign w:val="center"/>
          </w:tcPr>
          <w:p w14:paraId="702DB2A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钉钉定时任务提醒专管员及时处理已分发的筛查任务。</w:t>
            </w:r>
          </w:p>
        </w:tc>
      </w:tr>
      <w:tr w14:paraId="06BF20D5">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EFA27B6">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49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EE0976B">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322E53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待处理提醒</w:t>
            </w:r>
          </w:p>
        </w:tc>
        <w:tc>
          <w:tcPr>
            <w:tcW w:w="3252" w:type="pct"/>
            <w:tcBorders>
              <w:top w:val="single" w:color="000000" w:sz="4" w:space="0"/>
              <w:left w:val="single" w:color="000000" w:sz="4" w:space="0"/>
              <w:bottom w:val="single" w:color="000000" w:sz="4" w:space="0"/>
              <w:right w:val="single" w:color="000000" w:sz="4" w:space="0"/>
            </w:tcBorders>
            <w:vAlign w:val="center"/>
          </w:tcPr>
          <w:p w14:paraId="762FE3E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钉钉定时任务提醒专管员存在未处理的筛查任务。</w:t>
            </w:r>
          </w:p>
        </w:tc>
      </w:tr>
      <w:tr w14:paraId="7738669B">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7F5A5A5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50</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C6E8368">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0194EC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钉钉模版管理</w:t>
            </w:r>
          </w:p>
        </w:tc>
        <w:tc>
          <w:tcPr>
            <w:tcW w:w="3252" w:type="pct"/>
            <w:tcBorders>
              <w:top w:val="single" w:color="000000" w:sz="4" w:space="0"/>
              <w:left w:val="single" w:color="000000" w:sz="4" w:space="0"/>
              <w:bottom w:val="single" w:color="000000" w:sz="4" w:space="0"/>
              <w:right w:val="single" w:color="000000" w:sz="4" w:space="0"/>
            </w:tcBorders>
            <w:vAlign w:val="center"/>
          </w:tcPr>
          <w:p w14:paraId="2725BB15">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提供钉钉模版管理页面，支持关闭或开启钉钉通知。</w:t>
            </w:r>
          </w:p>
        </w:tc>
      </w:tr>
      <w:tr w14:paraId="29D4776A">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482FCA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7942AB69">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59CAB00">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钉钉推送日志管理</w:t>
            </w:r>
          </w:p>
        </w:tc>
        <w:tc>
          <w:tcPr>
            <w:tcW w:w="3252" w:type="pct"/>
            <w:tcBorders>
              <w:top w:val="single" w:color="000000" w:sz="4" w:space="0"/>
              <w:left w:val="single" w:color="000000" w:sz="4" w:space="0"/>
              <w:bottom w:val="single" w:color="000000" w:sz="4" w:space="0"/>
              <w:right w:val="single" w:color="000000" w:sz="4" w:space="0"/>
            </w:tcBorders>
            <w:vAlign w:val="center"/>
          </w:tcPr>
          <w:p w14:paraId="1208A9E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提供钉钉推送日志查询页面，可查看钉钉是否正常通知。</w:t>
            </w:r>
          </w:p>
        </w:tc>
      </w:tr>
      <w:tr w14:paraId="34585BA8">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DC10265">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52</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09A3865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审核分发中心</w:t>
            </w:r>
          </w:p>
        </w:tc>
        <w:tc>
          <w:tcPr>
            <w:tcW w:w="942" w:type="pct"/>
            <w:tcBorders>
              <w:top w:val="single" w:color="000000" w:sz="4" w:space="0"/>
              <w:left w:val="single" w:color="000000" w:sz="4" w:space="0"/>
              <w:bottom w:val="single" w:color="000000" w:sz="4" w:space="0"/>
              <w:right w:val="single" w:color="000000" w:sz="4" w:space="0"/>
            </w:tcBorders>
            <w:vAlign w:val="center"/>
          </w:tcPr>
          <w:p w14:paraId="47837252">
            <w:pPr>
              <w:widowControl/>
              <w:shd w:val="clear"/>
              <w:textAlignment w:val="center"/>
              <w:rPr>
                <w:rFonts w:hint="eastAsia" w:eastAsia="等线" w:cs="等线"/>
                <w:color w:val="auto"/>
                <w:highlight w:val="none"/>
              </w:rPr>
            </w:pPr>
            <w:r>
              <w:rPr>
                <w:rFonts w:hint="eastAsia" w:eastAsia="等线" w:cs="等线"/>
                <w:color w:val="auto"/>
                <w:kern w:val="0"/>
                <w:highlight w:val="none"/>
                <w:lang w:bidi="ar"/>
              </w:rPr>
              <w:t>▲</w:t>
            </w:r>
            <w:r>
              <w:rPr>
                <w:rStyle w:val="123"/>
                <w:rFonts w:hint="default"/>
                <w:color w:val="auto"/>
                <w:highlight w:val="none"/>
                <w:lang w:bidi="ar"/>
              </w:rPr>
              <w:t>精准分发</w:t>
            </w:r>
          </w:p>
        </w:tc>
        <w:tc>
          <w:tcPr>
            <w:tcW w:w="3252" w:type="pct"/>
            <w:tcBorders>
              <w:top w:val="single" w:color="000000" w:sz="4" w:space="0"/>
              <w:left w:val="single" w:color="000000" w:sz="4" w:space="0"/>
              <w:bottom w:val="single" w:color="000000" w:sz="4" w:space="0"/>
              <w:right w:val="single" w:color="000000" w:sz="4" w:space="0"/>
            </w:tcBorders>
            <w:vAlign w:val="center"/>
          </w:tcPr>
          <w:p w14:paraId="5E37E5E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在审核界面，清晰展示 APTS 系统筛查出的筛查依据，支持根据这些依据指定分发到特定筛查专管员进行处理，确保患者问题能匹配到最合适的筛查专管员。</w:t>
            </w:r>
          </w:p>
        </w:tc>
      </w:tr>
      <w:tr w14:paraId="5A6CBA5C">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B27321B">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53</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2BCCEA8">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12DFA5DB">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定时任务分发</w:t>
            </w:r>
          </w:p>
        </w:tc>
        <w:tc>
          <w:tcPr>
            <w:tcW w:w="3252" w:type="pct"/>
            <w:tcBorders>
              <w:top w:val="single" w:color="000000" w:sz="4" w:space="0"/>
              <w:left w:val="single" w:color="000000" w:sz="4" w:space="0"/>
              <w:bottom w:val="single" w:color="000000" w:sz="4" w:space="0"/>
              <w:right w:val="single" w:color="000000" w:sz="4" w:space="0"/>
            </w:tcBorders>
            <w:vAlign w:val="center"/>
          </w:tcPr>
          <w:p w14:paraId="38FB2A2E">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考虑到医疗工作的规律性和周期性，APTS 系统支持定时任务分发功能。通过灵活的时间设置，如每天的特定时间，系统可以自动将任务批量分发给各个科室专管员。</w:t>
            </w:r>
          </w:p>
        </w:tc>
      </w:tr>
      <w:tr w14:paraId="2CD56CC0">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ADE8CA8">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B4A157C">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211A2C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一键分发</w:t>
            </w:r>
          </w:p>
        </w:tc>
        <w:tc>
          <w:tcPr>
            <w:tcW w:w="3252" w:type="pct"/>
            <w:tcBorders>
              <w:top w:val="single" w:color="000000" w:sz="4" w:space="0"/>
              <w:left w:val="single" w:color="000000" w:sz="4" w:space="0"/>
              <w:bottom w:val="single" w:color="000000" w:sz="4" w:space="0"/>
              <w:right w:val="single" w:color="000000" w:sz="4" w:space="0"/>
            </w:tcBorders>
            <w:vAlign w:val="center"/>
          </w:tcPr>
          <w:p w14:paraId="7DDAAE8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工作人员只需点击一键分发按钮，系统便会自动识别并将任务快速准确地推送给相应专家，提升工作效率，减少繁琐的人工操作流程。</w:t>
            </w:r>
          </w:p>
        </w:tc>
      </w:tr>
      <w:tr w14:paraId="10A27432">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D850B56">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55</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BF1183A">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1DA9EA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筛查结果查看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72EB16C1">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提供多种查询条件，方便用户快速查找特定的筛查结果。展示筛查结果的详细信息。</w:t>
            </w:r>
          </w:p>
        </w:tc>
      </w:tr>
      <w:tr w14:paraId="5A38DACC">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0283B87">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56</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50B2FB04">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召回监测与数据统计</w:t>
            </w:r>
          </w:p>
        </w:tc>
        <w:tc>
          <w:tcPr>
            <w:tcW w:w="942" w:type="pct"/>
            <w:tcBorders>
              <w:top w:val="single" w:color="000000" w:sz="4" w:space="0"/>
              <w:left w:val="single" w:color="000000" w:sz="4" w:space="0"/>
              <w:bottom w:val="single" w:color="000000" w:sz="4" w:space="0"/>
              <w:right w:val="single" w:color="000000" w:sz="4" w:space="0"/>
            </w:tcBorders>
            <w:vAlign w:val="center"/>
          </w:tcPr>
          <w:p w14:paraId="0F591CE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筛查结果统计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58E00F3E">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提供筛查结果的统计分析，帮助管理者了解筛查工作的整体情况。</w:t>
            </w:r>
          </w:p>
        </w:tc>
      </w:tr>
      <w:tr w14:paraId="32C5E95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D73601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11D7A75">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C102FCD">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科室处理统计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4FF8A57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统计各科室的筛查处理情况，便于评估科室的工作效率。</w:t>
            </w:r>
          </w:p>
        </w:tc>
      </w:tr>
      <w:tr w14:paraId="7776EBD1">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9688E8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58</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2FB7FB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6FFBA51">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筛查专管员处理统计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155A51A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统计筛查专管员的筛查处理情况，便于评估筛查专管员的工作效率。</w:t>
            </w:r>
          </w:p>
        </w:tc>
      </w:tr>
      <w:tr w14:paraId="386FFC1E">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D4035D5">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59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782A6AA">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27927C8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患者召回管理统计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6A2334E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统计患者的召回管理情况，便于跟踪患者的后续治疗。</w:t>
            </w:r>
          </w:p>
        </w:tc>
      </w:tr>
      <w:tr w14:paraId="51038825">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30D416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60</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8913DC2">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682BF39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科室召回管理统计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1F9869C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统计科室的召回管理情况，便于评估科室的患者管理能力。</w:t>
            </w:r>
          </w:p>
        </w:tc>
      </w:tr>
      <w:tr w14:paraId="5B11FDCF">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A9CB537">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7D02C544">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F87F4E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患者本科室回院统计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648D4E86">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统计患者的本科室回院情况，分析科室专管员进行管理后的患者回院转化率。</w:t>
            </w:r>
          </w:p>
        </w:tc>
      </w:tr>
      <w:tr w14:paraId="7755B496">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568F3E9">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62</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F57AF31">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0EF6185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分发任务查看</w:t>
            </w:r>
          </w:p>
        </w:tc>
        <w:tc>
          <w:tcPr>
            <w:tcW w:w="3252" w:type="pct"/>
            <w:tcBorders>
              <w:top w:val="single" w:color="000000" w:sz="4" w:space="0"/>
              <w:left w:val="single" w:color="000000" w:sz="4" w:space="0"/>
              <w:bottom w:val="single" w:color="000000" w:sz="4" w:space="0"/>
              <w:right w:val="single" w:color="000000" w:sz="4" w:space="0"/>
            </w:tcBorders>
            <w:vAlign w:val="center"/>
          </w:tcPr>
          <w:p w14:paraId="76422657">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提供分发任务的查看功能，便于管理者了解任务的分配情况。</w:t>
            </w:r>
          </w:p>
        </w:tc>
      </w:tr>
      <w:tr w14:paraId="04695433">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C21506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63</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7AA36AB1">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79364A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筛查记录审查</w:t>
            </w:r>
          </w:p>
        </w:tc>
        <w:tc>
          <w:tcPr>
            <w:tcW w:w="3252" w:type="pct"/>
            <w:tcBorders>
              <w:top w:val="single" w:color="000000" w:sz="4" w:space="0"/>
              <w:left w:val="single" w:color="000000" w:sz="4" w:space="0"/>
              <w:bottom w:val="single" w:color="000000" w:sz="4" w:space="0"/>
              <w:right w:val="single" w:color="000000" w:sz="4" w:space="0"/>
            </w:tcBorders>
            <w:vAlign w:val="center"/>
          </w:tcPr>
          <w:p w14:paraId="1773058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管理员可监测每一个被筛查患者相关依据的正确性，并对不正确的分配进行干预</w:t>
            </w:r>
          </w:p>
        </w:tc>
      </w:tr>
      <w:tr w14:paraId="3BE9B7A4">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6798B8E">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64</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6531C4C7">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FFAC73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绩效数据统计</w:t>
            </w:r>
          </w:p>
        </w:tc>
        <w:tc>
          <w:tcPr>
            <w:tcW w:w="3252" w:type="pct"/>
            <w:tcBorders>
              <w:top w:val="single" w:color="000000" w:sz="4" w:space="0"/>
              <w:left w:val="single" w:color="000000" w:sz="4" w:space="0"/>
              <w:bottom w:val="single" w:color="000000" w:sz="4" w:space="0"/>
              <w:right w:val="single" w:color="000000" w:sz="4" w:space="0"/>
            </w:tcBorders>
            <w:vAlign w:val="center"/>
          </w:tcPr>
          <w:p w14:paraId="0BED4B82">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管理员可以查看各科室各专管员的患者分发与处理统计数据，了解科室工作的执行情况，并根据科室的配合程度调整分发策略</w:t>
            </w:r>
          </w:p>
        </w:tc>
      </w:tr>
      <w:tr w14:paraId="54DA58AA">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7E4027E6">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65</w:t>
            </w:r>
          </w:p>
        </w:tc>
        <w:tc>
          <w:tcPr>
            <w:tcW w:w="509" w:type="pct"/>
            <w:vMerge w:val="restart"/>
            <w:tcBorders>
              <w:top w:val="single" w:color="000000" w:sz="4" w:space="0"/>
              <w:left w:val="single" w:color="000000" w:sz="4" w:space="0"/>
              <w:bottom w:val="single" w:color="000000" w:sz="4" w:space="0"/>
              <w:right w:val="single" w:color="000000" w:sz="4" w:space="0"/>
            </w:tcBorders>
            <w:vAlign w:val="center"/>
          </w:tcPr>
          <w:p w14:paraId="2B1047E1">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数据大屏</w:t>
            </w:r>
          </w:p>
        </w:tc>
        <w:tc>
          <w:tcPr>
            <w:tcW w:w="942" w:type="pct"/>
            <w:tcBorders>
              <w:top w:val="single" w:color="000000" w:sz="4" w:space="0"/>
              <w:left w:val="single" w:color="000000" w:sz="4" w:space="0"/>
              <w:bottom w:val="single" w:color="000000" w:sz="4" w:space="0"/>
              <w:right w:val="single" w:color="000000" w:sz="4" w:space="0"/>
            </w:tcBorders>
            <w:vAlign w:val="center"/>
          </w:tcPr>
          <w:p w14:paraId="78FCA63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筛查情况分析</w:t>
            </w:r>
          </w:p>
        </w:tc>
        <w:tc>
          <w:tcPr>
            <w:tcW w:w="3252" w:type="pct"/>
            <w:tcBorders>
              <w:top w:val="single" w:color="000000" w:sz="4" w:space="0"/>
              <w:left w:val="single" w:color="000000" w:sz="4" w:space="0"/>
              <w:bottom w:val="single" w:color="000000" w:sz="4" w:space="0"/>
              <w:right w:val="single" w:color="000000" w:sz="4" w:space="0"/>
            </w:tcBorders>
            <w:vAlign w:val="center"/>
          </w:tcPr>
          <w:p w14:paraId="51AE438A">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展示APTS筛查情况，如筛查人次、筛查报告数、命中患者数，助力医院运营。</w:t>
            </w:r>
          </w:p>
        </w:tc>
      </w:tr>
      <w:tr w14:paraId="0D676015">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41CCEA72">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66</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34E5E5C">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1B3729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全院患者流向分析</w:t>
            </w:r>
          </w:p>
        </w:tc>
        <w:tc>
          <w:tcPr>
            <w:tcW w:w="3252" w:type="pct"/>
            <w:tcBorders>
              <w:top w:val="single" w:color="000000" w:sz="4" w:space="0"/>
              <w:left w:val="single" w:color="000000" w:sz="4" w:space="0"/>
              <w:bottom w:val="single" w:color="000000" w:sz="4" w:space="0"/>
              <w:right w:val="single" w:color="000000" w:sz="4" w:space="0"/>
            </w:tcBorders>
            <w:vAlign w:val="center"/>
          </w:tcPr>
          <w:p w14:paraId="308E81F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分析APTS召回管理后患者的回院流向分析。</w:t>
            </w:r>
          </w:p>
        </w:tc>
      </w:tr>
      <w:tr w14:paraId="32BD683C">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61ECEA3">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67</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F0DBCF9">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4F3CFC6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筛查结果词云展示</w:t>
            </w:r>
          </w:p>
        </w:tc>
        <w:tc>
          <w:tcPr>
            <w:tcW w:w="3252" w:type="pct"/>
            <w:tcBorders>
              <w:top w:val="single" w:color="000000" w:sz="4" w:space="0"/>
              <w:left w:val="single" w:color="000000" w:sz="4" w:space="0"/>
              <w:bottom w:val="single" w:color="000000" w:sz="4" w:space="0"/>
              <w:right w:val="single" w:color="000000" w:sz="4" w:space="0"/>
            </w:tcBorders>
            <w:vAlign w:val="center"/>
          </w:tcPr>
          <w:p w14:paraId="0E5885B6">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分析筛查结果命中患者的情况，用词云差异化展示。</w:t>
            </w:r>
          </w:p>
        </w:tc>
      </w:tr>
      <w:tr w14:paraId="2DFBF91C">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3576B03C">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68</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00FC2B36">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3CB4964">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全院跨科室分发占比分析</w:t>
            </w:r>
          </w:p>
        </w:tc>
        <w:tc>
          <w:tcPr>
            <w:tcW w:w="3252" w:type="pct"/>
            <w:tcBorders>
              <w:top w:val="single" w:color="000000" w:sz="4" w:space="0"/>
              <w:left w:val="single" w:color="000000" w:sz="4" w:space="0"/>
              <w:bottom w:val="single" w:color="000000" w:sz="4" w:space="0"/>
              <w:right w:val="single" w:color="000000" w:sz="4" w:space="0"/>
            </w:tcBorders>
            <w:vAlign w:val="center"/>
          </w:tcPr>
          <w:p w14:paraId="1BAE9359">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分析全院跨科室分发占比情况。</w:t>
            </w:r>
          </w:p>
        </w:tc>
      </w:tr>
      <w:tr w14:paraId="02D2363D">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03A335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69</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12BE00DD">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3C8A2943">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全院召回患者回院信息</w:t>
            </w:r>
          </w:p>
        </w:tc>
        <w:tc>
          <w:tcPr>
            <w:tcW w:w="3252" w:type="pct"/>
            <w:tcBorders>
              <w:top w:val="single" w:color="000000" w:sz="4" w:space="0"/>
              <w:left w:val="single" w:color="000000" w:sz="4" w:space="0"/>
              <w:bottom w:val="single" w:color="000000" w:sz="4" w:space="0"/>
              <w:right w:val="single" w:color="000000" w:sz="4" w:space="0"/>
            </w:tcBorders>
            <w:vAlign w:val="center"/>
          </w:tcPr>
          <w:p w14:paraId="1CC83DB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分析全院召回患者回院情况。</w:t>
            </w:r>
          </w:p>
        </w:tc>
      </w:tr>
      <w:tr w14:paraId="11955879">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0EEB8F70">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70</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30E4034F">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73F5FEC0">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全院科室分发情况分析</w:t>
            </w:r>
          </w:p>
        </w:tc>
        <w:tc>
          <w:tcPr>
            <w:tcW w:w="3252" w:type="pct"/>
            <w:tcBorders>
              <w:top w:val="single" w:color="000000" w:sz="4" w:space="0"/>
              <w:left w:val="single" w:color="000000" w:sz="4" w:space="0"/>
              <w:bottom w:val="single" w:color="000000" w:sz="4" w:space="0"/>
              <w:right w:val="single" w:color="000000" w:sz="4" w:space="0"/>
            </w:tcBorders>
            <w:vAlign w:val="center"/>
          </w:tcPr>
          <w:p w14:paraId="288413BC">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分析全院科室分发情况。</w:t>
            </w:r>
          </w:p>
        </w:tc>
      </w:tr>
      <w:tr w14:paraId="55CCE606">
        <w:tblPrEx>
          <w:tblCellMar>
            <w:top w:w="0" w:type="dxa"/>
            <w:left w:w="108" w:type="dxa"/>
            <w:bottom w:w="0" w:type="dxa"/>
            <w:right w:w="108" w:type="dxa"/>
          </w:tblCellMar>
        </w:tblPrEx>
        <w:trPr>
          <w:trHeight w:val="23"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2C5C4D6">
            <w:pPr>
              <w:widowControl/>
              <w:shd w:val="clear"/>
              <w:jc w:val="cente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71</w:t>
            </w:r>
          </w:p>
        </w:tc>
        <w:tc>
          <w:tcPr>
            <w:tcW w:w="509" w:type="pct"/>
            <w:vMerge w:val="continue"/>
            <w:tcBorders>
              <w:top w:val="single" w:color="000000" w:sz="4" w:space="0"/>
              <w:left w:val="single" w:color="000000" w:sz="4" w:space="0"/>
              <w:bottom w:val="single" w:color="000000" w:sz="4" w:space="0"/>
              <w:right w:val="single" w:color="000000" w:sz="4" w:space="0"/>
            </w:tcBorders>
            <w:vAlign w:val="center"/>
          </w:tcPr>
          <w:p w14:paraId="2AF2E438">
            <w:pPr>
              <w:shd w:val="clear"/>
              <w:jc w:val="center"/>
              <w:rPr>
                <w:rFonts w:hint="eastAsia" w:ascii="宋体" w:hAnsi="宋体" w:cs="宋体"/>
                <w:color w:val="auto"/>
                <w:sz w:val="16"/>
                <w:szCs w:val="16"/>
                <w:highlight w:val="none"/>
              </w:rPr>
            </w:pPr>
          </w:p>
        </w:tc>
        <w:tc>
          <w:tcPr>
            <w:tcW w:w="942" w:type="pct"/>
            <w:tcBorders>
              <w:top w:val="single" w:color="000000" w:sz="4" w:space="0"/>
              <w:left w:val="single" w:color="000000" w:sz="4" w:space="0"/>
              <w:bottom w:val="single" w:color="000000" w:sz="4" w:space="0"/>
              <w:right w:val="single" w:color="000000" w:sz="4" w:space="0"/>
            </w:tcBorders>
            <w:vAlign w:val="center"/>
          </w:tcPr>
          <w:p w14:paraId="5E553E7F">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全院回院人次TOP10科室</w:t>
            </w:r>
          </w:p>
        </w:tc>
        <w:tc>
          <w:tcPr>
            <w:tcW w:w="3252" w:type="pct"/>
            <w:tcBorders>
              <w:top w:val="single" w:color="000000" w:sz="4" w:space="0"/>
              <w:left w:val="single" w:color="000000" w:sz="4" w:space="0"/>
              <w:bottom w:val="single" w:color="000000" w:sz="4" w:space="0"/>
              <w:right w:val="single" w:color="000000" w:sz="4" w:space="0"/>
            </w:tcBorders>
            <w:vAlign w:val="center"/>
          </w:tcPr>
          <w:p w14:paraId="352B3B98">
            <w:pPr>
              <w:widowControl/>
              <w:shd w:val="clear"/>
              <w:textAlignment w:val="center"/>
              <w:rPr>
                <w:rFonts w:hint="eastAsia" w:ascii="宋体" w:hAnsi="宋体" w:cs="宋体"/>
                <w:color w:val="auto"/>
                <w:sz w:val="16"/>
                <w:szCs w:val="16"/>
                <w:highlight w:val="none"/>
              </w:rPr>
            </w:pPr>
            <w:r>
              <w:rPr>
                <w:rFonts w:hint="eastAsia" w:ascii="宋体" w:hAnsi="宋体" w:cs="宋体"/>
                <w:color w:val="auto"/>
                <w:kern w:val="0"/>
                <w:sz w:val="16"/>
                <w:szCs w:val="16"/>
                <w:highlight w:val="none"/>
                <w:lang w:bidi="ar"/>
              </w:rPr>
              <w:t>分析全院回院人次TOP10的科室。</w:t>
            </w:r>
          </w:p>
        </w:tc>
      </w:tr>
    </w:tbl>
    <w:p w14:paraId="17AB2B05">
      <w:pPr>
        <w:shd w:val="clear"/>
        <w:spacing w:before="120" w:beforeLines="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▲4.平台接口相关要求：</w:t>
      </w:r>
    </w:p>
    <w:p w14:paraId="32B60369">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1接口功能与技术要求​</w:t>
      </w:r>
    </w:p>
    <w:p w14:paraId="7C6341DE">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1.责任划分​</w:t>
      </w:r>
    </w:p>
    <w:p w14:paraId="295D8DBA">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1.1</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需严格按照《规范》及招标文件约定的功能、技术、安全要求开发接口，确保接口完全符合合规性标准，由此产生的所有费用包含在投标报价内；​</w:t>
      </w:r>
    </w:p>
    <w:p w14:paraId="60DB97C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1.2负责接口适配；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负责接口开发过程中的自我测试，提供完整的测试方案、测试用例及自测报告，确保接口功能达标。</w:t>
      </w:r>
    </w:p>
    <w:p w14:paraId="2779AFE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1.3</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负责配合采购人开展联调测试，及时排查并修复接入过程中出现的接口问题，确保联调通过率100%；​</w:t>
      </w:r>
    </w:p>
    <w:p w14:paraId="5463DD43">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1.4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负责接口交付后的技术支持与维护（含故障排查、版本更新、安全补丁升级等），故障响应时间、重大故障修复时间参考运维要求；</w:t>
      </w:r>
    </w:p>
    <w:p w14:paraId="2621D412">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4.1.5</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需负责配合采购人完成与第三方软件系统的数据接口接入工作。涉及需工程师现场调试接入的，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应提供及时响应服务；涉及需第三方软件厂商协同配合接入的，由采购人负责统筹协调。</w:t>
      </w:r>
    </w:p>
    <w:p w14:paraId="6E672079">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4.1.6根据部署方式，支持接入医院单点登录系统、数据集成平台等</w:t>
      </w:r>
      <w:r>
        <w:rPr>
          <w:rFonts w:hint="eastAsia" w:ascii="宋体" w:hAnsi="宋体" w:cs="宋体"/>
          <w:color w:val="auto"/>
          <w:kern w:val="0"/>
          <w:szCs w:val="21"/>
          <w:highlight w:val="none"/>
        </w:rPr>
        <w:t>，无需支付额外接口使用费</w:t>
      </w:r>
      <w:r>
        <w:rPr>
          <w:rFonts w:hint="eastAsia" w:ascii="宋体" w:hAnsi="宋体" w:cs="宋体"/>
          <w:color w:val="auto"/>
          <w:kern w:val="0"/>
          <w:szCs w:val="21"/>
          <w:highlight w:val="none"/>
        </w:rPr>
        <w:t>。</w:t>
      </w:r>
    </w:p>
    <w:p w14:paraId="5290A3BE">
      <w:pPr>
        <w:shd w:val="clea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安全要求</w:t>
      </w:r>
    </w:p>
    <w:p w14:paraId="7A2866C9">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5.1</w:t>
      </w:r>
      <w:r>
        <w:rPr>
          <w:rFonts w:ascii="宋体" w:hAnsi="宋体" w:cs="宋体"/>
          <w:color w:val="auto"/>
          <w:kern w:val="0"/>
          <w:szCs w:val="21"/>
          <w:highlight w:val="none"/>
        </w:rPr>
        <w:t>等级保护：</w:t>
      </w:r>
      <w:r>
        <w:rPr>
          <w:rFonts w:hint="eastAsia" w:ascii="宋体" w:hAnsi="宋体" w:cs="宋体"/>
          <w:color w:val="auto"/>
          <w:kern w:val="0"/>
          <w:szCs w:val="21"/>
          <w:highlight w:val="none"/>
          <w:lang w:eastAsia="zh-CN"/>
        </w:rPr>
        <w:t>供应商</w:t>
      </w:r>
      <w:r>
        <w:rPr>
          <w:rFonts w:ascii="宋体" w:hAnsi="宋体" w:cs="宋体"/>
          <w:color w:val="auto"/>
          <w:kern w:val="0"/>
          <w:szCs w:val="21"/>
          <w:highlight w:val="none"/>
        </w:rPr>
        <w:t>所提供的软件系统及配套服务</w:t>
      </w:r>
      <w:r>
        <w:rPr>
          <w:rFonts w:hint="eastAsia" w:ascii="宋体" w:hAnsi="宋体" w:cs="宋体"/>
          <w:color w:val="auto"/>
          <w:kern w:val="0"/>
          <w:szCs w:val="21"/>
          <w:highlight w:val="none"/>
          <w:lang w:val="en-US" w:eastAsia="zh-CN"/>
        </w:rPr>
        <w:t>需</w:t>
      </w:r>
      <w:r>
        <w:rPr>
          <w:rFonts w:ascii="宋体" w:hAnsi="宋体" w:cs="宋体"/>
          <w:color w:val="auto"/>
          <w:kern w:val="0"/>
          <w:szCs w:val="21"/>
          <w:highlight w:val="none"/>
        </w:rPr>
        <w:t>支持并协助采购人满足中华人民共和国网络安全等级保护制度的相关要求</w:t>
      </w:r>
      <w:r>
        <w:rPr>
          <w:rFonts w:hint="eastAsia" w:ascii="宋体" w:hAnsi="宋体" w:cs="宋体"/>
          <w:color w:val="auto"/>
          <w:kern w:val="0"/>
          <w:szCs w:val="21"/>
          <w:highlight w:val="none"/>
        </w:rPr>
        <w:t>，</w:t>
      </w:r>
      <w:r>
        <w:rPr>
          <w:rFonts w:ascii="宋体" w:hAnsi="宋体" w:cs="宋体"/>
          <w:color w:val="auto"/>
          <w:kern w:val="0"/>
          <w:szCs w:val="21"/>
          <w:highlight w:val="none"/>
        </w:rPr>
        <w:t>符合等保三级及以上安全标准。</w:t>
      </w:r>
    </w:p>
    <w:p w14:paraId="57D56E7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★5.2</w:t>
      </w:r>
      <w:r>
        <w:rPr>
          <w:rFonts w:ascii="宋体" w:hAnsi="宋体" w:cs="宋体"/>
          <w:color w:val="auto"/>
          <w:kern w:val="0"/>
          <w:szCs w:val="21"/>
          <w:highlight w:val="none"/>
        </w:rPr>
        <w:t>数据安全与保密协议：</w:t>
      </w:r>
    </w:p>
    <w:p w14:paraId="791D360F">
      <w:pPr>
        <w:shd w:val="clear"/>
        <w:spacing w:line="360" w:lineRule="auto"/>
        <w:ind w:firstLine="420" w:firstLineChars="200"/>
        <w:rPr>
          <w:rFonts w:hint="eastAsia" w:ascii="宋体" w:hAnsi="宋体" w:cs="宋体"/>
          <w:color w:val="auto"/>
          <w:kern w:val="0"/>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cs="宋体"/>
          <w:color w:val="auto"/>
          <w:kern w:val="0"/>
          <w:szCs w:val="21"/>
          <w:highlight w:val="none"/>
          <w:lang w:eastAsia="zh-CN"/>
        </w:rPr>
        <w:t>供应商</w:t>
      </w:r>
      <w:r>
        <w:rPr>
          <w:rFonts w:hint="default" w:ascii="宋体" w:hAnsi="宋体" w:cs="宋体"/>
          <w:color w:val="auto"/>
          <w:kern w:val="0"/>
          <w:szCs w:val="21"/>
          <w:highlight w:val="none"/>
          <w:lang w:val="en-US"/>
        </w:rPr>
        <w:t>须</w:t>
      </w:r>
      <w:r>
        <w:rPr>
          <w:rFonts w:ascii="宋体" w:hAnsi="宋体" w:cs="宋体"/>
          <w:color w:val="auto"/>
          <w:kern w:val="0"/>
          <w:szCs w:val="21"/>
          <w:highlight w:val="none"/>
        </w:rPr>
        <w:t>建立严格的数据安全管理制度。所有患者数据、诊疗数据、医院运营数据等均在本地化部署环境中处理，未经医院明确授权，不得传输至境外或医院指定范围外的任何第三方。</w:t>
      </w:r>
    </w:p>
    <w:p w14:paraId="05FBC71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供应商</w:t>
      </w:r>
      <w:r>
        <w:rPr>
          <w:rFonts w:ascii="宋体" w:hAnsi="宋体" w:cs="宋体"/>
          <w:color w:val="auto"/>
          <w:kern w:val="0"/>
          <w:szCs w:val="21"/>
          <w:highlight w:val="none"/>
        </w:rPr>
        <w:t>必与采购人签订具有法律效力的数据保密协议，明确其员工、关联方及分包商对医院数据负有永久保密责任。在合作终止后，应按照医院要求安全返还或彻底销毁所有相关数据。</w:t>
      </w:r>
    </w:p>
    <w:p w14:paraId="2256B1A0">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大模型专项风险评估与管控：</w:t>
      </w:r>
    </w:p>
    <w:p w14:paraId="0FC96D8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ascii="宋体" w:hAnsi="宋体" w:cs="宋体"/>
          <w:color w:val="auto"/>
          <w:kern w:val="0"/>
          <w:szCs w:val="21"/>
          <w:highlight w:val="none"/>
        </w:rPr>
        <w:t>应在部署前针对本医学大模型</w:t>
      </w:r>
      <w:r>
        <w:rPr>
          <w:rFonts w:hint="eastAsia" w:ascii="宋体" w:hAnsi="宋体" w:cs="宋体"/>
          <w:color w:val="auto"/>
          <w:kern w:val="0"/>
          <w:szCs w:val="21"/>
          <w:highlight w:val="none"/>
        </w:rPr>
        <w:t>进行大模型</w:t>
      </w:r>
      <w:r>
        <w:rPr>
          <w:rFonts w:ascii="宋体" w:hAnsi="宋体" w:cs="宋体"/>
          <w:color w:val="auto"/>
          <w:kern w:val="0"/>
          <w:szCs w:val="21"/>
          <w:highlight w:val="none"/>
        </w:rPr>
        <w:t>风险评估</w:t>
      </w:r>
      <w:r>
        <w:rPr>
          <w:rFonts w:hint="eastAsia" w:ascii="宋体" w:hAnsi="宋体" w:cs="宋体"/>
          <w:color w:val="auto"/>
          <w:kern w:val="0"/>
          <w:szCs w:val="21"/>
          <w:highlight w:val="none"/>
          <w:lang w:eastAsia="zh-CN"/>
        </w:rPr>
        <w:t>。</w:t>
      </w:r>
    </w:p>
    <w:p w14:paraId="34E0F8BF">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ascii="宋体" w:hAnsi="宋体" w:cs="宋体"/>
          <w:color w:val="auto"/>
          <w:kern w:val="0"/>
          <w:szCs w:val="21"/>
          <w:highlight w:val="none"/>
        </w:rPr>
        <w:t>安全</w:t>
      </w:r>
      <w:r>
        <w:rPr>
          <w:rFonts w:hint="eastAsia" w:ascii="宋体" w:hAnsi="宋体" w:cs="宋体"/>
          <w:color w:val="auto"/>
          <w:kern w:val="0"/>
          <w:szCs w:val="21"/>
          <w:highlight w:val="none"/>
          <w:lang w:val="en-US" w:eastAsia="zh-CN"/>
        </w:rPr>
        <w:t>管理</w:t>
      </w:r>
      <w:r>
        <w:rPr>
          <w:rFonts w:ascii="宋体" w:hAnsi="宋体" w:cs="宋体"/>
          <w:color w:val="auto"/>
          <w:kern w:val="0"/>
          <w:szCs w:val="21"/>
          <w:highlight w:val="none"/>
        </w:rPr>
        <w:t>：</w:t>
      </w:r>
    </w:p>
    <w:p w14:paraId="7D1AE3D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）供应商</w:t>
      </w:r>
      <w:r>
        <w:rPr>
          <w:rFonts w:ascii="宋体" w:hAnsi="宋体" w:cs="宋体"/>
          <w:color w:val="auto"/>
          <w:kern w:val="0"/>
          <w:szCs w:val="21"/>
          <w:highlight w:val="none"/>
        </w:rPr>
        <w:t>具备完善的信息安全管理体系。</w:t>
      </w:r>
    </w:p>
    <w:p w14:paraId="2232519A">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在合作期内，</w:t>
      </w:r>
      <w:r>
        <w:rPr>
          <w:rFonts w:hint="eastAsia" w:ascii="宋体" w:hAnsi="宋体" w:cs="宋体"/>
          <w:color w:val="auto"/>
          <w:kern w:val="0"/>
          <w:szCs w:val="21"/>
          <w:highlight w:val="none"/>
          <w:lang w:eastAsia="zh-CN"/>
        </w:rPr>
        <w:t>供应商</w:t>
      </w:r>
      <w:r>
        <w:rPr>
          <w:rFonts w:hint="default" w:ascii="宋体" w:hAnsi="宋体" w:cs="宋体"/>
          <w:color w:val="auto"/>
          <w:kern w:val="0"/>
          <w:szCs w:val="21"/>
          <w:highlight w:val="none"/>
          <w:lang w:val="en-US"/>
        </w:rPr>
        <w:t>须</w:t>
      </w:r>
      <w:r>
        <w:rPr>
          <w:rFonts w:ascii="宋体" w:hAnsi="宋体" w:cs="宋体"/>
          <w:color w:val="auto"/>
          <w:kern w:val="0"/>
          <w:szCs w:val="21"/>
          <w:highlight w:val="none"/>
        </w:rPr>
        <w:t>配合采购人进行安全巡检与渗透测试，并及时修复所有已发现的中高风险安全漏洞。在发生或可能发生数据安全事件时，应立即通知采购人并协同采取应急措施。</w:t>
      </w:r>
    </w:p>
    <w:p w14:paraId="1F413412">
      <w:pPr>
        <w:shd w:val="clear"/>
        <w:spacing w:line="360" w:lineRule="auto"/>
        <w:ind w:firstLine="422" w:firstLineChars="200"/>
        <w:rPr>
          <w:rFonts w:hint="default"/>
          <w:b/>
          <w:bCs/>
          <w:color w:val="auto"/>
          <w:highlight w:val="none"/>
          <w:lang w:val="en-US" w:eastAsia="zh-CN"/>
        </w:rPr>
      </w:pPr>
      <w:r>
        <w:rPr>
          <w:rFonts w:hint="eastAsia"/>
          <w:b/>
          <w:bCs/>
          <w:color w:val="auto"/>
          <w:highlight w:val="none"/>
          <w:lang w:val="en-US" w:eastAsia="zh-CN"/>
        </w:rPr>
        <w:t>五、软件著作权与数据来源</w:t>
      </w:r>
    </w:p>
    <w:p w14:paraId="43377FC0">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投标人或产品制造商拥有与本项目相关计算机软件著作权证书（包括但不限于医学智能类、临床决策类、患者预警类、患者监测类、患者追踪类）</w:t>
      </w:r>
      <w:r>
        <w:rPr>
          <w:rFonts w:hint="eastAsia" w:ascii="宋体" w:hAnsi="宋体" w:cs="宋体"/>
          <w:color w:val="auto"/>
          <w:kern w:val="0"/>
          <w:szCs w:val="21"/>
          <w:highlight w:val="none"/>
          <w:lang w:eastAsia="zh-CN"/>
        </w:rPr>
        <w:t>；</w:t>
      </w:r>
    </w:p>
    <w:p w14:paraId="544DC3DF">
      <w:pPr>
        <w:shd w:val="clea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产品大模型训练医学数据来源</w:t>
      </w:r>
      <w:r>
        <w:rPr>
          <w:rFonts w:hint="eastAsia" w:ascii="宋体" w:hAnsi="宋体" w:cs="宋体"/>
          <w:color w:val="auto"/>
          <w:kern w:val="0"/>
          <w:szCs w:val="21"/>
          <w:highlight w:val="none"/>
          <w:lang w:val="en-US" w:eastAsia="zh-CN"/>
        </w:rPr>
        <w:t>可靠、合规</w:t>
      </w:r>
      <w:r>
        <w:rPr>
          <w:rFonts w:hint="eastAsia" w:ascii="宋体" w:hAnsi="宋体" w:cs="宋体"/>
          <w:color w:val="auto"/>
          <w:kern w:val="0"/>
          <w:szCs w:val="21"/>
          <w:highlight w:val="none"/>
        </w:rPr>
        <w:t>，保护医学知识数据的知识产权。</w:t>
      </w:r>
    </w:p>
    <w:p w14:paraId="0E47CCEC">
      <w:pPr>
        <w:shd w:val="clear"/>
        <w:spacing w:line="360" w:lineRule="auto"/>
        <w:ind w:firstLine="422" w:firstLineChars="200"/>
        <w:rPr>
          <w:rFonts w:hint="eastAsia" w:ascii="宋体" w:hAnsi="宋体" w:cs="宋体"/>
          <w:b/>
          <w:bCs/>
          <w:color w:val="auto"/>
          <w:szCs w:val="21"/>
          <w:highlight w:val="none"/>
        </w:rPr>
      </w:pPr>
      <w:r>
        <w:rPr>
          <w:rFonts w:hint="eastAsia"/>
          <w:b/>
          <w:bCs/>
          <w:color w:val="auto"/>
          <w:highlight w:val="none"/>
          <w:lang w:val="en-US" w:eastAsia="zh-CN"/>
        </w:rPr>
        <w:t>六</w:t>
      </w:r>
      <w:r>
        <w:rPr>
          <w:rFonts w:hint="eastAsia" w:ascii="宋体" w:hAnsi="宋体" w:cs="宋体"/>
          <w:b/>
          <w:bCs/>
          <w:color w:val="auto"/>
          <w:szCs w:val="21"/>
          <w:highlight w:val="none"/>
        </w:rPr>
        <w:t>、演示要求</w:t>
      </w:r>
    </w:p>
    <w:p w14:paraId="4D786810">
      <w:pPr>
        <w:pStyle w:val="119"/>
        <w:shd w:val="clear"/>
        <w:spacing w:line="360" w:lineRule="auto"/>
        <w:ind w:firstLine="422" w:firstLineChars="200"/>
        <w:rPr>
          <w:rFonts w:hint="eastAsia" w:cs="宋体"/>
          <w:b/>
          <w:bCs/>
          <w:color w:val="auto"/>
          <w:szCs w:val="21"/>
          <w:highlight w:val="none"/>
        </w:rPr>
      </w:pPr>
      <w:r>
        <w:rPr>
          <w:rFonts w:hint="eastAsia" w:cs="宋体"/>
          <w:b/>
          <w:bCs/>
          <w:color w:val="auto"/>
          <w:szCs w:val="21"/>
          <w:highlight w:val="none"/>
        </w:rPr>
        <w:t>1.演示内容</w:t>
      </w:r>
    </w:p>
    <w:p w14:paraId="27804804">
      <w:pPr>
        <w:shd w:val="clear"/>
        <w:spacing w:line="360" w:lineRule="auto"/>
        <w:ind w:firstLine="420" w:firstLineChars="200"/>
        <w:rPr>
          <w:rFonts w:hint="eastAsia"/>
          <w:color w:val="auto"/>
          <w:highlight w:val="none"/>
        </w:rPr>
      </w:pPr>
      <w:r>
        <w:rPr>
          <w:rFonts w:hint="eastAsia"/>
          <w:color w:val="auto"/>
          <w:highlight w:val="none"/>
        </w:rPr>
        <w:t>投标人对下述项目逐一进行演示：</w:t>
      </w:r>
    </w:p>
    <w:p w14:paraId="2D4345A4">
      <w:pPr>
        <w:shd w:val="clea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（1）任务处理中心</w:t>
      </w:r>
    </w:p>
    <w:p w14:paraId="487D64F5">
      <w:pPr>
        <w:shd w:val="clea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患者就诊史列表：系统在专管员交接患者后提示历史处理记录，并按照时间线罗列的患者历次就诊信息，包括就诊日期、诊断结果、就诊科室等，便于筛查专管员全面了解患者的就医历程。</w:t>
      </w:r>
    </w:p>
    <w:p w14:paraId="538906A8">
      <w:pPr>
        <w:shd w:val="clea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（2）科室召回管理</w:t>
      </w:r>
    </w:p>
    <w:p w14:paraId="694E0F29">
      <w:pPr>
        <w:shd w:val="clea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患者召回闭环：系统支持易流失患者的闭环管理，支持追踪筛查-分发-审查-通知-收治回院等各节点的操作记录。</w:t>
      </w:r>
    </w:p>
    <w:p w14:paraId="3199712F">
      <w:pPr>
        <w:shd w:val="clea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（3）规则制定与管理</w:t>
      </w:r>
    </w:p>
    <w:p w14:paraId="3378BA77">
      <w:pPr>
        <w:shd w:val="clea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规则分级分管：管理员可以根据科室的定义，设置特定患者标记的级别与需要分发的科室或专家。</w:t>
      </w:r>
    </w:p>
    <w:p w14:paraId="410A6DA8">
      <w:pPr>
        <w:shd w:val="clear"/>
        <w:snapToGrid w:val="0"/>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2.演示要求</w:t>
      </w:r>
    </w:p>
    <w:p w14:paraId="4EA9197F">
      <w:pPr>
        <w:shd w:val="clea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（1）投标人需在投标文件解密成功后，进入“政采云”开标大厅，等待通知演示。“政采云”会以投标文件解密时间的先后顺序以短信的形式通知演示，每个投标人演示前的调试</w:t>
      </w:r>
      <w:r>
        <w:rPr>
          <w:rFonts w:hint="eastAsia" w:ascii="宋体" w:hAnsi="宋体" w:cs="宋体"/>
          <w:b/>
          <w:bCs/>
          <w:color w:val="auto"/>
          <w:szCs w:val="21"/>
          <w:highlight w:val="none"/>
        </w:rPr>
        <w:t>准备时间不超过15分钟</w:t>
      </w:r>
      <w:r>
        <w:rPr>
          <w:rFonts w:hint="eastAsia" w:ascii="宋体" w:hAnsi="宋体" w:cs="宋体"/>
          <w:color w:val="auto"/>
          <w:szCs w:val="21"/>
          <w:highlight w:val="none"/>
        </w:rPr>
        <w:t>。演示的方式通过“开标大厅”（建议选择谷歌浏览器）的屏幕共享方式进行演示，其中涉及需要安装的软件，投标人应在开标前自行下载安装，确保网络、麦克风、演示环境等演示所需设备和系统正常稳定，并提前熟悉操作和使用。由评审专家对各投标人针对招标文件中演示部分进行评定打分。</w:t>
      </w:r>
    </w:p>
    <w:p w14:paraId="54A3C447">
      <w:pPr>
        <w:shd w:val="clear"/>
        <w:wordWrap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（2）演示形式：投标人针对招标文件需要演示的内容提供连续拍摄，其拍摄过程中不存在剪切编辑情况存在，演示过程中需要语音介绍目前演示的内容是什么，</w:t>
      </w:r>
      <w:r>
        <w:rPr>
          <w:rFonts w:hint="eastAsia" w:ascii="宋体" w:hAnsi="宋体" w:cs="宋体"/>
          <w:b/>
          <w:bCs/>
          <w:color w:val="auto"/>
          <w:szCs w:val="21"/>
          <w:highlight w:val="none"/>
        </w:rPr>
        <w:t>演示时长不超过20分钟</w:t>
      </w:r>
      <w:r>
        <w:rPr>
          <w:rFonts w:hint="eastAsia" w:ascii="宋体" w:hAnsi="宋体" w:cs="宋体"/>
          <w:color w:val="auto"/>
          <w:szCs w:val="21"/>
          <w:highlight w:val="none"/>
        </w:rPr>
        <w:t>（不包含评标小组提问解答时间）。</w:t>
      </w:r>
    </w:p>
    <w:p w14:paraId="5C0056FC">
      <w:pPr>
        <w:pStyle w:val="13"/>
        <w:shd w:val="clear"/>
        <w:spacing w:before="120" w:after="120" w:line="360" w:lineRule="auto"/>
        <w:jc w:val="center"/>
        <w:outlineLvl w:val="0"/>
        <w:rPr>
          <w:rFonts w:hint="eastAsia" w:hAnsi="宋体" w:cs="宋体"/>
          <w:color w:val="auto"/>
          <w:highlight w:val="none"/>
        </w:rPr>
      </w:pPr>
      <w:r>
        <w:rPr>
          <w:rFonts w:hint="eastAsia" w:hAnsi="宋体" w:cs="宋体"/>
          <w:color w:val="auto"/>
          <w:sz w:val="21"/>
          <w:szCs w:val="21"/>
          <w:highlight w:val="none"/>
        </w:rPr>
        <w:br w:type="page"/>
      </w:r>
      <w:r>
        <w:rPr>
          <w:rFonts w:hint="eastAsia" w:hAnsi="宋体" w:cs="宋体"/>
          <w:b/>
          <w:bCs/>
          <w:color w:val="auto"/>
          <w:sz w:val="32"/>
          <w:szCs w:val="32"/>
          <w:highlight w:val="none"/>
        </w:rPr>
        <w:t>第四章  开标、评标和定标须知</w:t>
      </w:r>
    </w:p>
    <w:p w14:paraId="340B8CCE">
      <w:pPr>
        <w:pStyle w:val="3"/>
        <w:widowControl/>
        <w:shd w:val="clear"/>
        <w:spacing w:before="0" w:after="0" w:line="360" w:lineRule="auto"/>
        <w:jc w:val="left"/>
        <w:rPr>
          <w:rFonts w:hint="eastAsia" w:ascii="宋体" w:hAnsi="宋体" w:cs="宋体"/>
          <w:color w:val="auto"/>
          <w:sz w:val="21"/>
          <w:szCs w:val="21"/>
          <w:highlight w:val="none"/>
        </w:rPr>
      </w:pPr>
      <w:bookmarkStart w:id="47" w:name="_Toc406413937"/>
      <w:bookmarkStart w:id="48" w:name="_Toc384297860"/>
      <w:bookmarkStart w:id="49" w:name="_Toc263090375"/>
      <w:bookmarkStart w:id="50" w:name="_Toc274303253"/>
      <w:bookmarkStart w:id="51" w:name="_Toc261519847"/>
      <w:bookmarkStart w:id="52" w:name="_Toc226973002"/>
      <w:bookmarkStart w:id="53" w:name="_Toc362250705"/>
      <w:r>
        <w:rPr>
          <w:rFonts w:hint="eastAsia" w:ascii="宋体" w:hAnsi="宋体" w:cs="宋体"/>
          <w:color w:val="auto"/>
          <w:sz w:val="21"/>
          <w:szCs w:val="21"/>
          <w:highlight w:val="none"/>
        </w:rPr>
        <w:t>一、开标</w:t>
      </w:r>
      <w:bookmarkEnd w:id="47"/>
      <w:bookmarkEnd w:id="48"/>
    </w:p>
    <w:p w14:paraId="39BCE58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1.本项目实行电子开评标，投标人无需前往开评标现场，只需在规定时间内在“政采云”平台上上传电子投标文件。</w:t>
      </w:r>
    </w:p>
    <w:p w14:paraId="4406792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27B9746B">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2.1投标截止时间后的1小时内（开标当日09:30-</w:t>
      </w:r>
      <w:r>
        <w:rPr>
          <w:rFonts w:hint="eastAsia" w:ascii="宋体" w:hAnsi="宋体" w:cs="宋体"/>
          <w:b/>
          <w:color w:val="auto"/>
          <w:szCs w:val="21"/>
          <w:highlight w:val="none"/>
          <w:lang w:eastAsia="zh-CN"/>
        </w:rPr>
        <w:t>15:00</w:t>
      </w:r>
      <w:r>
        <w:rPr>
          <w:rFonts w:hint="eastAsia" w:ascii="宋体" w:hAnsi="宋体" w:cs="宋体"/>
          <w:b/>
          <w:color w:val="auto"/>
          <w:szCs w:val="21"/>
          <w:highlight w:val="none"/>
        </w:rPr>
        <w:t xml:space="preserve">时），由各投标人自行对电子投标文件进行解密（请各投标人务必在规定时间内完成电子投标文件的解密工作，在电子开评标期间，投标人（授权代表）需确保在各自所在的区域具备上网的技术条件并保持网络及联系方式畅通），同时为避免出现意外，建议全程由一台电脑进行操作（包括标书制作、上传、解密等），中途不要更换电脑； </w:t>
      </w:r>
    </w:p>
    <w:p w14:paraId="2698424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6B17202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2.3评标委员会对报价情况进行评审；</w:t>
      </w:r>
    </w:p>
    <w:p w14:paraId="48E7867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4311A901">
      <w:pPr>
        <w:shd w:val="clea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特别说明：</w:t>
      </w:r>
      <w:r>
        <w:rPr>
          <w:rFonts w:hint="eastAsia" w:ascii="宋体" w:hAnsi="宋体" w:cs="宋体"/>
          <w:b/>
          <w:color w:val="auto"/>
          <w:szCs w:val="21"/>
          <w:highlight w:val="none"/>
          <w:u w:val="single"/>
        </w:rPr>
        <w:t>政采云公司如对电子化开标及评审程序有调整的，按调整后的程序操作</w:t>
      </w:r>
      <w:r>
        <w:rPr>
          <w:rFonts w:hint="eastAsia" w:ascii="宋体" w:hAnsi="宋体" w:cs="宋体"/>
          <w:b/>
          <w:color w:val="auto"/>
          <w:szCs w:val="21"/>
          <w:highlight w:val="none"/>
        </w:rPr>
        <w:t>。</w:t>
      </w:r>
    </w:p>
    <w:p w14:paraId="5B68231D">
      <w:pPr>
        <w:pStyle w:val="3"/>
        <w:shd w:val="clear"/>
        <w:spacing w:before="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二、评标</w:t>
      </w:r>
      <w:bookmarkEnd w:id="49"/>
      <w:bookmarkEnd w:id="50"/>
      <w:bookmarkEnd w:id="51"/>
      <w:bookmarkEnd w:id="52"/>
      <w:bookmarkEnd w:id="53"/>
    </w:p>
    <w:p w14:paraId="3BF38DAB">
      <w:pPr>
        <w:shd w:val="clear"/>
        <w:spacing w:line="360" w:lineRule="auto"/>
        <w:ind w:firstLine="48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38E5EFE4">
      <w:pPr>
        <w:pStyle w:val="13"/>
        <w:shd w:val="clear"/>
        <w:tabs>
          <w:tab w:val="left" w:pos="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3.1 评标小组将根据招标采购项目的特点确定。其成员由技术方面专家和采购人代表5人及以上单数组成。评标小组对投标文件进行审查、质疑、评估和比较。</w:t>
      </w:r>
    </w:p>
    <w:p w14:paraId="2AE2E432">
      <w:pPr>
        <w:shd w:val="clear"/>
        <w:spacing w:line="360" w:lineRule="auto"/>
        <w:ind w:firstLine="48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0775AA9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33E6DF09">
      <w:pPr>
        <w:shd w:val="clea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4.2先评资格及商务技术响应文件，再评报价响应文件</w:t>
      </w:r>
      <w:r>
        <w:rPr>
          <w:rFonts w:hint="eastAsia" w:ascii="宋体" w:hAnsi="宋体" w:cs="宋体"/>
          <w:bCs/>
          <w:color w:val="auto"/>
          <w:szCs w:val="21"/>
          <w:highlight w:val="none"/>
        </w:rPr>
        <w:t>。</w:t>
      </w:r>
    </w:p>
    <w:p w14:paraId="0393284E">
      <w:pPr>
        <w:shd w:val="clea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客观公正对待所有投标人，对所有投标评标均采用相同的程序和标准。评标的依据为招标文件和投标文件。</w:t>
      </w:r>
    </w:p>
    <w:p w14:paraId="73FBB56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4.4有利于提高政府投资效益，节约建设资金。</w:t>
      </w:r>
    </w:p>
    <w:p w14:paraId="44690BF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17640A19">
      <w:pPr>
        <w:pStyle w:val="13"/>
        <w:shd w:val="clear"/>
        <w:spacing w:before="0" w:beforeLines="0" w:after="0" w:afterLines="0" w:line="360" w:lineRule="auto"/>
        <w:ind w:firstLine="422" w:firstLineChars="200"/>
        <w:rPr>
          <w:rFonts w:hint="eastAsia" w:hAnsi="宋体" w:cs="宋体"/>
          <w:color w:val="auto"/>
          <w:sz w:val="21"/>
          <w:szCs w:val="21"/>
          <w:highlight w:val="none"/>
        </w:rPr>
      </w:pPr>
      <w:r>
        <w:rPr>
          <w:rFonts w:hint="eastAsia" w:hAnsi="宋体" w:cs="宋体"/>
          <w:b/>
          <w:color w:val="auto"/>
          <w:sz w:val="21"/>
          <w:szCs w:val="21"/>
          <w:highlight w:val="none"/>
        </w:rPr>
        <w:t>5.评标过程的保密</w:t>
      </w:r>
    </w:p>
    <w:p w14:paraId="1AE5869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5.1开标后，直至授予中标人合同为止，凡属于对投标文件的审查、澄清、评价和比较等有关的资料以及中标人的确定情况等与评标有关的任何情况均严格保密。</w:t>
      </w:r>
    </w:p>
    <w:p w14:paraId="640FBB2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5.2在投标文件的评标和比较、中标人确定以及授予合同的过程中，投标人向采购人和评标小组施加影响的任何行为，都将会导致其投标被拒绝。</w:t>
      </w:r>
    </w:p>
    <w:p w14:paraId="3F32BCD6">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5.3中标人确认后，采购人不对未中标人就评标过程以及未能中标原因作出任何解释。未中标人不得向评标小组人员或其他有关人员询问评标过程的全部情况。</w:t>
      </w:r>
    </w:p>
    <w:p w14:paraId="604D629C">
      <w:pPr>
        <w:shd w:val="clea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为保证定标的公正性，在评标过程中，评标成员不得与投标人私下交换意见。在招标工作结束后，凡与评标情况有接触的任何人不得也不应将评标情况扩散出评标成员之外。</w:t>
      </w:r>
    </w:p>
    <w:p w14:paraId="2908F458">
      <w:pPr>
        <w:pStyle w:val="13"/>
        <w:shd w:val="clear"/>
        <w:tabs>
          <w:tab w:val="left" w:pos="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5.5评标小组不向落标方解释落标原因，不退还投标文件。</w:t>
      </w:r>
    </w:p>
    <w:p w14:paraId="79F49203">
      <w:pPr>
        <w:shd w:val="clea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6.投标人的认定</w:t>
      </w:r>
    </w:p>
    <w:p w14:paraId="6F32E28B">
      <w:pPr>
        <w:pStyle w:val="13"/>
        <w:shd w:val="clear"/>
        <w:spacing w:before="0" w:beforeLines="0" w:after="0" w:afterLines="0" w:line="360" w:lineRule="auto"/>
        <w:ind w:firstLine="420" w:firstLineChars="200"/>
        <w:rPr>
          <w:rFonts w:hint="eastAsia" w:ascii="宋体" w:hAnsi="宋体" w:cs="宋体"/>
          <w:color w:val="auto"/>
          <w:sz w:val="21"/>
          <w:szCs w:val="21"/>
          <w:highlight w:val="none"/>
          <w:lang w:eastAsia="zh-CN"/>
        </w:rPr>
      </w:pPr>
      <w:bookmarkStart w:id="54" w:name="_Hlk24447288"/>
      <w:r>
        <w:rPr>
          <w:rFonts w:hint="eastAsia" w:hAnsi="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同品牌投标人不作为中标候选人。</w:t>
      </w:r>
    </w:p>
    <w:p w14:paraId="48245B6B">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单位负责人为同一人或者存在直接控股、管理关系的不同投标人，不得参加同一合同项下的政府采购活动。</w:t>
      </w:r>
    </w:p>
    <w:bookmarkEnd w:id="54"/>
    <w:p w14:paraId="5E7C4F83">
      <w:pPr>
        <w:shd w:val="clea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7.投标文件的澄清</w:t>
      </w:r>
    </w:p>
    <w:p w14:paraId="2037A2E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为有助于投标文件的审查、评价和比较，评标小组可以在“政采云”平台在线询标或以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加盖电子签章或实体公章），但不得超出投标文件的范围或改变投标文件的实质性内容。根据本须知第9条规定，凡属于评标小组在评标中发现的计算错误并进行核实的修改不在此列。</w:t>
      </w:r>
    </w:p>
    <w:p w14:paraId="1D51297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7.2如果投标人代表拒绝按评标委员会要求在“政采云”平台作出在线回复且无其他有效回复方式的，评标委员会可以对其作出无效标处理。</w:t>
      </w:r>
    </w:p>
    <w:p w14:paraId="429EAC2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
          <w:color w:val="auto"/>
          <w:szCs w:val="21"/>
          <w:highlight w:val="none"/>
        </w:rPr>
        <w:t>投标文件的初步评标</w:t>
      </w:r>
    </w:p>
    <w:p w14:paraId="59F3E52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8.1开标后，评标小组将对每份投标文件进行初步评审，初步评标内容为：</w:t>
      </w:r>
    </w:p>
    <w:p w14:paraId="27805F1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8.1.1是否出现第五章规定的内容；</w:t>
      </w:r>
    </w:p>
    <w:p w14:paraId="4F96EB38">
      <w:pPr>
        <w:shd w:val="clea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违反上述情形之一者，资格响应文件或商务技术响应文件初步评标不予通过，不列入报价响应文件的详细评标。</w:t>
      </w:r>
    </w:p>
    <w:p w14:paraId="4187E208">
      <w:pPr>
        <w:shd w:val="clear"/>
        <w:tabs>
          <w:tab w:val="left" w:pos="1219"/>
        </w:tabs>
        <w:spacing w:line="360" w:lineRule="auto"/>
        <w:ind w:left="-67" w:leftChars="-32" w:firstLine="516" w:firstLineChars="246"/>
        <w:rPr>
          <w:rFonts w:hint="eastAsia" w:ascii="宋体" w:hAnsi="宋体" w:cs="宋体"/>
          <w:color w:val="auto"/>
          <w:szCs w:val="21"/>
          <w:highlight w:val="none"/>
        </w:rPr>
      </w:pPr>
      <w:r>
        <w:rPr>
          <w:rFonts w:hint="eastAsia" w:ascii="宋体" w:hAnsi="宋体" w:cs="宋体"/>
          <w:color w:val="auto"/>
          <w:szCs w:val="21"/>
          <w:highlight w:val="none"/>
        </w:rPr>
        <w:t>8.2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1E86DCD0">
      <w:pPr>
        <w:shd w:val="clear"/>
        <w:spacing w:line="360" w:lineRule="auto"/>
        <w:ind w:firstLine="573"/>
        <w:rPr>
          <w:rFonts w:hint="eastAsia" w:ascii="宋体" w:hAnsi="宋体" w:cs="宋体"/>
          <w:color w:val="auto"/>
          <w:szCs w:val="21"/>
          <w:highlight w:val="none"/>
        </w:rPr>
      </w:pPr>
      <w:r>
        <w:rPr>
          <w:rFonts w:hint="eastAsia" w:ascii="宋体" w:hAnsi="宋体" w:cs="宋体"/>
          <w:color w:val="auto"/>
          <w:szCs w:val="21"/>
          <w:highlight w:val="none"/>
        </w:rPr>
        <w:t>8.3如果投标文件实质上不响应招标文件的各项要求，评标小组将予以拒绝，并且不允许投标人通过修改或撤销其不符合要求的差异或保留，使之成为具有响应性的投标。</w:t>
      </w:r>
    </w:p>
    <w:p w14:paraId="19238A78">
      <w:pPr>
        <w:pStyle w:val="13"/>
        <w:shd w:val="clear"/>
        <w:spacing w:before="0" w:beforeLines="0" w:after="0" w:afterLines="0" w:line="360" w:lineRule="auto"/>
        <w:ind w:firstLine="482"/>
        <w:rPr>
          <w:rFonts w:hint="eastAsia" w:hAnsi="宋体" w:cs="宋体"/>
          <w:b/>
          <w:color w:val="auto"/>
          <w:sz w:val="21"/>
          <w:szCs w:val="21"/>
          <w:highlight w:val="none"/>
        </w:rPr>
      </w:pPr>
      <w:r>
        <w:rPr>
          <w:rFonts w:hint="eastAsia" w:hAnsi="宋体" w:cs="宋体"/>
          <w:b/>
          <w:color w:val="auto"/>
          <w:sz w:val="21"/>
          <w:szCs w:val="21"/>
          <w:highlight w:val="none"/>
        </w:rPr>
        <w:t>9.投标文件计算错误的修正</w:t>
      </w:r>
    </w:p>
    <w:p w14:paraId="7A60F390">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9.1评标小组将对确定为实质上响应招标文件要求的投标文件进行校核，看其是否有计算或表达上的错误，修正错误的原则如下：</w:t>
      </w:r>
    </w:p>
    <w:p w14:paraId="6DA4DEA8">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9.1.1投标文件中开标一览表（报价表）内容与投标文件中相应内容不一致的，以开标一览表（报价表）为准；</w:t>
      </w:r>
    </w:p>
    <w:p w14:paraId="32095399">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9.1.2大写金额和小写金额不一致的，以大写金额为准；</w:t>
      </w:r>
    </w:p>
    <w:p w14:paraId="1F0FC75E">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9.1.3单价金额小数点或者百分比有明显错位的，以开标一览表的总价为准，并修改单价；</w:t>
      </w:r>
    </w:p>
    <w:p w14:paraId="3C82EECB">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9.1.4总价金额与按单价汇总金额不一致的，以单价金额计算结果为准。</w:t>
      </w:r>
    </w:p>
    <w:p w14:paraId="61A1E9A6">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9.1.5对不同文字文本投标文件的解释发生异议的，以中文文本为准。</w:t>
      </w:r>
    </w:p>
    <w:p w14:paraId="6BF53924">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9.1.6客户端填写的报价与以pdf格式上传文件中的报价不一致的，应以Pdf格式上传文件中的报价为准。</w:t>
      </w:r>
    </w:p>
    <w:p w14:paraId="0EDFBFB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评标委员会可以拒绝接受不是中文版的投标文件以及与投标相关的资料。</w:t>
      </w:r>
    </w:p>
    <w:p w14:paraId="3441709F">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9.2同时出现两种以上不一致的，按照前款规定的顺序修正。修正后的报价经投标人确认后产生约束力。如果投标人不接受修正后的报价，则其投标将被拒绝并且其投标担保也将被没收，并不影响评标工作。</w:t>
      </w:r>
    </w:p>
    <w:p w14:paraId="68DCD500">
      <w:pPr>
        <w:shd w:val="clea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10.投标文件的评标、比较和否决</w:t>
      </w:r>
    </w:p>
    <w:p w14:paraId="16CA243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10.1评标小组将按照本须知规定，仅对在实质上响应招标文件要求的投标文件进行评估和比较。</w:t>
      </w:r>
    </w:p>
    <w:p w14:paraId="33EADD8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10.2在评标过程后，评标小组可以要求投标人就投标文件中含义不明确的内容进行书面说明并提供相关材料。</w:t>
      </w:r>
    </w:p>
    <w:p w14:paraId="5AABA3F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10.3评标小组在作出任何一项无效标决定前，都应当严格遵循以下程序：</w:t>
      </w:r>
    </w:p>
    <w:p w14:paraId="4533A844">
      <w:pPr>
        <w:shd w:val="clea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10.3.1要求当事投标人做相应的答辩；</w:t>
      </w:r>
    </w:p>
    <w:p w14:paraId="4084B0A7">
      <w:pPr>
        <w:shd w:val="clea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10.3.2在充分讨论的基础上集体表决；</w:t>
      </w:r>
    </w:p>
    <w:p w14:paraId="30056760">
      <w:pPr>
        <w:shd w:val="clea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10.3.3若表决通过无效标决定，告知当事投标人，并在评标报告中详细载明废标理由、依据、答辩的情况和集体表决的情况（同意废标和不同意废标的评标小组成员均应当注明）。</w:t>
      </w:r>
    </w:p>
    <w:p w14:paraId="7F81A2D1">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10.4评标小组经评标，认为所有投标都不符合招标文件要求时，可以否决所有投标。所有投标被否决后，采购人应当依法重新招标。</w:t>
      </w:r>
    </w:p>
    <w:p w14:paraId="2B901EE6">
      <w:pPr>
        <w:pStyle w:val="13"/>
        <w:shd w:val="clear"/>
        <w:spacing w:before="0" w:beforeLines="0" w:after="0" w:afterLines="0" w:line="360" w:lineRule="auto"/>
        <w:ind w:firstLine="482"/>
        <w:rPr>
          <w:rFonts w:hint="eastAsia" w:hAnsi="宋体" w:cs="宋体"/>
          <w:b/>
          <w:color w:val="auto"/>
          <w:spacing w:val="-4"/>
          <w:sz w:val="21"/>
          <w:szCs w:val="21"/>
          <w:highlight w:val="none"/>
        </w:rPr>
      </w:pPr>
      <w:r>
        <w:rPr>
          <w:rFonts w:hint="eastAsia" w:hAnsi="宋体" w:cs="宋体"/>
          <w:b/>
          <w:color w:val="auto"/>
          <w:spacing w:val="-4"/>
          <w:sz w:val="21"/>
          <w:szCs w:val="21"/>
          <w:highlight w:val="none"/>
        </w:rPr>
        <w:t>11.评标办法</w:t>
      </w:r>
    </w:p>
    <w:p w14:paraId="455FEF4A">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11.1本项目综合评分法（具体评标办法见后）。</w:t>
      </w:r>
    </w:p>
    <w:p w14:paraId="5CAD2A7D">
      <w:pPr>
        <w:shd w:val="clea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12.决标</w:t>
      </w:r>
    </w:p>
    <w:p w14:paraId="522DDD98">
      <w:pPr>
        <w:shd w:val="clear"/>
        <w:spacing w:line="360" w:lineRule="auto"/>
        <w:ind w:firstLine="573"/>
        <w:rPr>
          <w:rFonts w:hint="eastAsia" w:ascii="宋体" w:hAnsi="宋体" w:cs="宋体"/>
          <w:color w:val="auto"/>
          <w:szCs w:val="21"/>
          <w:highlight w:val="none"/>
        </w:rPr>
      </w:pPr>
      <w:r>
        <w:rPr>
          <w:rFonts w:hint="eastAsia" w:ascii="宋体" w:hAnsi="宋体" w:cs="宋体"/>
          <w:color w:val="auto"/>
          <w:szCs w:val="21"/>
          <w:highlight w:val="none"/>
        </w:rPr>
        <w:t>评标小组依据本招标文件规定的评标标准和方法，对投标文件进行评标和比较，向采购人提出书面评标报告，并直接确定中标人。</w:t>
      </w:r>
    </w:p>
    <w:p w14:paraId="49593C34">
      <w:pPr>
        <w:pStyle w:val="3"/>
        <w:shd w:val="clear"/>
        <w:spacing w:before="0" w:after="0" w:line="360" w:lineRule="auto"/>
        <w:rPr>
          <w:rFonts w:hint="eastAsia" w:ascii="宋体" w:hAnsi="宋体" w:cs="宋体"/>
          <w:color w:val="auto"/>
          <w:sz w:val="21"/>
          <w:szCs w:val="21"/>
          <w:highlight w:val="none"/>
        </w:rPr>
      </w:pPr>
      <w:bookmarkStart w:id="55" w:name="_Toc261519848"/>
      <w:bookmarkStart w:id="56" w:name="_Toc226973003"/>
      <w:bookmarkStart w:id="57" w:name="_Toc362250706"/>
      <w:bookmarkStart w:id="58" w:name="_Toc274303254"/>
      <w:bookmarkStart w:id="59" w:name="_Toc263090376"/>
      <w:r>
        <w:rPr>
          <w:rFonts w:hint="eastAsia" w:ascii="宋体" w:hAnsi="宋体" w:cs="宋体"/>
          <w:color w:val="auto"/>
          <w:sz w:val="21"/>
          <w:szCs w:val="21"/>
          <w:highlight w:val="none"/>
        </w:rPr>
        <w:t>三、定标</w:t>
      </w:r>
      <w:bookmarkEnd w:id="55"/>
      <w:bookmarkEnd w:id="56"/>
      <w:bookmarkEnd w:id="57"/>
      <w:bookmarkEnd w:id="58"/>
      <w:bookmarkEnd w:id="59"/>
    </w:p>
    <w:p w14:paraId="22FE9FB1">
      <w:pPr>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kern w:val="0"/>
          <w:szCs w:val="21"/>
          <w:highlight w:val="none"/>
        </w:rPr>
        <w:t>13.</w:t>
      </w:r>
      <w:r>
        <w:rPr>
          <w:rFonts w:hint="eastAsia" w:ascii="宋体" w:hAnsi="宋体" w:cs="宋体"/>
          <w:b/>
          <w:bCs/>
          <w:color w:val="auto"/>
          <w:szCs w:val="21"/>
          <w:highlight w:val="none"/>
        </w:rPr>
        <w:t>中标通知</w:t>
      </w:r>
    </w:p>
    <w:p w14:paraId="66B661BD">
      <w:pPr>
        <w:pStyle w:val="13"/>
        <w:shd w:val="clear"/>
        <w:snapToGrid w:val="0"/>
        <w:spacing w:before="0" w:beforeLines="0" w:after="0" w:afterLines="0"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13.1评标结束后，评标结果公告1个工作日，发布评标结果公告的媒体为：浙江政府采购网。</w:t>
      </w:r>
    </w:p>
    <w:p w14:paraId="0704F17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13.2发放中标通知书前，采购人或其委托的采购代理机构应在中国裁判文书网上查询中标（成交）单位自2023年1月1日至中标公告期结束前行贿犯罪记录情况，查询结果以网站页面显示内容为准。经查实，</w:t>
      </w:r>
      <w:r>
        <w:rPr>
          <w:rFonts w:hint="eastAsia" w:ascii="宋体" w:hAnsi="宋体" w:cs="宋体"/>
          <w:color w:val="auto"/>
          <w:szCs w:val="21"/>
          <w:highlight w:val="none"/>
          <w:shd w:val="clear" w:color="auto" w:fill="FFFFFF"/>
        </w:rPr>
        <w:t>中标人</w:t>
      </w:r>
      <w:r>
        <w:rPr>
          <w:rFonts w:hint="eastAsia" w:ascii="宋体" w:hAnsi="宋体" w:cs="宋体"/>
          <w:color w:val="auto"/>
          <w:szCs w:val="21"/>
          <w:highlight w:val="none"/>
        </w:rPr>
        <w:t>有前述行贿犯罪记录的，取消其中标资格，采购人依法重新组织采购。</w:t>
      </w:r>
    </w:p>
    <w:p w14:paraId="4AF9E21F">
      <w:pPr>
        <w:pStyle w:val="13"/>
        <w:shd w:val="clear"/>
        <w:tabs>
          <w:tab w:val="left" w:pos="90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13.3评标结果公告发布的同时，由浙江求是招标代理有限公司签发《中标通知书》，中标方凭有效说明到浙江求是招标代理有限公司领取《中标通知书》。《中标通知书》一经发出即发生法律效力。</w:t>
      </w:r>
    </w:p>
    <w:p w14:paraId="61C0C5EE">
      <w:pPr>
        <w:pStyle w:val="13"/>
        <w:shd w:val="clear"/>
        <w:tabs>
          <w:tab w:val="left" w:pos="90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13.4开标过程中，投标人对开标有异议的，应当在“政采云”平台上及时提出，评标委员会应对异常情况作记录。</w:t>
      </w:r>
    </w:p>
    <w:p w14:paraId="7AA942D1">
      <w:pPr>
        <w:pStyle w:val="13"/>
        <w:shd w:val="clear"/>
        <w:tabs>
          <w:tab w:val="left" w:pos="90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13.5开评标结束后，投标人或者其他利害关系人对依法必须进行招标的项目的评标结果有异议的，应在公告期限届满之日起7个工作日内首先依据招投标相关法律法规向采购人、招标代理机构提出质疑。采购人或招标代理机构将在收到书面质疑后七个工作日内对质疑内容作出答复。若投标人对采购人或招标代理机构的答复、处理结果不满意，应在收到采购人或招标代理机构的书面答复后十五个工作日内到招标投标管理部门投诉。</w:t>
      </w:r>
    </w:p>
    <w:p w14:paraId="0A6ECA8F">
      <w:pPr>
        <w:pStyle w:val="13"/>
        <w:shd w:val="clear"/>
        <w:tabs>
          <w:tab w:val="left" w:pos="90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13.6质疑投诉的相关规定</w:t>
      </w:r>
    </w:p>
    <w:p w14:paraId="0B7F1FBA">
      <w:pPr>
        <w:pStyle w:val="13"/>
        <w:shd w:val="clear"/>
        <w:tabs>
          <w:tab w:val="left" w:pos="90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（一）质疑投诉递交的资料需为书面材料。质疑投诉书面材料需法人代表人或授权代表签字并加盖公章。</w:t>
      </w:r>
    </w:p>
    <w:p w14:paraId="2810D83D">
      <w:pPr>
        <w:pStyle w:val="13"/>
        <w:shd w:val="clear"/>
        <w:tabs>
          <w:tab w:val="left" w:pos="900"/>
        </w:tabs>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（二）质疑投诉属于以下情况之一的，将不予受理：</w:t>
      </w:r>
    </w:p>
    <w:p w14:paraId="18A0C7AB">
      <w:pPr>
        <w:pStyle w:val="13"/>
        <w:shd w:val="clear"/>
        <w:tabs>
          <w:tab w:val="left" w:pos="900"/>
        </w:tabs>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1.质疑投诉人不是所投诉项目的参与者，或者与质疑投诉项目无任何利害关系。</w:t>
      </w:r>
    </w:p>
    <w:p w14:paraId="15EE3A46">
      <w:pPr>
        <w:pStyle w:val="13"/>
        <w:shd w:val="clear"/>
        <w:tabs>
          <w:tab w:val="left" w:pos="900"/>
        </w:tabs>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2.质疑投诉事项不具体，且未提供有效线索，难以查证。</w:t>
      </w:r>
    </w:p>
    <w:p w14:paraId="1BFE7D2C">
      <w:pPr>
        <w:pStyle w:val="13"/>
        <w:shd w:val="clear"/>
        <w:tabs>
          <w:tab w:val="left" w:pos="900"/>
        </w:tabs>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3.未提供书面质疑或者质疑未加盖公章的；投诉人为法人或者其他组织，其投诉书未经法定代表人或者主要负责人签字并加盖公章的。</w:t>
      </w:r>
    </w:p>
    <w:p w14:paraId="4CACB1E3">
      <w:pPr>
        <w:pStyle w:val="13"/>
        <w:shd w:val="clear"/>
        <w:tabs>
          <w:tab w:val="left" w:pos="900"/>
        </w:tabs>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 xml:space="preserve">4.已超过招标文件规定质疑投诉提出期限的事项。 </w:t>
      </w:r>
    </w:p>
    <w:p w14:paraId="608D125C">
      <w:pPr>
        <w:pStyle w:val="13"/>
        <w:shd w:val="clear"/>
        <w:tabs>
          <w:tab w:val="left" w:pos="900"/>
        </w:tabs>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5.投诉事项已作出处理决定，并且投诉人没有提出新的证据；</w:t>
      </w:r>
    </w:p>
    <w:p w14:paraId="4212873E">
      <w:pPr>
        <w:pStyle w:val="13"/>
        <w:shd w:val="clear"/>
        <w:tabs>
          <w:tab w:val="left" w:pos="900"/>
        </w:tabs>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6.质疑投诉的事项已经进入行政复议或者行政诉讼程序的；投诉事项应先提出质疑而没有提出质疑的。</w:t>
      </w:r>
    </w:p>
    <w:p w14:paraId="0F6CAEE4">
      <w:pPr>
        <w:pStyle w:val="13"/>
        <w:shd w:val="clear"/>
        <w:spacing w:before="0" w:beforeLines="0" w:after="0" w:afterLines="0" w:line="360" w:lineRule="auto"/>
        <w:ind w:firstLine="315" w:firstLineChars="150"/>
        <w:rPr>
          <w:rFonts w:hint="eastAsia" w:hAnsi="宋体" w:cs="宋体"/>
          <w:color w:val="auto"/>
          <w:sz w:val="21"/>
          <w:szCs w:val="21"/>
          <w:highlight w:val="none"/>
        </w:rPr>
      </w:pPr>
      <w:r>
        <w:rPr>
          <w:rFonts w:hint="eastAsia" w:hAnsi="宋体" w:cs="宋体"/>
          <w:color w:val="auto"/>
          <w:sz w:val="21"/>
          <w:szCs w:val="21"/>
          <w:highlight w:val="none"/>
        </w:rPr>
        <w:t>7.不符合《政府采购质疑和投诉办法》（财政部令第94号）和《关于印发〈浙江省政府采购投标人质疑处理办法〉的通知》（浙财采监〔2012〕18号）等有关规定的质疑投诉。</w:t>
      </w:r>
    </w:p>
    <w:p w14:paraId="6F191041">
      <w:pPr>
        <w:pStyle w:val="13"/>
        <w:shd w:val="clear"/>
        <w:tabs>
          <w:tab w:val="left" w:pos="900"/>
        </w:tabs>
        <w:spacing w:before="0" w:beforeLines="0" w:after="0" w:afterLines="0" w:line="360" w:lineRule="auto"/>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14.合同签订</w:t>
      </w:r>
    </w:p>
    <w:p w14:paraId="517FB77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14.1中标人自接到《中标通知书》后应在三十天内与采购人签订合同。</w:t>
      </w:r>
    </w:p>
    <w:p w14:paraId="7B198DE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14.2招标文件、中标人的投标文件、评标过程中投标人在询标时作出的承诺及其澄清文件等，均为签订合同的依据和招标合同的有效组成部分。</w:t>
      </w:r>
    </w:p>
    <w:p w14:paraId="3EAF4E2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中标人不遵守招标文件和投标文件的要约及承诺而擅自修改报价，或在接到《中标通知书》后借故拖延、拒签合同而造成超过规定时间的，视为中标人不履行招标合同，构成严重违约。采购人和招标代理人将按失信行为上报义乌市信用管理部门，同时取消该投标人的中标资格（解除合同），并追究中标人的违约责任。在此情况下，采购人和招标代理机构重新招标，对受影响的投标人不承担任何责任。</w:t>
      </w:r>
    </w:p>
    <w:p w14:paraId="72D8F30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14.4采购人与中标人签订合同后招标代理机构将中标结果通知落选投标人，采购人和招标代理机构对评标结果不负责解释。</w:t>
      </w:r>
    </w:p>
    <w:p w14:paraId="032FEE7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14.5采购人变更数量的权利</w:t>
      </w:r>
    </w:p>
    <w:p w14:paraId="3491415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采购人在授予合同时有权对“技术要求及招标范围”中规定的服务予以增加或减少，但必须符合《中华人民共和国政府采购法》及义乌市政府采购的相关规定。</w:t>
      </w:r>
    </w:p>
    <w:p w14:paraId="49D17459">
      <w:pPr>
        <w:pStyle w:val="13"/>
        <w:shd w:val="clear"/>
        <w:spacing w:before="120" w:after="120" w:line="360" w:lineRule="auto"/>
        <w:jc w:val="center"/>
        <w:outlineLvl w:val="0"/>
        <w:rPr>
          <w:rFonts w:hint="eastAsia" w:hAnsi="宋体" w:cs="宋体"/>
          <w:b/>
          <w:color w:val="auto"/>
          <w:sz w:val="36"/>
          <w:szCs w:val="36"/>
          <w:highlight w:val="none"/>
        </w:rPr>
      </w:pPr>
      <w:r>
        <w:rPr>
          <w:rFonts w:hint="eastAsia" w:hAnsi="宋体" w:cs="宋体"/>
          <w:color w:val="auto"/>
          <w:highlight w:val="none"/>
        </w:rPr>
        <w:br w:type="page"/>
      </w:r>
      <w:r>
        <w:rPr>
          <w:rFonts w:hint="eastAsia" w:hAnsi="宋体" w:cs="宋体"/>
          <w:b/>
          <w:bCs/>
          <w:color w:val="auto"/>
          <w:sz w:val="32"/>
          <w:szCs w:val="32"/>
          <w:highlight w:val="none"/>
        </w:rPr>
        <w:t>第五章  投标文件的有效性</w:t>
      </w:r>
    </w:p>
    <w:p w14:paraId="34964330">
      <w:pPr>
        <w:pStyle w:val="13"/>
        <w:shd w:val="clear"/>
        <w:spacing w:before="0" w:beforeLines="0" w:after="0" w:afterLines="0" w:line="360" w:lineRule="auto"/>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1.有下列情形之一的，招标方将不予受理投标文件：</w:t>
      </w:r>
    </w:p>
    <w:p w14:paraId="657C06DB">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1.1逾期上传电子档投标文件至“政采云”平台的。</w:t>
      </w:r>
    </w:p>
    <w:p w14:paraId="16F94F9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1.2电子投标文件在规定时间内解密未成功的，且未提供备份投标文件或提供的备份投标文件无法上传打开的。</w:t>
      </w:r>
    </w:p>
    <w:p w14:paraId="27C3D63F">
      <w:pPr>
        <w:shd w:val="clear"/>
        <w:adjustRightIn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2.投标文件在资格或商务技术标评审出现下列情形之一的，由评标小组审核后按无效投标文件处理：</w:t>
      </w:r>
    </w:p>
    <w:p w14:paraId="6BFD0420">
      <w:pPr>
        <w:shd w:val="clear"/>
        <w:tabs>
          <w:tab w:val="left" w:pos="5325"/>
        </w:tabs>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2.1资格响应文件或商务技术响应文件中包含投标报价的</w:t>
      </w:r>
    </w:p>
    <w:p w14:paraId="7567DDCE">
      <w:pPr>
        <w:shd w:val="clear"/>
        <w:tabs>
          <w:tab w:val="left" w:pos="5325"/>
        </w:tabs>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招标文件关于投标文件组成内容中商务技术响应文件要求的内容，投标人的投标文件内容未提供完整或关键字迹模糊、无法辨认的或未按其规定的格式及要求填写、签字、盖章或提供的投标文件内容不符合招标文件中有关打★号的条款的规定</w:t>
      </w:r>
    </w:p>
    <w:p w14:paraId="1D182627">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投标文件未按招标文件要求加盖单位公章或电子签章；或无法定代表人或法定代表人授权的全权代表签字或盖章的；或有授权的全权代表签字或盖章但未提交“授权委托书”原件的；或授权委托书无法定代表人签字或盖章的；或授权委托书未加盖单位公章或电子签章的；</w:t>
      </w:r>
    </w:p>
    <w:p w14:paraId="15FE0636">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2.4投标人的投标资格未符合招标文件的资格要求规定</w:t>
      </w:r>
    </w:p>
    <w:p w14:paraId="5A753F5A">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2.5投标人递交两份或多份内容不同的投标文件，且未声明哪一个有效，但按招标文件规定提交备选投标人方案的除外。</w:t>
      </w:r>
    </w:p>
    <w:p w14:paraId="44F80EE2">
      <w:pPr>
        <w:shd w:val="clear"/>
        <w:tabs>
          <w:tab w:val="left" w:pos="5325"/>
        </w:tabs>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2.6投标人所投产品的数量不符合招标文件规定的，</w:t>
      </w:r>
      <w:r>
        <w:rPr>
          <w:rFonts w:hint="eastAsia" w:ascii="宋体" w:hAnsi="宋体" w:cs="宋体"/>
          <w:iCs/>
          <w:color w:val="auto"/>
          <w:szCs w:val="21"/>
          <w:highlight w:val="none"/>
        </w:rPr>
        <w:t>招标需求中要求提供的产品属于节能产品政府采购品目清单中政府强制采购的，投标人未提供该清单内产品的</w:t>
      </w:r>
      <w:r>
        <w:rPr>
          <w:rFonts w:hint="eastAsia" w:ascii="宋体" w:hAnsi="宋体" w:cs="宋体"/>
          <w:i/>
          <w:color w:val="auto"/>
          <w:szCs w:val="21"/>
          <w:highlight w:val="none"/>
        </w:rPr>
        <w:t>。</w:t>
      </w:r>
    </w:p>
    <w:p w14:paraId="7DFB666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kern w:val="0"/>
          <w:szCs w:val="21"/>
          <w:highlight w:val="none"/>
        </w:rPr>
        <w:t>投标人借用或冒用他人名义或证件，或投标人涂改证件，或投标人伪造或编造投标资料的</w:t>
      </w:r>
    </w:p>
    <w:p w14:paraId="6FCD119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2.8投标中不同投标单位的投标文件出现雷同或相似（包括部分雷同或相似），对所有雷同或相似投标人按废标处理，投标人串标的，招标方将保留进一步追究责任的权利</w:t>
      </w:r>
    </w:p>
    <w:p w14:paraId="30D7E41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2.9其他对本招标文件中打★号的条款未完全响应的</w:t>
      </w:r>
    </w:p>
    <w:p w14:paraId="665C6B7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2.10经评标小组认定，投标文件附有采购人不能接受的条件</w:t>
      </w:r>
    </w:p>
    <w:p w14:paraId="3FAFC64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2.11对于评标小组提出的要求投标人澄清或说明的，如果投标人代表拒绝澄清或说明，或者拒绝签字的，评标小组可以对其作出无效标处理。</w:t>
      </w:r>
    </w:p>
    <w:p w14:paraId="4938E8F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2.12单位负责人为同一人或者存在直接控股、管理关系的不同投标人。</w:t>
      </w:r>
    </w:p>
    <w:p w14:paraId="5784C593">
      <w:pPr>
        <w:shd w:val="clear"/>
        <w:adjustRightIn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3.投标文件在报价响应文件评审中出现下列情形之一的，由评标小组审核后按无效投标文件处理：</w:t>
      </w:r>
    </w:p>
    <w:p w14:paraId="7BC14593">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招标文件关于投标文件组成内容中报价响应文件要求的内容，投标人的投标文件内容未提供完整或关键字迹模糊、无法辨认的或未按其规定的格式及要求填写、签字、盖章或提供的投标文件内容不符合招标文件中有关打★号的条款的规定</w:t>
      </w:r>
    </w:p>
    <w:p w14:paraId="53AEFC3C">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3.2投标报价高于预算价（或总价最高限价），或低于企业成本价者或未填报企业成本价者；</w:t>
      </w:r>
    </w:p>
    <w:p w14:paraId="589F7FD0">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3.3投标人所投产品的数量不符合招标文件规定的</w:t>
      </w:r>
    </w:p>
    <w:p w14:paraId="5485FF08">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3.4投标人对同一采购项目两个或两个以上（两种或两种以上方案）报价的或两个或两个以上（两种或两种以上方案）成本价的，且未声明哪一个有效</w:t>
      </w:r>
    </w:p>
    <w:p w14:paraId="4A00D5EA">
      <w:pPr>
        <w:shd w:val="clear"/>
        <w:adjustRightIn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评标委员启动异常低价投标审查程序，投标供应商不能提供书面说明、</w:t>
      </w:r>
      <w:r>
        <w:rPr>
          <w:rFonts w:hint="eastAsia" w:ascii="宋体" w:hAnsi="宋体" w:cs="宋体"/>
          <w:color w:val="auto"/>
          <w:szCs w:val="21"/>
          <w:highlight w:val="none"/>
          <w:lang w:val="en-US" w:eastAsia="zh-CN"/>
        </w:rPr>
        <w:t>佐证</w:t>
      </w:r>
      <w:r>
        <w:rPr>
          <w:rFonts w:hint="eastAsia" w:ascii="宋体" w:hAnsi="宋体" w:eastAsia="宋体" w:cs="宋体"/>
          <w:color w:val="auto"/>
          <w:szCs w:val="21"/>
          <w:highlight w:val="none"/>
          <w:lang w:val="en-US" w:eastAsia="zh-CN"/>
        </w:rPr>
        <w:t>材料，或者提供的书面说明、</w:t>
      </w:r>
      <w:r>
        <w:rPr>
          <w:rFonts w:hint="eastAsia" w:ascii="宋体" w:hAnsi="宋体" w:cs="宋体"/>
          <w:color w:val="auto"/>
          <w:szCs w:val="21"/>
          <w:highlight w:val="none"/>
          <w:lang w:val="en-US" w:eastAsia="zh-CN"/>
        </w:rPr>
        <w:t>佐证</w:t>
      </w:r>
      <w:r>
        <w:rPr>
          <w:rFonts w:hint="eastAsia" w:ascii="宋体" w:hAnsi="宋体" w:eastAsia="宋体" w:cs="宋体"/>
          <w:color w:val="auto"/>
          <w:szCs w:val="21"/>
          <w:highlight w:val="none"/>
          <w:lang w:val="en-US" w:eastAsia="zh-CN"/>
        </w:rPr>
        <w:t>材料不能</w:t>
      </w:r>
      <w:r>
        <w:rPr>
          <w:rFonts w:hint="eastAsia" w:ascii="宋体" w:hAnsi="宋体" w:cs="宋体"/>
          <w:color w:val="auto"/>
          <w:szCs w:val="21"/>
          <w:highlight w:val="none"/>
          <w:lang w:val="en-US" w:eastAsia="zh-CN"/>
        </w:rPr>
        <w:t>佐证</w:t>
      </w:r>
      <w:r>
        <w:rPr>
          <w:rFonts w:hint="eastAsia" w:ascii="宋体" w:hAnsi="宋体" w:eastAsia="宋体" w:cs="宋体"/>
          <w:color w:val="auto"/>
          <w:szCs w:val="21"/>
          <w:highlight w:val="none"/>
          <w:lang w:val="en-US" w:eastAsia="zh-CN"/>
        </w:rPr>
        <w:t>其报价合理性的，评标委员会应当将其作为无效投标处理。</w:t>
      </w:r>
    </w:p>
    <w:p w14:paraId="21EF7F6A">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其他对本招标文件中打★号的条款未完全响应的</w:t>
      </w:r>
    </w:p>
    <w:p w14:paraId="768E1CE6">
      <w:pPr>
        <w:shd w:val="clea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当投标人由于报价计算错误，投标人拒绝接受按招标文件的规定进行的修正处理（或拒绝签名确认）。</w:t>
      </w:r>
    </w:p>
    <w:p w14:paraId="6205C1CA">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23C7C7DB">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（1）不同投标人的投标文件由同一单位或者个人编制；</w:t>
      </w:r>
    </w:p>
    <w:p w14:paraId="02488631">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（2）不同投标人委托同一单位或者个人办理投标事宜；</w:t>
      </w:r>
    </w:p>
    <w:p w14:paraId="4569138E">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（3）不同投标人的投标文件载明的项目管理成员或者联系人员为同一人；</w:t>
      </w:r>
    </w:p>
    <w:p w14:paraId="32847688">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（4）不同投标人的投标文件异常一致或者投标报价呈规律性差异；</w:t>
      </w:r>
    </w:p>
    <w:p w14:paraId="3382E233">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（5）不同投标人的投标文件相互混装；</w:t>
      </w:r>
    </w:p>
    <w:p w14:paraId="74E78D42">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除政府采购法律法规规章规定的属于恶意串通、视为串通投标情形外，在不影响公平竞争的前提下，采购人在采购文件中明确规定参与同一个采购包（标段）的供应商存在下列情形之一且无法合理解释的，其投标文件无效：</w:t>
      </w:r>
    </w:p>
    <w:p w14:paraId="338D859D">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（1）不同供应商的电子投标文件上传计算机的网卡MAC地址或硬盘序列号等硬件信息相同的；</w:t>
      </w:r>
    </w:p>
    <w:p w14:paraId="281065FE">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（2）上传的电子投标文件若出现使用本项目其他投标供应商的数字证书加密的，或者加盖本项目其他投标供应商的电子印章的；</w:t>
      </w:r>
    </w:p>
    <w:p w14:paraId="11B43466">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（3）不同供应商的投标文件的内容存在3处（含）以上错误一致的；</w:t>
      </w:r>
    </w:p>
    <w:p w14:paraId="2FC91D35">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（4）不同供应商联系人为同一人或不同联系人的联系电话一致的。</w:t>
      </w:r>
    </w:p>
    <w:p w14:paraId="7C8714D2">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6.其他违反法律法规的情况。</w:t>
      </w:r>
    </w:p>
    <w:p w14:paraId="069BABB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7.评标过程中，非上述所罗列的情况，不得以无效标处理。</w:t>
      </w:r>
      <w:bookmarkStart w:id="60" w:name="_Toc362250708"/>
      <w:bookmarkStart w:id="61" w:name="_Toc274303255"/>
      <w:bookmarkStart w:id="62" w:name="_Toc145992551"/>
      <w:bookmarkStart w:id="63" w:name="_Toc226973004"/>
    </w:p>
    <w:p w14:paraId="30BDA6DF">
      <w:pPr>
        <w:pStyle w:val="13"/>
        <w:shd w:val="clear"/>
        <w:spacing w:before="120" w:after="120" w:line="360" w:lineRule="auto"/>
        <w:jc w:val="center"/>
        <w:outlineLvl w:val="0"/>
        <w:rPr>
          <w:rFonts w:hint="eastAsia" w:hAnsi="宋体" w:cs="宋体"/>
          <w:color w:val="auto"/>
          <w:sz w:val="36"/>
          <w:highlight w:val="none"/>
        </w:rPr>
      </w:pPr>
      <w:r>
        <w:rPr>
          <w:rFonts w:hint="eastAsia" w:hAnsi="宋体" w:cs="宋体"/>
          <w:bCs/>
          <w:color w:val="auto"/>
          <w:sz w:val="36"/>
          <w:szCs w:val="36"/>
          <w:highlight w:val="none"/>
        </w:rPr>
        <w:br w:type="page"/>
      </w:r>
      <w:bookmarkEnd w:id="60"/>
      <w:bookmarkEnd w:id="61"/>
      <w:bookmarkEnd w:id="62"/>
      <w:bookmarkEnd w:id="63"/>
      <w:r>
        <w:rPr>
          <w:rFonts w:hint="eastAsia" w:hAnsi="宋体" w:cs="宋体"/>
          <w:b/>
          <w:bCs/>
          <w:color w:val="auto"/>
          <w:sz w:val="32"/>
          <w:szCs w:val="32"/>
          <w:highlight w:val="none"/>
        </w:rPr>
        <w:t>第六章  评标办法</w:t>
      </w:r>
    </w:p>
    <w:p w14:paraId="35DAF062">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根据《中华人民共和国政府采购法》和有关规定，为更好地做到公开、公平、公正，结合本次招标的特点，特制定本评标办法。评标小组用</w:t>
      </w:r>
      <w:r>
        <w:rPr>
          <w:rFonts w:hint="eastAsia" w:hAnsi="宋体" w:cs="宋体"/>
          <w:color w:val="auto"/>
          <w:sz w:val="21"/>
          <w:szCs w:val="21"/>
          <w:highlight w:val="none"/>
          <w:u w:val="single"/>
        </w:rPr>
        <w:t>综合评分法</w:t>
      </w:r>
      <w:r>
        <w:rPr>
          <w:rFonts w:hint="eastAsia" w:hAnsi="宋体" w:cs="宋体"/>
          <w:color w:val="auto"/>
          <w:sz w:val="21"/>
          <w:szCs w:val="21"/>
          <w:highlight w:val="none"/>
        </w:rPr>
        <w:t>对招标项目作出评标结论。</w:t>
      </w:r>
    </w:p>
    <w:p w14:paraId="12527966">
      <w:pPr>
        <w:pStyle w:val="13"/>
        <w:shd w:val="clear"/>
        <w:spacing w:before="0" w:beforeLines="0" w:after="0" w:afterLines="0" w:line="360" w:lineRule="auto"/>
        <w:rPr>
          <w:rFonts w:hint="eastAsia" w:hAnsi="宋体" w:cs="宋体"/>
          <w:b/>
          <w:bCs/>
          <w:color w:val="auto"/>
          <w:sz w:val="21"/>
          <w:szCs w:val="21"/>
          <w:highlight w:val="none"/>
        </w:rPr>
      </w:pPr>
      <w:r>
        <w:rPr>
          <w:rFonts w:hint="eastAsia" w:hAnsi="宋体" w:cs="宋体"/>
          <w:b/>
          <w:color w:val="auto"/>
          <w:spacing w:val="-4"/>
          <w:sz w:val="21"/>
          <w:szCs w:val="21"/>
          <w:highlight w:val="none"/>
        </w:rPr>
        <w:t>一、</w:t>
      </w:r>
      <w:r>
        <w:rPr>
          <w:rFonts w:hint="eastAsia" w:hAnsi="宋体" w:cs="宋体"/>
          <w:b/>
          <w:bCs/>
          <w:color w:val="auto"/>
          <w:sz w:val="21"/>
          <w:szCs w:val="21"/>
          <w:highlight w:val="none"/>
        </w:rPr>
        <w:t>评审程序</w:t>
      </w:r>
    </w:p>
    <w:p w14:paraId="08EFE2A7">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1.对投标人资格响应文件进行符合性审查，确定资格审查通过单位；</w:t>
      </w:r>
    </w:p>
    <w:p w14:paraId="18AEE0E1">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2.对资格审查通过的投标人的商务技术响应文件进行符合性审查，确定商务技术响应文件有效单位；</w:t>
      </w:r>
    </w:p>
    <w:p w14:paraId="46BF17D7">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3.对商务技术响应文件有效的投标人的商务技术响应文件进行评分，计算出各商务技术响应文件有效的投标人的商务技术得分；</w:t>
      </w:r>
    </w:p>
    <w:p w14:paraId="5FD87950">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4.对报价响应文件进行符合性审查；</w:t>
      </w:r>
    </w:p>
    <w:p w14:paraId="1CE1BEB3">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5.对报价响应文件符合性审查通过的报价响应文件进行详细评审，并由“政采云”平台计算出其报价分及总得分；</w:t>
      </w:r>
    </w:p>
    <w:p w14:paraId="7544E1FD">
      <w:pPr>
        <w:pStyle w:val="13"/>
        <w:shd w:val="clear"/>
        <w:spacing w:before="0" w:beforeLines="0" w:after="0" w:afterLines="0" w:line="360" w:lineRule="auto"/>
        <w:ind w:firstLine="482"/>
        <w:rPr>
          <w:rFonts w:hint="eastAsia" w:hAnsi="宋体" w:cs="宋体"/>
          <w:color w:val="auto"/>
          <w:sz w:val="21"/>
          <w:szCs w:val="21"/>
          <w:highlight w:val="none"/>
        </w:rPr>
      </w:pPr>
      <w:r>
        <w:rPr>
          <w:rFonts w:hint="eastAsia" w:hAnsi="宋体" w:cs="宋体"/>
          <w:color w:val="auto"/>
          <w:sz w:val="21"/>
          <w:szCs w:val="21"/>
          <w:highlight w:val="none"/>
        </w:rPr>
        <w:t>6.推荐中标候选人、出具评标报告。</w:t>
      </w:r>
    </w:p>
    <w:p w14:paraId="00DD6478">
      <w:pPr>
        <w:pStyle w:val="13"/>
        <w:shd w:val="clear"/>
        <w:spacing w:before="0" w:beforeLines="0" w:after="0" w:afterLines="0" w:line="360" w:lineRule="auto"/>
        <w:ind w:firstLine="482"/>
        <w:rPr>
          <w:rFonts w:hint="eastAsia" w:hAnsi="宋体" w:cs="宋体"/>
          <w:b/>
          <w:color w:val="auto"/>
          <w:spacing w:val="-4"/>
          <w:sz w:val="21"/>
          <w:szCs w:val="21"/>
          <w:highlight w:val="none"/>
        </w:rPr>
      </w:pPr>
      <w:r>
        <w:rPr>
          <w:rFonts w:hint="eastAsia" w:hAnsi="宋体" w:cs="宋体"/>
          <w:color w:val="auto"/>
          <w:sz w:val="21"/>
          <w:szCs w:val="21"/>
          <w:highlight w:val="none"/>
        </w:rPr>
        <w:t>评标小组以开标、评标、询标情况为基本依据，</w:t>
      </w:r>
      <w:r>
        <w:rPr>
          <w:rFonts w:hint="eastAsia" w:hAnsi="宋体" w:cs="宋体"/>
          <w:color w:val="auto"/>
          <w:spacing w:val="-4"/>
          <w:sz w:val="21"/>
          <w:szCs w:val="21"/>
          <w:highlight w:val="none"/>
        </w:rPr>
        <w:t>对有效的投标文件分资格响应文件、商务技术响应文件和报价响应文件三个部分进行分析、评议，</w:t>
      </w:r>
      <w:r>
        <w:rPr>
          <w:rFonts w:hint="eastAsia" w:hAnsi="宋体" w:cs="宋体"/>
          <w:b/>
          <w:bCs/>
          <w:color w:val="auto"/>
          <w:spacing w:val="-4"/>
          <w:sz w:val="21"/>
          <w:szCs w:val="21"/>
          <w:highlight w:val="none"/>
        </w:rPr>
        <w:t>先评资格响应文件、商务技术响应文件，后评报价响应文件</w:t>
      </w:r>
      <w:r>
        <w:rPr>
          <w:rFonts w:hint="eastAsia" w:hAnsi="宋体" w:cs="宋体"/>
          <w:b/>
          <w:color w:val="auto"/>
          <w:spacing w:val="-4"/>
          <w:sz w:val="21"/>
          <w:szCs w:val="21"/>
          <w:highlight w:val="none"/>
        </w:rPr>
        <w:t>，报价响应文件在商务技术文件评审结束后开启；对商务技术响应无效的投标人不再进行报价响应的评审。</w:t>
      </w:r>
    </w:p>
    <w:p w14:paraId="2CE0A7A8">
      <w:pPr>
        <w:pStyle w:val="13"/>
        <w:shd w:val="clear"/>
        <w:spacing w:before="0" w:beforeLines="0" w:after="0" w:afterLines="0"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二、评标办法</w:t>
      </w:r>
    </w:p>
    <w:p w14:paraId="3EA11777">
      <w:pPr>
        <w:pStyle w:val="13"/>
        <w:shd w:val="clear"/>
        <w:spacing w:before="0" w:beforeLines="0" w:after="0" w:afterLines="0"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1.商务技术响应文件评标</w:t>
      </w:r>
    </w:p>
    <w:p w14:paraId="79F50671">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w:t>
      </w:r>
      <w:r>
        <w:rPr>
          <w:rFonts w:hint="eastAsia" w:hAnsi="宋体" w:cs="宋体"/>
          <w:bCs/>
          <w:color w:val="auto"/>
          <w:sz w:val="21"/>
          <w:szCs w:val="21"/>
          <w:highlight w:val="none"/>
        </w:rPr>
        <w:t>根据招标文件第五章投标文件的有效性的规定，是否属于无效标或废标；</w:t>
      </w:r>
    </w:p>
    <w:p w14:paraId="12B08106">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1.2</w:t>
      </w:r>
      <w:r>
        <w:rPr>
          <w:rFonts w:hint="eastAsia" w:hAnsi="宋体" w:cs="宋体"/>
          <w:bCs/>
          <w:color w:val="auto"/>
          <w:sz w:val="21"/>
          <w:szCs w:val="21"/>
          <w:highlight w:val="none"/>
        </w:rPr>
        <w:t>检查投标文件中是否有法定代表人或授权代表签字及加盖单位公章；</w:t>
      </w:r>
    </w:p>
    <w:p w14:paraId="0486AEF6">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1.3检查标书的完整性，如营业执照、资质证书等招标文件要求提供的资料是否齐全；</w:t>
      </w:r>
    </w:p>
    <w:p w14:paraId="2BDAD564">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1.4检查拟供货物的规格参数、技术性能是否满足招标文件及本项目的要求；</w:t>
      </w:r>
    </w:p>
    <w:p w14:paraId="655AFE94">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1.5检查拟供服务内容、质量是否满足招标文件及本项目的要求；</w:t>
      </w:r>
    </w:p>
    <w:p w14:paraId="075C1084">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1.6检查服务计划是否提供；是否具体、完整、可行；</w:t>
      </w:r>
    </w:p>
    <w:p w14:paraId="16A8A6DB">
      <w:pPr>
        <w:pStyle w:val="13"/>
        <w:shd w:val="clear"/>
        <w:spacing w:before="0" w:beforeLines="0" w:after="0" w:afterLines="0" w:line="360" w:lineRule="auto"/>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1.7</w:t>
      </w:r>
      <w:r>
        <w:rPr>
          <w:rFonts w:hint="eastAsia" w:hAnsi="宋体" w:cs="宋体"/>
          <w:color w:val="auto"/>
          <w:sz w:val="21"/>
          <w:szCs w:val="21"/>
          <w:highlight w:val="none"/>
        </w:rPr>
        <w:t>检查免费维护期及售后服务承诺是否提供，是否符合招标文件的要求。</w:t>
      </w:r>
    </w:p>
    <w:p w14:paraId="1D866102">
      <w:pPr>
        <w:pStyle w:val="13"/>
        <w:shd w:val="clear"/>
        <w:spacing w:before="0" w:beforeLines="0" w:after="0" w:afterLines="0"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1.8、具体评审办法</w:t>
      </w:r>
    </w:p>
    <w:p w14:paraId="49F34933">
      <w:pPr>
        <w:shd w:val="clear"/>
        <w:wordWrap w:val="0"/>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商务技术分满分为70分</w:t>
      </w:r>
      <w:r>
        <w:rPr>
          <w:rFonts w:hint="eastAsia" w:ascii="宋体" w:hAnsi="宋体" w:cs="宋体"/>
          <w:color w:val="auto"/>
          <w:szCs w:val="21"/>
          <w:highlight w:val="none"/>
        </w:rPr>
        <w:t>，分值分配见表格。评标小组根据评分细则，对各投标人的商务技术响应部分进行书面审核和评论后，由各专家独立给分，打分时保留小数1位，每人一份评分表，并签名。在统计得分时，如果发现某一单项评分超过评分标准规定的分值范围，则该张评分表无效。投标人最终得分为评标小组所有成员的有效评分的算术平均值，计算时保留小数2位。</w:t>
      </w:r>
    </w:p>
    <w:p w14:paraId="3B331141">
      <w:pPr>
        <w:shd w:val="clear"/>
        <w:rPr>
          <w:rFonts w:hint="eastAsia" w:ascii="宋体" w:hAnsi="宋体" w:cs="宋体"/>
          <w:color w:val="auto"/>
          <w:szCs w:val="21"/>
          <w:highlight w:val="none"/>
        </w:rPr>
      </w:pPr>
      <w:r>
        <w:rPr>
          <w:rFonts w:hint="eastAsia" w:ascii="宋体" w:hAnsi="宋体" w:cs="宋体"/>
          <w:color w:val="auto"/>
          <w:szCs w:val="21"/>
          <w:highlight w:val="none"/>
        </w:rPr>
        <w:br w:type="page"/>
      </w:r>
    </w:p>
    <w:p w14:paraId="7DB440B2">
      <w:pPr>
        <w:pStyle w:val="17"/>
        <w:shd w:val="clear"/>
        <w:rPr>
          <w:rFonts w:hint="eastAsia"/>
          <w:color w:val="auto"/>
          <w:highlight w:val="none"/>
        </w:rPr>
      </w:pPr>
    </w:p>
    <w:tbl>
      <w:tblPr>
        <w:tblStyle w:val="27"/>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440"/>
      </w:tblGrid>
      <w:tr w14:paraId="0410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67" w:type="dxa"/>
            <w:vAlign w:val="center"/>
          </w:tcPr>
          <w:p w14:paraId="19369A1D">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评审因素</w:t>
            </w:r>
          </w:p>
        </w:tc>
        <w:tc>
          <w:tcPr>
            <w:tcW w:w="654" w:type="dxa"/>
            <w:vAlign w:val="center"/>
          </w:tcPr>
          <w:p w14:paraId="450BF21F">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c>
          <w:tcPr>
            <w:tcW w:w="7440" w:type="dxa"/>
            <w:vAlign w:val="center"/>
          </w:tcPr>
          <w:p w14:paraId="36B6B9A0">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评分细则</w:t>
            </w:r>
          </w:p>
        </w:tc>
      </w:tr>
      <w:tr w14:paraId="2E9A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61" w:type="dxa"/>
            <w:gridSpan w:val="3"/>
            <w:vAlign w:val="center"/>
          </w:tcPr>
          <w:p w14:paraId="77FE094B">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r>
      <w:tr w14:paraId="4F35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7" w:type="dxa"/>
            <w:vAlign w:val="center"/>
          </w:tcPr>
          <w:p w14:paraId="38271E3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w:t>
            </w:r>
          </w:p>
        </w:tc>
        <w:tc>
          <w:tcPr>
            <w:tcW w:w="654" w:type="dxa"/>
            <w:vAlign w:val="center"/>
          </w:tcPr>
          <w:p w14:paraId="26C0A779">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7440" w:type="dxa"/>
            <w:vAlign w:val="center"/>
          </w:tcPr>
          <w:p w14:paraId="240E504A">
            <w:pPr>
              <w:shd w:val="clear"/>
              <w:rPr>
                <w:rFonts w:hint="eastAsia" w:ascii="宋体" w:hAnsi="宋体" w:cs="宋体"/>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投标人自2023年1月1日以来（以合同签订时间为准）</w:t>
            </w:r>
            <w:r>
              <w:rPr>
                <w:rFonts w:hint="eastAsia" w:ascii="宋体" w:hAnsi="宋体" w:cs="宋体"/>
                <w:color w:val="auto"/>
                <w:szCs w:val="21"/>
                <w:highlight w:val="none"/>
                <w:lang w:val="en-US" w:eastAsia="zh-CN"/>
              </w:rPr>
              <w:t>与本项目同类（</w:t>
            </w:r>
            <w:r>
              <w:rPr>
                <w:rFonts w:hint="eastAsia" w:ascii="宋体" w:hAnsi="宋体" w:cs="宋体"/>
                <w:color w:val="auto"/>
                <w:szCs w:val="21"/>
                <w:highlight w:val="none"/>
              </w:rPr>
              <w:t>人工智能类、医学智能类、大模型类等</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合同业绩：每提供1份合同业绩得1分，最高得3分。</w:t>
            </w:r>
          </w:p>
          <w:p w14:paraId="6C4AD0C9">
            <w:pPr>
              <w:shd w:val="clear"/>
              <w:rPr>
                <w:rFonts w:hint="eastAsia" w:ascii="宋体" w:hAnsi="宋体" w:cs="宋体"/>
                <w:color w:val="auto"/>
                <w:szCs w:val="21"/>
                <w:highlight w:val="none"/>
              </w:rPr>
            </w:pPr>
            <w:r>
              <w:rPr>
                <w:rFonts w:hint="eastAsia" w:ascii="宋体" w:hAnsi="宋体" w:cs="宋体"/>
                <w:b/>
                <w:bCs/>
                <w:color w:val="auto"/>
                <w:szCs w:val="21"/>
                <w:highlight w:val="none"/>
              </w:rPr>
              <w:t>说明：需提供合同或中标通知书扫描件，不提供不得分。</w:t>
            </w:r>
          </w:p>
        </w:tc>
      </w:tr>
      <w:tr w14:paraId="4131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7" w:type="dxa"/>
            <w:vAlign w:val="center"/>
          </w:tcPr>
          <w:p w14:paraId="7EE8A29D">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软件著作权</w:t>
            </w:r>
          </w:p>
        </w:tc>
        <w:tc>
          <w:tcPr>
            <w:tcW w:w="654" w:type="dxa"/>
            <w:vAlign w:val="center"/>
          </w:tcPr>
          <w:p w14:paraId="0EFAC3D4">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6</w:t>
            </w:r>
          </w:p>
        </w:tc>
        <w:tc>
          <w:tcPr>
            <w:tcW w:w="7440" w:type="dxa"/>
            <w:vAlign w:val="center"/>
          </w:tcPr>
          <w:p w14:paraId="1EEB9C87">
            <w:pPr>
              <w:shd w:val="clear"/>
              <w:rPr>
                <w:rFonts w:hint="eastAsia" w:ascii="宋体" w:hAnsi="宋体" w:cs="宋体"/>
                <w:b/>
                <w:bCs/>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投标人或产品制造</w:t>
            </w:r>
            <w:r>
              <w:rPr>
                <w:rFonts w:hint="eastAsia" w:ascii="宋体" w:hAnsi="宋体" w:cs="宋体"/>
                <w:color w:val="auto"/>
                <w:szCs w:val="21"/>
                <w:highlight w:val="none"/>
                <w:lang w:val="en-US" w:eastAsia="zh-CN"/>
              </w:rPr>
              <w:t>商</w:t>
            </w:r>
            <w:r>
              <w:rPr>
                <w:rFonts w:hint="eastAsia" w:ascii="宋体" w:hAnsi="宋体" w:cs="宋体"/>
                <w:color w:val="auto"/>
                <w:szCs w:val="21"/>
                <w:highlight w:val="none"/>
              </w:rPr>
              <w:t>拥有与本项目相关计算机软件著作权证书（包括但不限于医学智能类、临床决策类、患者预警类、患者监测类、患者追踪类），每提供一个有效证书扫描件得2分，最高得6分。不提供不得分。</w:t>
            </w:r>
          </w:p>
        </w:tc>
      </w:tr>
      <w:tr w14:paraId="3A3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7" w:type="dxa"/>
            <w:shd w:val="clear" w:color="auto" w:fill="auto"/>
            <w:vAlign w:val="center"/>
          </w:tcPr>
          <w:p w14:paraId="6CBEB942">
            <w:pPr>
              <w:shd w:val="clear"/>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数据来源</w:t>
            </w:r>
          </w:p>
        </w:tc>
        <w:tc>
          <w:tcPr>
            <w:tcW w:w="654" w:type="dxa"/>
            <w:shd w:val="clear" w:color="auto" w:fill="auto"/>
            <w:vAlign w:val="center"/>
          </w:tcPr>
          <w:p w14:paraId="78AFF9FF">
            <w:pPr>
              <w:shd w:val="clea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rPr>
              <w:t>6</w:t>
            </w:r>
          </w:p>
        </w:tc>
        <w:tc>
          <w:tcPr>
            <w:tcW w:w="7440" w:type="dxa"/>
            <w:shd w:val="clear" w:color="auto" w:fill="auto"/>
            <w:vAlign w:val="center"/>
          </w:tcPr>
          <w:p w14:paraId="5010F856">
            <w:pPr>
              <w:shd w:val="clear"/>
              <w:rPr>
                <w:rFonts w:hint="eastAsia" w:ascii="宋体" w:hAnsi="宋体" w:cs="宋体"/>
                <w:color w:val="auto"/>
                <w:szCs w:val="21"/>
                <w:highlight w:val="none"/>
              </w:rPr>
            </w:pPr>
            <w:r>
              <w:rPr>
                <w:rFonts w:hint="eastAsia" w:ascii="宋体" w:hAnsi="宋体" w:cs="宋体"/>
                <w:b/>
                <w:bCs/>
                <w:color w:val="auto"/>
                <w:szCs w:val="21"/>
                <w:highlight w:val="none"/>
              </w:rPr>
              <w:t>【客观分】</w:t>
            </w:r>
            <w:r>
              <w:rPr>
                <w:rFonts w:hint="eastAsia" w:ascii="宋体" w:hAnsi="宋体" w:cs="宋体"/>
                <w:color w:val="auto"/>
                <w:szCs w:val="21"/>
                <w:highlight w:val="none"/>
              </w:rPr>
              <w:t>产品大模型训练医学数据来源</w:t>
            </w:r>
            <w:r>
              <w:rPr>
                <w:rFonts w:hint="eastAsia" w:ascii="宋体" w:hAnsi="宋体" w:cs="宋体"/>
                <w:color w:val="auto"/>
                <w:szCs w:val="21"/>
                <w:highlight w:val="none"/>
                <w:lang w:val="en-US" w:eastAsia="zh-CN"/>
              </w:rPr>
              <w:t>可靠</w:t>
            </w:r>
            <w:r>
              <w:rPr>
                <w:rFonts w:hint="eastAsia" w:ascii="宋体" w:hAnsi="宋体" w:cs="宋体"/>
                <w:color w:val="auto"/>
                <w:szCs w:val="21"/>
                <w:highlight w:val="none"/>
              </w:rPr>
              <w:t>、合规，</w:t>
            </w:r>
            <w:r>
              <w:rPr>
                <w:rFonts w:hint="eastAsia" w:ascii="宋体" w:hAnsi="宋体" w:cs="宋体"/>
                <w:color w:val="auto"/>
                <w:szCs w:val="21"/>
                <w:highlight w:val="none"/>
                <w:lang w:val="en-US" w:eastAsia="zh-CN"/>
              </w:rPr>
              <w:t>保护</w:t>
            </w:r>
            <w:r>
              <w:rPr>
                <w:rFonts w:hint="eastAsia" w:ascii="宋体" w:hAnsi="宋体" w:cs="宋体"/>
                <w:color w:val="auto"/>
                <w:szCs w:val="21"/>
                <w:highlight w:val="none"/>
              </w:rPr>
              <w:t>医学知识数据的知识产权。投标人需提供以下</w:t>
            </w:r>
            <w:r>
              <w:rPr>
                <w:rFonts w:hint="eastAsia" w:ascii="宋体" w:hAnsi="宋体" w:cs="宋体"/>
                <w:color w:val="auto"/>
                <w:szCs w:val="21"/>
                <w:highlight w:val="none"/>
                <w:lang w:val="en-US" w:eastAsia="zh-CN"/>
              </w:rPr>
              <w:t>佐证</w:t>
            </w:r>
            <w:r>
              <w:rPr>
                <w:rFonts w:hint="eastAsia" w:ascii="宋体" w:hAnsi="宋体" w:cs="宋体"/>
                <w:color w:val="auto"/>
                <w:szCs w:val="21"/>
                <w:highlight w:val="none"/>
              </w:rPr>
              <w:t>材料：</w:t>
            </w:r>
          </w:p>
          <w:p w14:paraId="1005A9E7">
            <w:pPr>
              <w:shd w:val="clea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产品大模型底座训练所采用相关数据、数据来源的知识产权证书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得3分</w:t>
            </w:r>
            <w:r>
              <w:rPr>
                <w:rFonts w:hint="eastAsia" w:ascii="宋体" w:hAnsi="宋体" w:cs="宋体"/>
                <w:color w:val="auto"/>
                <w:szCs w:val="21"/>
                <w:highlight w:val="none"/>
              </w:rPr>
              <w:t>；</w:t>
            </w:r>
          </w:p>
          <w:p w14:paraId="38ED5B6D">
            <w:pPr>
              <w:shd w:val="clear"/>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提供产品</w:t>
            </w:r>
            <w:r>
              <w:rPr>
                <w:rFonts w:hint="eastAsia" w:ascii="宋体" w:hAnsi="宋体" w:cs="宋体"/>
                <w:color w:val="auto"/>
                <w:szCs w:val="21"/>
                <w:highlight w:val="none"/>
              </w:rPr>
              <w:t>数据来源的</w:t>
            </w:r>
            <w:r>
              <w:rPr>
                <w:rFonts w:hint="eastAsia" w:ascii="宋体" w:hAnsi="宋体" w:cs="宋体"/>
                <w:color w:val="auto"/>
                <w:szCs w:val="21"/>
                <w:highlight w:val="none"/>
                <w:lang w:val="en-US" w:eastAsia="zh-CN"/>
              </w:rPr>
              <w:t>佐证</w:t>
            </w:r>
            <w:r>
              <w:rPr>
                <w:rFonts w:hint="eastAsia" w:ascii="宋体" w:hAnsi="宋体" w:cs="宋体"/>
                <w:color w:val="auto"/>
                <w:szCs w:val="21"/>
                <w:highlight w:val="none"/>
              </w:rPr>
              <w:t>文件，包括但不限于签订的数据使用协议</w:t>
            </w:r>
            <w:r>
              <w:rPr>
                <w:rFonts w:hint="eastAsia" w:ascii="宋体" w:hAnsi="宋体" w:cs="宋体"/>
                <w:color w:val="auto"/>
                <w:szCs w:val="21"/>
                <w:highlight w:val="none"/>
                <w:lang w:val="en-US" w:eastAsia="zh-CN"/>
              </w:rPr>
              <w:t>等，得3分。</w:t>
            </w:r>
          </w:p>
        </w:tc>
      </w:tr>
      <w:tr w14:paraId="38DE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61" w:type="dxa"/>
            <w:gridSpan w:val="3"/>
            <w:vAlign w:val="center"/>
          </w:tcPr>
          <w:p w14:paraId="3D36AEA2">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tc>
      </w:tr>
      <w:tr w14:paraId="7346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7" w:type="dxa"/>
            <w:vAlign w:val="center"/>
          </w:tcPr>
          <w:p w14:paraId="060F70C8">
            <w:pPr>
              <w:shd w:val="clear"/>
              <w:wordWrap w:val="0"/>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技术响应程度</w:t>
            </w:r>
          </w:p>
        </w:tc>
        <w:tc>
          <w:tcPr>
            <w:tcW w:w="654" w:type="dxa"/>
            <w:vAlign w:val="center"/>
          </w:tcPr>
          <w:p w14:paraId="6A90A611">
            <w:pPr>
              <w:shd w:val="clear"/>
              <w:wordWrap w:val="0"/>
              <w:adjustRightInd w:val="0"/>
              <w:snapToGrid w:val="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p>
        </w:tc>
        <w:tc>
          <w:tcPr>
            <w:tcW w:w="7440" w:type="dxa"/>
            <w:vAlign w:val="center"/>
          </w:tcPr>
          <w:p w14:paraId="14754728">
            <w:pPr>
              <w:shd w:val="clear"/>
              <w:wordWrap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rPr>
              <w:t>【客观分】</w:t>
            </w:r>
          </w:p>
          <w:p w14:paraId="69FCEBA7">
            <w:pPr>
              <w:shd w:val="clea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不符合（负偏离）技术要求中标注“★”条款（不可偏离）的响应无效；满足采购文件明确的全部技术条款（第三章 招标项目要求 四、技术要求3.需满足的质量、安全、技术规格、物理特性等要求）要求的该项得满分；</w:t>
            </w:r>
          </w:p>
          <w:p w14:paraId="0D3E71E5">
            <w:pPr>
              <w:shd w:val="clear"/>
              <w:wordWrap w:val="0"/>
              <w:adjustRightInd w:val="0"/>
              <w:snapToGrid w:val="0"/>
              <w:rPr>
                <w:rFonts w:hint="eastAsia" w:ascii="宋体" w:hAnsi="宋体" w:cs="宋体"/>
                <w:b/>
                <w:bCs/>
                <w:color w:val="auto"/>
                <w:szCs w:val="21"/>
                <w:highlight w:val="none"/>
              </w:rPr>
            </w:pPr>
            <w:r>
              <w:rPr>
                <w:rFonts w:hint="eastAsia" w:ascii="宋体" w:hAnsi="宋体" w:cs="宋体"/>
                <w:color w:val="auto"/>
                <w:szCs w:val="21"/>
                <w:highlight w:val="none"/>
              </w:rPr>
              <w:t>技术条款低于技术要求（负偏离）的，标注“▲”的每项扣2分；未标注“▲”的每项扣0.5分，扣完为止。</w:t>
            </w:r>
          </w:p>
          <w:p w14:paraId="3447BEA2">
            <w:pPr>
              <w:shd w:val="clear"/>
              <w:wordWrap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rPr>
              <w:t>说明：</w:t>
            </w:r>
          </w:p>
          <w:p w14:paraId="5EF9FE09">
            <w:pPr>
              <w:shd w:val="clear"/>
              <w:wordWrap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rPr>
              <w:t>1、与技术方案中相关材料不一致（低于技术要求）以相关佐证材料为准并可视为负偏离。</w:t>
            </w:r>
          </w:p>
          <w:p w14:paraId="0711C145">
            <w:pPr>
              <w:shd w:val="clear"/>
              <w:wordWrap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rPr>
              <w:t>2.演示内容除外，最小级序号为1项</w:t>
            </w:r>
          </w:p>
        </w:tc>
      </w:tr>
      <w:tr w14:paraId="4EA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767" w:type="dxa"/>
            <w:vMerge w:val="restart"/>
            <w:tcBorders>
              <w:top w:val="single" w:color="auto" w:sz="4" w:space="0"/>
              <w:left w:val="single" w:color="auto" w:sz="4" w:space="0"/>
              <w:right w:val="single" w:color="auto" w:sz="4" w:space="0"/>
            </w:tcBorders>
            <w:vAlign w:val="center"/>
          </w:tcPr>
          <w:p w14:paraId="651152D7">
            <w:pPr>
              <w:shd w:val="clear"/>
              <w:jc w:val="center"/>
              <w:rPr>
                <w:rFonts w:hint="eastAsia" w:ascii="宋体" w:hAnsi="宋体" w:cs="宋体"/>
                <w:color w:val="auto"/>
                <w:szCs w:val="21"/>
                <w:highlight w:val="none"/>
                <w:lang w:bidi="ar"/>
              </w:rPr>
            </w:pPr>
            <w:r>
              <w:rPr>
                <w:rFonts w:hint="eastAsia" w:ascii="宋体" w:hAnsi="宋体" w:cs="宋体"/>
                <w:b/>
                <w:bCs/>
                <w:color w:val="auto"/>
                <w:szCs w:val="21"/>
                <w:highlight w:val="none"/>
              </w:rPr>
              <w:t>技术方案</w:t>
            </w:r>
          </w:p>
        </w:tc>
        <w:tc>
          <w:tcPr>
            <w:tcW w:w="654" w:type="dxa"/>
            <w:tcBorders>
              <w:top w:val="single" w:color="auto" w:sz="4" w:space="0"/>
              <w:left w:val="single" w:color="auto" w:sz="4" w:space="0"/>
              <w:right w:val="single" w:color="auto" w:sz="4" w:space="0"/>
            </w:tcBorders>
            <w:vAlign w:val="center"/>
          </w:tcPr>
          <w:p w14:paraId="6B3E70B0">
            <w:pPr>
              <w:shd w:val="clear"/>
              <w:jc w:val="center"/>
              <w:rPr>
                <w:rFonts w:hint="eastAsia" w:ascii="宋体" w:hAnsi="宋体" w:cs="宋体"/>
                <w:color w:val="auto"/>
                <w:szCs w:val="21"/>
                <w:highlight w:val="none"/>
                <w:lang w:bidi="ar"/>
              </w:rPr>
            </w:pPr>
            <w:r>
              <w:rPr>
                <w:rFonts w:hint="eastAsia" w:ascii="宋体" w:hAnsi="宋体" w:cs="宋体"/>
                <w:b/>
                <w:bCs/>
                <w:color w:val="auto"/>
                <w:szCs w:val="21"/>
                <w:highlight w:val="none"/>
              </w:rPr>
              <w:t>8</w:t>
            </w:r>
          </w:p>
        </w:tc>
        <w:tc>
          <w:tcPr>
            <w:tcW w:w="7440" w:type="dxa"/>
            <w:tcBorders>
              <w:top w:val="single" w:color="auto" w:sz="4" w:space="0"/>
              <w:left w:val="single" w:color="auto" w:sz="4" w:space="0"/>
              <w:bottom w:val="single" w:color="auto" w:sz="4" w:space="0"/>
              <w:right w:val="single" w:color="auto" w:sz="4" w:space="0"/>
            </w:tcBorders>
            <w:vAlign w:val="center"/>
          </w:tcPr>
          <w:p w14:paraId="4992EBF3">
            <w:pPr>
              <w:shd w:val="clear"/>
              <w:adjustRightInd w:val="0"/>
              <w:textAlignment w:val="center"/>
              <w:rPr>
                <w:rFonts w:hint="eastAsia" w:ascii="宋体" w:hAnsi="宋体" w:cs="宋体"/>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根据投标人提供的本项目整体技术方案（包括组织实施方案、整体工作流程、进度安排等）的完整合理性、专业性，个性化优势进行综合评分</w:t>
            </w:r>
          </w:p>
          <w:p w14:paraId="7286E9F8">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（1）组织实施方案；</w:t>
            </w:r>
            <w:r>
              <w:rPr>
                <w:rFonts w:hint="eastAsia" w:ascii="宋体" w:hAnsi="宋体" w:cs="宋体"/>
                <w:b/>
                <w:bCs/>
                <w:color w:val="auto"/>
                <w:szCs w:val="21"/>
                <w:highlight w:val="none"/>
              </w:rPr>
              <w:t>（评分范围：2分，1.8分，1.5分，1分，0.5分，0分）</w:t>
            </w:r>
          </w:p>
          <w:p w14:paraId="6F78A826">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（2）整体工作流程；</w:t>
            </w:r>
            <w:r>
              <w:rPr>
                <w:rFonts w:hint="eastAsia" w:ascii="宋体" w:hAnsi="宋体" w:cs="宋体"/>
                <w:b/>
                <w:bCs/>
                <w:color w:val="auto"/>
                <w:szCs w:val="21"/>
                <w:highlight w:val="none"/>
              </w:rPr>
              <w:t>（评分范围：2分，1.8分，1.5分，1分，0.5分，0分）</w:t>
            </w:r>
          </w:p>
          <w:p w14:paraId="20872317">
            <w:pPr>
              <w:shd w:val="clear"/>
              <w:adjustRightInd w:val="0"/>
              <w:textAlignment w:val="center"/>
              <w:rPr>
                <w:rFonts w:hint="eastAsia" w:ascii="宋体" w:hAnsi="宋体" w:cs="宋体"/>
                <w:b/>
                <w:bCs/>
                <w:color w:val="auto"/>
                <w:szCs w:val="21"/>
                <w:highlight w:val="none"/>
              </w:rPr>
            </w:pPr>
            <w:r>
              <w:rPr>
                <w:rFonts w:hint="eastAsia" w:ascii="宋体" w:hAnsi="宋体" w:cs="宋体"/>
                <w:color w:val="auto"/>
                <w:szCs w:val="21"/>
                <w:highlight w:val="none"/>
              </w:rPr>
              <w:t>（3）进度安排；</w:t>
            </w:r>
            <w:r>
              <w:rPr>
                <w:rFonts w:hint="eastAsia" w:ascii="宋体" w:hAnsi="宋体" w:cs="宋体"/>
                <w:b/>
                <w:bCs/>
                <w:color w:val="auto"/>
                <w:szCs w:val="21"/>
                <w:highlight w:val="none"/>
              </w:rPr>
              <w:t>（评分范围：2分，1.8分，1.5分，1分，0.5分，0分）</w:t>
            </w:r>
          </w:p>
          <w:p w14:paraId="7E72D86B">
            <w:pPr>
              <w:shd w:val="clear"/>
              <w:adjustRightInd w:val="0"/>
              <w:textAlignment w:val="center"/>
              <w:rPr>
                <w:rFonts w:hint="eastAsia" w:ascii="宋体" w:hAnsi="宋体" w:cs="宋体"/>
                <w:b/>
                <w:bCs/>
                <w:color w:val="auto"/>
                <w:szCs w:val="21"/>
                <w:highlight w:val="none"/>
              </w:rPr>
            </w:pPr>
            <w:r>
              <w:rPr>
                <w:rFonts w:hint="eastAsia" w:ascii="宋体" w:hAnsi="宋体" w:cs="宋体"/>
                <w:b w:val="0"/>
                <w:bCs w:val="0"/>
                <w:color w:val="auto"/>
                <w:szCs w:val="21"/>
                <w:highlight w:val="none"/>
              </w:rPr>
              <w:t>（4）试运行方案。</w:t>
            </w:r>
            <w:r>
              <w:rPr>
                <w:rFonts w:hint="eastAsia" w:ascii="宋体" w:hAnsi="宋体" w:cs="宋体"/>
                <w:b/>
                <w:bCs/>
                <w:color w:val="auto"/>
                <w:szCs w:val="21"/>
                <w:highlight w:val="none"/>
              </w:rPr>
              <w:t>（评分范围：2分，1.8分，1.5分，1分，0.5分，0分）</w:t>
            </w:r>
          </w:p>
        </w:tc>
      </w:tr>
      <w:tr w14:paraId="0316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767" w:type="dxa"/>
            <w:vMerge w:val="continue"/>
            <w:tcBorders>
              <w:left w:val="single" w:color="auto" w:sz="4" w:space="0"/>
              <w:right w:val="single" w:color="auto" w:sz="4" w:space="0"/>
            </w:tcBorders>
            <w:vAlign w:val="center"/>
          </w:tcPr>
          <w:p w14:paraId="783EF3FD">
            <w:pPr>
              <w:shd w:val="clear"/>
              <w:jc w:val="center"/>
              <w:rPr>
                <w:rFonts w:hint="eastAsia" w:ascii="宋体" w:hAnsi="宋体" w:cs="宋体"/>
                <w:color w:val="auto"/>
                <w:szCs w:val="21"/>
                <w:highlight w:val="none"/>
                <w:lang w:bidi="ar"/>
              </w:rPr>
            </w:pPr>
          </w:p>
        </w:tc>
        <w:tc>
          <w:tcPr>
            <w:tcW w:w="654" w:type="dxa"/>
            <w:tcBorders>
              <w:top w:val="single" w:color="auto" w:sz="4" w:space="0"/>
              <w:left w:val="single" w:color="auto" w:sz="4" w:space="0"/>
              <w:right w:val="single" w:color="auto" w:sz="4" w:space="0"/>
            </w:tcBorders>
            <w:vAlign w:val="center"/>
          </w:tcPr>
          <w:p w14:paraId="2541CBC8">
            <w:pPr>
              <w:shd w:val="clear"/>
              <w:jc w:val="center"/>
              <w:rPr>
                <w:rFonts w:hint="eastAsia" w:ascii="宋体" w:hAnsi="宋体" w:cs="宋体"/>
                <w:color w:val="auto"/>
                <w:szCs w:val="21"/>
                <w:highlight w:val="none"/>
                <w:lang w:bidi="ar"/>
              </w:rPr>
            </w:pPr>
            <w:r>
              <w:rPr>
                <w:rFonts w:hint="eastAsia" w:ascii="宋体" w:hAnsi="宋体" w:cs="宋体"/>
                <w:b/>
                <w:bCs/>
                <w:color w:val="auto"/>
                <w:szCs w:val="21"/>
                <w:highlight w:val="none"/>
              </w:rPr>
              <w:t>11</w:t>
            </w:r>
          </w:p>
        </w:tc>
        <w:tc>
          <w:tcPr>
            <w:tcW w:w="7440" w:type="dxa"/>
            <w:tcBorders>
              <w:top w:val="single" w:color="auto" w:sz="4" w:space="0"/>
              <w:left w:val="single" w:color="auto" w:sz="4" w:space="0"/>
              <w:bottom w:val="single" w:color="auto" w:sz="4" w:space="0"/>
              <w:right w:val="single" w:color="auto" w:sz="4" w:space="0"/>
            </w:tcBorders>
            <w:vAlign w:val="center"/>
          </w:tcPr>
          <w:p w14:paraId="0EB1CE12">
            <w:pPr>
              <w:shd w:val="clear"/>
              <w:adjustRightInd w:val="0"/>
              <w:textAlignment w:val="center"/>
              <w:rPr>
                <w:rFonts w:hint="eastAsia" w:ascii="宋体" w:hAnsi="宋体" w:cs="宋体"/>
                <w:color w:val="auto"/>
                <w:szCs w:val="21"/>
                <w:highlight w:val="none"/>
              </w:rPr>
            </w:pPr>
            <w:r>
              <w:rPr>
                <w:rFonts w:hint="eastAsia" w:ascii="宋体" w:hAnsi="宋体" w:cs="宋体"/>
                <w:b/>
                <w:bCs/>
                <w:color w:val="auto"/>
                <w:szCs w:val="21"/>
                <w:highlight w:val="none"/>
              </w:rPr>
              <w:t>【主观分】</w:t>
            </w:r>
            <w:r>
              <w:rPr>
                <w:rFonts w:hint="eastAsia" w:ascii="宋体" w:hAnsi="宋体" w:cs="宋体"/>
                <w:color w:val="auto"/>
                <w:szCs w:val="21"/>
                <w:highlight w:val="none"/>
              </w:rPr>
              <w:t>根据投标人提供的平台模块运行方案：</w:t>
            </w:r>
            <w:r>
              <w:rPr>
                <w:rFonts w:hint="eastAsia" w:ascii="宋体" w:hAnsi="宋体" w:cs="宋体"/>
                <w:color w:val="auto"/>
                <w:kern w:val="0"/>
                <w:szCs w:val="21"/>
                <w:highlight w:val="none"/>
                <w:lang w:bidi="ar"/>
              </w:rPr>
              <w:t>专业、规范、全面、针对采购需求及实际特点、有利于采购标的实现及合同履约进行综合评分。</w:t>
            </w:r>
          </w:p>
          <w:p w14:paraId="62DACEC5">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（1）大模型底座</w:t>
            </w:r>
            <w:r>
              <w:rPr>
                <w:rFonts w:hint="eastAsia" w:ascii="宋体" w:hAnsi="宋体" w:cs="宋体"/>
                <w:b/>
                <w:bCs/>
                <w:color w:val="auto"/>
                <w:szCs w:val="21"/>
                <w:highlight w:val="none"/>
              </w:rPr>
              <w:t>（评分范围：1分，0.8分，0.5分，0分）</w:t>
            </w:r>
          </w:p>
          <w:p w14:paraId="510C5AAA">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（2）流失风险监测</w:t>
            </w:r>
            <w:r>
              <w:rPr>
                <w:rFonts w:hint="eastAsia" w:ascii="宋体" w:hAnsi="宋体" w:cs="宋体"/>
                <w:b/>
                <w:bCs/>
                <w:color w:val="auto"/>
                <w:szCs w:val="21"/>
                <w:highlight w:val="none"/>
              </w:rPr>
              <w:t>（评分范围：1分，0.8分，0.5分，0分）</w:t>
            </w:r>
          </w:p>
          <w:p w14:paraId="65D858B2">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（3）分发患者召回</w:t>
            </w:r>
            <w:r>
              <w:rPr>
                <w:rFonts w:hint="eastAsia" w:ascii="宋体" w:hAnsi="宋体" w:cs="宋体"/>
                <w:b/>
                <w:bCs/>
                <w:color w:val="auto"/>
                <w:szCs w:val="21"/>
                <w:highlight w:val="none"/>
              </w:rPr>
              <w:t>（评分范围：1分，0.8分，0.5分，0分）</w:t>
            </w:r>
          </w:p>
          <w:p w14:paraId="3873D376">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（4）纳管患者追踪</w:t>
            </w:r>
            <w:r>
              <w:rPr>
                <w:rFonts w:hint="eastAsia" w:ascii="宋体" w:hAnsi="宋体" w:cs="宋体"/>
                <w:b/>
                <w:bCs/>
                <w:color w:val="auto"/>
                <w:szCs w:val="21"/>
                <w:highlight w:val="none"/>
              </w:rPr>
              <w:t>（评分范围：1分，0.8分，0.5分，0分）</w:t>
            </w:r>
          </w:p>
          <w:p w14:paraId="4D7D4A8C">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（5）任务处理中心</w:t>
            </w:r>
            <w:r>
              <w:rPr>
                <w:rFonts w:hint="eastAsia" w:ascii="宋体" w:hAnsi="宋体" w:cs="宋体"/>
                <w:b/>
                <w:bCs/>
                <w:color w:val="auto"/>
                <w:szCs w:val="21"/>
                <w:highlight w:val="none"/>
              </w:rPr>
              <w:t>（评分范围：1分，0.8分，0.5分，0分）</w:t>
            </w:r>
          </w:p>
          <w:p w14:paraId="43B8AAD7">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（6）科室召回管理</w:t>
            </w:r>
            <w:r>
              <w:rPr>
                <w:rFonts w:hint="eastAsia" w:ascii="宋体" w:hAnsi="宋体" w:cs="宋体"/>
                <w:b/>
                <w:bCs/>
                <w:color w:val="auto"/>
                <w:szCs w:val="21"/>
                <w:highlight w:val="none"/>
              </w:rPr>
              <w:t>（评分范围：1分，0.8分，0.5分，0分）</w:t>
            </w:r>
          </w:p>
          <w:p w14:paraId="4D60473F">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（7）规则制定与管理</w:t>
            </w:r>
            <w:r>
              <w:rPr>
                <w:rFonts w:hint="eastAsia" w:ascii="宋体" w:hAnsi="宋体" w:cs="宋体"/>
                <w:b/>
                <w:bCs/>
                <w:color w:val="auto"/>
                <w:szCs w:val="21"/>
                <w:highlight w:val="none"/>
              </w:rPr>
              <w:t>（评分范围：1分，0.8分，0.5分，0分）</w:t>
            </w:r>
          </w:p>
          <w:p w14:paraId="12C90247">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（8）钉钉管理</w:t>
            </w:r>
            <w:r>
              <w:rPr>
                <w:rFonts w:hint="eastAsia" w:ascii="宋体" w:hAnsi="宋体" w:cs="宋体"/>
                <w:b/>
                <w:bCs/>
                <w:color w:val="auto"/>
                <w:szCs w:val="21"/>
                <w:highlight w:val="none"/>
              </w:rPr>
              <w:t>（评分范围：1分，0.8分，0.5分，0分）</w:t>
            </w:r>
          </w:p>
          <w:p w14:paraId="263BDC3D">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（9）审核分发中心</w:t>
            </w:r>
            <w:r>
              <w:rPr>
                <w:rFonts w:hint="eastAsia" w:ascii="宋体" w:hAnsi="宋体" w:cs="宋体"/>
                <w:b/>
                <w:bCs/>
                <w:color w:val="auto"/>
                <w:szCs w:val="21"/>
                <w:highlight w:val="none"/>
              </w:rPr>
              <w:t>（评分范围：1分，0.8分，0.5分，0分）</w:t>
            </w:r>
          </w:p>
          <w:p w14:paraId="1F647F25">
            <w:pPr>
              <w:shd w:val="clear"/>
              <w:adjustRightInd w:val="0"/>
              <w:textAlignment w:val="center"/>
              <w:rPr>
                <w:rFonts w:hint="eastAsia" w:ascii="宋体" w:hAnsi="宋体" w:cs="宋体"/>
                <w:color w:val="auto"/>
                <w:szCs w:val="21"/>
                <w:highlight w:val="none"/>
              </w:rPr>
            </w:pPr>
            <w:r>
              <w:rPr>
                <w:rFonts w:hint="eastAsia" w:ascii="宋体" w:hAnsi="宋体" w:cs="宋体"/>
                <w:color w:val="auto"/>
                <w:szCs w:val="21"/>
                <w:highlight w:val="none"/>
              </w:rPr>
              <w:t>（10）召回监测与数据统计</w:t>
            </w:r>
            <w:r>
              <w:rPr>
                <w:rFonts w:hint="eastAsia" w:ascii="宋体" w:hAnsi="宋体" w:cs="宋体"/>
                <w:b/>
                <w:bCs/>
                <w:color w:val="auto"/>
                <w:szCs w:val="21"/>
                <w:highlight w:val="none"/>
              </w:rPr>
              <w:t>（评分范围：1分，0.8分，0.5分，0分）</w:t>
            </w:r>
          </w:p>
          <w:p w14:paraId="4E5D89EB">
            <w:pPr>
              <w:shd w:val="clear"/>
              <w:adjustRightInd w:val="0"/>
              <w:textAlignment w:val="center"/>
              <w:rPr>
                <w:rFonts w:hint="eastAsia" w:ascii="宋体" w:hAnsi="宋体" w:cs="宋体"/>
                <w:color w:val="auto"/>
                <w:szCs w:val="21"/>
                <w:highlight w:val="none"/>
                <w:lang w:bidi="ar"/>
              </w:rPr>
            </w:pPr>
            <w:r>
              <w:rPr>
                <w:rFonts w:hint="eastAsia" w:ascii="宋体" w:hAnsi="宋体" w:cs="宋体"/>
                <w:color w:val="auto"/>
                <w:szCs w:val="21"/>
                <w:highlight w:val="none"/>
              </w:rPr>
              <w:t>（11）数据大屏</w:t>
            </w:r>
            <w:r>
              <w:rPr>
                <w:rFonts w:hint="eastAsia" w:ascii="宋体" w:hAnsi="宋体" w:cs="宋体"/>
                <w:b/>
                <w:bCs/>
                <w:color w:val="auto"/>
                <w:szCs w:val="21"/>
                <w:highlight w:val="none"/>
              </w:rPr>
              <w:t>（评分范围：1分，0.8分，0.5分，0分）</w:t>
            </w:r>
          </w:p>
        </w:tc>
      </w:tr>
      <w:tr w14:paraId="6D7B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767" w:type="dxa"/>
            <w:vMerge w:val="continue"/>
            <w:tcBorders>
              <w:left w:val="single" w:color="auto" w:sz="4" w:space="0"/>
              <w:right w:val="single" w:color="auto" w:sz="4" w:space="0"/>
            </w:tcBorders>
            <w:vAlign w:val="center"/>
          </w:tcPr>
          <w:p w14:paraId="516EED7B">
            <w:pPr>
              <w:shd w:val="clear"/>
              <w:jc w:val="center"/>
              <w:rPr>
                <w:rFonts w:hint="eastAsia" w:ascii="宋体" w:hAnsi="宋体" w:cs="宋体"/>
                <w:color w:val="auto"/>
                <w:szCs w:val="21"/>
                <w:highlight w:val="none"/>
                <w:lang w:bidi="ar"/>
              </w:rPr>
            </w:pPr>
          </w:p>
        </w:tc>
        <w:tc>
          <w:tcPr>
            <w:tcW w:w="654" w:type="dxa"/>
            <w:tcBorders>
              <w:top w:val="single" w:color="auto" w:sz="4" w:space="0"/>
              <w:left w:val="single" w:color="auto" w:sz="4" w:space="0"/>
              <w:right w:val="single" w:color="auto" w:sz="4" w:space="0"/>
            </w:tcBorders>
            <w:vAlign w:val="center"/>
          </w:tcPr>
          <w:p w14:paraId="21391266">
            <w:pPr>
              <w:shd w:val="clear"/>
              <w:jc w:val="center"/>
              <w:rPr>
                <w:rFonts w:hint="eastAsia" w:ascii="宋体" w:hAnsi="宋体" w:cs="宋体"/>
                <w:color w:val="auto"/>
                <w:szCs w:val="21"/>
                <w:highlight w:val="none"/>
                <w:lang w:bidi="ar"/>
              </w:rPr>
            </w:pPr>
            <w:r>
              <w:rPr>
                <w:rFonts w:hint="eastAsia" w:ascii="宋体" w:hAnsi="宋体" w:cs="宋体"/>
                <w:b/>
                <w:bCs/>
                <w:color w:val="auto"/>
                <w:szCs w:val="21"/>
                <w:highlight w:val="none"/>
              </w:rPr>
              <w:t>2</w:t>
            </w:r>
          </w:p>
        </w:tc>
        <w:tc>
          <w:tcPr>
            <w:tcW w:w="7440" w:type="dxa"/>
            <w:tcBorders>
              <w:top w:val="single" w:color="auto" w:sz="4" w:space="0"/>
              <w:left w:val="single" w:color="auto" w:sz="4" w:space="0"/>
              <w:bottom w:val="single" w:color="auto" w:sz="4" w:space="0"/>
              <w:right w:val="single" w:color="auto" w:sz="4" w:space="0"/>
            </w:tcBorders>
            <w:vAlign w:val="center"/>
          </w:tcPr>
          <w:p w14:paraId="00DA1BFF">
            <w:pPr>
              <w:shd w:val="clear"/>
              <w:adjustRightInd w:val="0"/>
              <w:textAlignment w:val="center"/>
              <w:rPr>
                <w:rFonts w:hint="eastAsia" w:ascii="宋体" w:hAnsi="宋体" w:cs="宋体"/>
                <w:color w:val="auto"/>
                <w:szCs w:val="21"/>
                <w:highlight w:val="none"/>
                <w:lang w:bidi="ar"/>
              </w:rPr>
            </w:pPr>
            <w:r>
              <w:rPr>
                <w:rFonts w:hint="eastAsia" w:ascii="宋体" w:hAnsi="宋体" w:cs="宋体"/>
                <w:b/>
                <w:bCs/>
                <w:color w:val="auto"/>
                <w:szCs w:val="21"/>
                <w:highlight w:val="none"/>
              </w:rPr>
              <w:t>【主观分】</w:t>
            </w:r>
            <w:r>
              <w:rPr>
                <w:rFonts w:hint="eastAsia" w:ascii="宋体" w:hAnsi="宋体" w:cs="宋体"/>
                <w:color w:val="auto"/>
                <w:szCs w:val="21"/>
                <w:highlight w:val="none"/>
              </w:rPr>
              <w:t>根据投标人提供的项目管理制度（包括质量管理制度、人员管理制度等）：</w:t>
            </w:r>
            <w:r>
              <w:rPr>
                <w:rFonts w:hint="eastAsia" w:ascii="宋体" w:hAnsi="宋体" w:cs="宋体"/>
                <w:color w:val="auto"/>
                <w:kern w:val="0"/>
                <w:szCs w:val="21"/>
                <w:highlight w:val="none"/>
                <w:lang w:bidi="ar"/>
              </w:rPr>
              <w:t>专业、规范、全面、针对采购需求及实际特点、有利于采购标的实现及合同履约进行综合评分。</w:t>
            </w:r>
            <w:r>
              <w:rPr>
                <w:rFonts w:hint="eastAsia" w:ascii="宋体" w:hAnsi="宋体" w:cs="宋体"/>
                <w:b/>
                <w:bCs/>
                <w:color w:val="auto"/>
                <w:szCs w:val="21"/>
                <w:highlight w:val="none"/>
              </w:rPr>
              <w:t>（评分范围：2分，1.8分，1.5分，1分，0.5分，0分）</w:t>
            </w:r>
          </w:p>
        </w:tc>
      </w:tr>
      <w:tr w14:paraId="540A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1767" w:type="dxa"/>
            <w:tcBorders>
              <w:top w:val="single" w:color="auto" w:sz="4" w:space="0"/>
              <w:left w:val="single" w:color="auto" w:sz="4" w:space="0"/>
              <w:right w:val="single" w:color="auto" w:sz="4" w:space="0"/>
            </w:tcBorders>
            <w:vAlign w:val="center"/>
          </w:tcPr>
          <w:p w14:paraId="721739C3">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szCs w:val="21"/>
                <w:highlight w:val="none"/>
              </w:rPr>
              <w:t>售后服务方案</w:t>
            </w:r>
          </w:p>
        </w:tc>
        <w:tc>
          <w:tcPr>
            <w:tcW w:w="654" w:type="dxa"/>
            <w:tcBorders>
              <w:top w:val="single" w:color="auto" w:sz="4" w:space="0"/>
              <w:left w:val="single" w:color="auto" w:sz="4" w:space="0"/>
              <w:right w:val="single" w:color="auto" w:sz="4" w:space="0"/>
            </w:tcBorders>
            <w:vAlign w:val="center"/>
          </w:tcPr>
          <w:p w14:paraId="09A73C5B">
            <w:pPr>
              <w:widowControl/>
              <w:shd w:val="clear"/>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szCs w:val="21"/>
                <w:highlight w:val="none"/>
              </w:rPr>
              <w:t>2</w:t>
            </w:r>
          </w:p>
        </w:tc>
        <w:tc>
          <w:tcPr>
            <w:tcW w:w="7440" w:type="dxa"/>
            <w:tcBorders>
              <w:top w:val="single" w:color="auto" w:sz="4" w:space="0"/>
              <w:left w:val="single" w:color="auto" w:sz="4" w:space="0"/>
              <w:bottom w:val="single" w:color="auto" w:sz="4" w:space="0"/>
              <w:right w:val="single" w:color="auto" w:sz="4" w:space="0"/>
            </w:tcBorders>
          </w:tcPr>
          <w:p w14:paraId="3ABCA525">
            <w:pPr>
              <w:widowControl/>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099F170E">
            <w:pPr>
              <w:shd w:val="clear"/>
              <w:wordWrap w:val="0"/>
              <w:rPr>
                <w:rFonts w:hint="eastAsia" w:ascii="宋体" w:hAnsi="宋体" w:cs="宋体"/>
                <w:color w:val="auto"/>
                <w:szCs w:val="21"/>
                <w:highlight w:val="none"/>
                <w:lang w:bidi="ar"/>
              </w:rPr>
            </w:pPr>
            <w:r>
              <w:rPr>
                <w:rFonts w:hint="eastAsia" w:ascii="宋体" w:hAnsi="宋体" w:cs="宋体"/>
                <w:color w:val="auto"/>
                <w:szCs w:val="21"/>
                <w:highlight w:val="none"/>
              </w:rPr>
              <w:t>根据投标人或产品制造商提供的</w:t>
            </w:r>
            <w:r>
              <w:rPr>
                <w:rFonts w:hint="eastAsia" w:ascii="宋体" w:hAnsi="宋体" w:cs="宋体"/>
                <w:color w:val="auto"/>
                <w:szCs w:val="21"/>
                <w:highlight w:val="none"/>
              </w:rPr>
              <w:t>售后服务方案：免费维护期内服务内容[定期走访或远程维护时间区间、周期和详细规划（方式、人员、维护内容）、重大事项及时响应（不同响应级别人员、时间、内容）、服务请求方式（即时和非即时）、服务请求流程]、重大事项及时响应（不同响应级别人员、时间、内容、费用）]、运行服务档案、用户投诉受理等</w:t>
            </w:r>
            <w:r>
              <w:rPr>
                <w:rFonts w:hint="eastAsia" w:ascii="宋体" w:hAnsi="宋体" w:cs="宋体"/>
                <w:color w:val="auto"/>
                <w:szCs w:val="21"/>
                <w:highlight w:val="none"/>
                <w:lang w:bidi="ar"/>
              </w:rPr>
              <w:t>的完整性、可行性、详细性、针对采购需求及实际特点、有利于采购标的实现及合同履约等进行综合评分</w:t>
            </w:r>
            <w:r>
              <w:rPr>
                <w:rFonts w:hint="eastAsia" w:ascii="宋体" w:hAnsi="宋体" w:cs="宋体"/>
                <w:color w:val="auto"/>
                <w:szCs w:val="21"/>
                <w:highlight w:val="none"/>
              </w:rPr>
              <w:t>。</w:t>
            </w:r>
            <w:r>
              <w:rPr>
                <w:rFonts w:hint="eastAsia" w:ascii="宋体" w:hAnsi="宋体" w:cs="宋体"/>
                <w:b/>
                <w:bCs/>
                <w:color w:val="auto"/>
                <w:szCs w:val="21"/>
                <w:highlight w:val="none"/>
              </w:rPr>
              <w:t>（评分范围：2分，1.8分，1.5分，1分，0.5分，0分）</w:t>
            </w:r>
          </w:p>
        </w:tc>
      </w:tr>
      <w:tr w14:paraId="7681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7" w:type="dxa"/>
            <w:tcBorders>
              <w:top w:val="single" w:color="auto" w:sz="4" w:space="0"/>
              <w:left w:val="single" w:color="auto" w:sz="4" w:space="0"/>
              <w:right w:val="single" w:color="auto" w:sz="4" w:space="0"/>
            </w:tcBorders>
            <w:vAlign w:val="center"/>
          </w:tcPr>
          <w:p w14:paraId="24896818">
            <w:pPr>
              <w:shd w:val="clear"/>
              <w:wordWrap w:val="0"/>
              <w:jc w:val="center"/>
              <w:rPr>
                <w:rFonts w:hint="eastAsia" w:ascii="宋体" w:hAnsi="宋体" w:cs="宋体"/>
                <w:b/>
                <w:bCs/>
                <w:color w:val="auto"/>
                <w:kern w:val="0"/>
                <w:szCs w:val="21"/>
                <w:highlight w:val="none"/>
                <w:lang w:bidi="ar"/>
              </w:rPr>
            </w:pPr>
            <w:r>
              <w:rPr>
                <w:rFonts w:hint="eastAsia" w:ascii="宋体" w:hAnsi="宋体" w:cs="宋体"/>
                <w:b/>
                <w:bCs/>
                <w:color w:val="auto"/>
                <w:szCs w:val="21"/>
                <w:highlight w:val="none"/>
              </w:rPr>
              <w:t>培训方案</w:t>
            </w:r>
          </w:p>
        </w:tc>
        <w:tc>
          <w:tcPr>
            <w:tcW w:w="654" w:type="dxa"/>
            <w:tcBorders>
              <w:top w:val="single" w:color="auto" w:sz="4" w:space="0"/>
              <w:left w:val="single" w:color="auto" w:sz="4" w:space="0"/>
              <w:right w:val="single" w:color="auto" w:sz="4" w:space="0"/>
            </w:tcBorders>
            <w:vAlign w:val="center"/>
          </w:tcPr>
          <w:p w14:paraId="35DC26D5">
            <w:pPr>
              <w:shd w:val="clear"/>
              <w:wordWrap w:val="0"/>
              <w:jc w:val="center"/>
              <w:rPr>
                <w:rFonts w:hint="eastAsia" w:ascii="宋体" w:hAnsi="宋体" w:cs="宋体"/>
                <w:b/>
                <w:bCs/>
                <w:color w:val="auto"/>
                <w:kern w:val="0"/>
                <w:szCs w:val="21"/>
                <w:highlight w:val="none"/>
                <w:lang w:bidi="ar"/>
              </w:rPr>
            </w:pPr>
            <w:r>
              <w:rPr>
                <w:rFonts w:hint="eastAsia" w:ascii="宋体" w:hAnsi="宋体" w:cs="宋体"/>
                <w:b/>
                <w:bCs/>
                <w:color w:val="auto"/>
                <w:szCs w:val="21"/>
                <w:highlight w:val="none"/>
              </w:rPr>
              <w:t>2</w:t>
            </w:r>
          </w:p>
        </w:tc>
        <w:tc>
          <w:tcPr>
            <w:tcW w:w="7440" w:type="dxa"/>
            <w:tcBorders>
              <w:top w:val="single" w:color="auto" w:sz="4" w:space="0"/>
              <w:left w:val="single" w:color="auto" w:sz="4" w:space="0"/>
              <w:bottom w:val="single" w:color="auto" w:sz="4" w:space="0"/>
              <w:right w:val="single" w:color="auto" w:sz="4" w:space="0"/>
            </w:tcBorders>
            <w:vAlign w:val="center"/>
          </w:tcPr>
          <w:p w14:paraId="7B2999B5">
            <w:pPr>
              <w:shd w:val="clear"/>
              <w:wordWrap w:val="0"/>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12524F58">
            <w:pPr>
              <w:shd w:val="clear"/>
              <w:wordWrap w:val="0"/>
              <w:rPr>
                <w:rFonts w:hint="eastAsia" w:ascii="宋体" w:hAnsi="宋体" w:cs="宋体"/>
                <w:b/>
                <w:bCs/>
                <w:color w:val="auto"/>
                <w:szCs w:val="21"/>
                <w:highlight w:val="none"/>
                <w:lang w:bidi="ar"/>
              </w:rPr>
            </w:pPr>
            <w:r>
              <w:rPr>
                <w:rFonts w:hint="eastAsia" w:ascii="宋体" w:hAnsi="宋体" w:cs="宋体"/>
                <w:color w:val="auto"/>
                <w:szCs w:val="21"/>
                <w:highlight w:val="none"/>
              </w:rPr>
              <w:t>根据投标人或产品制造商提供的</w:t>
            </w:r>
            <w:r>
              <w:rPr>
                <w:rFonts w:hint="eastAsia" w:ascii="宋体" w:hAnsi="宋体" w:cs="宋体"/>
                <w:color w:val="auto"/>
                <w:szCs w:val="21"/>
                <w:highlight w:val="none"/>
              </w:rPr>
              <w:t>培训方案（</w:t>
            </w:r>
            <w:r>
              <w:rPr>
                <w:rFonts w:hint="eastAsia" w:ascii="宋体" w:hAnsi="宋体" w:cs="宋体"/>
                <w:color w:val="auto"/>
                <w:szCs w:val="21"/>
                <w:highlight w:val="none"/>
                <w:lang w:bidi="ar"/>
              </w:rPr>
              <w:t>包括但不限于</w:t>
            </w:r>
            <w:r>
              <w:rPr>
                <w:rFonts w:hint="eastAsia" w:ascii="宋体" w:hAnsi="宋体" w:cs="宋体"/>
                <w:color w:val="auto"/>
                <w:szCs w:val="21"/>
                <w:highlight w:val="none"/>
              </w:rPr>
              <w:t>培训内容、培训频次、培训目标、培训形式）</w:t>
            </w:r>
            <w:r>
              <w:rPr>
                <w:rFonts w:hint="eastAsia" w:ascii="宋体" w:hAnsi="宋体" w:cs="宋体"/>
                <w:color w:val="auto"/>
                <w:szCs w:val="21"/>
                <w:highlight w:val="none"/>
                <w:lang w:bidi="ar"/>
              </w:rPr>
              <w:t>的</w:t>
            </w:r>
            <w:r>
              <w:rPr>
                <w:rFonts w:hint="eastAsia" w:ascii="宋体" w:hAnsi="宋体" w:cs="宋体"/>
                <w:color w:val="auto"/>
                <w:szCs w:val="21"/>
                <w:highlight w:val="none"/>
              </w:rPr>
              <w:t>专业、全面、规范、针对采购需求及实际特点</w:t>
            </w:r>
            <w:r>
              <w:rPr>
                <w:rFonts w:hint="eastAsia" w:ascii="宋体" w:hAnsi="宋体" w:cs="宋体"/>
                <w:color w:val="auto"/>
                <w:szCs w:val="21"/>
                <w:highlight w:val="none"/>
                <w:lang w:bidi="ar"/>
              </w:rPr>
              <w:t>等进行综合评分</w:t>
            </w:r>
            <w:r>
              <w:rPr>
                <w:rFonts w:hint="eastAsia" w:ascii="宋体" w:hAnsi="宋体" w:cs="宋体"/>
                <w:color w:val="auto"/>
                <w:szCs w:val="21"/>
                <w:highlight w:val="none"/>
              </w:rPr>
              <w:t>。</w:t>
            </w:r>
            <w:r>
              <w:rPr>
                <w:rFonts w:hint="eastAsia" w:ascii="宋体" w:hAnsi="宋体" w:cs="宋体"/>
                <w:b/>
                <w:bCs/>
                <w:color w:val="auto"/>
                <w:szCs w:val="21"/>
                <w:highlight w:val="none"/>
              </w:rPr>
              <w:t>（评分范围：2分，1.8分，1.5分，1分，0.5分，0分）</w:t>
            </w:r>
          </w:p>
        </w:tc>
      </w:tr>
      <w:tr w14:paraId="6BFC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3AD463C9">
            <w:pPr>
              <w:widowControl/>
              <w:shd w:val="clear"/>
              <w:jc w:val="center"/>
              <w:rPr>
                <w:rFonts w:hint="eastAsia" w:ascii="宋体" w:hAnsi="宋体" w:cs="宋体"/>
                <w:b/>
                <w:bCs/>
                <w:color w:val="auto"/>
                <w:kern w:val="0"/>
                <w:szCs w:val="21"/>
                <w:highlight w:val="none"/>
                <w:lang w:bidi="ar"/>
              </w:rPr>
            </w:pPr>
            <w:r>
              <w:rPr>
                <w:color w:val="auto"/>
                <w:highlight w:val="none"/>
              </w:rPr>
              <w:br w:type="page"/>
            </w:r>
            <w:r>
              <w:rPr>
                <w:rFonts w:hint="eastAsia" w:ascii="宋体" w:hAnsi="宋体" w:cs="宋体"/>
                <w:b/>
                <w:bCs/>
                <w:color w:val="auto"/>
                <w:kern w:val="0"/>
                <w:szCs w:val="21"/>
                <w:highlight w:val="none"/>
                <w:lang w:bidi="ar"/>
              </w:rPr>
              <w:t>演示</w:t>
            </w:r>
          </w:p>
        </w:tc>
        <w:tc>
          <w:tcPr>
            <w:tcW w:w="654" w:type="dxa"/>
            <w:tcBorders>
              <w:top w:val="single" w:color="auto" w:sz="4" w:space="0"/>
              <w:left w:val="single" w:color="auto" w:sz="4" w:space="0"/>
              <w:bottom w:val="single" w:color="auto" w:sz="4" w:space="0"/>
              <w:right w:val="single" w:color="auto" w:sz="4" w:space="0"/>
            </w:tcBorders>
            <w:vAlign w:val="center"/>
          </w:tcPr>
          <w:p w14:paraId="315B7281">
            <w:pPr>
              <w:widowControl/>
              <w:shd w:val="clea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9</w:t>
            </w:r>
          </w:p>
        </w:tc>
        <w:tc>
          <w:tcPr>
            <w:tcW w:w="7440" w:type="dxa"/>
            <w:tcBorders>
              <w:top w:val="single" w:color="auto" w:sz="4" w:space="0"/>
              <w:left w:val="single" w:color="auto" w:sz="4" w:space="0"/>
              <w:bottom w:val="single" w:color="auto" w:sz="4" w:space="0"/>
              <w:right w:val="single" w:color="auto" w:sz="4" w:space="0"/>
            </w:tcBorders>
            <w:vAlign w:val="center"/>
          </w:tcPr>
          <w:p w14:paraId="5375E7FC">
            <w:pPr>
              <w:widowControl/>
              <w:shd w:val="clear"/>
              <w:wordWrap w:val="0"/>
              <w:rPr>
                <w:rFonts w:hint="eastAsia" w:ascii="宋体" w:hAnsi="宋体" w:cs="宋体"/>
                <w:b/>
                <w:bCs/>
                <w:color w:val="auto"/>
                <w:szCs w:val="21"/>
                <w:highlight w:val="none"/>
              </w:rPr>
            </w:pPr>
            <w:r>
              <w:rPr>
                <w:rFonts w:hint="eastAsia" w:ascii="宋体" w:hAnsi="宋体" w:cs="宋体"/>
                <w:b/>
                <w:bCs/>
                <w:color w:val="auto"/>
                <w:szCs w:val="21"/>
                <w:highlight w:val="none"/>
              </w:rPr>
              <w:t>【客观分】</w:t>
            </w:r>
          </w:p>
          <w:p w14:paraId="4798B7B7">
            <w:pPr>
              <w:shd w:val="clear"/>
              <w:snapToGrid w:val="0"/>
              <w:rPr>
                <w:rFonts w:hint="eastAsia" w:ascii="宋体" w:hAnsi="宋体" w:cs="宋体"/>
                <w:b/>
                <w:bCs/>
                <w:color w:val="auto"/>
                <w:szCs w:val="21"/>
                <w:highlight w:val="none"/>
              </w:rPr>
            </w:pPr>
            <w:r>
              <w:rPr>
                <w:rFonts w:hint="eastAsia" w:ascii="宋体" w:hAnsi="宋体" w:cs="宋体"/>
                <w:b/>
                <w:bCs/>
                <w:color w:val="auto"/>
                <w:szCs w:val="21"/>
                <w:highlight w:val="none"/>
              </w:rPr>
              <w:t>（1）任务处理中心（满足要求得3分）</w:t>
            </w:r>
          </w:p>
          <w:p w14:paraId="452B4E2D">
            <w:pPr>
              <w:shd w:val="clear"/>
              <w:snapToGrid w:val="0"/>
              <w:rPr>
                <w:rFonts w:hint="eastAsia" w:ascii="宋体" w:hAnsi="宋体" w:cs="宋体"/>
                <w:color w:val="auto"/>
                <w:szCs w:val="21"/>
                <w:highlight w:val="none"/>
              </w:rPr>
            </w:pPr>
            <w:r>
              <w:rPr>
                <w:rFonts w:hint="eastAsia" w:ascii="宋体" w:hAnsi="宋体" w:cs="宋体"/>
                <w:color w:val="auto"/>
                <w:szCs w:val="21"/>
                <w:highlight w:val="none"/>
              </w:rPr>
              <w:t>患者就诊史列表：系统在专管员交接患者后提示历史处理记录，并按照时间线罗列的患者历次就诊信息，包括就诊日期、诊断结果、就诊科室等，便于筛查专管员全面了解患者的就医历程。</w:t>
            </w:r>
          </w:p>
          <w:p w14:paraId="2A09E07E">
            <w:pPr>
              <w:shd w:val="clear"/>
              <w:snapToGrid w:val="0"/>
              <w:rPr>
                <w:rFonts w:hint="eastAsia" w:ascii="宋体" w:hAnsi="宋体" w:cs="宋体"/>
                <w:b/>
                <w:bCs/>
                <w:color w:val="auto"/>
                <w:szCs w:val="21"/>
                <w:highlight w:val="none"/>
              </w:rPr>
            </w:pPr>
            <w:r>
              <w:rPr>
                <w:rFonts w:hint="eastAsia" w:ascii="宋体" w:hAnsi="宋体" w:cs="宋体"/>
                <w:b/>
                <w:bCs/>
                <w:color w:val="auto"/>
                <w:szCs w:val="21"/>
                <w:highlight w:val="none"/>
              </w:rPr>
              <w:t>（2）科室召回管理（满足要求得3分）</w:t>
            </w:r>
          </w:p>
          <w:p w14:paraId="282D6BC6">
            <w:pPr>
              <w:shd w:val="clear"/>
              <w:snapToGrid w:val="0"/>
              <w:rPr>
                <w:rFonts w:hint="eastAsia" w:ascii="宋体" w:hAnsi="宋体" w:cs="宋体"/>
                <w:color w:val="auto"/>
                <w:szCs w:val="21"/>
                <w:highlight w:val="none"/>
              </w:rPr>
            </w:pPr>
            <w:r>
              <w:rPr>
                <w:rFonts w:hint="eastAsia" w:ascii="宋体" w:hAnsi="宋体" w:cs="宋体"/>
                <w:color w:val="auto"/>
                <w:szCs w:val="21"/>
                <w:highlight w:val="none"/>
              </w:rPr>
              <w:t>患者召回闭环：系统支持易流失患者的闭环管理，支持追踪筛查-分发-审查-通知-收治回院等各节点的操作记录。</w:t>
            </w:r>
          </w:p>
          <w:p w14:paraId="5591B8D0">
            <w:pPr>
              <w:shd w:val="clear"/>
              <w:snapToGrid w:val="0"/>
              <w:rPr>
                <w:rFonts w:hint="eastAsia" w:ascii="宋体" w:hAnsi="宋体" w:cs="宋体"/>
                <w:b/>
                <w:bCs/>
                <w:color w:val="auto"/>
                <w:szCs w:val="21"/>
                <w:highlight w:val="none"/>
              </w:rPr>
            </w:pPr>
            <w:r>
              <w:rPr>
                <w:rFonts w:hint="eastAsia" w:ascii="宋体" w:hAnsi="宋体" w:cs="宋体"/>
                <w:b/>
                <w:bCs/>
                <w:color w:val="auto"/>
                <w:szCs w:val="21"/>
                <w:highlight w:val="none"/>
              </w:rPr>
              <w:t>（3）规则制定与管理（满足要求得3分）</w:t>
            </w:r>
          </w:p>
          <w:p w14:paraId="48610F87">
            <w:pPr>
              <w:shd w:val="clear"/>
              <w:snapToGrid w:val="0"/>
              <w:rPr>
                <w:rFonts w:hint="eastAsia" w:ascii="宋体" w:hAnsi="宋体" w:cs="宋体"/>
                <w:color w:val="auto"/>
                <w:szCs w:val="21"/>
                <w:highlight w:val="none"/>
              </w:rPr>
            </w:pPr>
            <w:r>
              <w:rPr>
                <w:rFonts w:hint="eastAsia" w:ascii="宋体" w:hAnsi="宋体" w:cs="宋体"/>
                <w:color w:val="auto"/>
                <w:szCs w:val="21"/>
                <w:highlight w:val="none"/>
              </w:rPr>
              <w:t>规则分级分管：管理员可以根据科室的定义，设置特定患者标记的级别与需要分发的科室或专家。</w:t>
            </w:r>
          </w:p>
          <w:p w14:paraId="537C7B14">
            <w:pPr>
              <w:widowControl/>
              <w:shd w:val="clear"/>
              <w:wordWrap w:val="0"/>
              <w:rPr>
                <w:rFonts w:hint="eastAsia" w:ascii="宋体" w:hAnsi="宋体" w:cs="宋体"/>
                <w:color w:val="auto"/>
                <w:szCs w:val="21"/>
                <w:highlight w:val="none"/>
                <w:lang w:bidi="ar"/>
              </w:rPr>
            </w:pPr>
            <w:r>
              <w:rPr>
                <w:rFonts w:hint="eastAsia" w:ascii="宋体" w:hAnsi="宋体" w:cs="宋体"/>
                <w:b/>
                <w:color w:val="auto"/>
                <w:szCs w:val="21"/>
                <w:highlight w:val="none"/>
              </w:rPr>
              <w:t>未提供演示内容，或功能需求不符合采购需求的，该项评审不得分。</w:t>
            </w:r>
          </w:p>
        </w:tc>
      </w:tr>
    </w:tbl>
    <w:p w14:paraId="3A19A981">
      <w:pPr>
        <w:pStyle w:val="13"/>
        <w:shd w:val="clear"/>
        <w:spacing w:before="0" w:beforeLines="0" w:after="0" w:afterLines="0" w:line="360" w:lineRule="auto"/>
        <w:ind w:firstLine="422" w:firstLineChars="200"/>
        <w:rPr>
          <w:rFonts w:hint="eastAsia" w:hAnsi="宋体" w:cs="宋体"/>
          <w:b/>
          <w:bCs/>
          <w:color w:val="auto"/>
          <w:sz w:val="21"/>
          <w:szCs w:val="21"/>
          <w:highlight w:val="none"/>
        </w:rPr>
      </w:pPr>
      <w:bookmarkStart w:id="64" w:name="_Hlk81817387"/>
      <w:r>
        <w:rPr>
          <w:rFonts w:hint="eastAsia" w:hAnsi="宋体" w:cs="宋体"/>
          <w:b/>
          <w:bCs/>
          <w:color w:val="auto"/>
          <w:sz w:val="21"/>
          <w:szCs w:val="21"/>
          <w:highlight w:val="none"/>
        </w:rPr>
        <w:t>2.报价响应文件评审</w:t>
      </w:r>
    </w:p>
    <w:p w14:paraId="1001E582">
      <w:pPr>
        <w:pStyle w:val="13"/>
        <w:shd w:val="clear"/>
        <w:spacing w:before="0" w:beforeLines="0" w:after="0" w:afterLines="0" w:line="360" w:lineRule="auto"/>
        <w:ind w:firstLine="422" w:firstLineChars="200"/>
        <w:rPr>
          <w:rFonts w:hint="eastAsia" w:hAnsi="宋体" w:cs="宋体"/>
          <w:b/>
          <w:color w:val="auto"/>
          <w:sz w:val="21"/>
          <w:szCs w:val="21"/>
          <w:highlight w:val="none"/>
        </w:rPr>
      </w:pPr>
      <w:r>
        <w:rPr>
          <w:rFonts w:hint="eastAsia" w:hAnsi="宋体" w:cs="宋体"/>
          <w:b/>
          <w:color w:val="auto"/>
          <w:sz w:val="21"/>
          <w:szCs w:val="21"/>
          <w:highlight w:val="none"/>
        </w:rPr>
        <w:t>2.1甄别异常报价：有下列情况之一的投标报价不进入报价分计算环节：</w:t>
      </w:r>
    </w:p>
    <w:p w14:paraId="0281A921">
      <w:pPr>
        <w:shd w:val="clear"/>
        <w:adjustRightInd w:val="0"/>
        <w:snapToGrid w:val="0"/>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①资格响应、商务技术响应无效单位的投标报价；</w:t>
      </w:r>
    </w:p>
    <w:p w14:paraId="1FDA496F">
      <w:pPr>
        <w:shd w:val="clear"/>
        <w:adjustRightInd w:val="0"/>
        <w:snapToGrid w:val="0"/>
        <w:spacing w:line="360" w:lineRule="auto"/>
        <w:ind w:firstLine="415" w:firstLineChars="198"/>
        <w:rPr>
          <w:rFonts w:hint="eastAsia" w:ascii="宋体" w:hAnsi="宋体" w:cs="宋体"/>
          <w:b/>
          <w:color w:val="auto"/>
          <w:szCs w:val="21"/>
          <w:highlight w:val="none"/>
          <w:shd w:val="pct10" w:color="auto" w:fill="FFFFFF"/>
        </w:rPr>
      </w:pPr>
      <w:r>
        <w:rPr>
          <w:rFonts w:hint="eastAsia" w:ascii="宋体" w:hAnsi="宋体" w:cs="宋体"/>
          <w:color w:val="auto"/>
          <w:szCs w:val="21"/>
          <w:highlight w:val="none"/>
        </w:rPr>
        <w:t>②报价高于预算价；</w:t>
      </w:r>
    </w:p>
    <w:p w14:paraId="78088216">
      <w:pPr>
        <w:shd w:val="clea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③投标报价高于最高限价；</w:t>
      </w:r>
    </w:p>
    <w:p w14:paraId="28AEF696">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22" w:firstLineChars="20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2.2评审中出现下列情形之一的，评标委员会应当启动异常低价投标审查程序：</w:t>
      </w:r>
    </w:p>
    <w:p w14:paraId="0A59A502">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（1）投标报价低于全部通过符合性审查供应商投标报价平均值50%的，即投标报价&lt;全部通过符合性审查供应商投标报价平均值×50%；</w:t>
      </w:r>
    </w:p>
    <w:p w14:paraId="310D03F4">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（2）投标报价低于通过符合性审查的次低报价供应商投标报价50%的，即投标报价&lt;通过符合性审查的次低报价供应商投标报价×50%；</w:t>
      </w:r>
    </w:p>
    <w:p w14:paraId="06BC6E56">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（3）投标报价低于采购项目最高限价45%的，即投标报价&lt;采购项目最高限价×45%；</w:t>
      </w:r>
    </w:p>
    <w:p w14:paraId="3574EBFC">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（4）评标委员会基于专业判断，认为供应商报价过低，有可能影响产品质量或者不能诚信履约的其他情形。</w:t>
      </w:r>
    </w:p>
    <w:p w14:paraId="538C4A2B">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BBB11DF">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0BE70B8">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808FB06">
      <w:pPr>
        <w:shd w:val="clear"/>
        <w:adjustRightInd w:val="0"/>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67EB4C7F">
      <w:pPr>
        <w:shd w:val="clea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报价响应文件详细评审（30分）</w:t>
      </w:r>
    </w:p>
    <w:p w14:paraId="14C170F9">
      <w:pPr>
        <w:shd w:val="clear"/>
        <w:spacing w:line="360" w:lineRule="auto"/>
        <w:ind w:left="283" w:leftChars="135" w:firstLine="105" w:firstLineChars="50"/>
        <w:rPr>
          <w:rFonts w:hint="eastAsia" w:ascii="宋体" w:hAnsi="宋体" w:cs="宋体"/>
          <w:color w:val="auto"/>
          <w:szCs w:val="21"/>
          <w:highlight w:val="none"/>
        </w:rPr>
      </w:pPr>
      <w:r>
        <w:rPr>
          <w:rFonts w:hint="eastAsia" w:ascii="宋体" w:hAnsi="宋体" w:cs="宋体"/>
          <w:color w:val="auto"/>
          <w:szCs w:val="21"/>
          <w:highlight w:val="none"/>
        </w:rPr>
        <w:t>（1）评标基准价以满足招标文件要求且投标价格最低的投标报价为评标基准价，其报价分为30分。</w:t>
      </w:r>
    </w:p>
    <w:p w14:paraId="6493F400">
      <w:pPr>
        <w:shd w:val="clear"/>
        <w:spacing w:line="360" w:lineRule="auto"/>
        <w:ind w:left="283" w:leftChars="135" w:firstLine="105" w:firstLineChars="50"/>
        <w:rPr>
          <w:rFonts w:hint="eastAsia" w:ascii="宋体" w:hAnsi="宋体" w:cs="宋体"/>
          <w:color w:val="auto"/>
          <w:szCs w:val="21"/>
          <w:highlight w:val="none"/>
        </w:rPr>
      </w:pPr>
      <w:r>
        <w:rPr>
          <w:rFonts w:hint="eastAsia" w:ascii="宋体" w:hAnsi="宋体" w:cs="宋体"/>
          <w:color w:val="auto"/>
          <w:szCs w:val="21"/>
          <w:highlight w:val="none"/>
        </w:rPr>
        <w:t>（2）报价得分计算。</w:t>
      </w:r>
    </w:p>
    <w:p w14:paraId="6CEE69A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报价得分=（评标基准价/评标价）×30%×100，保留小数2位</w:t>
      </w:r>
    </w:p>
    <w:p w14:paraId="73912284">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3.计算总分（满分为100分）</w:t>
      </w:r>
    </w:p>
    <w:p w14:paraId="2054AAAD">
      <w:pPr>
        <w:pStyle w:val="13"/>
        <w:shd w:val="clear"/>
        <w:spacing w:before="0" w:beforeLines="0" w:after="0" w:afterLines="0" w:line="360" w:lineRule="auto"/>
        <w:ind w:firstLine="240"/>
        <w:rPr>
          <w:rFonts w:hint="eastAsia" w:hAnsi="宋体" w:cs="宋体"/>
          <w:color w:val="auto"/>
          <w:sz w:val="21"/>
          <w:szCs w:val="21"/>
          <w:highlight w:val="none"/>
        </w:rPr>
      </w:pPr>
      <w:r>
        <w:rPr>
          <w:rFonts w:hint="eastAsia" w:hAnsi="宋体" w:cs="宋体"/>
          <w:color w:val="auto"/>
          <w:sz w:val="21"/>
          <w:szCs w:val="21"/>
          <w:highlight w:val="none"/>
        </w:rPr>
        <w:t xml:space="preserve">   计算方法：</w:t>
      </w:r>
      <w:r>
        <w:rPr>
          <w:rFonts w:hint="eastAsia" w:hAnsi="宋体" w:cs="宋体"/>
          <w:b/>
          <w:bCs/>
          <w:color w:val="auto"/>
          <w:sz w:val="21"/>
          <w:szCs w:val="21"/>
          <w:highlight w:val="none"/>
        </w:rPr>
        <w:t>投标人总得分=商务技术分+报价分</w:t>
      </w:r>
    </w:p>
    <w:p w14:paraId="3E93FB41">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4.推荐中标候选人，完成评标报告</w:t>
      </w:r>
    </w:p>
    <w:p w14:paraId="0188292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（1）推荐中标候选人</w:t>
      </w:r>
    </w:p>
    <w:p w14:paraId="29AB206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本项目推荐中标候选人数量：</w:t>
      </w:r>
      <w:r>
        <w:rPr>
          <w:rFonts w:hint="eastAsia" w:ascii="宋体" w:hAnsi="宋体" w:cs="宋体"/>
          <w:b/>
          <w:bCs/>
          <w:color w:val="auto"/>
          <w:szCs w:val="21"/>
          <w:highlight w:val="none"/>
        </w:rPr>
        <w:t>1名</w:t>
      </w:r>
      <w:r>
        <w:rPr>
          <w:rFonts w:hint="eastAsia" w:ascii="宋体" w:hAnsi="宋体" w:cs="宋体"/>
          <w:color w:val="auto"/>
          <w:szCs w:val="21"/>
          <w:highlight w:val="none"/>
        </w:rPr>
        <w:t>。</w:t>
      </w:r>
    </w:p>
    <w:p w14:paraId="6CB67EC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完成评标后，按总得分由高到低排定顺序（得分相同的，按投标报价由低到高顺序排列；得分且投标报价相同的，按商务技术分由高到低顺序排列，商务技术分也相同的，由采购人代表随机抽取决定排序），评标委员会根据以上排序直接确定第一名的投标人为中标人。</w:t>
      </w:r>
    </w:p>
    <w:p w14:paraId="79E92A35">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当确定的中标人放弃中标，因不可抗力提出不能履行合同，在此情况下，采购人可重新组织招投标。</w:t>
      </w:r>
    </w:p>
    <w:p w14:paraId="2F56582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（2）完成评标报告</w:t>
      </w:r>
    </w:p>
    <w:p w14:paraId="04C8D772">
      <w:pPr>
        <w:shd w:val="clear"/>
        <w:spacing w:line="360" w:lineRule="auto"/>
        <w:ind w:firstLine="630" w:firstLineChars="300"/>
        <w:rPr>
          <w:rFonts w:hint="eastAsia" w:hAnsi="宋体" w:cs="宋体"/>
          <w:b/>
          <w:bCs/>
          <w:color w:val="auto"/>
          <w:spacing w:val="-6"/>
          <w:szCs w:val="21"/>
          <w:highlight w:val="none"/>
        </w:rPr>
      </w:pPr>
      <w:r>
        <w:rPr>
          <w:rFonts w:hint="eastAsia" w:ascii="宋体" w:hAnsi="宋体" w:cs="宋体"/>
          <w:color w:val="auto"/>
          <w:szCs w:val="21"/>
          <w:highlight w:val="none"/>
        </w:rPr>
        <w:t>评标委员会向采购人提出评标报告，内容包括评标过程、投标人的优劣对比分析、中标候选人推荐情况、基本结论、存在的问题和评标专家的不同意见。评标报告应经评标委员会所有专家签字，在评标结束时当场提交给采购人。</w:t>
      </w:r>
      <w:bookmarkEnd w:id="64"/>
      <w:r>
        <w:rPr>
          <w:rFonts w:hint="eastAsia" w:hAnsi="宋体" w:cs="宋体"/>
          <w:b/>
          <w:bCs/>
          <w:color w:val="auto"/>
          <w:spacing w:val="-6"/>
          <w:szCs w:val="21"/>
          <w:highlight w:val="none"/>
        </w:rPr>
        <w:br w:type="page"/>
      </w:r>
    </w:p>
    <w:p w14:paraId="26A00850">
      <w:pPr>
        <w:shd w:val="clear"/>
        <w:ind w:firstLine="596" w:firstLineChars="300"/>
        <w:rPr>
          <w:rFonts w:hint="eastAsia" w:hAnsi="宋体" w:cs="宋体"/>
          <w:b/>
          <w:bCs/>
          <w:color w:val="auto"/>
          <w:spacing w:val="-6"/>
          <w:szCs w:val="21"/>
          <w:highlight w:val="none"/>
        </w:rPr>
      </w:pPr>
    </w:p>
    <w:p w14:paraId="79C62000">
      <w:pPr>
        <w:shd w:val="clear"/>
        <w:ind w:firstLine="596" w:firstLineChars="300"/>
        <w:rPr>
          <w:rFonts w:hint="eastAsia" w:hAnsi="宋体" w:cs="宋体"/>
          <w:b/>
          <w:bCs/>
          <w:color w:val="auto"/>
          <w:spacing w:val="-6"/>
          <w:szCs w:val="21"/>
          <w:highlight w:val="none"/>
        </w:rPr>
      </w:pPr>
    </w:p>
    <w:p w14:paraId="6E8A56A0">
      <w:pPr>
        <w:shd w:val="clear"/>
        <w:ind w:firstLine="964" w:firstLineChars="300"/>
        <w:jc w:val="center"/>
        <w:rPr>
          <w:rFonts w:hint="eastAsia" w:hAnsi="宋体" w:cs="宋体"/>
          <w:b/>
          <w:color w:val="auto"/>
          <w:sz w:val="36"/>
          <w:szCs w:val="36"/>
          <w:highlight w:val="none"/>
        </w:rPr>
      </w:pPr>
      <w:r>
        <w:rPr>
          <w:rFonts w:hint="eastAsia" w:hAnsi="宋体" w:cs="宋体"/>
          <w:b/>
          <w:bCs/>
          <w:color w:val="auto"/>
          <w:sz w:val="32"/>
          <w:szCs w:val="32"/>
          <w:highlight w:val="none"/>
        </w:rPr>
        <w:t>第七章  拟签订的合同文本</w:t>
      </w:r>
    </w:p>
    <w:p w14:paraId="22ED4143">
      <w:pPr>
        <w:pStyle w:val="11"/>
        <w:shd w:val="clear"/>
        <w:jc w:val="center"/>
        <w:rPr>
          <w:rFonts w:hint="eastAsia" w:ascii="宋体" w:hAnsi="宋体" w:cs="宋体"/>
          <w:b/>
          <w:bCs/>
          <w:color w:val="auto"/>
          <w:spacing w:val="-20"/>
          <w:kern w:val="44"/>
          <w:sz w:val="48"/>
          <w:szCs w:val="48"/>
          <w:highlight w:val="none"/>
        </w:rPr>
      </w:pPr>
    </w:p>
    <w:p w14:paraId="509D7167">
      <w:pPr>
        <w:pStyle w:val="11"/>
        <w:shd w:val="clear"/>
        <w:jc w:val="center"/>
        <w:rPr>
          <w:rFonts w:hint="eastAsia" w:ascii="宋体" w:hAnsi="宋体" w:cs="宋体"/>
          <w:b/>
          <w:bCs/>
          <w:color w:val="auto"/>
          <w:spacing w:val="-20"/>
          <w:kern w:val="44"/>
          <w:sz w:val="48"/>
          <w:szCs w:val="48"/>
          <w:highlight w:val="none"/>
        </w:rPr>
      </w:pPr>
    </w:p>
    <w:p w14:paraId="3BFF68DF">
      <w:pPr>
        <w:pStyle w:val="11"/>
        <w:shd w:val="clear"/>
        <w:jc w:val="center"/>
        <w:rPr>
          <w:rFonts w:hint="eastAsia" w:ascii="宋体" w:hAnsi="宋体" w:cs="宋体"/>
          <w:b/>
          <w:bCs/>
          <w:color w:val="auto"/>
          <w:spacing w:val="-20"/>
          <w:kern w:val="44"/>
          <w:sz w:val="48"/>
          <w:szCs w:val="48"/>
          <w:highlight w:val="none"/>
        </w:rPr>
      </w:pPr>
    </w:p>
    <w:p w14:paraId="32EE3A37">
      <w:pPr>
        <w:pStyle w:val="11"/>
        <w:shd w:val="clear"/>
        <w:jc w:val="center"/>
        <w:rPr>
          <w:rFonts w:hint="eastAsia" w:ascii="宋体" w:hAnsi="宋体" w:cs="宋体"/>
          <w:b/>
          <w:bCs/>
          <w:color w:val="auto"/>
          <w:spacing w:val="-20"/>
          <w:kern w:val="44"/>
          <w:sz w:val="48"/>
          <w:szCs w:val="48"/>
          <w:highlight w:val="none"/>
        </w:rPr>
      </w:pPr>
    </w:p>
    <w:p w14:paraId="7E64BCE6">
      <w:pPr>
        <w:pStyle w:val="11"/>
        <w:shd w:val="clear"/>
        <w:jc w:val="center"/>
        <w:rPr>
          <w:rFonts w:hint="eastAsia" w:ascii="宋体" w:hAnsi="宋体" w:cs="宋体"/>
          <w:b/>
          <w:bCs/>
          <w:color w:val="auto"/>
          <w:spacing w:val="-20"/>
          <w:kern w:val="44"/>
          <w:sz w:val="48"/>
          <w:szCs w:val="48"/>
          <w:highlight w:val="none"/>
        </w:rPr>
      </w:pPr>
    </w:p>
    <w:p w14:paraId="101192AC">
      <w:pPr>
        <w:pStyle w:val="11"/>
        <w:shd w:val="clear"/>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1087FE0">
      <w:pPr>
        <w:shd w:val="clear"/>
        <w:rPr>
          <w:rFonts w:hint="eastAsia" w:ascii="宋体" w:hAnsi="宋体" w:cs="宋体"/>
          <w:b/>
          <w:bCs/>
          <w:color w:val="auto"/>
          <w:spacing w:val="-20"/>
          <w:kern w:val="44"/>
          <w:sz w:val="40"/>
          <w:szCs w:val="40"/>
          <w:highlight w:val="none"/>
        </w:rPr>
      </w:pPr>
    </w:p>
    <w:p w14:paraId="38EFE7ED">
      <w:pPr>
        <w:shd w:val="clear"/>
        <w:rPr>
          <w:rFonts w:hint="eastAsia" w:ascii="宋体" w:hAnsi="宋体" w:cs="宋体"/>
          <w:b/>
          <w:bCs/>
          <w:color w:val="auto"/>
          <w:spacing w:val="-20"/>
          <w:kern w:val="44"/>
          <w:sz w:val="40"/>
          <w:szCs w:val="40"/>
          <w:highlight w:val="none"/>
        </w:rPr>
      </w:pPr>
    </w:p>
    <w:p w14:paraId="1B5ED139">
      <w:pPr>
        <w:shd w:val="clear"/>
        <w:rPr>
          <w:rFonts w:hint="eastAsia" w:ascii="宋体" w:hAnsi="宋体" w:cs="宋体"/>
          <w:b/>
          <w:bCs/>
          <w:color w:val="auto"/>
          <w:spacing w:val="-20"/>
          <w:kern w:val="44"/>
          <w:sz w:val="40"/>
          <w:szCs w:val="40"/>
          <w:highlight w:val="none"/>
        </w:rPr>
      </w:pPr>
    </w:p>
    <w:p w14:paraId="104B3A25">
      <w:pPr>
        <w:shd w:val="clear"/>
        <w:spacing w:line="360" w:lineRule="auto"/>
        <w:ind w:left="420" w:leftChars="200"/>
        <w:rPr>
          <w:rFonts w:hint="eastAsia"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2157A228">
      <w:pPr>
        <w:shd w:val="clea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2768D68E">
      <w:pPr>
        <w:shd w:val="clea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6F945643">
      <w:pPr>
        <w:shd w:val="clear"/>
        <w:spacing w:line="360" w:lineRule="auto"/>
        <w:ind w:left="420"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0165206E">
      <w:pPr>
        <w:shd w:val="clear"/>
        <w:spacing w:line="360" w:lineRule="auto"/>
        <w:ind w:left="420"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64C45A2F">
      <w:pPr>
        <w:shd w:val="clear"/>
        <w:rPr>
          <w:rFonts w:hint="eastAsia" w:ascii="宋体" w:hAnsi="宋体" w:cs="宋体"/>
          <w:color w:val="auto"/>
          <w:highlight w:val="none"/>
        </w:rPr>
      </w:pPr>
    </w:p>
    <w:p w14:paraId="24770535">
      <w:pPr>
        <w:shd w:val="clear"/>
        <w:adjustRightInd w:val="0"/>
        <w:snapToGrid w:val="0"/>
        <w:spacing w:line="400" w:lineRule="exact"/>
        <w:rPr>
          <w:rFonts w:hint="eastAsia" w:ascii="宋体" w:hAnsi="宋体" w:cs="宋体"/>
          <w:color w:val="auto"/>
          <w:sz w:val="28"/>
          <w:szCs w:val="28"/>
          <w:highlight w:val="none"/>
        </w:rPr>
      </w:pPr>
      <w:bookmarkStart w:id="65" w:name="_Toc22209"/>
    </w:p>
    <w:p w14:paraId="3100D956">
      <w:pPr>
        <w:pStyle w:val="3"/>
        <w:shd w:val="clear"/>
        <w:adjustRightInd w:val="0"/>
        <w:snapToGrid w:val="0"/>
        <w:spacing w:line="400" w:lineRule="exact"/>
        <w:jc w:val="center"/>
        <w:rPr>
          <w:rFonts w:hint="eastAsia" w:ascii="宋体" w:hAnsi="宋体" w:cs="宋体"/>
          <w:b w:val="0"/>
          <w:bCs w:val="0"/>
          <w:color w:val="auto"/>
          <w:sz w:val="21"/>
          <w:szCs w:val="21"/>
          <w:highlight w:val="none"/>
        </w:rPr>
      </w:pPr>
      <w:r>
        <w:rPr>
          <w:rFonts w:hint="eastAsia" w:ascii="宋体" w:hAnsi="宋体" w:cs="宋体"/>
          <w:b w:val="0"/>
          <w:bCs w:val="0"/>
          <w:color w:val="auto"/>
          <w:sz w:val="28"/>
          <w:szCs w:val="28"/>
          <w:highlight w:val="none"/>
        </w:rPr>
        <w:br w:type="page"/>
      </w:r>
      <w:r>
        <w:rPr>
          <w:rFonts w:hint="eastAsia" w:ascii="宋体" w:hAnsi="宋体" w:cs="宋体"/>
          <w:color w:val="auto"/>
          <w:sz w:val="28"/>
          <w:szCs w:val="28"/>
          <w:highlight w:val="none"/>
        </w:rPr>
        <w:t>第一节 政府采购合同协议书</w:t>
      </w:r>
      <w:bookmarkEnd w:id="65"/>
    </w:p>
    <w:p w14:paraId="5B913310">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7F70A34E">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636B8442">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2BC46D86">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乙方3（全称）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47D54B80">
      <w:pPr>
        <w:shd w:val="clear"/>
        <w:spacing w:line="400" w:lineRule="exact"/>
        <w:rPr>
          <w:rFonts w:hint="eastAsia" w:ascii="宋体" w:hAnsi="宋体" w:cs="宋体"/>
          <w:color w:val="auto"/>
          <w:szCs w:val="21"/>
          <w:highlight w:val="none"/>
        </w:rPr>
      </w:pPr>
    </w:p>
    <w:p w14:paraId="7AF3B6D3">
      <w:pPr>
        <w:pStyle w:val="7"/>
        <w:shd w:val="clear"/>
        <w:adjustRightInd w:val="0"/>
        <w:snapToGrid w:val="0"/>
        <w:spacing w:line="40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82C04F4">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项目信息</w:t>
      </w:r>
    </w:p>
    <w:p w14:paraId="4EF9770A">
      <w:pPr>
        <w:pStyle w:val="7"/>
        <w:numPr>
          <w:ilvl w:val="0"/>
          <w:numId w:val="3"/>
        </w:numPr>
        <w:shd w:val="clear"/>
        <w:adjustRightInd w:val="0"/>
        <w:snapToGrid w:val="0"/>
        <w:spacing w:line="400" w:lineRule="exact"/>
        <w:ind w:firstLine="404" w:firstLineChars="200"/>
        <w:rPr>
          <w:rFonts w:hint="eastAsia" w:hAnsi="宋体" w:cs="宋体"/>
          <w:color w:val="auto"/>
          <w:sz w:val="21"/>
          <w:szCs w:val="21"/>
          <w:highlight w:val="none"/>
          <w:u w:val="single"/>
        </w:rPr>
      </w:pPr>
      <w:r>
        <w:rPr>
          <w:rFonts w:hint="eastAsia" w:hAnsi="宋体" w:cs="宋体"/>
          <w:color w:val="auto"/>
          <w:sz w:val="21"/>
          <w:szCs w:val="21"/>
          <w:highlight w:val="none"/>
        </w:rPr>
        <w:t>采购项目名称：</w:t>
      </w:r>
      <w:r>
        <w:rPr>
          <w:rFonts w:hint="eastAsia" w:hAnsi="宋体" w:cs="宋体"/>
          <w:color w:val="auto"/>
          <w:sz w:val="21"/>
          <w:szCs w:val="21"/>
          <w:highlight w:val="none"/>
          <w:u w:val="single"/>
        </w:rPr>
        <w:t xml:space="preserve">                                          </w:t>
      </w:r>
    </w:p>
    <w:p w14:paraId="5C5B5825">
      <w:pPr>
        <w:pStyle w:val="7"/>
        <w:shd w:val="clear"/>
        <w:tabs>
          <w:tab w:val="left" w:pos="999"/>
        </w:tabs>
        <w:adjustRightInd w:val="0"/>
        <w:snapToGrid w:val="0"/>
        <w:spacing w:line="400" w:lineRule="exact"/>
        <w:rPr>
          <w:rFonts w:hint="eastAsia" w:hAnsi="宋体" w:cs="宋体"/>
          <w:color w:val="auto"/>
          <w:sz w:val="21"/>
          <w:szCs w:val="21"/>
          <w:highlight w:val="none"/>
        </w:rPr>
      </w:pPr>
      <w:r>
        <w:rPr>
          <w:rFonts w:hint="eastAsia" w:hAnsi="宋体" w:cs="宋体"/>
          <w:color w:val="auto"/>
          <w:sz w:val="21"/>
          <w:szCs w:val="21"/>
          <w:highlight w:val="none"/>
        </w:rPr>
        <w:t xml:space="preserve">      采购项目编号：</w:t>
      </w:r>
      <w:r>
        <w:rPr>
          <w:rFonts w:hint="eastAsia" w:hAnsi="宋体" w:cs="宋体"/>
          <w:color w:val="auto"/>
          <w:sz w:val="21"/>
          <w:szCs w:val="21"/>
          <w:highlight w:val="none"/>
          <w:u w:val="single"/>
        </w:rPr>
        <w:t xml:space="preserve">                                          </w:t>
      </w:r>
    </w:p>
    <w:p w14:paraId="421C760E">
      <w:pPr>
        <w:pStyle w:val="7"/>
        <w:shd w:val="clear"/>
        <w:adjustRightInd w:val="0"/>
        <w:snapToGrid w:val="0"/>
        <w:spacing w:line="40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（2）采购计划编号：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5CB95A48">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（3）项目内容：</w:t>
      </w:r>
    </w:p>
    <w:p w14:paraId="6758A4DF">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004A14B">
      <w:pPr>
        <w:shd w:val="clear"/>
        <w:adjustRightInd w:val="0"/>
        <w:snapToGrid w:val="0"/>
        <w:spacing w:line="400" w:lineRule="exact"/>
        <w:ind w:firstLine="420" w:firstLineChars="200"/>
        <w:rPr>
          <w:rFonts w:hint="eastAsia"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237D4A7C">
      <w:pPr>
        <w:shd w:val="clear"/>
        <w:adjustRightInd w:val="0"/>
        <w:snapToGrid w:val="0"/>
        <w:spacing w:line="400" w:lineRule="exact"/>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6476A373">
      <w:pPr>
        <w:shd w:val="clear"/>
        <w:adjustRightInd w:val="0"/>
        <w:snapToGrid w:val="0"/>
        <w:spacing w:line="4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574EF653">
      <w:pPr>
        <w:shd w:val="clear"/>
        <w:adjustRightInd w:val="0"/>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1D9692A">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65AD46">
      <w:pPr>
        <w:pStyle w:val="114"/>
        <w:shd w:val="clear"/>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95BC9BD">
      <w:pPr>
        <w:pStyle w:val="114"/>
        <w:shd w:val="clear"/>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547B545D">
      <w:pPr>
        <w:pStyle w:val="114"/>
        <w:shd w:val="clear"/>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18F4B939">
      <w:pPr>
        <w:pStyle w:val="114"/>
        <w:shd w:val="clear"/>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3CF69702">
      <w:pPr>
        <w:pStyle w:val="114"/>
        <w:shd w:val="clear"/>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C3A95BA">
      <w:pPr>
        <w:pStyle w:val="114"/>
        <w:shd w:val="clear"/>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61856FA2">
      <w:pPr>
        <w:pStyle w:val="114"/>
        <w:shd w:val="clear"/>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62040C6D">
      <w:pPr>
        <w:pStyle w:val="114"/>
        <w:shd w:val="clear"/>
        <w:snapToGrid w:val="0"/>
        <w:ind w:firstLine="42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13615303">
      <w:pPr>
        <w:pStyle w:val="114"/>
        <w:shd w:val="clear"/>
        <w:snapToGrid w:val="0"/>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4B4061C2">
      <w:pPr>
        <w:pStyle w:val="114"/>
        <w:shd w:val="clear"/>
        <w:snapToGrid w:val="0"/>
        <w:ind w:firstLine="42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2DD813B2">
      <w:pPr>
        <w:pStyle w:val="114"/>
        <w:shd w:val="clear"/>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6</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0812A0C1">
      <w:pPr>
        <w:shd w:val="clea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D246BC7">
      <w:pPr>
        <w:shd w:val="clea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476EBD5">
      <w:pPr>
        <w:shd w:val="clea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B0B9054">
      <w:pPr>
        <w:shd w:val="clea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B80AA7D">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78C33217">
      <w:pPr>
        <w:shd w:val="clea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3B84984A">
      <w:pPr>
        <w:shd w:val="clear"/>
        <w:adjustRightInd w:val="0"/>
        <w:snapToGrid w:val="0"/>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05F9B378">
      <w:pPr>
        <w:shd w:val="clea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154000F8">
      <w:pPr>
        <w:shd w:val="clear"/>
        <w:adjustRightInd w:val="0"/>
        <w:snapToGrid w:val="0"/>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714B03A8">
      <w:pPr>
        <w:shd w:val="clear"/>
        <w:adjustRightInd w:val="0"/>
        <w:snapToGrid w:val="0"/>
        <w:spacing w:line="400" w:lineRule="exact"/>
        <w:ind w:firstLine="840" w:firstLineChars="400"/>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2DBEBC01">
      <w:pPr>
        <w:shd w:val="clear"/>
        <w:adjustRightInd w:val="0"/>
        <w:snapToGrid w:val="0"/>
        <w:spacing w:line="400" w:lineRule="exact"/>
        <w:ind w:firstLine="840" w:firstLineChars="400"/>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7F6AF50F">
      <w:pPr>
        <w:shd w:val="clea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3F487A4">
      <w:pPr>
        <w:pStyle w:val="114"/>
        <w:shd w:val="clear"/>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71B76F9B">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42729A24">
      <w:pPr>
        <w:shd w:val="clea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43C881CD">
      <w:pPr>
        <w:shd w:val="clear"/>
        <w:adjustRightInd w:val="0"/>
        <w:snapToGrid w:val="0"/>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494788">
      <w:pPr>
        <w:shd w:val="clear"/>
        <w:adjustRightInd w:val="0"/>
        <w:snapToGrid w:val="0"/>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AC209BC">
      <w:pPr>
        <w:shd w:val="clea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35FA6F34">
      <w:pPr>
        <w:shd w:val="clea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77D4111">
      <w:pPr>
        <w:shd w:val="clea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CF7CE97">
      <w:pPr>
        <w:shd w:val="clea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5655B54F">
      <w:pPr>
        <w:shd w:val="clea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5BA7F422">
      <w:pPr>
        <w:shd w:val="clea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1547A158">
      <w:pPr>
        <w:shd w:val="clea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51540C9F">
      <w:pPr>
        <w:shd w:val="clea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74D6F0">
      <w:pPr>
        <w:pStyle w:val="114"/>
        <w:shd w:val="clear"/>
        <w:snapToGrid w:val="0"/>
        <w:ind w:firstLine="0" w:firstLineChars="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3357F066">
      <w:pPr>
        <w:pStyle w:val="114"/>
        <w:shd w:val="clear"/>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sz w:val="21"/>
          <w:highlight w:val="none"/>
          <w:u w:val="single"/>
        </w:rPr>
        <w:t xml:space="preserve">                  </w:t>
      </w:r>
    </w:p>
    <w:p w14:paraId="2DF18E9D">
      <w:pPr>
        <w:shd w:val="clea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72CCE885">
      <w:pPr>
        <w:pStyle w:val="114"/>
        <w:shd w:val="clear"/>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43B4A5E9">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7E96509D">
      <w:pPr>
        <w:shd w:val="clear"/>
        <w:adjustRightInd w:val="0"/>
        <w:snapToGrid w:val="0"/>
        <w:spacing w:line="4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71C501AE">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合同金额</w:t>
      </w:r>
    </w:p>
    <w:p w14:paraId="733B4381">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097D5078">
      <w:pPr>
        <w:shd w:val="clea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57B0AFBC">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52972429">
      <w:pPr>
        <w:shd w:val="clea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0A21DF98">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41A902C9">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73E29571">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04621B45">
      <w:pPr>
        <w:pStyle w:val="115"/>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（3）付款方式（按项目实际勾选填写）：</w:t>
      </w:r>
    </w:p>
    <w:p w14:paraId="1FA3FB94">
      <w:pPr>
        <w:shd w:val="clear"/>
        <w:adjustRightInd w:val="0"/>
        <w:snapToGrid w:val="0"/>
        <w:spacing w:line="400" w:lineRule="exact"/>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5FD9FBD1">
      <w:pPr>
        <w:shd w:val="clear"/>
        <w:snapToGrid w:val="0"/>
        <w:spacing w:line="40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（应明确分期支付合同款项的各期比例和支付条件，各期支付条件应与分期履约验收情况挂钩） </w:t>
      </w:r>
      <w:r>
        <w:rPr>
          <w:rFonts w:hint="eastAsia" w:ascii="宋体" w:hAnsi="宋体" w:cs="宋体"/>
          <w:color w:val="auto"/>
          <w:szCs w:val="21"/>
          <w:highlight w:val="none"/>
        </w:rPr>
        <w:t>，其中涉及预付款的：</w:t>
      </w:r>
      <w:r>
        <w:rPr>
          <w:rFonts w:hint="eastAsia" w:ascii="宋体" w:hAnsi="宋体" w:cs="宋体"/>
          <w:color w:val="auto"/>
          <w:szCs w:val="21"/>
          <w:highlight w:val="none"/>
          <w:u w:val="single"/>
        </w:rPr>
        <w:t xml:space="preserve"> （应明确预付款的支付比例和支付条件） </w:t>
      </w:r>
    </w:p>
    <w:p w14:paraId="4174E78E">
      <w:pPr>
        <w:shd w:val="clear"/>
        <w:adjustRightInd w:val="0"/>
        <w:snapToGrid w:val="0"/>
        <w:spacing w:line="400" w:lineRule="exact"/>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610A1B50">
      <w:pPr>
        <w:shd w:val="clear"/>
        <w:adjustRightInd w:val="0"/>
        <w:snapToGrid w:val="0"/>
        <w:spacing w:line="40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586E3384">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合同履行</w:t>
      </w:r>
    </w:p>
    <w:p w14:paraId="6843EAF3">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B83164">
      <w:pPr>
        <w:shd w:val="clea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6ED59EB">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szCs w:val="21"/>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EE81BD9">
      <w:pPr>
        <w:pStyle w:val="114"/>
        <w:shd w:val="clear"/>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2B1FB075">
      <w:pPr>
        <w:pStyle w:val="114"/>
        <w:shd w:val="clear"/>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79FE72BA">
      <w:pPr>
        <w:shd w:val="clea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4EDE2197">
      <w:pPr>
        <w:shd w:val="clea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335AAD56">
      <w:pPr>
        <w:shd w:val="clea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4EA0AA89">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合同验收</w:t>
      </w:r>
    </w:p>
    <w:p w14:paraId="08872237">
      <w:pPr>
        <w:numPr>
          <w:ilvl w:val="0"/>
          <w:numId w:val="4"/>
        </w:numPr>
        <w:shd w:val="clea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322442C2">
      <w:pPr>
        <w:shd w:val="clea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1720708F">
      <w:pPr>
        <w:shd w:val="clea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60AA6560">
      <w:pPr>
        <w:shd w:val="clear"/>
        <w:adjustRightInd w:val="0"/>
        <w:snapToGrid w:val="0"/>
        <w:spacing w:line="40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40EE6D08">
      <w:pPr>
        <w:shd w:val="clear"/>
        <w:adjustRightInd w:val="0"/>
        <w:snapToGrid w:val="0"/>
        <w:spacing w:line="40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94B4243">
      <w:pPr>
        <w:shd w:val="clear"/>
        <w:adjustRightInd w:val="0"/>
        <w:snapToGrid w:val="0"/>
        <w:spacing w:line="40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612BB787">
      <w:pPr>
        <w:shd w:val="clear"/>
        <w:adjustRightInd w:val="0"/>
        <w:snapToGrid w:val="0"/>
        <w:spacing w:line="40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CD1292D">
      <w:pPr>
        <w:shd w:val="clear"/>
        <w:adjustRightInd w:val="0"/>
        <w:snapToGrid w:val="0"/>
        <w:spacing w:line="400" w:lineRule="exact"/>
        <w:ind w:firstLine="840" w:firstLineChars="400"/>
        <w:rPr>
          <w:rFonts w:hint="eastAsia"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 xml:space="preserve">（应明确对被破坏的检测产品的处理方式）          </w:t>
      </w:r>
    </w:p>
    <w:p w14:paraId="57601C86">
      <w:pPr>
        <w:shd w:val="clear"/>
        <w:adjustRightInd w:val="0"/>
        <w:snapToGrid w:val="0"/>
        <w:spacing w:line="40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DB50C07">
      <w:pPr>
        <w:shd w:val="clear"/>
        <w:adjustRightInd w:val="0"/>
        <w:snapToGrid w:val="0"/>
        <w:spacing w:line="400" w:lineRule="exact"/>
        <w:ind w:firstLine="840" w:firstLineChars="400"/>
        <w:rPr>
          <w:rFonts w:hint="eastAsia"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117183D1">
      <w:pPr>
        <w:shd w:val="clea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08E3E570">
      <w:pPr>
        <w:shd w:val="clea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6AE18529">
      <w:pPr>
        <w:shd w:val="clea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1872AF3C">
      <w:pPr>
        <w:shd w:val="clea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4389C532">
      <w:pPr>
        <w:shd w:val="clea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w:t>
      </w:r>
      <w:r>
        <w:rPr>
          <w:rFonts w:hint="eastAsia" w:ascii="宋体" w:hAnsi="宋体" w:cs="宋体"/>
          <w:bCs/>
          <w:color w:val="auto"/>
          <w:szCs w:val="21"/>
          <w:highlight w:val="none"/>
        </w:rPr>
        <w:t xml:space="preserve">                                      </w:t>
      </w:r>
    </w:p>
    <w:p w14:paraId="62C2B76E">
      <w:pPr>
        <w:shd w:val="clea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23549585">
      <w:pPr>
        <w:pStyle w:val="114"/>
        <w:shd w:val="clear"/>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00BF62FB">
      <w:pPr>
        <w:shd w:val="clea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（产权过户登记等）</w:t>
      </w:r>
      <w:r>
        <w:rPr>
          <w:rFonts w:hint="eastAsia" w:ascii="宋体" w:hAnsi="宋体" w:cs="宋体"/>
          <w:bCs/>
          <w:color w:val="auto"/>
          <w:szCs w:val="21"/>
          <w:highlight w:val="none"/>
        </w:rPr>
        <w:t xml:space="preserve">          </w:t>
      </w:r>
    </w:p>
    <w:p w14:paraId="53B32AB5">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组成合同的文件</w:t>
      </w:r>
    </w:p>
    <w:p w14:paraId="4D88E276">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5D50048">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432B5FF">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（2）政府采购合同专用条款</w:t>
      </w:r>
    </w:p>
    <w:p w14:paraId="18613C51">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（3）政府采购合同通用条款</w:t>
      </w:r>
    </w:p>
    <w:p w14:paraId="63024CEC">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（4）中标（成交）通知书</w:t>
      </w:r>
    </w:p>
    <w:p w14:paraId="01667ECB">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（5）投标（响应）文件</w:t>
      </w:r>
    </w:p>
    <w:p w14:paraId="50E3A05C">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（6）采购文件</w:t>
      </w:r>
    </w:p>
    <w:p w14:paraId="47DBE692">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（7）有关技术文件，图纸</w:t>
      </w:r>
    </w:p>
    <w:p w14:paraId="74358F24">
      <w:pPr>
        <w:pStyle w:val="114"/>
        <w:shd w:val="clear"/>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08D8441D">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合同生效</w:t>
      </w:r>
    </w:p>
    <w:p w14:paraId="42F08B72">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3655D8ED">
      <w:pPr>
        <w:numPr>
          <w:ilvl w:val="0"/>
          <w:numId w:val="2"/>
        </w:numPr>
        <w:shd w:val="clea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合同份数</w:t>
      </w:r>
    </w:p>
    <w:p w14:paraId="5AF89F8B">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份、浙江求是招标代理有限公司执一份，义乌市财政局执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189C7575">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0813801">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7C48C4EB">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附件：具体标的及其技术要求和商务要求、联合协议、分包意向协议等。</w:t>
      </w:r>
    </w:p>
    <w:p w14:paraId="7AF28D23">
      <w:pPr>
        <w:pStyle w:val="115"/>
        <w:shd w:val="clear"/>
        <w:rPr>
          <w:rFonts w:hint="eastAsia" w:ascii="宋体" w:hAnsi="宋体" w:cs="宋体"/>
          <w:color w:val="auto"/>
          <w:szCs w:val="21"/>
          <w:highlight w:val="none"/>
        </w:rPr>
      </w:pPr>
    </w:p>
    <w:tbl>
      <w:tblPr>
        <w:tblStyle w:val="27"/>
        <w:tblW w:w="4927" w:type="pct"/>
        <w:tblInd w:w="-116"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26C3BE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C33B709">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6BF148EE">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乙方（供应商）</w:t>
            </w:r>
          </w:p>
        </w:tc>
      </w:tr>
      <w:tr w14:paraId="795BD8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C640565">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w:t>
            </w:r>
          </w:p>
          <w:p w14:paraId="1CD39592">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1EAB5E9">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highlight w:val="none"/>
              </w:rPr>
              <w:t>浙江大学医学院附属第四医院</w:t>
            </w:r>
          </w:p>
        </w:tc>
        <w:tc>
          <w:tcPr>
            <w:tcW w:w="1178" w:type="pct"/>
            <w:tcBorders>
              <w:top w:val="single" w:color="auto" w:sz="2" w:space="0"/>
              <w:left w:val="single" w:color="auto" w:sz="2" w:space="0"/>
              <w:bottom w:val="single" w:color="auto" w:sz="2" w:space="0"/>
              <w:right w:val="single" w:color="auto" w:sz="2" w:space="0"/>
            </w:tcBorders>
            <w:vAlign w:val="center"/>
          </w:tcPr>
          <w:p w14:paraId="1B528579">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w:t>
            </w:r>
          </w:p>
          <w:p w14:paraId="1FD7D48B">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62B3CD5">
            <w:pPr>
              <w:shd w:val="clear"/>
              <w:adjustRightInd w:val="0"/>
              <w:snapToGrid w:val="0"/>
              <w:spacing w:line="300" w:lineRule="exact"/>
              <w:jc w:val="center"/>
              <w:rPr>
                <w:rFonts w:hint="eastAsia" w:ascii="宋体" w:hAnsi="宋体" w:cs="宋体"/>
                <w:color w:val="auto"/>
                <w:spacing w:val="20"/>
                <w:szCs w:val="21"/>
                <w:highlight w:val="none"/>
              </w:rPr>
            </w:pPr>
          </w:p>
        </w:tc>
      </w:tr>
      <w:tr w14:paraId="6BA34B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B4EC41B">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6632E5D6">
            <w:pPr>
              <w:shd w:val="clear"/>
              <w:adjustRightInd w:val="0"/>
              <w:snapToGrid w:val="0"/>
              <w:spacing w:line="300" w:lineRule="exact"/>
              <w:ind w:firstLine="100" w:firstLineChars="48"/>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w:t>
            </w:r>
          </w:p>
          <w:p w14:paraId="67C35CA1">
            <w:pPr>
              <w:shd w:val="clear"/>
              <w:adjustRightInd w:val="0"/>
              <w:snapToGrid w:val="0"/>
              <w:spacing w:line="300" w:lineRule="exact"/>
              <w:ind w:firstLine="100" w:firstLineChars="48"/>
              <w:jc w:val="center"/>
              <w:rPr>
                <w:rFonts w:hint="eastAsia" w:ascii="宋体" w:hAnsi="宋体" w:cs="宋体"/>
                <w:color w:val="auto"/>
                <w:szCs w:val="21"/>
                <w:highlight w:val="none"/>
              </w:rPr>
            </w:pPr>
            <w:r>
              <w:rPr>
                <w:rFonts w:hint="eastAsia" w:ascii="宋体" w:hAnsi="宋体" w:cs="宋体"/>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226E2C7">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207A72CE">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0D2DBC9B">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w:t>
            </w:r>
          </w:p>
          <w:p w14:paraId="61EE9AD0">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3AA8C5B3">
            <w:pPr>
              <w:shd w:val="clear"/>
              <w:adjustRightInd w:val="0"/>
              <w:snapToGrid w:val="0"/>
              <w:spacing w:line="300" w:lineRule="exact"/>
              <w:jc w:val="center"/>
              <w:rPr>
                <w:rFonts w:hint="eastAsia" w:ascii="宋体" w:hAnsi="宋体" w:cs="宋体"/>
                <w:color w:val="auto"/>
                <w:szCs w:val="21"/>
                <w:highlight w:val="none"/>
              </w:rPr>
            </w:pPr>
          </w:p>
        </w:tc>
      </w:tr>
      <w:tr w14:paraId="49D74D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vMerge w:val="continue"/>
            <w:tcBorders>
              <w:bottom w:val="single" w:color="auto" w:sz="2" w:space="0"/>
              <w:right w:val="single" w:color="auto" w:sz="2" w:space="0"/>
            </w:tcBorders>
            <w:vAlign w:val="center"/>
          </w:tcPr>
          <w:p w14:paraId="4886C056">
            <w:pPr>
              <w:shd w:val="clear"/>
              <w:adjustRightInd w:val="0"/>
              <w:snapToGrid w:val="0"/>
              <w:spacing w:line="300" w:lineRule="exact"/>
              <w:jc w:val="center"/>
              <w:rPr>
                <w:rFonts w:hint="eastAsia" w:ascii="宋体" w:hAnsi="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B843EC0">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E48509">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E68651E">
            <w:pPr>
              <w:shd w:val="clear"/>
              <w:adjustRightInd w:val="0"/>
              <w:snapToGrid w:val="0"/>
              <w:spacing w:line="300" w:lineRule="exact"/>
              <w:jc w:val="center"/>
              <w:rPr>
                <w:rFonts w:hint="eastAsia" w:ascii="宋体" w:hAnsi="宋体" w:cs="宋体"/>
                <w:color w:val="auto"/>
                <w:spacing w:val="20"/>
                <w:szCs w:val="21"/>
                <w:highlight w:val="none"/>
              </w:rPr>
            </w:pPr>
          </w:p>
        </w:tc>
      </w:tr>
      <w:tr w14:paraId="2B8144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2A8627">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ACD890A">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DDC37D">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5B2C8BA8">
            <w:pPr>
              <w:shd w:val="clear"/>
              <w:adjustRightInd w:val="0"/>
              <w:snapToGrid w:val="0"/>
              <w:spacing w:line="300" w:lineRule="exact"/>
              <w:jc w:val="center"/>
              <w:rPr>
                <w:rFonts w:hint="eastAsia" w:ascii="宋体" w:hAnsi="宋体" w:cs="宋体"/>
                <w:color w:val="auto"/>
                <w:spacing w:val="20"/>
                <w:szCs w:val="21"/>
                <w:highlight w:val="none"/>
              </w:rPr>
            </w:pPr>
          </w:p>
        </w:tc>
      </w:tr>
      <w:tr w14:paraId="6F8BD7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2A7FAD">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FE8A917">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822733">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7AD9B42">
            <w:pPr>
              <w:shd w:val="clear"/>
              <w:adjustRightInd w:val="0"/>
              <w:snapToGrid w:val="0"/>
              <w:spacing w:line="300" w:lineRule="exact"/>
              <w:jc w:val="center"/>
              <w:rPr>
                <w:rFonts w:hint="eastAsia" w:ascii="宋体" w:hAnsi="宋体" w:cs="宋体"/>
                <w:color w:val="auto"/>
                <w:spacing w:val="20"/>
                <w:szCs w:val="21"/>
                <w:highlight w:val="none"/>
              </w:rPr>
            </w:pPr>
          </w:p>
        </w:tc>
      </w:tr>
      <w:tr w14:paraId="11650F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041AA0">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4449F12">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7555DE">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3EA5DA5">
            <w:pPr>
              <w:shd w:val="clear"/>
              <w:adjustRightInd w:val="0"/>
              <w:snapToGrid w:val="0"/>
              <w:spacing w:line="300" w:lineRule="exact"/>
              <w:jc w:val="center"/>
              <w:rPr>
                <w:rFonts w:hint="eastAsia" w:ascii="宋体" w:hAnsi="宋体" w:cs="宋体"/>
                <w:color w:val="auto"/>
                <w:spacing w:val="20"/>
                <w:szCs w:val="21"/>
                <w:highlight w:val="none"/>
              </w:rPr>
            </w:pPr>
          </w:p>
        </w:tc>
      </w:tr>
      <w:tr w14:paraId="053E9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EAAEC1">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544A4AF">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649A5D">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05828B2">
            <w:pPr>
              <w:shd w:val="clear"/>
              <w:adjustRightInd w:val="0"/>
              <w:snapToGrid w:val="0"/>
              <w:spacing w:line="300" w:lineRule="exact"/>
              <w:jc w:val="center"/>
              <w:rPr>
                <w:rFonts w:hint="eastAsia" w:ascii="宋体" w:hAnsi="宋体" w:cs="宋体"/>
                <w:color w:val="auto"/>
                <w:spacing w:val="20"/>
                <w:szCs w:val="21"/>
                <w:highlight w:val="none"/>
              </w:rPr>
            </w:pPr>
          </w:p>
        </w:tc>
      </w:tr>
      <w:tr w14:paraId="4FB839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4EA802">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28A000B">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C546385">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7094CB67">
            <w:pPr>
              <w:shd w:val="clear"/>
              <w:adjustRightInd w:val="0"/>
              <w:snapToGrid w:val="0"/>
              <w:spacing w:line="300" w:lineRule="exact"/>
              <w:jc w:val="center"/>
              <w:rPr>
                <w:rFonts w:hint="eastAsia" w:ascii="宋体" w:hAnsi="宋体" w:cs="宋体"/>
                <w:color w:val="auto"/>
                <w:spacing w:val="20"/>
                <w:szCs w:val="21"/>
                <w:highlight w:val="none"/>
              </w:rPr>
            </w:pPr>
          </w:p>
        </w:tc>
      </w:tr>
      <w:tr w14:paraId="534879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A6FFF">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019DECA">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B5D677">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C6A955E">
            <w:pPr>
              <w:shd w:val="clear"/>
              <w:adjustRightInd w:val="0"/>
              <w:snapToGrid w:val="0"/>
              <w:spacing w:line="300" w:lineRule="exact"/>
              <w:jc w:val="center"/>
              <w:rPr>
                <w:rFonts w:hint="eastAsia" w:ascii="宋体" w:hAnsi="宋体" w:cs="宋体"/>
                <w:color w:val="auto"/>
                <w:spacing w:val="20"/>
                <w:szCs w:val="21"/>
                <w:highlight w:val="none"/>
              </w:rPr>
            </w:pPr>
          </w:p>
        </w:tc>
      </w:tr>
      <w:tr w14:paraId="0FB89F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1E075">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A511F44">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584963">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125F5F3">
            <w:pPr>
              <w:shd w:val="clear"/>
              <w:adjustRightInd w:val="0"/>
              <w:snapToGrid w:val="0"/>
              <w:spacing w:line="300" w:lineRule="exact"/>
              <w:jc w:val="center"/>
              <w:rPr>
                <w:rFonts w:hint="eastAsia" w:ascii="宋体" w:hAnsi="宋体" w:cs="宋体"/>
                <w:color w:val="auto"/>
                <w:spacing w:val="20"/>
                <w:szCs w:val="21"/>
                <w:highlight w:val="none"/>
              </w:rPr>
            </w:pPr>
          </w:p>
        </w:tc>
      </w:tr>
      <w:tr w14:paraId="19F001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CC0260">
            <w:pPr>
              <w:shd w:val="clear"/>
              <w:adjustRightInd w:val="0"/>
              <w:snapToGrid w:val="0"/>
              <w:spacing w:line="300" w:lineRule="exact"/>
              <w:jc w:val="center"/>
              <w:rPr>
                <w:rFonts w:hint="eastAsia" w:ascii="宋体" w:hAnsi="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86338E4">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9E9D2">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4D26CAB3">
            <w:pPr>
              <w:shd w:val="clear"/>
              <w:adjustRightInd w:val="0"/>
              <w:snapToGrid w:val="0"/>
              <w:spacing w:line="300" w:lineRule="exact"/>
              <w:jc w:val="center"/>
              <w:rPr>
                <w:rFonts w:hint="eastAsia" w:ascii="宋体" w:hAnsi="宋体" w:cs="宋体"/>
                <w:color w:val="auto"/>
                <w:spacing w:val="20"/>
                <w:szCs w:val="21"/>
                <w:highlight w:val="none"/>
              </w:rPr>
            </w:pPr>
          </w:p>
        </w:tc>
      </w:tr>
      <w:tr w14:paraId="193C56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F50A95">
            <w:pPr>
              <w:shd w:val="clear"/>
              <w:adjustRightInd w:val="0"/>
              <w:snapToGrid w:val="0"/>
              <w:spacing w:line="300" w:lineRule="exact"/>
              <w:jc w:val="center"/>
              <w:rPr>
                <w:rFonts w:hint="eastAsia" w:ascii="宋体" w:hAnsi="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982D87C">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5AE22">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6E8D67C">
            <w:pPr>
              <w:shd w:val="clear"/>
              <w:adjustRightInd w:val="0"/>
              <w:snapToGrid w:val="0"/>
              <w:spacing w:line="300" w:lineRule="exact"/>
              <w:jc w:val="center"/>
              <w:rPr>
                <w:rFonts w:hint="eastAsia" w:ascii="宋体" w:hAnsi="宋体" w:cs="宋体"/>
                <w:color w:val="auto"/>
                <w:spacing w:val="20"/>
                <w:szCs w:val="21"/>
                <w:highlight w:val="none"/>
              </w:rPr>
            </w:pPr>
          </w:p>
        </w:tc>
      </w:tr>
      <w:tr w14:paraId="2623F7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4950E1">
            <w:pPr>
              <w:shd w:val="clear"/>
              <w:adjustRightInd w:val="0"/>
              <w:snapToGrid w:val="0"/>
              <w:spacing w:line="300" w:lineRule="exact"/>
              <w:jc w:val="center"/>
              <w:rPr>
                <w:rFonts w:hint="eastAsia" w:ascii="宋体" w:hAnsi="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AAD18A6">
            <w:pPr>
              <w:shd w:val="clear"/>
              <w:adjustRightInd w:val="0"/>
              <w:snapToGrid w:val="0"/>
              <w:spacing w:line="3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631A9D">
            <w:pPr>
              <w:shd w:val="clea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04B178FE">
            <w:pPr>
              <w:shd w:val="clear"/>
              <w:adjustRightInd w:val="0"/>
              <w:snapToGrid w:val="0"/>
              <w:spacing w:line="300" w:lineRule="exact"/>
              <w:jc w:val="center"/>
              <w:rPr>
                <w:rFonts w:hint="eastAsia" w:ascii="宋体" w:hAnsi="宋体" w:cs="宋体"/>
                <w:color w:val="auto"/>
                <w:spacing w:val="20"/>
                <w:szCs w:val="21"/>
                <w:highlight w:val="none"/>
              </w:rPr>
            </w:pPr>
          </w:p>
        </w:tc>
      </w:tr>
      <w:tr w14:paraId="57513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F67D5F9">
            <w:pPr>
              <w:pStyle w:val="7"/>
              <w:shd w:val="clear"/>
              <w:adjustRightInd w:val="0"/>
              <w:snapToGrid w:val="0"/>
              <w:spacing w:before="120" w:beforeLines="50" w:line="360" w:lineRule="auto"/>
              <w:jc w:val="left"/>
              <w:rPr>
                <w:rFonts w:hint="eastAsia" w:hAnsi="宋体" w:cs="宋体"/>
                <w:color w:val="auto"/>
                <w:spacing w:val="20"/>
                <w:sz w:val="21"/>
                <w:szCs w:val="21"/>
                <w:highlight w:val="none"/>
              </w:rPr>
            </w:pPr>
            <w:r>
              <w:rPr>
                <w:rFonts w:hint="eastAsia" w:hAnsi="宋体" w:cs="宋体"/>
                <w:color w:val="auto"/>
                <w:sz w:val="21"/>
                <w:szCs w:val="21"/>
                <w:highlight w:val="none"/>
              </w:rPr>
              <w:t>注：涉及联合体或其他合同主体的信息应按上表格式加列。</w:t>
            </w:r>
          </w:p>
        </w:tc>
      </w:tr>
    </w:tbl>
    <w:p w14:paraId="348B5F3A">
      <w:pPr>
        <w:pStyle w:val="3"/>
        <w:shd w:val="clear"/>
        <w:adjustRightInd w:val="0"/>
        <w:snapToGrid w:val="0"/>
        <w:spacing w:before="120" w:beforeLines="50"/>
        <w:jc w:val="center"/>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br w:type="page"/>
      </w:r>
      <w:bookmarkStart w:id="66" w:name="_Toc27624"/>
      <w:r>
        <w:rPr>
          <w:rFonts w:hint="eastAsia" w:ascii="宋体" w:hAnsi="宋体" w:cs="宋体"/>
          <w:color w:val="auto"/>
          <w:sz w:val="28"/>
          <w:szCs w:val="28"/>
          <w:highlight w:val="none"/>
        </w:rPr>
        <w:t>第二节 政府采购合同通用条款</w:t>
      </w:r>
      <w:bookmarkEnd w:id="66"/>
    </w:p>
    <w:p w14:paraId="6B483E6E">
      <w:pPr>
        <w:shd w:val="clear"/>
        <w:tabs>
          <w:tab w:val="left" w:pos="8820"/>
          <w:tab w:val="left" w:pos="9345"/>
          <w:tab w:val="left" w:pos="9765"/>
        </w:tabs>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 xml:space="preserve">1. </w:t>
      </w:r>
      <w:r>
        <w:rPr>
          <w:rFonts w:hint="eastAsia" w:ascii="宋体" w:hAnsi="宋体" w:cs="宋体"/>
          <w:b/>
          <w:bCs/>
          <w:color w:val="auto"/>
          <w:szCs w:val="21"/>
          <w:highlight w:val="none"/>
        </w:rPr>
        <w:t>定义</w:t>
      </w:r>
    </w:p>
    <w:p w14:paraId="02230144">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1.1合同当事人</w:t>
      </w:r>
    </w:p>
    <w:p w14:paraId="67FB1A69">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1E99B539">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4B29EC9B">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44CF1BDD">
      <w:pPr>
        <w:shd w:val="clea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1.2本合同下列术语应解释为：</w:t>
      </w:r>
    </w:p>
    <w:p w14:paraId="472C2F0C">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84654AC">
      <w:pPr>
        <w:shd w:val="clea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55144771">
      <w:pPr>
        <w:shd w:val="clea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72CB89F4">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5BA1EAC2">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A2B340D">
      <w:pPr>
        <w:shd w:val="clea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1CF1A546">
      <w:pPr>
        <w:shd w:val="clea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6131762F">
      <w:pPr>
        <w:numPr>
          <w:ilvl w:val="0"/>
          <w:numId w:val="5"/>
        </w:num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合同标的及金额</w:t>
      </w:r>
    </w:p>
    <w:p w14:paraId="4931791C">
      <w:pPr>
        <w:shd w:val="clear"/>
        <w:autoSpaceDE w:val="0"/>
        <w:autoSpaceDN w:val="0"/>
        <w:adjustRightInd w:val="0"/>
        <w:snapToGrid w:val="0"/>
        <w:spacing w:line="400" w:lineRule="exact"/>
        <w:ind w:firstLine="420" w:firstLineChars="200"/>
        <w:jc w:val="left"/>
        <w:rPr>
          <w:rFonts w:hint="eastAsia"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0EDB15B3">
      <w:pPr>
        <w:shd w:val="clear"/>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3. 履行合同的时间、地点和方式</w:t>
      </w:r>
    </w:p>
    <w:p w14:paraId="31C50D36">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32C885DD">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4. 甲方的权利和义务</w:t>
      </w:r>
    </w:p>
    <w:p w14:paraId="6F4D0B34">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C574AAA">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0C551F1E">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5E381140">
      <w:pPr>
        <w:shd w:val="clea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750F5B21">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68F4E89D">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4D522378">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5. 乙方的权利和义务</w:t>
      </w:r>
    </w:p>
    <w:p w14:paraId="1106504C">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4D31DF1D">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D302FDB">
      <w:pPr>
        <w:pStyle w:val="11"/>
        <w:shd w:val="clear"/>
        <w:spacing w:line="400" w:lineRule="exact"/>
        <w:ind w:firstLine="369" w:firstLineChars="176"/>
        <w:rPr>
          <w:rFonts w:hint="eastAsia" w:ascii="宋体" w:hAnsi="宋体" w:cs="宋体"/>
          <w:color w:val="auto"/>
          <w:sz w:val="21"/>
          <w:szCs w:val="21"/>
          <w:highlight w:val="none"/>
        </w:rPr>
      </w:pPr>
      <w:r>
        <w:rPr>
          <w:rFonts w:hint="eastAsia" w:ascii="宋体" w:hAnsi="宋体" w:cs="宋体"/>
          <w:color w:val="auto"/>
          <w:sz w:val="21"/>
          <w:szCs w:val="21"/>
          <w:highlight w:val="none"/>
        </w:rPr>
        <w:t>5.3乙方有权根据合同约定向甲方收取合同价款。</w:t>
      </w:r>
    </w:p>
    <w:p w14:paraId="55CA3570">
      <w:pPr>
        <w:pStyle w:val="11"/>
        <w:shd w:val="clear"/>
        <w:spacing w:line="400" w:lineRule="exact"/>
        <w:ind w:firstLine="369" w:firstLineChars="176"/>
        <w:rPr>
          <w:rFonts w:hint="eastAsia" w:ascii="宋体" w:hAnsi="宋体" w:cs="宋体"/>
          <w:color w:val="auto"/>
          <w:sz w:val="21"/>
          <w:szCs w:val="21"/>
          <w:highlight w:val="none"/>
        </w:rPr>
      </w:pPr>
      <w:r>
        <w:rPr>
          <w:rFonts w:hint="eastAsia" w:ascii="宋体" w:hAnsi="宋体" w:cs="宋体"/>
          <w:color w:val="auto"/>
          <w:sz w:val="21"/>
          <w:szCs w:val="21"/>
          <w:highlight w:val="none"/>
        </w:rPr>
        <w:t>5.4国家法律法规规定及</w:t>
      </w:r>
      <w:r>
        <w:rPr>
          <w:rFonts w:hint="eastAsia" w:ascii="宋体" w:hAnsi="宋体" w:cs="宋体"/>
          <w:b/>
          <w:bCs/>
          <w:color w:val="auto"/>
          <w:sz w:val="21"/>
          <w:szCs w:val="21"/>
          <w:highlight w:val="none"/>
        </w:rPr>
        <w:t>【政府采购合同专用条款】</w:t>
      </w:r>
      <w:r>
        <w:rPr>
          <w:rFonts w:hint="eastAsia" w:ascii="宋体" w:hAnsi="宋体" w:cs="宋体"/>
          <w:color w:val="auto"/>
          <w:sz w:val="21"/>
          <w:szCs w:val="21"/>
          <w:highlight w:val="none"/>
        </w:rPr>
        <w:t>约定应由乙方承担的其他义务和责任。</w:t>
      </w:r>
    </w:p>
    <w:p w14:paraId="698FD01A">
      <w:pPr>
        <w:numPr>
          <w:ilvl w:val="0"/>
          <w:numId w:val="6"/>
        </w:num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合同履行</w:t>
      </w:r>
    </w:p>
    <w:p w14:paraId="202A84CC">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213498C0">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E7C0745">
      <w:pPr>
        <w:shd w:val="clear"/>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7. 货物包装、运输、保险和交付要求</w:t>
      </w:r>
    </w:p>
    <w:p w14:paraId="49949D26">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497F3D57">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213DA61C">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6F2D76ED">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CDB2D9">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5CF7B433">
      <w:pPr>
        <w:pStyle w:val="114"/>
        <w:shd w:val="clear"/>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19EB4053">
      <w:pPr>
        <w:shd w:val="clear"/>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8. 质量标准和保证</w:t>
      </w:r>
    </w:p>
    <w:p w14:paraId="4C62A6B9">
      <w:pPr>
        <w:pStyle w:val="13"/>
        <w:shd w:val="clear"/>
        <w:adjustRightInd w:val="0"/>
        <w:snapToGrid w:val="0"/>
        <w:spacing w:before="120" w:after="120" w:line="400" w:lineRule="exact"/>
        <w:ind w:firstLine="420" w:firstLineChars="200"/>
        <w:jc w:val="left"/>
        <w:rPr>
          <w:rFonts w:hint="eastAsia" w:hAnsi="宋体" w:cs="宋体"/>
          <w:b/>
          <w:color w:val="auto"/>
          <w:sz w:val="21"/>
          <w:szCs w:val="21"/>
          <w:highlight w:val="none"/>
        </w:rPr>
      </w:pPr>
      <w:r>
        <w:rPr>
          <w:rFonts w:hint="eastAsia" w:hAnsi="宋体" w:cs="宋体"/>
          <w:color w:val="auto"/>
          <w:sz w:val="21"/>
          <w:szCs w:val="21"/>
          <w:highlight w:val="none"/>
        </w:rPr>
        <w:t>8.1 质量标准</w:t>
      </w:r>
    </w:p>
    <w:p w14:paraId="6B045D07">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70EAC4">
      <w:pPr>
        <w:pStyle w:val="13"/>
        <w:shd w:val="clear"/>
        <w:adjustRightInd w:val="0"/>
        <w:snapToGrid w:val="0"/>
        <w:spacing w:before="120" w:after="120" w:line="400" w:lineRule="exact"/>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（2）采用中华人民共和国法定计量单位。</w:t>
      </w:r>
    </w:p>
    <w:p w14:paraId="7CF9C85C">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4D8DBB0B">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6BB4881">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 保证</w:t>
      </w:r>
    </w:p>
    <w:p w14:paraId="7E511DD0">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5A04CA2">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5DFDF8FE">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9E24CC2">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F60FC55">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151DE322">
      <w:pPr>
        <w:shd w:val="clear"/>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9. 权利瑕疵担保</w:t>
      </w:r>
    </w:p>
    <w:p w14:paraId="457A5F8A">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4834BEFD">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9.2 乙方保证在交付的货物上不存在抵押权等担保物权。</w:t>
      </w:r>
    </w:p>
    <w:p w14:paraId="7FF01568">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6185D35D">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10. 知识产权保护</w:t>
      </w:r>
    </w:p>
    <w:p w14:paraId="5561E648">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21"/>
          <w:highlight w:val="none"/>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s="宋体"/>
          <w:color w:val="auto"/>
          <w:szCs w:val="21"/>
          <w:highlight w:val="none"/>
        </w:rPr>
        <w:t>。</w:t>
      </w:r>
    </w:p>
    <w:p w14:paraId="7BBD8CD0">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11. 保密义务</w:t>
      </w:r>
    </w:p>
    <w:p w14:paraId="01D8917D">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中约定。</w:t>
      </w:r>
    </w:p>
    <w:p w14:paraId="40080426">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12. 合同价款支付</w:t>
      </w:r>
    </w:p>
    <w:p w14:paraId="278451A3">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680E108B">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5D30B29F">
      <w:pPr>
        <w:pStyle w:val="11"/>
        <w:shd w:val="clear"/>
        <w:spacing w:line="40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 履约保证金</w:t>
      </w:r>
    </w:p>
    <w:p w14:paraId="0EB05B8D">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 乙方应当以支票、汇票、本票或者金融机构、担保机构出具的保函等非现金形式提交。</w:t>
      </w:r>
    </w:p>
    <w:p w14:paraId="70B9AB69">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EF9B902">
      <w:pPr>
        <w:shd w:val="clea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510E8997">
      <w:pPr>
        <w:shd w:val="clear"/>
        <w:autoSpaceDE w:val="0"/>
        <w:autoSpaceDN w:val="0"/>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bCs/>
          <w:color w:val="auto"/>
          <w:szCs w:val="21"/>
          <w:highlight w:val="none"/>
        </w:rPr>
        <w:t xml:space="preserve">14. </w:t>
      </w:r>
      <w:r>
        <w:rPr>
          <w:rFonts w:hint="eastAsia" w:ascii="宋体" w:hAnsi="宋体" w:cs="宋体"/>
          <w:b/>
          <w:color w:val="auto"/>
          <w:szCs w:val="21"/>
          <w:highlight w:val="none"/>
        </w:rPr>
        <w:t>售后服务</w:t>
      </w:r>
    </w:p>
    <w:p w14:paraId="1309F103">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32F0B0F0">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6ED2E108">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49595E9">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5520F4C2">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p>
    <w:p w14:paraId="6777E0AD">
      <w:pPr>
        <w:pStyle w:val="114"/>
        <w:shd w:val="clear"/>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B7B4AF0">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175900C2">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6DA92001">
      <w:pPr>
        <w:shd w:val="clear"/>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15. 违约责任</w:t>
      </w:r>
    </w:p>
    <w:p w14:paraId="5F69AE22">
      <w:pPr>
        <w:shd w:val="clea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15.1质量瑕疵的违约责任</w:t>
      </w:r>
    </w:p>
    <w:p w14:paraId="3019E28F">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7882459F">
      <w:pPr>
        <w:shd w:val="clear"/>
        <w:autoSpaceDE w:val="0"/>
        <w:autoSpaceDN w:val="0"/>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273D5512">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1DE81B">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096B7EB2">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 迟延支付的违约责任</w:t>
      </w:r>
    </w:p>
    <w:p w14:paraId="11F1E807">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0A482B7B">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2424F0BE">
      <w:pPr>
        <w:numPr>
          <w:ilvl w:val="0"/>
          <w:numId w:val="7"/>
        </w:numPr>
        <w:shd w:val="clear"/>
        <w:autoSpaceDE w:val="0"/>
        <w:autoSpaceDN w:val="0"/>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合同变更、中止与终止</w:t>
      </w:r>
    </w:p>
    <w:p w14:paraId="24E34284">
      <w:pPr>
        <w:shd w:val="clea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16.1合同的变更</w:t>
      </w:r>
    </w:p>
    <w:p w14:paraId="235E6EAD">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091B12F4">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16.2合同的中止</w:t>
      </w:r>
    </w:p>
    <w:p w14:paraId="5723FF43">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5A186F00">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B9A17A7">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6C905871">
      <w:pPr>
        <w:shd w:val="clea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5670305A">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16.3合同的终止</w:t>
      </w:r>
    </w:p>
    <w:p w14:paraId="1BE1AA8E">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（1）合同因有效期限届满而终止；</w:t>
      </w:r>
    </w:p>
    <w:p w14:paraId="1820453C">
      <w:pPr>
        <w:shd w:val="clea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24EBFB83">
      <w:pPr>
        <w:pStyle w:val="114"/>
        <w:shd w:val="clear"/>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16.4 </w:t>
      </w:r>
      <w:r>
        <w:rPr>
          <w:rFonts w:hint="eastAsia" w:ascii="宋体" w:hAnsi="宋体" w:eastAsia="宋体" w:cs="宋体"/>
          <w:color w:val="auto"/>
          <w:kern w:val="2"/>
          <w:sz w:val="21"/>
          <w:highlight w:val="none"/>
        </w:rPr>
        <w:t>涉及国家利益、社会公共利益的情形</w:t>
      </w:r>
    </w:p>
    <w:p w14:paraId="4959EA85">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1DCD39E">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17. 合同分包</w:t>
      </w:r>
    </w:p>
    <w:p w14:paraId="0A5777DF">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0423B516">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4FBA89A8">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18. 不可抗力</w:t>
      </w:r>
    </w:p>
    <w:p w14:paraId="4D73A244">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75CE9FB4">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46DF5D03">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9D17B3D">
      <w:pPr>
        <w:shd w:val="clear"/>
        <w:autoSpaceDE w:val="0"/>
        <w:autoSpaceDN w:val="0"/>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19. 解决争议的方法</w:t>
      </w:r>
    </w:p>
    <w:p w14:paraId="4CC07ADA">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BAABD7F">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7F77CAA">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F2C2B5A">
      <w:pPr>
        <w:shd w:val="clear"/>
        <w:autoSpaceDE w:val="0"/>
        <w:autoSpaceDN w:val="0"/>
        <w:adjustRightInd w:val="0"/>
        <w:snapToGrid w:val="0"/>
        <w:spacing w:line="400" w:lineRule="exact"/>
        <w:jc w:val="left"/>
        <w:rPr>
          <w:rFonts w:hint="eastAsia" w:ascii="宋体" w:hAnsi="宋体" w:cs="宋体"/>
          <w:color w:val="auto"/>
          <w:szCs w:val="21"/>
          <w:highlight w:val="none"/>
        </w:rPr>
      </w:pPr>
      <w:r>
        <w:rPr>
          <w:rFonts w:hint="eastAsia" w:ascii="宋体" w:hAnsi="宋体" w:cs="宋体"/>
          <w:b/>
          <w:color w:val="auto"/>
          <w:szCs w:val="21"/>
          <w:highlight w:val="none"/>
        </w:rPr>
        <w:t>20. 政府采购政策</w:t>
      </w:r>
    </w:p>
    <w:p w14:paraId="09DBEED1">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szCs w:val="21"/>
          <w:highlight w:val="none"/>
          <w:lang w:val="en-GB"/>
        </w:rPr>
        <w:t>本合同应当按照规定执行政府采购政策。</w:t>
      </w:r>
    </w:p>
    <w:p w14:paraId="686D9705">
      <w:pPr>
        <w:shd w:val="clea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本合同依法执行政府采购政策的方式和内容，属于合同履约验收的范围。甲乙双方</w:t>
      </w:r>
      <w:r>
        <w:rPr>
          <w:rFonts w:hint="eastAsia" w:ascii="宋体" w:hAnsi="宋体" w:cs="宋体"/>
          <w:color w:val="auto"/>
          <w:szCs w:val="21"/>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178EA09F">
      <w:pPr>
        <w:pStyle w:val="11"/>
        <w:shd w:val="clea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28C784">
      <w:pPr>
        <w:shd w:val="clear"/>
        <w:autoSpaceDE w:val="0"/>
        <w:autoSpaceDN w:val="0"/>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21. 法律适用</w:t>
      </w:r>
    </w:p>
    <w:p w14:paraId="3FE540B6">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66022D00">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6D12560B">
      <w:pPr>
        <w:shd w:val="clear"/>
        <w:autoSpaceDE w:val="0"/>
        <w:autoSpaceDN w:val="0"/>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22. 通知</w:t>
      </w:r>
    </w:p>
    <w:p w14:paraId="5E154181">
      <w:pPr>
        <w:pStyle w:val="114"/>
        <w:shd w:val="clear"/>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1E1522FA">
      <w:pPr>
        <w:pStyle w:val="114"/>
        <w:shd w:val="clear"/>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376A6DC">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4260890A">
      <w:pPr>
        <w:shd w:val="clea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587347E2">
      <w:pPr>
        <w:numPr>
          <w:ilvl w:val="0"/>
          <w:numId w:val="8"/>
        </w:numPr>
        <w:shd w:val="clear"/>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合同未尽事项</w:t>
      </w:r>
    </w:p>
    <w:p w14:paraId="3A032C44">
      <w:pPr>
        <w:shd w:val="clea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7F47ADEC">
      <w:pPr>
        <w:shd w:val="clear"/>
        <w:adjustRightInd w:val="0"/>
        <w:snapToGrid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 xml:space="preserve">    23.2 合同附件与合同正文具有同等的法律效力。</w:t>
      </w:r>
      <w:bookmarkStart w:id="68" w:name="_Toc20313"/>
    </w:p>
    <w:p w14:paraId="4118DBFB">
      <w:pPr>
        <w:pStyle w:val="3"/>
        <w:shd w:val="clear"/>
        <w:adjustRightInd w:val="0"/>
        <w:snapToGrid w:val="0"/>
        <w:spacing w:before="120" w:beforeLines="50" w:after="0"/>
        <w:jc w:val="center"/>
        <w:rPr>
          <w:rFonts w:hint="eastAsia" w:ascii="宋体" w:hAnsi="宋体" w:cs="宋体"/>
          <w:color w:val="auto"/>
          <w:sz w:val="28"/>
          <w:szCs w:val="28"/>
          <w:highlight w:val="none"/>
        </w:rPr>
      </w:pPr>
      <w:r>
        <w:rPr>
          <w:rFonts w:hint="eastAsia" w:ascii="宋体" w:hAnsi="宋体" w:cs="宋体"/>
          <w:color w:val="auto"/>
          <w:sz w:val="21"/>
          <w:szCs w:val="21"/>
          <w:highlight w:val="none"/>
        </w:rPr>
        <w:br w:type="page"/>
      </w:r>
      <w:r>
        <w:rPr>
          <w:rFonts w:hint="eastAsia" w:ascii="宋体" w:hAnsi="宋体" w:cs="宋体"/>
          <w:color w:val="auto"/>
          <w:sz w:val="28"/>
          <w:szCs w:val="28"/>
          <w:highlight w:val="none"/>
        </w:rPr>
        <w:t>第三节 政府采购合同专用条款</w:t>
      </w:r>
      <w:bookmarkEnd w:id="68"/>
    </w:p>
    <w:tbl>
      <w:tblPr>
        <w:tblStyle w:val="27"/>
        <w:tblW w:w="92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2"/>
        <w:gridCol w:w="2125"/>
        <w:gridCol w:w="5170"/>
      </w:tblGrid>
      <w:tr w14:paraId="52905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2FAB5011">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6F4CFAF">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2125" w:type="dxa"/>
            <w:vAlign w:val="center"/>
          </w:tcPr>
          <w:p w14:paraId="786C89F3">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5170" w:type="dxa"/>
            <w:vAlign w:val="center"/>
          </w:tcPr>
          <w:p w14:paraId="65E7F94D">
            <w:pPr>
              <w:shd w:val="clear"/>
              <w:adjustRightInd w:val="0"/>
              <w:snapToGrid w:val="0"/>
              <w:jc w:val="left"/>
              <w:rPr>
                <w:rFonts w:hint="eastAsia" w:ascii="宋体" w:hAnsi="宋体" w:cs="宋体"/>
                <w:color w:val="auto"/>
                <w:szCs w:val="21"/>
                <w:highlight w:val="none"/>
              </w:rPr>
            </w:pPr>
          </w:p>
        </w:tc>
      </w:tr>
      <w:tr w14:paraId="6D179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972" w:type="dxa"/>
            <w:vAlign w:val="center"/>
          </w:tcPr>
          <w:p w14:paraId="651FE982">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3F4F269">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2125" w:type="dxa"/>
            <w:vAlign w:val="center"/>
          </w:tcPr>
          <w:p w14:paraId="35BFAE1E">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5170" w:type="dxa"/>
            <w:vAlign w:val="center"/>
          </w:tcPr>
          <w:p w14:paraId="7E822045">
            <w:pPr>
              <w:shd w:val="clear"/>
              <w:adjustRightInd w:val="0"/>
              <w:snapToGrid w:val="0"/>
              <w:jc w:val="left"/>
              <w:rPr>
                <w:rFonts w:hint="eastAsia" w:ascii="宋体" w:hAnsi="宋体" w:cs="宋体"/>
                <w:color w:val="auto"/>
                <w:szCs w:val="21"/>
                <w:highlight w:val="none"/>
              </w:rPr>
            </w:pPr>
          </w:p>
        </w:tc>
      </w:tr>
      <w:tr w14:paraId="30129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006FD1B4">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8665938">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2125" w:type="dxa"/>
            <w:vAlign w:val="center"/>
          </w:tcPr>
          <w:p w14:paraId="6C77EC41">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170" w:type="dxa"/>
            <w:vAlign w:val="center"/>
          </w:tcPr>
          <w:p w14:paraId="4AA3DC0C">
            <w:pPr>
              <w:shd w:val="clear"/>
              <w:adjustRightInd w:val="0"/>
              <w:snapToGrid w:val="0"/>
              <w:jc w:val="left"/>
              <w:rPr>
                <w:rFonts w:hint="eastAsia" w:ascii="宋体" w:hAnsi="宋体" w:cs="宋体"/>
                <w:color w:val="auto"/>
                <w:szCs w:val="21"/>
                <w:highlight w:val="none"/>
              </w:rPr>
            </w:pPr>
          </w:p>
        </w:tc>
      </w:tr>
      <w:tr w14:paraId="42F45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35929ACF">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E5978B7">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2125" w:type="dxa"/>
            <w:vAlign w:val="center"/>
          </w:tcPr>
          <w:p w14:paraId="780084A1">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170" w:type="dxa"/>
            <w:vAlign w:val="center"/>
          </w:tcPr>
          <w:p w14:paraId="0F9D2C71">
            <w:pPr>
              <w:shd w:val="clear"/>
              <w:adjustRightInd w:val="0"/>
              <w:snapToGrid w:val="0"/>
              <w:jc w:val="left"/>
              <w:rPr>
                <w:rFonts w:hint="eastAsia" w:ascii="宋体" w:hAnsi="宋体" w:cs="宋体"/>
                <w:color w:val="auto"/>
                <w:szCs w:val="21"/>
                <w:highlight w:val="none"/>
              </w:rPr>
            </w:pPr>
          </w:p>
        </w:tc>
      </w:tr>
      <w:tr w14:paraId="3CA8C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2FEBF4BE">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6ECB8FB">
            <w:pPr>
              <w:shd w:val="clea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第5.4款</w:t>
            </w:r>
          </w:p>
        </w:tc>
        <w:tc>
          <w:tcPr>
            <w:tcW w:w="2125" w:type="dxa"/>
            <w:vAlign w:val="center"/>
          </w:tcPr>
          <w:p w14:paraId="0E89F8E7">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170" w:type="dxa"/>
            <w:vAlign w:val="center"/>
          </w:tcPr>
          <w:p w14:paraId="2581CDED">
            <w:pPr>
              <w:shd w:val="clear"/>
              <w:adjustRightInd w:val="0"/>
              <w:snapToGrid w:val="0"/>
              <w:jc w:val="left"/>
              <w:rPr>
                <w:rFonts w:hint="eastAsia" w:ascii="宋体" w:hAnsi="宋体" w:cs="宋体"/>
                <w:color w:val="auto"/>
                <w:szCs w:val="21"/>
                <w:highlight w:val="none"/>
              </w:rPr>
            </w:pPr>
          </w:p>
        </w:tc>
      </w:tr>
      <w:tr w14:paraId="52023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5E2CF43A">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91D8851">
            <w:pPr>
              <w:shd w:val="clea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2125" w:type="dxa"/>
            <w:vAlign w:val="center"/>
          </w:tcPr>
          <w:p w14:paraId="74A04CEE">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5170" w:type="dxa"/>
            <w:vAlign w:val="center"/>
          </w:tcPr>
          <w:p w14:paraId="775F9A2D">
            <w:pPr>
              <w:shd w:val="clear"/>
              <w:adjustRightInd w:val="0"/>
              <w:snapToGrid w:val="0"/>
              <w:jc w:val="left"/>
              <w:rPr>
                <w:rFonts w:hint="eastAsia" w:ascii="宋体" w:hAnsi="宋体" w:cs="宋体"/>
                <w:color w:val="auto"/>
                <w:szCs w:val="21"/>
                <w:highlight w:val="none"/>
              </w:rPr>
            </w:pPr>
          </w:p>
        </w:tc>
      </w:tr>
      <w:tr w14:paraId="74D111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72" w:type="dxa"/>
            <w:vMerge w:val="restart"/>
            <w:vAlign w:val="center"/>
          </w:tcPr>
          <w:p w14:paraId="22575A72">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1C4E696">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2125" w:type="dxa"/>
            <w:vAlign w:val="center"/>
          </w:tcPr>
          <w:p w14:paraId="4AD89A18">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5170" w:type="dxa"/>
            <w:vAlign w:val="center"/>
          </w:tcPr>
          <w:p w14:paraId="4419594B">
            <w:pPr>
              <w:shd w:val="clear"/>
              <w:rPr>
                <w:rFonts w:hint="eastAsia" w:ascii="宋体" w:hAnsi="宋体" w:cs="宋体"/>
                <w:color w:val="auto"/>
                <w:szCs w:val="21"/>
                <w:highlight w:val="none"/>
              </w:rPr>
            </w:pPr>
          </w:p>
        </w:tc>
      </w:tr>
      <w:tr w14:paraId="488251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72" w:type="dxa"/>
            <w:vMerge w:val="continue"/>
            <w:vAlign w:val="center"/>
          </w:tcPr>
          <w:p w14:paraId="0CB29AB5">
            <w:pPr>
              <w:shd w:val="clear"/>
              <w:adjustRightInd w:val="0"/>
              <w:snapToGrid w:val="0"/>
              <w:jc w:val="center"/>
              <w:rPr>
                <w:rFonts w:hint="eastAsia" w:ascii="宋体" w:hAnsi="宋体" w:cs="宋体"/>
                <w:color w:val="auto"/>
                <w:szCs w:val="21"/>
                <w:highlight w:val="none"/>
              </w:rPr>
            </w:pPr>
          </w:p>
        </w:tc>
        <w:tc>
          <w:tcPr>
            <w:tcW w:w="2125" w:type="dxa"/>
            <w:vAlign w:val="center"/>
          </w:tcPr>
          <w:p w14:paraId="31F47A7A">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5170" w:type="dxa"/>
            <w:vAlign w:val="center"/>
          </w:tcPr>
          <w:p w14:paraId="74AA6C22">
            <w:pPr>
              <w:shd w:val="clear"/>
              <w:rPr>
                <w:rFonts w:hint="eastAsia" w:ascii="宋体" w:hAnsi="宋体" w:cs="宋体"/>
                <w:color w:val="auto"/>
                <w:szCs w:val="21"/>
                <w:highlight w:val="none"/>
              </w:rPr>
            </w:pPr>
          </w:p>
        </w:tc>
      </w:tr>
      <w:tr w14:paraId="395EFD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972" w:type="dxa"/>
            <w:vAlign w:val="center"/>
          </w:tcPr>
          <w:p w14:paraId="03199F8D">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67BA815">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2125" w:type="dxa"/>
            <w:vAlign w:val="center"/>
          </w:tcPr>
          <w:p w14:paraId="6980255D">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5170" w:type="dxa"/>
            <w:vAlign w:val="center"/>
          </w:tcPr>
          <w:p w14:paraId="0E853A72">
            <w:pPr>
              <w:shd w:val="clear"/>
              <w:rPr>
                <w:rFonts w:hint="eastAsia" w:ascii="宋体" w:hAnsi="宋体" w:cs="宋体"/>
                <w:color w:val="auto"/>
                <w:szCs w:val="21"/>
                <w:highlight w:val="none"/>
              </w:rPr>
            </w:pPr>
          </w:p>
        </w:tc>
      </w:tr>
      <w:tr w14:paraId="43F4CB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72" w:type="dxa"/>
            <w:vAlign w:val="center"/>
          </w:tcPr>
          <w:p w14:paraId="14312461">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0C21682">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2125" w:type="dxa"/>
            <w:vAlign w:val="center"/>
          </w:tcPr>
          <w:p w14:paraId="32AA5D58">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5170" w:type="dxa"/>
            <w:vAlign w:val="center"/>
          </w:tcPr>
          <w:p w14:paraId="0AAE737C">
            <w:pPr>
              <w:shd w:val="clear"/>
              <w:rPr>
                <w:rFonts w:hint="eastAsia" w:ascii="宋体" w:hAnsi="宋体" w:cs="宋体"/>
                <w:color w:val="auto"/>
                <w:szCs w:val="21"/>
                <w:highlight w:val="none"/>
              </w:rPr>
            </w:pPr>
          </w:p>
        </w:tc>
      </w:tr>
      <w:tr w14:paraId="77A2D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4204E982">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2141C7C">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2125" w:type="dxa"/>
            <w:vAlign w:val="center"/>
          </w:tcPr>
          <w:p w14:paraId="41760022">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5170" w:type="dxa"/>
            <w:vAlign w:val="center"/>
          </w:tcPr>
          <w:p w14:paraId="73CAD670">
            <w:pPr>
              <w:shd w:val="clear"/>
              <w:autoSpaceDE w:val="0"/>
              <w:autoSpaceDN w:val="0"/>
              <w:adjustRightInd w:val="0"/>
              <w:snapToGrid w:val="0"/>
              <w:ind w:firstLine="420" w:firstLineChars="200"/>
              <w:jc w:val="left"/>
              <w:rPr>
                <w:rFonts w:hint="eastAsia" w:ascii="宋体" w:hAnsi="宋体" w:cs="宋体"/>
                <w:color w:val="auto"/>
                <w:szCs w:val="21"/>
                <w:highlight w:val="none"/>
              </w:rPr>
            </w:pPr>
          </w:p>
        </w:tc>
      </w:tr>
      <w:tr w14:paraId="7152E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4CDC5934">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34E24F3">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2125" w:type="dxa"/>
            <w:vAlign w:val="center"/>
          </w:tcPr>
          <w:p w14:paraId="5A6A8081">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14:paraId="3FAA2EE8">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5170" w:type="dxa"/>
            <w:vAlign w:val="center"/>
          </w:tcPr>
          <w:p w14:paraId="161C1D93">
            <w:pPr>
              <w:shd w:val="clear"/>
              <w:adjustRightInd w:val="0"/>
              <w:snapToGrid w:val="0"/>
              <w:jc w:val="left"/>
              <w:rPr>
                <w:rFonts w:hint="eastAsia" w:ascii="宋体" w:hAnsi="宋体" w:cs="宋体"/>
                <w:color w:val="auto"/>
                <w:szCs w:val="21"/>
                <w:highlight w:val="none"/>
              </w:rPr>
            </w:pPr>
          </w:p>
        </w:tc>
      </w:tr>
      <w:tr w14:paraId="6FEAC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18C60958">
            <w:pPr>
              <w:shd w:val="clea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8A4E3B0">
            <w:pPr>
              <w:pStyle w:val="114"/>
              <w:shd w:val="clear"/>
              <w:ind w:firstLine="0" w:firstLine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第11.1款</w:t>
            </w:r>
          </w:p>
        </w:tc>
        <w:tc>
          <w:tcPr>
            <w:tcW w:w="2125" w:type="dxa"/>
            <w:vAlign w:val="center"/>
          </w:tcPr>
          <w:p w14:paraId="7DB09403">
            <w:pPr>
              <w:shd w:val="clea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5170" w:type="dxa"/>
            <w:vAlign w:val="center"/>
          </w:tcPr>
          <w:p w14:paraId="3A1DCA00">
            <w:pPr>
              <w:shd w:val="clear"/>
              <w:adjustRightInd w:val="0"/>
              <w:snapToGrid w:val="0"/>
              <w:jc w:val="left"/>
              <w:rPr>
                <w:rFonts w:hint="eastAsia" w:ascii="宋体" w:hAnsi="宋体" w:cs="宋体"/>
                <w:color w:val="auto"/>
                <w:szCs w:val="21"/>
                <w:highlight w:val="none"/>
              </w:rPr>
            </w:pPr>
          </w:p>
        </w:tc>
      </w:tr>
      <w:tr w14:paraId="0EED4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72" w:type="dxa"/>
            <w:vAlign w:val="center"/>
          </w:tcPr>
          <w:p w14:paraId="00956660">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05D043B">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2125" w:type="dxa"/>
            <w:vAlign w:val="center"/>
          </w:tcPr>
          <w:p w14:paraId="630BDDA2">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5170" w:type="dxa"/>
            <w:vAlign w:val="center"/>
          </w:tcPr>
          <w:p w14:paraId="02BA7D32">
            <w:pPr>
              <w:shd w:val="clear"/>
              <w:adjustRightInd w:val="0"/>
              <w:snapToGrid w:val="0"/>
              <w:jc w:val="left"/>
              <w:rPr>
                <w:rFonts w:hint="eastAsia" w:ascii="宋体" w:hAnsi="宋体" w:cs="宋体"/>
                <w:color w:val="auto"/>
                <w:szCs w:val="21"/>
                <w:highlight w:val="none"/>
              </w:rPr>
            </w:pPr>
          </w:p>
        </w:tc>
      </w:tr>
      <w:tr w14:paraId="38DBEF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72" w:type="dxa"/>
            <w:vAlign w:val="center"/>
          </w:tcPr>
          <w:p w14:paraId="53E1641D">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05AA569">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2125" w:type="dxa"/>
            <w:vAlign w:val="center"/>
          </w:tcPr>
          <w:p w14:paraId="0DFB5EBB">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170" w:type="dxa"/>
            <w:vAlign w:val="center"/>
          </w:tcPr>
          <w:p w14:paraId="640525B8">
            <w:pPr>
              <w:shd w:val="clear"/>
              <w:adjustRightInd w:val="0"/>
              <w:snapToGrid w:val="0"/>
              <w:jc w:val="left"/>
              <w:rPr>
                <w:rFonts w:hint="eastAsia" w:ascii="宋体" w:hAnsi="宋体" w:cs="宋体"/>
                <w:color w:val="auto"/>
                <w:szCs w:val="21"/>
                <w:highlight w:val="none"/>
              </w:rPr>
            </w:pPr>
          </w:p>
        </w:tc>
      </w:tr>
      <w:tr w14:paraId="0F78F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06D4A4D5">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09D682C">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2125" w:type="dxa"/>
            <w:vAlign w:val="center"/>
          </w:tcPr>
          <w:p w14:paraId="5EC99999">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170" w:type="dxa"/>
            <w:vAlign w:val="center"/>
          </w:tcPr>
          <w:p w14:paraId="061798C7">
            <w:pPr>
              <w:shd w:val="clear"/>
              <w:adjustRightInd w:val="0"/>
              <w:snapToGrid w:val="0"/>
              <w:jc w:val="left"/>
              <w:rPr>
                <w:rFonts w:hint="eastAsia" w:ascii="宋体" w:hAnsi="宋体" w:cs="宋体"/>
                <w:color w:val="auto"/>
                <w:szCs w:val="21"/>
                <w:highlight w:val="none"/>
              </w:rPr>
            </w:pPr>
          </w:p>
        </w:tc>
      </w:tr>
      <w:tr w14:paraId="0DBFAD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72" w:type="dxa"/>
            <w:vAlign w:val="center"/>
          </w:tcPr>
          <w:p w14:paraId="15561769">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2459876">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2125" w:type="dxa"/>
            <w:vAlign w:val="center"/>
          </w:tcPr>
          <w:p w14:paraId="3EA410D0">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5170" w:type="dxa"/>
            <w:vAlign w:val="center"/>
          </w:tcPr>
          <w:p w14:paraId="638B5568">
            <w:pPr>
              <w:shd w:val="clear"/>
              <w:adjustRightInd w:val="0"/>
              <w:snapToGrid w:val="0"/>
              <w:jc w:val="left"/>
              <w:rPr>
                <w:rFonts w:hint="eastAsia" w:ascii="宋体" w:hAnsi="宋体" w:cs="宋体"/>
                <w:color w:val="auto"/>
                <w:szCs w:val="21"/>
                <w:highlight w:val="none"/>
              </w:rPr>
            </w:pPr>
          </w:p>
        </w:tc>
      </w:tr>
      <w:tr w14:paraId="206E7A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72" w:type="dxa"/>
            <w:vAlign w:val="center"/>
          </w:tcPr>
          <w:p w14:paraId="14F52CDF">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487CF81">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2125" w:type="dxa"/>
            <w:vAlign w:val="center"/>
          </w:tcPr>
          <w:p w14:paraId="7756E321">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5170" w:type="dxa"/>
            <w:vAlign w:val="center"/>
          </w:tcPr>
          <w:p w14:paraId="4603BC74">
            <w:pPr>
              <w:shd w:val="clear"/>
              <w:adjustRightInd w:val="0"/>
              <w:snapToGrid w:val="0"/>
              <w:jc w:val="left"/>
              <w:rPr>
                <w:rFonts w:hint="eastAsia" w:ascii="宋体" w:hAnsi="宋体" w:cs="宋体"/>
                <w:color w:val="auto"/>
                <w:szCs w:val="21"/>
                <w:highlight w:val="none"/>
              </w:rPr>
            </w:pPr>
          </w:p>
        </w:tc>
      </w:tr>
      <w:tr w14:paraId="02E0E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40D78C5B">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393F588">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2125" w:type="dxa"/>
            <w:vAlign w:val="center"/>
          </w:tcPr>
          <w:p w14:paraId="3263A389">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5170" w:type="dxa"/>
            <w:vAlign w:val="center"/>
          </w:tcPr>
          <w:p w14:paraId="348548E4">
            <w:pPr>
              <w:shd w:val="clear"/>
              <w:adjustRightInd w:val="0"/>
              <w:snapToGrid w:val="0"/>
              <w:jc w:val="left"/>
              <w:rPr>
                <w:rFonts w:hint="eastAsia" w:ascii="宋体" w:hAnsi="宋体" w:cs="宋体"/>
                <w:color w:val="auto"/>
                <w:szCs w:val="21"/>
                <w:highlight w:val="none"/>
              </w:rPr>
            </w:pPr>
          </w:p>
        </w:tc>
      </w:tr>
      <w:tr w14:paraId="53B5D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6EF189F5">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FA2BAFD">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2125" w:type="dxa"/>
            <w:vAlign w:val="center"/>
          </w:tcPr>
          <w:p w14:paraId="1CBD90F1">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170" w:type="dxa"/>
            <w:vAlign w:val="center"/>
          </w:tcPr>
          <w:p w14:paraId="50336881">
            <w:pPr>
              <w:shd w:val="clear"/>
              <w:adjustRightInd w:val="0"/>
              <w:snapToGrid w:val="0"/>
              <w:jc w:val="left"/>
              <w:rPr>
                <w:rFonts w:hint="eastAsia" w:ascii="宋体" w:hAnsi="宋体" w:cs="宋体"/>
                <w:color w:val="auto"/>
                <w:szCs w:val="21"/>
                <w:highlight w:val="none"/>
              </w:rPr>
            </w:pPr>
          </w:p>
        </w:tc>
      </w:tr>
      <w:tr w14:paraId="1D4B3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6279E8F2">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EE7AD21">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2125" w:type="dxa"/>
            <w:vAlign w:val="center"/>
          </w:tcPr>
          <w:p w14:paraId="2D23FB68">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5170" w:type="dxa"/>
            <w:vAlign w:val="center"/>
          </w:tcPr>
          <w:p w14:paraId="795B2910">
            <w:pPr>
              <w:shd w:val="clear"/>
              <w:adjustRightInd w:val="0"/>
              <w:snapToGrid w:val="0"/>
              <w:jc w:val="left"/>
              <w:rPr>
                <w:rFonts w:hint="eastAsia" w:ascii="宋体" w:hAnsi="宋体" w:cs="宋体"/>
                <w:color w:val="auto"/>
                <w:szCs w:val="21"/>
                <w:highlight w:val="none"/>
                <w:u w:val="single"/>
              </w:rPr>
            </w:pPr>
          </w:p>
        </w:tc>
      </w:tr>
      <w:tr w14:paraId="28A55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72" w:type="dxa"/>
            <w:vAlign w:val="center"/>
          </w:tcPr>
          <w:p w14:paraId="298F93B8">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CE92234">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2125" w:type="dxa"/>
            <w:vAlign w:val="center"/>
          </w:tcPr>
          <w:p w14:paraId="1A31D1B8">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5170" w:type="dxa"/>
            <w:vAlign w:val="center"/>
          </w:tcPr>
          <w:p w14:paraId="71E5A69B">
            <w:pPr>
              <w:shd w:val="clear"/>
              <w:adjustRightInd w:val="0"/>
              <w:snapToGrid w:val="0"/>
              <w:jc w:val="left"/>
              <w:rPr>
                <w:rFonts w:hint="eastAsia" w:ascii="宋体" w:hAnsi="宋体" w:cs="宋体"/>
                <w:color w:val="auto"/>
                <w:szCs w:val="21"/>
                <w:highlight w:val="none"/>
                <w:u w:val="single"/>
              </w:rPr>
            </w:pPr>
          </w:p>
        </w:tc>
      </w:tr>
      <w:tr w14:paraId="699807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972" w:type="dxa"/>
            <w:tcBorders>
              <w:bottom w:val="single" w:color="auto" w:sz="2" w:space="0"/>
              <w:right w:val="single" w:color="auto" w:sz="2" w:space="0"/>
            </w:tcBorders>
            <w:vAlign w:val="center"/>
          </w:tcPr>
          <w:p w14:paraId="0FE3BCD3">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DC209F6">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2125" w:type="dxa"/>
            <w:tcBorders>
              <w:left w:val="single" w:color="auto" w:sz="2" w:space="0"/>
              <w:bottom w:val="single" w:color="auto" w:sz="2" w:space="0"/>
              <w:right w:val="single" w:color="auto" w:sz="2" w:space="0"/>
            </w:tcBorders>
            <w:vAlign w:val="center"/>
          </w:tcPr>
          <w:p w14:paraId="63BA55B0">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5170" w:type="dxa"/>
            <w:tcBorders>
              <w:left w:val="single" w:color="auto" w:sz="2" w:space="0"/>
              <w:bottom w:val="single" w:color="auto" w:sz="2" w:space="0"/>
            </w:tcBorders>
            <w:vAlign w:val="center"/>
          </w:tcPr>
          <w:p w14:paraId="35051B94">
            <w:pPr>
              <w:shd w:val="clear"/>
              <w:adjustRightInd w:val="0"/>
              <w:snapToGrid w:val="0"/>
              <w:jc w:val="left"/>
              <w:rPr>
                <w:rFonts w:hint="eastAsia" w:ascii="宋体" w:hAnsi="宋体" w:cs="宋体"/>
                <w:color w:val="auto"/>
                <w:szCs w:val="21"/>
                <w:highlight w:val="none"/>
                <w:u w:val="single"/>
              </w:rPr>
            </w:pPr>
          </w:p>
        </w:tc>
      </w:tr>
      <w:tr w14:paraId="4FF79F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72" w:type="dxa"/>
            <w:tcBorders>
              <w:top w:val="single" w:color="auto" w:sz="2" w:space="0"/>
              <w:right w:val="single" w:color="auto" w:sz="2" w:space="0"/>
            </w:tcBorders>
            <w:vAlign w:val="center"/>
          </w:tcPr>
          <w:p w14:paraId="4F0CCCCA">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BA62A20">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2125" w:type="dxa"/>
            <w:tcBorders>
              <w:top w:val="single" w:color="auto" w:sz="2" w:space="0"/>
              <w:left w:val="single" w:color="auto" w:sz="2" w:space="0"/>
              <w:right w:val="single" w:color="auto" w:sz="2" w:space="0"/>
            </w:tcBorders>
            <w:vAlign w:val="center"/>
          </w:tcPr>
          <w:p w14:paraId="4E8F9205">
            <w:pPr>
              <w:shd w:val="clea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5170" w:type="dxa"/>
            <w:tcBorders>
              <w:top w:val="single" w:color="auto" w:sz="2" w:space="0"/>
              <w:left w:val="single" w:color="auto" w:sz="2" w:space="0"/>
            </w:tcBorders>
            <w:vAlign w:val="center"/>
          </w:tcPr>
          <w:p w14:paraId="30967165">
            <w:pPr>
              <w:shd w:val="clea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3328435D">
            <w:pPr>
              <w:shd w:val="clea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675ABEBA">
            <w:pPr>
              <w:shd w:val="clear"/>
              <w:adjustRightInd w:val="0"/>
              <w:snapToGrid w:val="0"/>
              <w:jc w:val="left"/>
              <w:rPr>
                <w:rFonts w:hint="eastAsia"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1EF697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972" w:type="dxa"/>
            <w:vAlign w:val="center"/>
          </w:tcPr>
          <w:p w14:paraId="1BAF241C">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E8079AC">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2125" w:type="dxa"/>
            <w:vAlign w:val="center"/>
          </w:tcPr>
          <w:p w14:paraId="0C962865">
            <w:pPr>
              <w:shd w:val="clear"/>
              <w:adjustRightInd w:val="0"/>
              <w:snapToGrid w:val="0"/>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5170" w:type="dxa"/>
            <w:vAlign w:val="center"/>
          </w:tcPr>
          <w:p w14:paraId="031A1F88">
            <w:pPr>
              <w:shd w:val="clear"/>
              <w:adjustRightInd w:val="0"/>
              <w:snapToGrid w:val="0"/>
              <w:jc w:val="left"/>
              <w:rPr>
                <w:rFonts w:hint="eastAsia" w:ascii="宋体" w:hAnsi="宋体" w:cs="宋体"/>
                <w:color w:val="auto"/>
                <w:szCs w:val="21"/>
                <w:highlight w:val="none"/>
              </w:rPr>
            </w:pPr>
          </w:p>
        </w:tc>
      </w:tr>
    </w:tbl>
    <w:p w14:paraId="4A31D090">
      <w:pPr>
        <w:pStyle w:val="13"/>
        <w:shd w:val="clear"/>
        <w:spacing w:before="120" w:after="120" w:line="360" w:lineRule="auto"/>
        <w:jc w:val="center"/>
        <w:outlineLvl w:val="0"/>
        <w:rPr>
          <w:rFonts w:hint="eastAsia" w:hAnsi="宋体" w:cs="宋体"/>
          <w:color w:val="auto"/>
          <w:sz w:val="28"/>
          <w:highlight w:val="none"/>
        </w:rPr>
      </w:pPr>
      <w:r>
        <w:rPr>
          <w:rFonts w:hint="eastAsia" w:hAnsi="宋体" w:cs="宋体"/>
          <w:color w:val="auto"/>
          <w:szCs w:val="21"/>
          <w:highlight w:val="none"/>
          <w:lang w:val="zh-CN"/>
        </w:rPr>
        <w:br w:type="page"/>
      </w:r>
      <w:r>
        <w:rPr>
          <w:rFonts w:hint="eastAsia" w:hAnsi="宋体" w:cs="宋体"/>
          <w:b/>
          <w:color w:val="auto"/>
          <w:sz w:val="32"/>
          <w:szCs w:val="32"/>
          <w:highlight w:val="none"/>
        </w:rPr>
        <w:t>第八章  投标文件部分格式</w:t>
      </w:r>
    </w:p>
    <w:p w14:paraId="3A773C77">
      <w:pPr>
        <w:shd w:val="clear"/>
        <w:wordWrap w:val="0"/>
        <w:adjustRightInd w:val="0"/>
        <w:snapToGrid w:val="0"/>
        <w:spacing w:line="288" w:lineRule="auto"/>
        <w:rPr>
          <w:rFonts w:hint="eastAsia" w:ascii="宋体" w:hAnsi="宋体" w:cs="宋体"/>
          <w:b/>
          <w:bCs/>
          <w:color w:val="auto"/>
          <w:spacing w:val="-6"/>
          <w:sz w:val="24"/>
          <w:szCs w:val="24"/>
          <w:highlight w:val="none"/>
        </w:rPr>
      </w:pPr>
    </w:p>
    <w:p w14:paraId="075B21FD">
      <w:pPr>
        <w:shd w:val="clear"/>
        <w:wordWrap w:val="0"/>
        <w:adjustRightInd w:val="0"/>
        <w:snapToGrid w:val="0"/>
        <w:spacing w:line="360" w:lineRule="auto"/>
        <w:jc w:val="center"/>
        <w:rPr>
          <w:rFonts w:hint="eastAsia" w:ascii="宋体" w:hAnsi="宋体" w:cs="宋体"/>
          <w:b/>
          <w:bCs/>
          <w:color w:val="auto"/>
          <w:spacing w:val="-6"/>
          <w:szCs w:val="21"/>
          <w:highlight w:val="none"/>
        </w:rPr>
      </w:pPr>
    </w:p>
    <w:p w14:paraId="003FC07A">
      <w:pPr>
        <w:pStyle w:val="19"/>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b/>
          <w:color w:val="auto"/>
          <w:sz w:val="21"/>
          <w:szCs w:val="21"/>
          <w:highlight w:val="none"/>
        </w:rPr>
        <w:t>资格响应文件</w:t>
      </w:r>
      <w:r>
        <w:rPr>
          <w:rFonts w:hint="eastAsia" w:ascii="宋体" w:hAnsi="宋体" w:cs="宋体"/>
          <w:color w:val="auto"/>
          <w:sz w:val="21"/>
          <w:szCs w:val="21"/>
          <w:highlight w:val="none"/>
        </w:rPr>
        <w:t>部分格式：</w:t>
      </w:r>
    </w:p>
    <w:p w14:paraId="2E9DB9C1">
      <w:pPr>
        <w:pStyle w:val="19"/>
        <w:shd w:val="clea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（1）有效的法人或者其他组织的营业执照等文件，自然人的身份证</w:t>
      </w:r>
    </w:p>
    <w:p w14:paraId="313BF076">
      <w:pPr>
        <w:pStyle w:val="19"/>
        <w:shd w:val="clea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（2）符合参加政府采购活动应当具备的一般条件的承诺函</w:t>
      </w:r>
    </w:p>
    <w:p w14:paraId="79F8D05E">
      <w:pPr>
        <w:pStyle w:val="19"/>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b/>
          <w:color w:val="auto"/>
          <w:sz w:val="21"/>
          <w:szCs w:val="21"/>
          <w:highlight w:val="none"/>
        </w:rPr>
        <w:t>商务技术响应文件</w:t>
      </w:r>
      <w:r>
        <w:rPr>
          <w:rFonts w:hint="eastAsia" w:ascii="宋体" w:hAnsi="宋体" w:cs="宋体"/>
          <w:color w:val="auto"/>
          <w:sz w:val="21"/>
          <w:szCs w:val="21"/>
          <w:highlight w:val="none"/>
        </w:rPr>
        <w:t>部分格式：</w:t>
      </w:r>
    </w:p>
    <w:p w14:paraId="672C8168">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（1）授权委托书/法定代表人（单位负责人、自然人本人）身份证</w:t>
      </w:r>
    </w:p>
    <w:p w14:paraId="0056F202">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（2）投标人同类业绩一览表</w:t>
      </w:r>
    </w:p>
    <w:p w14:paraId="7D6E12A7">
      <w:pPr>
        <w:shd w:val="clear"/>
        <w:tabs>
          <w:tab w:val="left" w:pos="1050"/>
        </w:tabs>
        <w:spacing w:line="360" w:lineRule="auto"/>
        <w:ind w:left="528"/>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（3）软件著作权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数据来源</w:t>
      </w:r>
    </w:p>
    <w:p w14:paraId="22A48298">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（4）采购需求偏离表</w:t>
      </w:r>
    </w:p>
    <w:p w14:paraId="19891FB7">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（5）货物配置清单</w:t>
      </w:r>
    </w:p>
    <w:p w14:paraId="73D3BC8B">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bidi="ar"/>
        </w:rPr>
        <w:t>技术方案</w:t>
      </w:r>
    </w:p>
    <w:p w14:paraId="77CF7BED">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（7）售后服务方案</w:t>
      </w:r>
    </w:p>
    <w:p w14:paraId="42B4720D">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（8）培训方案</w:t>
      </w:r>
    </w:p>
    <w:p w14:paraId="65B53EFB">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★（9）义乌市政府采购项目投标承诺书</w:t>
      </w:r>
    </w:p>
    <w:p w14:paraId="3ABF356C">
      <w:pPr>
        <w:shd w:val="clear"/>
        <w:tabs>
          <w:tab w:val="left" w:pos="1050"/>
        </w:tabs>
        <w:ind w:left="528"/>
        <w:rPr>
          <w:rFonts w:hint="eastAsia" w:ascii="宋体" w:hAnsi="宋体" w:cs="宋体"/>
          <w:color w:val="auto"/>
          <w:szCs w:val="21"/>
          <w:highlight w:val="none"/>
        </w:rPr>
      </w:pPr>
      <w:r>
        <w:rPr>
          <w:rFonts w:hint="eastAsia" w:ascii="宋体" w:hAnsi="宋体" w:cs="宋体"/>
          <w:color w:val="auto"/>
          <w:szCs w:val="21"/>
          <w:highlight w:val="none"/>
        </w:rPr>
        <w:t>（10）投标人认为须提供的其他资料</w:t>
      </w:r>
    </w:p>
    <w:p w14:paraId="77051106">
      <w:pPr>
        <w:pStyle w:val="19"/>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三、</w:t>
      </w:r>
      <w:r>
        <w:rPr>
          <w:rFonts w:hint="eastAsia" w:ascii="宋体" w:hAnsi="宋体" w:cs="宋体"/>
          <w:b/>
          <w:color w:val="auto"/>
          <w:sz w:val="21"/>
          <w:szCs w:val="21"/>
          <w:highlight w:val="none"/>
        </w:rPr>
        <w:t>报价响应文件</w:t>
      </w:r>
      <w:r>
        <w:rPr>
          <w:rFonts w:hint="eastAsia" w:ascii="宋体" w:hAnsi="宋体" w:cs="宋体"/>
          <w:color w:val="auto"/>
          <w:sz w:val="21"/>
          <w:szCs w:val="21"/>
          <w:highlight w:val="none"/>
        </w:rPr>
        <w:t>部分格式：</w:t>
      </w:r>
    </w:p>
    <w:p w14:paraId="6AA0A4D8">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（1）投标函</w:t>
      </w:r>
    </w:p>
    <w:p w14:paraId="4E121D77">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（2）开标一览表</w:t>
      </w:r>
    </w:p>
    <w:p w14:paraId="19B9E4D6">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报价情况说明（如有）</w:t>
      </w:r>
    </w:p>
    <w:p w14:paraId="2D9A8A0F">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）中小企业声明函（如有）</w:t>
      </w:r>
    </w:p>
    <w:p w14:paraId="4041DDC4">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）属于监狱企业的说明文件（若属于监狱企业）</w:t>
      </w:r>
    </w:p>
    <w:p w14:paraId="129A944D">
      <w:pPr>
        <w:shd w:val="clear"/>
        <w:tabs>
          <w:tab w:val="left" w:pos="1050"/>
        </w:tabs>
        <w:spacing w:line="360" w:lineRule="auto"/>
        <w:ind w:left="528"/>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）残疾人福利性单位声明函（若属于残疾人福利性单位）</w:t>
      </w:r>
    </w:p>
    <w:p w14:paraId="5AB8E842">
      <w:pPr>
        <w:widowControl/>
        <w:shd w:val="clear"/>
        <w:wordWrap w:val="0"/>
        <w:jc w:val="left"/>
        <w:rPr>
          <w:rFonts w:hint="eastAsia" w:ascii="宋体" w:hAnsi="宋体" w:cs="宋体"/>
          <w:color w:val="auto"/>
          <w:spacing w:val="-6"/>
          <w:szCs w:val="21"/>
          <w:highlight w:val="none"/>
        </w:rPr>
      </w:pPr>
      <w:r>
        <w:rPr>
          <w:rFonts w:hint="eastAsia" w:ascii="宋体" w:hAnsi="宋体" w:cs="宋体"/>
          <w:b/>
          <w:color w:val="auto"/>
          <w:spacing w:val="-6"/>
          <w:szCs w:val="21"/>
          <w:highlight w:val="none"/>
        </w:rPr>
        <w:br w:type="page"/>
      </w:r>
    </w:p>
    <w:p w14:paraId="6DC12975">
      <w:pPr>
        <w:shd w:val="clear"/>
        <w:rPr>
          <w:rFonts w:hint="eastAsia" w:ascii="宋体" w:hAnsi="宋体" w:cs="宋体"/>
          <w:b/>
          <w:bCs/>
          <w:color w:val="auto"/>
          <w:kern w:val="0"/>
          <w:szCs w:val="21"/>
          <w:highlight w:val="none"/>
        </w:rPr>
      </w:pPr>
      <w:r>
        <w:rPr>
          <w:rFonts w:hint="eastAsia" w:ascii="宋体" w:hAnsi="宋体" w:cs="宋体"/>
          <w:b/>
          <w:bCs/>
          <w:color w:val="auto"/>
          <w:kern w:val="0"/>
          <w:sz w:val="36"/>
          <w:szCs w:val="36"/>
          <w:highlight w:val="none"/>
        </w:rPr>
        <w:t>封面格式</w:t>
      </w:r>
    </w:p>
    <w:p w14:paraId="43BF1ECD">
      <w:pPr>
        <w:widowControl/>
        <w:shd w:val="clear"/>
        <w:tabs>
          <w:tab w:val="left" w:pos="8280"/>
        </w:tabs>
        <w:spacing w:line="360" w:lineRule="auto"/>
        <w:ind w:firstLine="480"/>
        <w:jc w:val="center"/>
        <w:rPr>
          <w:rFonts w:hint="eastAsia" w:ascii="宋体" w:hAnsi="宋体" w:cs="宋体"/>
          <w:b/>
          <w:color w:val="auto"/>
          <w:kern w:val="0"/>
          <w:sz w:val="32"/>
          <w:szCs w:val="32"/>
          <w:highlight w:val="none"/>
        </w:rPr>
      </w:pPr>
    </w:p>
    <w:p w14:paraId="558859AF">
      <w:pPr>
        <w:widowControl/>
        <w:shd w:val="clear"/>
        <w:tabs>
          <w:tab w:val="left" w:pos="450"/>
          <w:tab w:val="left" w:pos="8280"/>
        </w:tabs>
        <w:spacing w:line="360"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175584C6">
      <w:pPr>
        <w:widowControl/>
        <w:shd w:val="clear"/>
        <w:tabs>
          <w:tab w:val="left" w:pos="450"/>
          <w:tab w:val="left" w:pos="8280"/>
        </w:tabs>
        <w:spacing w:line="360" w:lineRule="auto"/>
        <w:ind w:firstLine="480"/>
        <w:jc w:val="center"/>
        <w:rPr>
          <w:rFonts w:hint="eastAsia" w:ascii="宋体" w:hAnsi="宋体" w:cs="宋体"/>
          <w:b/>
          <w:color w:val="auto"/>
          <w:kern w:val="0"/>
          <w:sz w:val="44"/>
          <w:szCs w:val="44"/>
          <w:highlight w:val="none"/>
        </w:rPr>
      </w:pPr>
    </w:p>
    <w:p w14:paraId="73871661">
      <w:pPr>
        <w:widowControl/>
        <w:shd w:val="clear"/>
        <w:tabs>
          <w:tab w:val="left" w:pos="450"/>
          <w:tab w:val="left" w:pos="8280"/>
        </w:tabs>
        <w:spacing w:line="360" w:lineRule="auto"/>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5BF90FCA">
      <w:pPr>
        <w:widowControl/>
        <w:shd w:val="clear"/>
        <w:tabs>
          <w:tab w:val="left" w:pos="8280"/>
        </w:tabs>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（资格响应文件）</w:t>
      </w:r>
    </w:p>
    <w:p w14:paraId="31B5DE0C">
      <w:pPr>
        <w:widowControl/>
        <w:shd w:val="clear"/>
        <w:tabs>
          <w:tab w:val="left" w:pos="275"/>
          <w:tab w:val="left" w:pos="8280"/>
        </w:tabs>
        <w:spacing w:line="360"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0EBE9E07">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1FA8226E">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64103FBE">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41E18013">
      <w:pPr>
        <w:widowControl/>
        <w:shd w:val="clear"/>
        <w:tabs>
          <w:tab w:val="left" w:pos="275"/>
          <w:tab w:val="left" w:pos="8280"/>
        </w:tabs>
        <w:spacing w:line="360"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7EAEDBEA">
      <w:pPr>
        <w:widowControl/>
        <w:shd w:val="clear"/>
        <w:tabs>
          <w:tab w:val="left" w:pos="765"/>
          <w:tab w:val="left" w:pos="8280"/>
        </w:tabs>
        <w:spacing w:line="360"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5B8668DD">
      <w:pPr>
        <w:widowControl/>
        <w:shd w:val="clear"/>
        <w:tabs>
          <w:tab w:val="left" w:pos="765"/>
          <w:tab w:val="left" w:pos="8280"/>
        </w:tabs>
        <w:spacing w:line="360"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投标人（电子签章）：</w:t>
      </w:r>
      <w:r>
        <w:rPr>
          <w:rFonts w:hint="eastAsia" w:ascii="宋体" w:hAnsi="宋体" w:cs="宋体"/>
          <w:b/>
          <w:color w:val="auto"/>
          <w:kern w:val="0"/>
          <w:sz w:val="36"/>
          <w:szCs w:val="36"/>
          <w:highlight w:val="none"/>
          <w:u w:val="single"/>
        </w:rPr>
        <w:t xml:space="preserve">                            </w:t>
      </w:r>
    </w:p>
    <w:p w14:paraId="76746CD1">
      <w:pPr>
        <w:widowControl/>
        <w:shd w:val="clear"/>
        <w:tabs>
          <w:tab w:val="left" w:pos="8280"/>
        </w:tabs>
        <w:spacing w:line="360" w:lineRule="auto"/>
        <w:ind w:firstLine="480"/>
        <w:jc w:val="center"/>
        <w:rPr>
          <w:rFonts w:hint="eastAsia" w:ascii="宋体" w:hAnsi="宋体" w:cs="宋体"/>
          <w:b/>
          <w:color w:val="auto"/>
          <w:kern w:val="0"/>
          <w:sz w:val="32"/>
          <w:szCs w:val="32"/>
          <w:highlight w:val="none"/>
        </w:rPr>
      </w:pPr>
    </w:p>
    <w:p w14:paraId="0C235144">
      <w:pPr>
        <w:widowControl/>
        <w:shd w:val="clear"/>
        <w:tabs>
          <w:tab w:val="left" w:pos="8280"/>
        </w:tabs>
        <w:spacing w:line="360" w:lineRule="auto"/>
        <w:rPr>
          <w:rFonts w:hint="eastAsia" w:ascii="宋体" w:hAnsi="宋体" w:cs="宋体"/>
          <w:b/>
          <w:color w:val="auto"/>
          <w:kern w:val="0"/>
          <w:sz w:val="32"/>
          <w:szCs w:val="32"/>
          <w:highlight w:val="none"/>
        </w:rPr>
      </w:pPr>
    </w:p>
    <w:p w14:paraId="0D8D1FE7">
      <w:pPr>
        <w:widowControl/>
        <w:shd w:val="clear"/>
        <w:tabs>
          <w:tab w:val="left" w:pos="350"/>
          <w:tab w:val="left" w:pos="8280"/>
        </w:tabs>
        <w:spacing w:line="360"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79D575A0">
      <w:pPr>
        <w:widowControl/>
        <w:shd w:val="clear"/>
        <w:tabs>
          <w:tab w:val="left" w:pos="350"/>
          <w:tab w:val="left" w:pos="8280"/>
        </w:tabs>
        <w:spacing w:line="360" w:lineRule="auto"/>
        <w:ind w:firstLine="480"/>
        <w:jc w:val="left"/>
        <w:rPr>
          <w:rFonts w:hint="eastAsia" w:ascii="宋体" w:hAnsi="宋体" w:cs="宋体"/>
          <w:b/>
          <w:color w:val="auto"/>
          <w:kern w:val="0"/>
          <w:sz w:val="32"/>
          <w:szCs w:val="32"/>
          <w:highlight w:val="none"/>
        </w:rPr>
      </w:pPr>
    </w:p>
    <w:p w14:paraId="192EA6B9">
      <w:pPr>
        <w:widowControl/>
        <w:shd w:val="clear"/>
        <w:tabs>
          <w:tab w:val="left" w:pos="0"/>
        </w:tabs>
        <w:snapToGrid w:val="0"/>
        <w:spacing w:line="360" w:lineRule="auto"/>
        <w:jc w:val="left"/>
        <w:rPr>
          <w:rFonts w:hint="eastAsia" w:ascii="宋体" w:hAnsi="宋体" w:cs="宋体"/>
          <w:b/>
          <w:bCs/>
          <w:color w:val="auto"/>
          <w:kern w:val="0"/>
          <w:sz w:val="32"/>
          <w:szCs w:val="32"/>
          <w:highlight w:val="none"/>
        </w:rPr>
      </w:pPr>
    </w:p>
    <w:p w14:paraId="3728216E">
      <w:pPr>
        <w:shd w:val="clear"/>
        <w:adjustRightInd w:val="0"/>
        <w:snapToGrid w:val="0"/>
        <w:spacing w:line="288" w:lineRule="auto"/>
        <w:jc w:val="center"/>
        <w:outlineLvl w:val="2"/>
        <w:rPr>
          <w:rFonts w:hint="eastAsia" w:ascii="宋体" w:hAnsi="宋体" w:cs="宋体"/>
          <w:b/>
          <w:color w:val="auto"/>
          <w:spacing w:val="-6"/>
          <w:szCs w:val="21"/>
          <w:highlight w:val="none"/>
        </w:rPr>
      </w:pPr>
      <w:r>
        <w:rPr>
          <w:rFonts w:hint="eastAsia" w:ascii="宋体" w:hAnsi="宋体" w:cs="宋体"/>
          <w:color w:val="auto"/>
          <w:kern w:val="0"/>
          <w:highlight w:val="none"/>
        </w:rPr>
        <w:br w:type="page"/>
      </w:r>
      <w:r>
        <w:rPr>
          <w:rFonts w:hint="eastAsia" w:ascii="宋体" w:hAnsi="宋体" w:cs="宋体"/>
          <w:b/>
          <w:bCs/>
          <w:color w:val="auto"/>
          <w:sz w:val="24"/>
          <w:highlight w:val="none"/>
        </w:rPr>
        <w:t>（1）有效的法人或者其他组织的营业执照等文件，自然人的身份证（扫描件）</w:t>
      </w:r>
    </w:p>
    <w:p w14:paraId="6A0A82FE">
      <w:pPr>
        <w:shd w:val="clear"/>
        <w:adjustRightInd w:val="0"/>
        <w:snapToGrid w:val="0"/>
        <w:spacing w:line="288" w:lineRule="auto"/>
        <w:rPr>
          <w:rFonts w:hint="eastAsia" w:ascii="宋体" w:hAnsi="宋体" w:cs="宋体"/>
          <w:bCs/>
          <w:color w:val="auto"/>
          <w:spacing w:val="-6"/>
          <w:szCs w:val="21"/>
          <w:highlight w:val="none"/>
        </w:rPr>
      </w:pPr>
    </w:p>
    <w:p w14:paraId="26CD0A9F">
      <w:pPr>
        <w:shd w:val="clear"/>
        <w:adjustRightInd w:val="0"/>
        <w:snapToGrid w:val="0"/>
        <w:spacing w:line="288"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说明：</w:t>
      </w:r>
    </w:p>
    <w:p w14:paraId="26FE6EB5">
      <w:pPr>
        <w:shd w:val="clear"/>
        <w:adjustRightInd w:val="0"/>
        <w:snapToGrid w:val="0"/>
        <w:spacing w:line="288" w:lineRule="auto"/>
        <w:ind w:left="396" w:hanging="396" w:hanging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1.如投标人是企业（包括合伙企业），提供在工商部门注册的有效“企业法人营业执照”或“营业执照”；</w:t>
      </w:r>
    </w:p>
    <w:p w14:paraId="2C8774EB">
      <w:pPr>
        <w:shd w:val="clear"/>
        <w:adjustRightInd w:val="0"/>
        <w:snapToGrid w:val="0"/>
        <w:spacing w:line="288" w:lineRule="auto"/>
        <w:ind w:left="396" w:hanging="396" w:hanging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2.如投标人是事业单位，提供有效的“事业单位法人证书”；</w:t>
      </w:r>
    </w:p>
    <w:p w14:paraId="628B2E2E">
      <w:pPr>
        <w:shd w:val="clear"/>
        <w:adjustRightInd w:val="0"/>
        <w:snapToGrid w:val="0"/>
        <w:spacing w:line="288" w:lineRule="auto"/>
        <w:ind w:left="396" w:hanging="396" w:hanging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3.如投标人是非企业专业服务机构的，提供执业许可证等文件；</w:t>
      </w:r>
    </w:p>
    <w:p w14:paraId="791FE17F">
      <w:pPr>
        <w:shd w:val="clear"/>
        <w:adjustRightInd w:val="0"/>
        <w:snapToGrid w:val="0"/>
        <w:spacing w:line="288" w:lineRule="auto"/>
        <w:ind w:left="396" w:hanging="396" w:hanging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4.如投标人是个体工商户，提供有效的“个体工商户营业执照”；</w:t>
      </w:r>
    </w:p>
    <w:p w14:paraId="4E02911A">
      <w:pPr>
        <w:shd w:val="clear"/>
        <w:adjustRightInd w:val="0"/>
        <w:snapToGrid w:val="0"/>
        <w:spacing w:line="288" w:lineRule="auto"/>
        <w:ind w:left="396" w:hanging="396" w:hanging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5.如投标人是自然人，提供有效的自然人身份证。</w:t>
      </w:r>
    </w:p>
    <w:p w14:paraId="73F7FD9C">
      <w:pPr>
        <w:shd w:val="clear"/>
        <w:adjustRightInd w:val="0"/>
        <w:snapToGrid w:val="0"/>
        <w:spacing w:line="360" w:lineRule="auto"/>
        <w:jc w:val="center"/>
        <w:outlineLvl w:val="2"/>
        <w:rPr>
          <w:rFonts w:hint="eastAsia" w:ascii="宋体" w:hAnsi="宋体" w:cs="宋体"/>
          <w:b/>
          <w:bCs/>
          <w:color w:val="auto"/>
          <w:spacing w:val="-6"/>
          <w:sz w:val="24"/>
          <w:highlight w:val="none"/>
        </w:rPr>
      </w:pPr>
      <w:r>
        <w:rPr>
          <w:rFonts w:hint="eastAsia" w:ascii="宋体" w:hAnsi="宋体" w:cs="宋体"/>
          <w:color w:val="auto"/>
          <w:kern w:val="0"/>
          <w:highlight w:val="none"/>
        </w:rPr>
        <w:br w:type="page"/>
      </w:r>
      <w:r>
        <w:rPr>
          <w:rFonts w:hint="eastAsia" w:ascii="宋体" w:hAnsi="宋体" w:cs="宋体"/>
          <w:b/>
          <w:bCs/>
          <w:color w:val="auto"/>
          <w:sz w:val="24"/>
          <w:highlight w:val="none"/>
        </w:rPr>
        <w:t>（2）符合参加采购活动应当具备的一般条件的承诺函</w:t>
      </w:r>
    </w:p>
    <w:p w14:paraId="6CFE8C4F">
      <w:pPr>
        <w:shd w:val="clear"/>
        <w:adjustRightInd w:val="0"/>
        <w:snapToGrid w:val="0"/>
        <w:spacing w:line="360" w:lineRule="auto"/>
        <w:rPr>
          <w:rFonts w:hint="eastAsia" w:ascii="宋体" w:hAnsi="宋体" w:cs="宋体"/>
          <w:b/>
          <w:bCs/>
          <w:color w:val="auto"/>
          <w:spacing w:val="-6"/>
          <w:szCs w:val="21"/>
          <w:highlight w:val="none"/>
        </w:rPr>
      </w:pPr>
    </w:p>
    <w:p w14:paraId="6B5E61AD">
      <w:pPr>
        <w:shd w:val="clear"/>
        <w:adjustRightInd w:val="0"/>
        <w:snapToGrid w:val="0"/>
        <w:spacing w:line="360" w:lineRule="auto"/>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致：浙江大学医学院附属第四医院、浙江求是招标代理有限公司</w:t>
      </w:r>
    </w:p>
    <w:p w14:paraId="167B02B0">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（投标人名称）参加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项目的采购活动并承诺如下：</w:t>
      </w:r>
    </w:p>
    <w:p w14:paraId="13EB7A0F">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一、我方满足《中华人民共和国政府采购法》第二十二条规定：</w:t>
      </w:r>
    </w:p>
    <w:p w14:paraId="2384DF36">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（一）具有独立承担民事责任的能力；</w:t>
      </w:r>
    </w:p>
    <w:p w14:paraId="56DE780C">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（二）具有良好的商业信誉和健全的财务会计制度；</w:t>
      </w:r>
    </w:p>
    <w:p w14:paraId="704E3CEB">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（三）具有履行合同所必需的设备和专业技术能力；</w:t>
      </w:r>
    </w:p>
    <w:p w14:paraId="4AE28804">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（四）有依法缴纳税收和社会保障资金的良好记录；</w:t>
      </w:r>
    </w:p>
    <w:p w14:paraId="2898AF3A">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（五）参加本项目采购活动前三年内，在经营活动中</w:t>
      </w:r>
      <w:r>
        <w:rPr>
          <w:rFonts w:hint="eastAsia" w:ascii="宋体" w:hAnsi="宋体" w:cs="宋体"/>
          <w:b/>
          <w:color w:val="auto"/>
          <w:spacing w:val="-6"/>
          <w:szCs w:val="21"/>
          <w:highlight w:val="none"/>
          <w:u w:val="single"/>
        </w:rPr>
        <w:t xml:space="preserve">     </w:t>
      </w:r>
      <w:r>
        <w:rPr>
          <w:rFonts w:hint="eastAsia" w:ascii="宋体" w:hAnsi="宋体" w:cs="宋体"/>
          <w:b/>
          <w:color w:val="auto"/>
          <w:spacing w:val="-6"/>
          <w:szCs w:val="21"/>
          <w:highlight w:val="none"/>
        </w:rPr>
        <w:t>（填写“有”或“没有”）</w:t>
      </w:r>
      <w:r>
        <w:rPr>
          <w:rFonts w:hint="eastAsia" w:ascii="宋体" w:hAnsi="宋体" w:cs="宋体"/>
          <w:color w:val="auto"/>
          <w:spacing w:val="-6"/>
          <w:szCs w:val="21"/>
          <w:highlight w:val="none"/>
        </w:rPr>
        <w:t>重大违法记录（重大违法记录是指投标人因违法经营受到刑事处罚或者责令停产停业、吊销许可证或者执照、较大数额罚款等行政处罚）。</w:t>
      </w:r>
    </w:p>
    <w:p w14:paraId="1B1DAB52">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（六）法律、行政法规规定的其他条件。</w:t>
      </w:r>
    </w:p>
    <w:p w14:paraId="73D24091">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二、</w:t>
      </w:r>
      <w:r>
        <w:rPr>
          <w:rFonts w:hint="eastAsia" w:ascii="宋体" w:hAnsi="宋体" w:cs="宋体"/>
          <w:color w:val="auto"/>
          <w:szCs w:val="21"/>
          <w:highlight w:val="none"/>
        </w:rPr>
        <w:t>自2023年1月1日起到中标公告期结束前</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行贿犯罪记录。</w:t>
      </w:r>
    </w:p>
    <w:p w14:paraId="22779DBF">
      <w:pPr>
        <w:shd w:val="clear"/>
        <w:adjustRightInd w:val="0"/>
        <w:snapToGrid w:val="0"/>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三、</w:t>
      </w:r>
      <w:r>
        <w:rPr>
          <w:rFonts w:hint="eastAsia" w:ascii="宋体" w:hAnsi="宋体" w:cs="宋体"/>
          <w:color w:val="auto"/>
          <w:szCs w:val="21"/>
          <w:highlight w:val="none"/>
        </w:rPr>
        <w:t>参加政府采购活动前三年内，在经营活动中没有重大违法记录。投标人</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52CA500C">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四、未被信用中国（www.creditchina.gov.cn）、中国政府采购网（www.ccgp.gov.cn）列入失信被执行人、重大税收违法案件当事人名单、政府采购严重违法失信行为记录名单。</w:t>
      </w:r>
    </w:p>
    <w:p w14:paraId="1EED26B6">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五、</w:t>
      </w:r>
      <w:r>
        <w:rPr>
          <w:rFonts w:hint="eastAsia" w:ascii="宋体" w:hAnsi="宋体" w:cs="宋体"/>
          <w:color w:val="auto"/>
          <w:szCs w:val="21"/>
          <w:highlight w:val="none"/>
        </w:rPr>
        <w:t>根据《浙江省公共信用信息管理条例》第二十六条的规定，</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未 </w:t>
      </w:r>
      <w:r>
        <w:rPr>
          <w:rFonts w:hint="eastAsia" w:ascii="宋体" w:hAnsi="宋体" w:cs="宋体"/>
          <w:color w:val="auto"/>
          <w:szCs w:val="21"/>
          <w:highlight w:val="none"/>
        </w:rPr>
        <w:t>列入严重失信名单的（查询结果以开标当日网站页面显示为准）。</w:t>
      </w:r>
    </w:p>
    <w:p w14:paraId="7F729FCD">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六、不存在以下情况：</w:t>
      </w:r>
    </w:p>
    <w:p w14:paraId="3BB9FF79">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1.单位负责人为同一人或者存在直接控股、管理关系的不同供应商参加同一合同项下的采购活动的；</w:t>
      </w:r>
    </w:p>
    <w:p w14:paraId="09A3C099">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2.为采购项目提供整体设计、规范编制或者项目管理、监理、检测等服务后再参加该采购项目的其他采购活动的。</w:t>
      </w:r>
    </w:p>
    <w:p w14:paraId="4AEE34D3">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七、以上事项如有虚假或隐瞒，我方愿意承担一切后果和责任。</w:t>
      </w:r>
    </w:p>
    <w:p w14:paraId="67544CA7">
      <w:pPr>
        <w:shd w:val="clear"/>
        <w:adjustRightInd w:val="0"/>
        <w:snapToGrid w:val="0"/>
        <w:spacing w:line="360" w:lineRule="auto"/>
        <w:rPr>
          <w:rFonts w:hint="eastAsia" w:ascii="宋体" w:hAnsi="宋体" w:cs="宋体"/>
          <w:b/>
          <w:bCs/>
          <w:color w:val="auto"/>
          <w:spacing w:val="-6"/>
          <w:szCs w:val="21"/>
          <w:highlight w:val="none"/>
        </w:rPr>
      </w:pPr>
    </w:p>
    <w:p w14:paraId="41AEAA49">
      <w:pPr>
        <w:shd w:val="clear"/>
        <w:adjustRightInd w:val="0"/>
        <w:snapToGrid w:val="0"/>
        <w:spacing w:line="360" w:lineRule="auto"/>
        <w:rPr>
          <w:rFonts w:hint="eastAsia" w:ascii="宋体" w:hAnsi="宋体" w:cs="宋体"/>
          <w:b/>
          <w:bCs/>
          <w:color w:val="auto"/>
          <w:spacing w:val="-6"/>
          <w:szCs w:val="21"/>
          <w:highlight w:val="none"/>
        </w:rPr>
      </w:pPr>
    </w:p>
    <w:p w14:paraId="33D01B92">
      <w:pPr>
        <w:shd w:val="clear"/>
        <w:adjustRightInd w:val="0"/>
        <w:snapToGrid w:val="0"/>
        <w:spacing w:line="360"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投标人名称（公章）：</w:t>
      </w:r>
    </w:p>
    <w:p w14:paraId="5FDBABBE">
      <w:pPr>
        <w:shd w:val="clear"/>
        <w:adjustRightInd w:val="0"/>
        <w:snapToGrid w:val="0"/>
        <w:spacing w:line="360" w:lineRule="auto"/>
        <w:rPr>
          <w:rFonts w:hint="eastAsia" w:ascii="宋体" w:hAnsi="宋体" w:cs="宋体"/>
          <w:b/>
          <w:color w:val="auto"/>
          <w:spacing w:val="-6"/>
          <w:szCs w:val="21"/>
          <w:highlight w:val="none"/>
        </w:rPr>
      </w:pPr>
      <w:r>
        <w:rPr>
          <w:rFonts w:hint="eastAsia" w:ascii="宋体" w:hAnsi="宋体" w:cs="宋体"/>
          <w:b/>
          <w:bCs/>
          <w:color w:val="auto"/>
          <w:spacing w:val="-6"/>
          <w:szCs w:val="21"/>
          <w:highlight w:val="none"/>
        </w:rPr>
        <w:t>日期：     年   月   日</w:t>
      </w:r>
    </w:p>
    <w:p w14:paraId="67FAEB37">
      <w:pPr>
        <w:shd w:val="clear"/>
        <w:jc w:val="center"/>
        <w:rPr>
          <w:rFonts w:hint="eastAsia" w:ascii="宋体" w:hAnsi="宋体" w:cs="宋体"/>
          <w:b/>
          <w:bCs/>
          <w:color w:val="auto"/>
          <w:kern w:val="0"/>
          <w:szCs w:val="21"/>
          <w:highlight w:val="none"/>
        </w:rPr>
      </w:pPr>
      <w:r>
        <w:rPr>
          <w:rFonts w:hint="eastAsia" w:ascii="宋体" w:hAnsi="宋体" w:cs="宋体"/>
          <w:b/>
          <w:bCs/>
          <w:color w:val="auto"/>
          <w:sz w:val="24"/>
          <w:highlight w:val="none"/>
        </w:rPr>
        <w:br w:type="page"/>
      </w:r>
      <w:r>
        <w:rPr>
          <w:rFonts w:hint="eastAsia" w:ascii="宋体" w:hAnsi="宋体" w:cs="宋体"/>
          <w:b/>
          <w:bCs/>
          <w:color w:val="auto"/>
          <w:kern w:val="0"/>
          <w:sz w:val="36"/>
          <w:szCs w:val="36"/>
          <w:highlight w:val="none"/>
        </w:rPr>
        <w:t>封面格式</w:t>
      </w:r>
    </w:p>
    <w:p w14:paraId="3714B086">
      <w:pPr>
        <w:widowControl/>
        <w:shd w:val="clear"/>
        <w:tabs>
          <w:tab w:val="left" w:pos="8280"/>
        </w:tabs>
        <w:spacing w:line="360" w:lineRule="auto"/>
        <w:ind w:firstLine="480"/>
        <w:jc w:val="center"/>
        <w:rPr>
          <w:rFonts w:hint="eastAsia" w:ascii="宋体" w:hAnsi="宋体" w:cs="宋体"/>
          <w:b/>
          <w:color w:val="auto"/>
          <w:kern w:val="0"/>
          <w:sz w:val="32"/>
          <w:szCs w:val="32"/>
          <w:highlight w:val="none"/>
        </w:rPr>
      </w:pPr>
    </w:p>
    <w:p w14:paraId="001B0E93">
      <w:pPr>
        <w:widowControl/>
        <w:shd w:val="clear"/>
        <w:tabs>
          <w:tab w:val="left" w:pos="450"/>
          <w:tab w:val="left" w:pos="8280"/>
        </w:tabs>
        <w:spacing w:line="360"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2FD9A15C">
      <w:pPr>
        <w:widowControl/>
        <w:shd w:val="clear"/>
        <w:tabs>
          <w:tab w:val="left" w:pos="450"/>
          <w:tab w:val="left" w:pos="8280"/>
        </w:tabs>
        <w:spacing w:line="360" w:lineRule="auto"/>
        <w:ind w:firstLine="480"/>
        <w:jc w:val="center"/>
        <w:rPr>
          <w:rFonts w:hint="eastAsia" w:ascii="宋体" w:hAnsi="宋体" w:cs="宋体"/>
          <w:b/>
          <w:color w:val="auto"/>
          <w:kern w:val="0"/>
          <w:sz w:val="44"/>
          <w:szCs w:val="44"/>
          <w:highlight w:val="none"/>
        </w:rPr>
      </w:pPr>
    </w:p>
    <w:p w14:paraId="155B7D03">
      <w:pPr>
        <w:widowControl/>
        <w:shd w:val="clear"/>
        <w:tabs>
          <w:tab w:val="left" w:pos="450"/>
          <w:tab w:val="left" w:pos="8280"/>
        </w:tabs>
        <w:spacing w:line="360" w:lineRule="auto"/>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668A6101">
      <w:pPr>
        <w:widowControl/>
        <w:shd w:val="clear"/>
        <w:tabs>
          <w:tab w:val="left" w:pos="450"/>
          <w:tab w:val="left" w:pos="8280"/>
        </w:tabs>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（商务技术响应文件）</w:t>
      </w:r>
    </w:p>
    <w:p w14:paraId="065BD01A">
      <w:pPr>
        <w:widowControl/>
        <w:shd w:val="clear"/>
        <w:tabs>
          <w:tab w:val="left" w:pos="275"/>
          <w:tab w:val="left" w:pos="8280"/>
        </w:tabs>
        <w:spacing w:line="360"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269413F5">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0DA1CCF8">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6B4E1EE6">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2035D0CF">
      <w:pPr>
        <w:widowControl/>
        <w:shd w:val="clear"/>
        <w:tabs>
          <w:tab w:val="left" w:pos="275"/>
          <w:tab w:val="left" w:pos="8280"/>
        </w:tabs>
        <w:spacing w:line="360"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34288F56">
      <w:pPr>
        <w:widowControl/>
        <w:shd w:val="clear"/>
        <w:tabs>
          <w:tab w:val="left" w:pos="765"/>
          <w:tab w:val="left" w:pos="8280"/>
        </w:tabs>
        <w:spacing w:line="360"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2174EFB5">
      <w:pPr>
        <w:widowControl/>
        <w:shd w:val="clear"/>
        <w:tabs>
          <w:tab w:val="left" w:pos="765"/>
          <w:tab w:val="left" w:pos="8280"/>
        </w:tabs>
        <w:spacing w:line="360"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投标人（电子签章）：</w:t>
      </w:r>
      <w:r>
        <w:rPr>
          <w:rFonts w:hint="eastAsia" w:ascii="宋体" w:hAnsi="宋体" w:cs="宋体"/>
          <w:b/>
          <w:color w:val="auto"/>
          <w:kern w:val="0"/>
          <w:sz w:val="36"/>
          <w:szCs w:val="36"/>
          <w:highlight w:val="none"/>
          <w:u w:val="single"/>
        </w:rPr>
        <w:t xml:space="preserve">                            </w:t>
      </w:r>
    </w:p>
    <w:p w14:paraId="60250034">
      <w:pPr>
        <w:widowControl/>
        <w:shd w:val="clear"/>
        <w:tabs>
          <w:tab w:val="left" w:pos="8280"/>
        </w:tabs>
        <w:spacing w:line="360" w:lineRule="auto"/>
        <w:ind w:firstLine="480"/>
        <w:jc w:val="center"/>
        <w:rPr>
          <w:rFonts w:hint="eastAsia" w:ascii="宋体" w:hAnsi="宋体" w:cs="宋体"/>
          <w:b/>
          <w:color w:val="auto"/>
          <w:kern w:val="0"/>
          <w:sz w:val="32"/>
          <w:szCs w:val="32"/>
          <w:highlight w:val="none"/>
        </w:rPr>
      </w:pPr>
    </w:p>
    <w:p w14:paraId="3EBB302C">
      <w:pPr>
        <w:widowControl/>
        <w:shd w:val="clear"/>
        <w:tabs>
          <w:tab w:val="left" w:pos="8280"/>
        </w:tabs>
        <w:spacing w:line="360" w:lineRule="auto"/>
        <w:rPr>
          <w:rFonts w:hint="eastAsia" w:ascii="宋体" w:hAnsi="宋体" w:cs="宋体"/>
          <w:b/>
          <w:color w:val="auto"/>
          <w:kern w:val="0"/>
          <w:sz w:val="32"/>
          <w:szCs w:val="32"/>
          <w:highlight w:val="none"/>
        </w:rPr>
      </w:pPr>
    </w:p>
    <w:p w14:paraId="6EC04DE7">
      <w:pPr>
        <w:widowControl/>
        <w:shd w:val="clear"/>
        <w:tabs>
          <w:tab w:val="left" w:pos="350"/>
          <w:tab w:val="left" w:pos="8280"/>
        </w:tabs>
        <w:spacing w:line="360"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35C124F1">
      <w:pPr>
        <w:widowControl/>
        <w:shd w:val="clear"/>
        <w:tabs>
          <w:tab w:val="left" w:pos="350"/>
          <w:tab w:val="left" w:pos="8280"/>
        </w:tabs>
        <w:spacing w:line="360" w:lineRule="auto"/>
        <w:ind w:firstLine="480"/>
        <w:jc w:val="left"/>
        <w:rPr>
          <w:rFonts w:hint="eastAsia" w:ascii="宋体" w:hAnsi="宋体" w:cs="宋体"/>
          <w:b/>
          <w:color w:val="auto"/>
          <w:kern w:val="0"/>
          <w:sz w:val="32"/>
          <w:szCs w:val="32"/>
          <w:highlight w:val="none"/>
        </w:rPr>
      </w:pPr>
    </w:p>
    <w:p w14:paraId="2601B809">
      <w:pPr>
        <w:widowControl/>
        <w:shd w:val="clear"/>
        <w:tabs>
          <w:tab w:val="left" w:pos="0"/>
        </w:tabs>
        <w:snapToGrid w:val="0"/>
        <w:spacing w:line="360" w:lineRule="auto"/>
        <w:jc w:val="left"/>
        <w:rPr>
          <w:rFonts w:hint="eastAsia" w:ascii="宋体" w:hAnsi="宋体" w:cs="宋体"/>
          <w:b/>
          <w:bCs/>
          <w:color w:val="auto"/>
          <w:kern w:val="0"/>
          <w:sz w:val="32"/>
          <w:szCs w:val="32"/>
          <w:highlight w:val="none"/>
        </w:rPr>
      </w:pPr>
    </w:p>
    <w:p w14:paraId="31C8FD46">
      <w:pPr>
        <w:shd w:val="clear"/>
        <w:adjustRightInd w:val="0"/>
        <w:snapToGrid w:val="0"/>
        <w:spacing w:line="288" w:lineRule="auto"/>
        <w:rPr>
          <w:rFonts w:hint="eastAsia" w:ascii="宋体" w:hAnsi="宋体" w:cs="宋体"/>
          <w:color w:val="auto"/>
          <w:spacing w:val="-6"/>
          <w:szCs w:val="21"/>
          <w:highlight w:val="none"/>
        </w:rPr>
      </w:pPr>
    </w:p>
    <w:p w14:paraId="7E74300C">
      <w:pPr>
        <w:pStyle w:val="22"/>
        <w:shd w:val="clear"/>
        <w:adjustRightInd w:val="0"/>
        <w:snapToGrid w:val="0"/>
        <w:spacing w:before="0" w:beforeAutospacing="0" w:after="0" w:afterAutospacing="0" w:line="288" w:lineRule="auto"/>
        <w:ind w:firstLine="355" w:firstLineChars="177"/>
        <w:jc w:val="center"/>
        <w:rPr>
          <w:rFonts w:hint="eastAsia" w:cs="宋体"/>
          <w:b/>
          <w:bCs/>
          <w:color w:val="auto"/>
          <w:szCs w:val="21"/>
          <w:highlight w:val="none"/>
        </w:rPr>
      </w:pPr>
      <w:r>
        <w:rPr>
          <w:rFonts w:hint="eastAsia" w:cs="宋体"/>
          <w:b/>
          <w:bCs/>
          <w:color w:val="auto"/>
          <w:szCs w:val="21"/>
          <w:highlight w:val="none"/>
        </w:rPr>
        <w:br w:type="page"/>
      </w:r>
      <w:r>
        <w:rPr>
          <w:rFonts w:hint="eastAsia" w:cs="宋体"/>
          <w:b/>
          <w:bCs/>
          <w:color w:val="auto"/>
          <w:sz w:val="24"/>
          <w:highlight w:val="none"/>
        </w:rPr>
        <w:t>（1）授权委托书</w:t>
      </w:r>
    </w:p>
    <w:p w14:paraId="1CA5729F">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（适用于授权代表</w:t>
      </w:r>
      <w:r>
        <w:rPr>
          <w:rFonts w:hint="eastAsia" w:ascii="宋体" w:hAnsi="宋体" w:cs="宋体"/>
          <w:b/>
          <w:bCs/>
          <w:color w:val="auto"/>
          <w:spacing w:val="-6"/>
          <w:szCs w:val="21"/>
          <w:highlight w:val="none"/>
        </w:rPr>
        <w:t>参加投标</w:t>
      </w:r>
      <w:r>
        <w:rPr>
          <w:rFonts w:hint="eastAsia" w:ascii="宋体" w:hAnsi="宋体" w:cs="宋体"/>
          <w:b/>
          <w:bCs/>
          <w:color w:val="auto"/>
          <w:szCs w:val="21"/>
          <w:highlight w:val="none"/>
        </w:rPr>
        <w:t>）</w:t>
      </w:r>
    </w:p>
    <w:p w14:paraId="520FAF59">
      <w:pPr>
        <w:shd w:val="clear"/>
        <w:adjustRightInd w:val="0"/>
        <w:snapToGrid w:val="0"/>
        <w:spacing w:line="288" w:lineRule="auto"/>
        <w:rPr>
          <w:rFonts w:hint="eastAsia" w:ascii="宋体" w:hAnsi="宋体" w:cs="宋体"/>
          <w:b/>
          <w:bCs/>
          <w:color w:val="auto"/>
          <w:spacing w:val="-6"/>
          <w:szCs w:val="21"/>
          <w:highlight w:val="none"/>
        </w:rPr>
      </w:pPr>
    </w:p>
    <w:p w14:paraId="2A50D130">
      <w:pPr>
        <w:shd w:val="clear"/>
        <w:adjustRightInd w:val="0"/>
        <w:snapToGrid w:val="0"/>
        <w:spacing w:line="360" w:lineRule="auto"/>
        <w:rPr>
          <w:rFonts w:hint="eastAsia" w:ascii="宋体" w:hAnsi="宋体" w:cs="宋体"/>
          <w:b/>
          <w:color w:val="auto"/>
          <w:spacing w:val="-6"/>
          <w:szCs w:val="21"/>
          <w:highlight w:val="none"/>
          <w:u w:val="single"/>
        </w:rPr>
      </w:pPr>
      <w:r>
        <w:rPr>
          <w:rFonts w:hint="eastAsia" w:ascii="宋体" w:hAnsi="宋体" w:cs="宋体"/>
          <w:b/>
          <w:color w:val="auto"/>
          <w:spacing w:val="-6"/>
          <w:szCs w:val="21"/>
          <w:highlight w:val="none"/>
        </w:rPr>
        <w:t>致：</w:t>
      </w:r>
      <w:r>
        <w:rPr>
          <w:rFonts w:hint="eastAsia" w:ascii="宋体" w:hAnsi="宋体" w:cs="宋体"/>
          <w:b/>
          <w:color w:val="auto"/>
          <w:spacing w:val="-6"/>
          <w:szCs w:val="21"/>
          <w:highlight w:val="none"/>
          <w:u w:val="single"/>
        </w:rPr>
        <w:t>浙江大学医学院附属第四医院、浙江求是招标代理有限公司</w:t>
      </w:r>
    </w:p>
    <w:p w14:paraId="281091ED">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现授权委托：</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（授权代表姓名）（身份证号码：</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，手机：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）以我方的名义参加</w:t>
      </w:r>
      <w:r>
        <w:rPr>
          <w:rFonts w:hint="eastAsia" w:ascii="宋体" w:hAnsi="宋体" w:cs="宋体"/>
          <w:bCs/>
          <w:color w:val="auto"/>
          <w:spacing w:val="-6"/>
          <w:szCs w:val="21"/>
          <w:highlight w:val="none"/>
          <w:u w:val="single"/>
        </w:rPr>
        <w:t xml:space="preserve">                  </w:t>
      </w:r>
      <w:r>
        <w:rPr>
          <w:rFonts w:hint="eastAsia" w:ascii="宋体" w:hAnsi="宋体" w:cs="宋体"/>
          <w:bCs/>
          <w:color w:val="auto"/>
          <w:spacing w:val="-6"/>
          <w:szCs w:val="21"/>
          <w:highlight w:val="none"/>
        </w:rPr>
        <w:t>项目（项目编号：</w:t>
      </w:r>
      <w:r>
        <w:rPr>
          <w:rFonts w:hint="eastAsia" w:ascii="宋体" w:hAnsi="宋体" w:cs="宋体"/>
          <w:bCs/>
          <w:color w:val="auto"/>
          <w:spacing w:val="-6"/>
          <w:szCs w:val="21"/>
          <w:highlight w:val="none"/>
          <w:u w:val="single"/>
        </w:rPr>
        <w:t xml:space="preserve">               </w:t>
      </w:r>
      <w:r>
        <w:rPr>
          <w:rFonts w:hint="eastAsia" w:ascii="宋体" w:hAnsi="宋体" w:cs="宋体"/>
          <w:bCs/>
          <w:color w:val="auto"/>
          <w:spacing w:val="-6"/>
          <w:szCs w:val="21"/>
          <w:highlight w:val="none"/>
        </w:rPr>
        <w:t>）</w:t>
      </w:r>
      <w:r>
        <w:rPr>
          <w:rFonts w:hint="eastAsia" w:ascii="宋体" w:hAnsi="宋体" w:cs="宋体"/>
          <w:color w:val="auto"/>
          <w:spacing w:val="-6"/>
          <w:szCs w:val="21"/>
          <w:highlight w:val="none"/>
        </w:rPr>
        <w:t>的投标活动，并代表我方全权办理针对上述项目的投标、开标、评标、签约等具体事务和签署相关文件。</w:t>
      </w:r>
    </w:p>
    <w:p w14:paraId="709C3168">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我方对被授权人的签名负全部责任。</w:t>
      </w:r>
    </w:p>
    <w:p w14:paraId="51F789EB">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在撤销授权的书面通知以前，本授权书一直有效。被授权人在授权书有效期内签署的所有文件不因授权的撤销而失效。</w:t>
      </w:r>
    </w:p>
    <w:p w14:paraId="0CAB4DC3">
      <w:pPr>
        <w:shd w:val="clear"/>
        <w:adjustRightInd w:val="0"/>
        <w:snapToGrid w:val="0"/>
        <w:spacing w:line="360"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被授权人无转委托权，特此告知。</w:t>
      </w:r>
    </w:p>
    <w:p w14:paraId="24401C3E">
      <w:pPr>
        <w:shd w:val="clear"/>
        <w:adjustRightInd w:val="0"/>
        <w:snapToGrid w:val="0"/>
        <w:spacing w:line="360" w:lineRule="auto"/>
        <w:rPr>
          <w:rFonts w:hint="eastAsia" w:ascii="宋体" w:hAnsi="宋体" w:cs="宋体"/>
          <w:color w:val="auto"/>
          <w:spacing w:val="-6"/>
          <w:szCs w:val="21"/>
          <w:highlight w:val="none"/>
        </w:rPr>
      </w:pPr>
    </w:p>
    <w:p w14:paraId="01433C9C">
      <w:pPr>
        <w:shd w:val="clear"/>
        <w:adjustRightInd w:val="0"/>
        <w:snapToGrid w:val="0"/>
        <w:spacing w:line="360"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投标人名称（电子签名/公章）：</w:t>
      </w:r>
    </w:p>
    <w:p w14:paraId="341C74C2">
      <w:pPr>
        <w:shd w:val="clear"/>
        <w:adjustRightInd w:val="0"/>
        <w:snapToGrid w:val="0"/>
        <w:spacing w:line="360"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175303B2">
      <w:pPr>
        <w:shd w:val="clear"/>
        <w:adjustRightInd w:val="0"/>
        <w:snapToGrid w:val="0"/>
        <w:spacing w:line="360" w:lineRule="auto"/>
        <w:rPr>
          <w:rFonts w:hint="eastAsia" w:ascii="宋体" w:hAnsi="宋体" w:cs="宋体"/>
          <w:color w:val="auto"/>
          <w:szCs w:val="21"/>
          <w:highlight w:val="none"/>
        </w:rPr>
      </w:pPr>
    </w:p>
    <w:p w14:paraId="043BBC14">
      <w:pPr>
        <w:shd w:val="clea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7EA8887D">
      <w:pPr>
        <w:shd w:val="clea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1.投标人委派不在本单位缴纳社保的人员作为授权代表的，应当在投标文件中，说明具体原因、授权代表缴纳社保的单位，并附列该授权代表缴纳社保清单。</w:t>
      </w:r>
    </w:p>
    <w:p w14:paraId="249866E9">
      <w:pPr>
        <w:shd w:val="clear"/>
        <w:adjustRightInd w:val="0"/>
        <w:snapToGrid w:val="0"/>
        <w:spacing w:line="288" w:lineRule="auto"/>
        <w:rPr>
          <w:rFonts w:hint="eastAsia" w:ascii="宋体" w:hAnsi="宋体" w:cs="宋体"/>
          <w:color w:val="auto"/>
          <w:szCs w:val="21"/>
          <w:highlight w:val="none"/>
        </w:rPr>
      </w:pPr>
    </w:p>
    <w:p w14:paraId="4B5FEADE">
      <w:pPr>
        <w:shd w:val="clear"/>
        <w:adjustRightInd w:val="0"/>
        <w:snapToGrid w:val="0"/>
        <w:spacing w:line="288" w:lineRule="auto"/>
        <w:rPr>
          <w:rFonts w:hint="eastAsia" w:ascii="宋体" w:hAnsi="宋体" w:cs="宋体"/>
          <w:color w:val="auto"/>
          <w:szCs w:val="21"/>
          <w:highlight w:val="none"/>
        </w:rPr>
      </w:pPr>
    </w:p>
    <w:p w14:paraId="5ADB7319">
      <w:pPr>
        <w:shd w:val="clear"/>
        <w:adjustRightInd w:val="0"/>
        <w:snapToGrid w:val="0"/>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（1）法定代表人（单位负责人、自然人本人）身份证</w:t>
      </w:r>
    </w:p>
    <w:p w14:paraId="77BCED27">
      <w:pPr>
        <w:shd w:val="clear"/>
        <w:adjustRightInd w:val="0"/>
        <w:snapToGrid w:val="0"/>
        <w:spacing w:line="288" w:lineRule="auto"/>
        <w:ind w:firstLine="498" w:firstLineChars="236"/>
        <w:jc w:val="center"/>
        <w:rPr>
          <w:rFonts w:hint="eastAsia" w:ascii="宋体" w:hAnsi="宋体" w:cs="宋体"/>
          <w:b/>
          <w:bCs/>
          <w:color w:val="auto"/>
          <w:szCs w:val="21"/>
          <w:highlight w:val="none"/>
        </w:rPr>
      </w:pPr>
      <w:r>
        <w:rPr>
          <w:rFonts w:hint="eastAsia" w:ascii="宋体" w:hAnsi="宋体" w:cs="宋体"/>
          <w:b/>
          <w:bCs/>
          <w:color w:val="auto"/>
          <w:szCs w:val="21"/>
          <w:highlight w:val="none"/>
        </w:rPr>
        <w:t>（适用于：法定代表人（单位负责人、自然人本人）</w:t>
      </w:r>
      <w:r>
        <w:rPr>
          <w:rFonts w:hint="eastAsia" w:ascii="宋体" w:hAnsi="宋体" w:cs="宋体"/>
          <w:b/>
          <w:bCs/>
          <w:color w:val="auto"/>
          <w:spacing w:val="-6"/>
          <w:szCs w:val="21"/>
          <w:highlight w:val="none"/>
        </w:rPr>
        <w:t>代表投标人参加投标</w:t>
      </w:r>
      <w:r>
        <w:rPr>
          <w:rFonts w:hint="eastAsia" w:ascii="宋体" w:hAnsi="宋体" w:cs="宋体"/>
          <w:b/>
          <w:bCs/>
          <w:color w:val="auto"/>
          <w:szCs w:val="21"/>
          <w:highlight w:val="none"/>
        </w:rPr>
        <w:t>）</w:t>
      </w:r>
    </w:p>
    <w:p w14:paraId="706F8648">
      <w:pPr>
        <w:shd w:val="clear"/>
        <w:adjustRightInd w:val="0"/>
        <w:snapToGrid w:val="0"/>
        <w:spacing w:line="288" w:lineRule="auto"/>
        <w:jc w:val="left"/>
        <w:rPr>
          <w:rFonts w:hint="eastAsia" w:ascii="宋体" w:hAnsi="宋体" w:cs="宋体"/>
          <w:color w:val="auto"/>
          <w:szCs w:val="21"/>
          <w:highlight w:val="none"/>
        </w:rPr>
      </w:pPr>
      <w:r>
        <w:rPr>
          <w:rFonts w:hint="eastAsia" w:ascii="宋体" w:hAnsi="宋体" w:cs="宋体"/>
          <w:bCs/>
          <w:color w:val="auto"/>
          <w:szCs w:val="21"/>
          <w:highlight w:val="none"/>
        </w:rPr>
        <w:t xml:space="preserve">身份证件扫描件          </w:t>
      </w:r>
    </w:p>
    <w:tbl>
      <w:tblPr>
        <w:tblStyle w:val="2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2"/>
        <w:gridCol w:w="4872"/>
      </w:tblGrid>
      <w:tr w14:paraId="3522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1F08A126">
            <w:pPr>
              <w:shd w:val="clear"/>
              <w:adjustRightInd w:val="0"/>
              <w:snapToGrid w:val="0"/>
              <w:spacing w:line="288" w:lineRule="auto"/>
              <w:rPr>
                <w:rFonts w:hint="eastAsia" w:ascii="宋体" w:hAnsi="宋体" w:cs="宋体"/>
                <w:bCs/>
                <w:color w:val="auto"/>
                <w:szCs w:val="21"/>
                <w:highlight w:val="none"/>
              </w:rPr>
            </w:pPr>
            <w:r>
              <w:rPr>
                <w:rFonts w:hint="eastAsia" w:ascii="宋体" w:hAnsi="宋体" w:cs="宋体"/>
                <w:bCs/>
                <w:color w:val="auto"/>
                <w:szCs w:val="21"/>
                <w:highlight w:val="none"/>
              </w:rPr>
              <w:t>正面：</w:t>
            </w:r>
          </w:p>
        </w:tc>
        <w:tc>
          <w:tcPr>
            <w:tcW w:w="4951" w:type="dxa"/>
          </w:tcPr>
          <w:p w14:paraId="5E5E987B">
            <w:pPr>
              <w:shd w:val="clear"/>
              <w:adjustRightInd w:val="0"/>
              <w:snapToGrid w:val="0"/>
              <w:spacing w:line="288" w:lineRule="auto"/>
              <w:rPr>
                <w:rFonts w:hint="eastAsia" w:ascii="宋体" w:hAnsi="宋体" w:cs="宋体"/>
                <w:bCs/>
                <w:color w:val="auto"/>
                <w:szCs w:val="21"/>
                <w:highlight w:val="none"/>
              </w:rPr>
            </w:pPr>
            <w:r>
              <w:rPr>
                <w:rFonts w:hint="eastAsia" w:ascii="宋体" w:hAnsi="宋体" w:cs="宋体"/>
                <w:bCs/>
                <w:color w:val="auto"/>
                <w:szCs w:val="21"/>
                <w:highlight w:val="none"/>
              </w:rPr>
              <w:t>反面：</w:t>
            </w:r>
          </w:p>
        </w:tc>
      </w:tr>
    </w:tbl>
    <w:p w14:paraId="413F9519">
      <w:pPr>
        <w:shd w:val="clear"/>
        <w:spacing w:line="360" w:lineRule="auto"/>
        <w:rPr>
          <w:rFonts w:hint="eastAsia" w:ascii="宋体" w:hAnsi="宋体" w:cs="宋体"/>
          <w:color w:val="auto"/>
          <w:sz w:val="24"/>
          <w:highlight w:val="none"/>
        </w:rPr>
      </w:pPr>
    </w:p>
    <w:p w14:paraId="182C8599">
      <w:pPr>
        <w:shd w:val="clear"/>
        <w:adjustRightInd w:val="0"/>
        <w:snapToGrid w:val="0"/>
        <w:spacing w:line="288" w:lineRule="auto"/>
        <w:rPr>
          <w:rFonts w:hint="eastAsia" w:ascii="宋体" w:hAnsi="宋体" w:cs="宋体"/>
          <w:color w:val="auto"/>
          <w:spacing w:val="-6"/>
          <w:szCs w:val="21"/>
          <w:highlight w:val="none"/>
          <w:u w:val="single"/>
        </w:rPr>
      </w:pPr>
    </w:p>
    <w:p w14:paraId="3713DF21">
      <w:pPr>
        <w:shd w:val="clear"/>
        <w:adjustRightInd w:val="0"/>
        <w:snapToGrid w:val="0"/>
        <w:jc w:val="center"/>
        <w:outlineLvl w:val="2"/>
        <w:rPr>
          <w:rFonts w:hint="eastAsia" w:ascii="宋体" w:hAnsi="宋体" w:cs="宋体"/>
          <w:b/>
          <w:color w:val="auto"/>
          <w:spacing w:val="-6"/>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（2）投标人同类业绩一览表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58DB6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D03F0EE">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298C05CE">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5A40E37A">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15B38BA8">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5A150BDE">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合同金额</w:t>
            </w:r>
          </w:p>
          <w:p w14:paraId="1B0946B7">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7197E5CE">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0D949056">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70C259DD">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采购人联系人</w:t>
            </w:r>
          </w:p>
          <w:p w14:paraId="3AFC6283">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联系方式</w:t>
            </w:r>
          </w:p>
        </w:tc>
      </w:tr>
      <w:tr w14:paraId="0E933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49C8903">
            <w:pPr>
              <w:shd w:val="clear"/>
              <w:adjustRightInd w:val="0"/>
              <w:snapToGrid w:val="0"/>
              <w:spacing w:line="288" w:lineRule="auto"/>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1C16EAB">
            <w:pPr>
              <w:shd w:val="clear"/>
              <w:adjustRightInd w:val="0"/>
              <w:snapToGrid w:val="0"/>
              <w:spacing w:line="288" w:lineRule="auto"/>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7BD3E43">
            <w:pPr>
              <w:shd w:val="clear"/>
              <w:adjustRightInd w:val="0"/>
              <w:snapToGrid w:val="0"/>
              <w:spacing w:line="288" w:lineRule="auto"/>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B0FB1EA">
            <w:pPr>
              <w:shd w:val="clear"/>
              <w:adjustRightInd w:val="0"/>
              <w:snapToGrid w:val="0"/>
              <w:spacing w:line="288" w:lineRule="auto"/>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03BA724">
            <w:pPr>
              <w:shd w:val="clear"/>
              <w:adjustRightInd w:val="0"/>
              <w:snapToGrid w:val="0"/>
              <w:spacing w:line="288" w:lineRule="auto"/>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F78A936">
            <w:pPr>
              <w:shd w:val="clear"/>
              <w:adjustRightInd w:val="0"/>
              <w:snapToGrid w:val="0"/>
              <w:spacing w:line="288" w:lineRule="auto"/>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C19EDCE">
            <w:pPr>
              <w:shd w:val="clear"/>
              <w:adjustRightInd w:val="0"/>
              <w:snapToGrid w:val="0"/>
              <w:spacing w:line="288" w:lineRule="auto"/>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9952A43">
            <w:pPr>
              <w:shd w:val="clear"/>
              <w:adjustRightInd w:val="0"/>
              <w:snapToGrid w:val="0"/>
              <w:spacing w:line="288" w:lineRule="auto"/>
              <w:rPr>
                <w:rFonts w:hint="eastAsia" w:ascii="宋体" w:hAnsi="宋体" w:cs="宋体"/>
                <w:b/>
                <w:bCs/>
                <w:color w:val="auto"/>
                <w:szCs w:val="21"/>
                <w:highlight w:val="none"/>
              </w:rPr>
            </w:pPr>
          </w:p>
        </w:tc>
      </w:tr>
      <w:tr w14:paraId="712EE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1E0AAB0">
            <w:pPr>
              <w:shd w:val="clear"/>
              <w:adjustRightInd w:val="0"/>
              <w:snapToGrid w:val="0"/>
              <w:spacing w:line="288" w:lineRule="auto"/>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B1C734D">
            <w:pPr>
              <w:shd w:val="clear"/>
              <w:adjustRightInd w:val="0"/>
              <w:snapToGrid w:val="0"/>
              <w:spacing w:line="288" w:lineRule="auto"/>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B0F4437">
            <w:pPr>
              <w:shd w:val="clear"/>
              <w:adjustRightInd w:val="0"/>
              <w:snapToGrid w:val="0"/>
              <w:spacing w:line="288" w:lineRule="auto"/>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2EC4E8F">
            <w:pPr>
              <w:shd w:val="clear"/>
              <w:adjustRightInd w:val="0"/>
              <w:snapToGrid w:val="0"/>
              <w:spacing w:line="288" w:lineRule="auto"/>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7F472DB">
            <w:pPr>
              <w:shd w:val="clear"/>
              <w:adjustRightInd w:val="0"/>
              <w:snapToGrid w:val="0"/>
              <w:spacing w:line="288" w:lineRule="auto"/>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B122E15">
            <w:pPr>
              <w:shd w:val="clear"/>
              <w:adjustRightInd w:val="0"/>
              <w:snapToGrid w:val="0"/>
              <w:spacing w:line="288" w:lineRule="auto"/>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9DA790E">
            <w:pPr>
              <w:shd w:val="clear"/>
              <w:adjustRightInd w:val="0"/>
              <w:snapToGrid w:val="0"/>
              <w:spacing w:line="288" w:lineRule="auto"/>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C14AFD3">
            <w:pPr>
              <w:shd w:val="clear"/>
              <w:adjustRightInd w:val="0"/>
              <w:snapToGrid w:val="0"/>
              <w:spacing w:line="288" w:lineRule="auto"/>
              <w:rPr>
                <w:rFonts w:hint="eastAsia" w:ascii="宋体" w:hAnsi="宋体" w:cs="宋体"/>
                <w:b/>
                <w:bCs/>
                <w:color w:val="auto"/>
                <w:szCs w:val="21"/>
                <w:highlight w:val="none"/>
              </w:rPr>
            </w:pPr>
          </w:p>
        </w:tc>
      </w:tr>
      <w:tr w14:paraId="3AD30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2D22518">
            <w:pPr>
              <w:shd w:val="clear"/>
              <w:adjustRightInd w:val="0"/>
              <w:snapToGrid w:val="0"/>
              <w:spacing w:line="288" w:lineRule="auto"/>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C11882E">
            <w:pPr>
              <w:shd w:val="clear"/>
              <w:adjustRightInd w:val="0"/>
              <w:snapToGrid w:val="0"/>
              <w:spacing w:line="288" w:lineRule="auto"/>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5AE2322">
            <w:pPr>
              <w:shd w:val="clear"/>
              <w:adjustRightInd w:val="0"/>
              <w:snapToGrid w:val="0"/>
              <w:spacing w:line="288" w:lineRule="auto"/>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7E82DD3">
            <w:pPr>
              <w:shd w:val="clear"/>
              <w:adjustRightInd w:val="0"/>
              <w:snapToGrid w:val="0"/>
              <w:spacing w:line="288" w:lineRule="auto"/>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75D7588">
            <w:pPr>
              <w:shd w:val="clear"/>
              <w:adjustRightInd w:val="0"/>
              <w:snapToGrid w:val="0"/>
              <w:spacing w:line="288" w:lineRule="auto"/>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C649444">
            <w:pPr>
              <w:shd w:val="clear"/>
              <w:adjustRightInd w:val="0"/>
              <w:snapToGrid w:val="0"/>
              <w:spacing w:line="288" w:lineRule="auto"/>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8C12560">
            <w:pPr>
              <w:shd w:val="clear"/>
              <w:adjustRightInd w:val="0"/>
              <w:snapToGrid w:val="0"/>
              <w:spacing w:line="288" w:lineRule="auto"/>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534E536">
            <w:pPr>
              <w:shd w:val="clear"/>
              <w:adjustRightInd w:val="0"/>
              <w:snapToGrid w:val="0"/>
              <w:spacing w:line="288" w:lineRule="auto"/>
              <w:rPr>
                <w:rFonts w:hint="eastAsia" w:ascii="宋体" w:hAnsi="宋体" w:cs="宋体"/>
                <w:b/>
                <w:bCs/>
                <w:color w:val="auto"/>
                <w:szCs w:val="21"/>
                <w:highlight w:val="none"/>
              </w:rPr>
            </w:pPr>
          </w:p>
        </w:tc>
      </w:tr>
      <w:tr w14:paraId="6D084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BC9E74D">
            <w:pPr>
              <w:shd w:val="clear"/>
              <w:adjustRightInd w:val="0"/>
              <w:snapToGrid w:val="0"/>
              <w:spacing w:line="288" w:lineRule="auto"/>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49323AD">
            <w:pPr>
              <w:shd w:val="clear"/>
              <w:adjustRightInd w:val="0"/>
              <w:snapToGrid w:val="0"/>
              <w:spacing w:line="288" w:lineRule="auto"/>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F79D4BE">
            <w:pPr>
              <w:shd w:val="clear"/>
              <w:adjustRightInd w:val="0"/>
              <w:snapToGrid w:val="0"/>
              <w:spacing w:line="288" w:lineRule="auto"/>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0BEC914">
            <w:pPr>
              <w:shd w:val="clear"/>
              <w:adjustRightInd w:val="0"/>
              <w:snapToGrid w:val="0"/>
              <w:spacing w:line="288" w:lineRule="auto"/>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3D86D2D">
            <w:pPr>
              <w:shd w:val="clear"/>
              <w:adjustRightInd w:val="0"/>
              <w:snapToGrid w:val="0"/>
              <w:spacing w:line="288" w:lineRule="auto"/>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C25F446">
            <w:pPr>
              <w:shd w:val="clear"/>
              <w:adjustRightInd w:val="0"/>
              <w:snapToGrid w:val="0"/>
              <w:spacing w:line="288" w:lineRule="auto"/>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855D856">
            <w:pPr>
              <w:shd w:val="clear"/>
              <w:adjustRightInd w:val="0"/>
              <w:snapToGrid w:val="0"/>
              <w:spacing w:line="288" w:lineRule="auto"/>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55A30E80">
            <w:pPr>
              <w:shd w:val="clear"/>
              <w:adjustRightInd w:val="0"/>
              <w:snapToGrid w:val="0"/>
              <w:spacing w:line="288" w:lineRule="auto"/>
              <w:rPr>
                <w:rFonts w:hint="eastAsia" w:ascii="宋体" w:hAnsi="宋体" w:cs="宋体"/>
                <w:b/>
                <w:bCs/>
                <w:color w:val="auto"/>
                <w:szCs w:val="21"/>
                <w:highlight w:val="none"/>
              </w:rPr>
            </w:pPr>
          </w:p>
        </w:tc>
      </w:tr>
      <w:tr w14:paraId="064F5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9563E73">
            <w:pPr>
              <w:shd w:val="clear"/>
              <w:adjustRightInd w:val="0"/>
              <w:snapToGrid w:val="0"/>
              <w:spacing w:line="288" w:lineRule="auto"/>
              <w:rPr>
                <w:rFonts w:hint="eastAsia" w:ascii="宋体" w:hAnsi="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B10E9EF">
            <w:pPr>
              <w:shd w:val="clear"/>
              <w:adjustRightInd w:val="0"/>
              <w:snapToGrid w:val="0"/>
              <w:spacing w:line="288" w:lineRule="auto"/>
              <w:rPr>
                <w:rFonts w:hint="eastAsia" w:ascii="宋体" w:hAnsi="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F89A3B2">
            <w:pPr>
              <w:shd w:val="clear"/>
              <w:adjustRightInd w:val="0"/>
              <w:snapToGrid w:val="0"/>
              <w:spacing w:line="288" w:lineRule="auto"/>
              <w:rPr>
                <w:rFonts w:hint="eastAsia" w:ascii="宋体" w:hAnsi="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C0BD6C8">
            <w:pPr>
              <w:shd w:val="clear"/>
              <w:adjustRightInd w:val="0"/>
              <w:snapToGrid w:val="0"/>
              <w:spacing w:line="288" w:lineRule="auto"/>
              <w:rPr>
                <w:rFonts w:hint="eastAsia" w:ascii="宋体" w:hAnsi="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3C7F749">
            <w:pPr>
              <w:shd w:val="clear"/>
              <w:adjustRightInd w:val="0"/>
              <w:snapToGrid w:val="0"/>
              <w:spacing w:line="288" w:lineRule="auto"/>
              <w:rPr>
                <w:rFonts w:hint="eastAsia" w:ascii="宋体" w:hAnsi="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AFFF845">
            <w:pPr>
              <w:shd w:val="clear"/>
              <w:adjustRightInd w:val="0"/>
              <w:snapToGrid w:val="0"/>
              <w:spacing w:line="288" w:lineRule="auto"/>
              <w:rPr>
                <w:rFonts w:hint="eastAsia" w:ascii="宋体" w:hAnsi="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606AFB2">
            <w:pPr>
              <w:shd w:val="clear"/>
              <w:adjustRightInd w:val="0"/>
              <w:snapToGrid w:val="0"/>
              <w:spacing w:line="288" w:lineRule="auto"/>
              <w:rPr>
                <w:rFonts w:hint="eastAsia" w:ascii="宋体" w:hAnsi="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69D0B4D3">
            <w:pPr>
              <w:shd w:val="clear"/>
              <w:adjustRightInd w:val="0"/>
              <w:snapToGrid w:val="0"/>
              <w:spacing w:line="288" w:lineRule="auto"/>
              <w:rPr>
                <w:rFonts w:hint="eastAsia" w:ascii="宋体" w:hAnsi="宋体" w:cs="宋体"/>
                <w:b/>
                <w:bCs/>
                <w:color w:val="auto"/>
                <w:szCs w:val="21"/>
                <w:highlight w:val="none"/>
              </w:rPr>
            </w:pPr>
          </w:p>
        </w:tc>
      </w:tr>
    </w:tbl>
    <w:p w14:paraId="2A9CFE05">
      <w:pPr>
        <w:shd w:val="clear"/>
        <w:adjustRightInd w:val="0"/>
        <w:snapToGrid w:val="0"/>
        <w:spacing w:line="288" w:lineRule="auto"/>
        <w:rPr>
          <w:rFonts w:hint="eastAsia" w:ascii="宋体" w:hAnsi="宋体" w:cs="宋体"/>
          <w:color w:val="auto"/>
          <w:szCs w:val="21"/>
          <w:highlight w:val="none"/>
        </w:rPr>
      </w:pPr>
    </w:p>
    <w:p w14:paraId="17BFDF9B">
      <w:pPr>
        <w:shd w:val="clear"/>
        <w:adjustRightInd w:val="0"/>
        <w:snapToGrid w:val="0"/>
        <w:spacing w:line="288" w:lineRule="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说明：</w:t>
      </w:r>
    </w:p>
    <w:p w14:paraId="720FA19A">
      <w:pPr>
        <w:shd w:val="clear"/>
        <w:adjustRightInd w:val="0"/>
        <w:snapToGrid w:val="0"/>
        <w:spacing w:line="288" w:lineRule="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1.投标人须提供上述业绩合同或中标通知书扫描件；</w:t>
      </w:r>
    </w:p>
    <w:p w14:paraId="5CE7C33D">
      <w:pPr>
        <w:shd w:val="clear"/>
        <w:adjustRightInd w:val="0"/>
        <w:snapToGrid w:val="0"/>
        <w:spacing w:line="288" w:lineRule="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2.所有合同扫描件应清晰，应能体现合同签订时间、双方签名盖章等内容；</w:t>
      </w:r>
    </w:p>
    <w:p w14:paraId="6BD9A6DE">
      <w:pPr>
        <w:shd w:val="clear"/>
        <w:adjustRightInd w:val="0"/>
        <w:snapToGrid w:val="0"/>
        <w:spacing w:line="288" w:lineRule="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3.投标人应在不涉及商业秘密的前提下尽可能提供详细的合同扫描件内容。</w:t>
      </w:r>
    </w:p>
    <w:p w14:paraId="7A951605">
      <w:pPr>
        <w:shd w:val="clear"/>
        <w:adjustRightInd w:val="0"/>
        <w:snapToGrid w:val="0"/>
        <w:spacing w:line="288" w:lineRule="auto"/>
        <w:rPr>
          <w:rFonts w:hint="eastAsia" w:ascii="宋体" w:hAnsi="宋体" w:cs="宋体"/>
          <w:color w:val="auto"/>
          <w:spacing w:val="-6"/>
          <w:szCs w:val="21"/>
          <w:highlight w:val="none"/>
        </w:rPr>
      </w:pPr>
    </w:p>
    <w:p w14:paraId="7B8D5EB2">
      <w:pPr>
        <w:shd w:val="clear"/>
        <w:adjustRightInd w:val="0"/>
        <w:snapToGrid w:val="0"/>
        <w:spacing w:line="288" w:lineRule="auto"/>
        <w:rPr>
          <w:rFonts w:hint="eastAsia" w:ascii="宋体" w:hAnsi="宋体" w:cs="宋体"/>
          <w:color w:val="auto"/>
          <w:spacing w:val="-6"/>
          <w:szCs w:val="21"/>
          <w:highlight w:val="none"/>
        </w:rPr>
      </w:pPr>
    </w:p>
    <w:p w14:paraId="6C362F04">
      <w:pPr>
        <w:shd w:val="clear"/>
        <w:adjustRightInd w:val="0"/>
        <w:snapToGrid w:val="0"/>
        <w:spacing w:line="288" w:lineRule="auto"/>
        <w:jc w:val="center"/>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投标人名称（电子签名/公章）：</w:t>
      </w:r>
    </w:p>
    <w:p w14:paraId="335A262E">
      <w:pPr>
        <w:shd w:val="clear"/>
        <w:adjustRightInd w:val="0"/>
        <w:snapToGrid w:val="0"/>
        <w:spacing w:line="288" w:lineRule="auto"/>
        <w:jc w:val="center"/>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3A9C439F">
      <w:pPr>
        <w:shd w:val="clear"/>
        <w:adjustRightInd w:val="0"/>
        <w:snapToGrid w:val="0"/>
        <w:jc w:val="left"/>
        <w:rPr>
          <w:rFonts w:hint="eastAsia" w:ascii="宋体" w:hAnsi="宋体" w:cs="宋体"/>
          <w:b/>
          <w:bCs/>
          <w:color w:val="auto"/>
          <w:sz w:val="16"/>
          <w:szCs w:val="15"/>
          <w:highlight w:val="none"/>
        </w:rPr>
      </w:pPr>
    </w:p>
    <w:p w14:paraId="468F4589">
      <w:pPr>
        <w:shd w:val="clear"/>
        <w:adjustRightInd w:val="0"/>
        <w:snapToGrid w:val="0"/>
        <w:jc w:val="left"/>
        <w:rPr>
          <w:rFonts w:hint="eastAsia" w:ascii="宋体" w:hAnsi="宋体" w:cs="宋体"/>
          <w:b/>
          <w:bCs/>
          <w:color w:val="auto"/>
          <w:sz w:val="16"/>
          <w:szCs w:val="15"/>
          <w:highlight w:val="none"/>
        </w:rPr>
      </w:pPr>
    </w:p>
    <w:p w14:paraId="20A30983">
      <w:pPr>
        <w:shd w:val="clear"/>
        <w:adjustRightInd w:val="0"/>
        <w:snapToGrid w:val="0"/>
        <w:spacing w:line="360" w:lineRule="auto"/>
        <w:jc w:val="center"/>
        <w:rPr>
          <w:rFonts w:hint="eastAsia" w:ascii="宋体" w:hAnsi="宋体" w:cs="宋体"/>
          <w:b/>
          <w:bCs/>
          <w:color w:val="auto"/>
          <w:sz w:val="16"/>
          <w:szCs w:val="15"/>
          <w:highlight w:val="none"/>
        </w:rPr>
      </w:pPr>
    </w:p>
    <w:p w14:paraId="33558E07">
      <w:pPr>
        <w:shd w:val="clear"/>
        <w:adjustRightInd w:val="0"/>
        <w:snapToGrid w:val="0"/>
        <w:spacing w:line="360" w:lineRule="auto"/>
        <w:jc w:val="left"/>
        <w:rPr>
          <w:rFonts w:hint="eastAsia" w:ascii="宋体" w:hAnsi="宋体" w:cs="宋体"/>
          <w:b/>
          <w:bCs/>
          <w:color w:val="auto"/>
          <w:sz w:val="16"/>
          <w:szCs w:val="15"/>
          <w:highlight w:val="none"/>
        </w:rPr>
      </w:pPr>
    </w:p>
    <w:p w14:paraId="022BC25D">
      <w:pPr>
        <w:shd w:val="clear"/>
        <w:adjustRightInd w:val="0"/>
        <w:snapToGrid w:val="0"/>
        <w:jc w:val="center"/>
        <w:outlineLvl w:val="2"/>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（3）软件著作权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数据来源</w:t>
      </w:r>
    </w:p>
    <w:p w14:paraId="4B815011">
      <w:pPr>
        <w:shd w:val="clear"/>
        <w:adjustRightInd w:val="0"/>
        <w:snapToGrid w:val="0"/>
        <w:outlineLvl w:val="2"/>
        <w:rPr>
          <w:rFonts w:hint="eastAsia" w:ascii="宋体" w:hAnsi="宋体" w:cs="宋体"/>
          <w:b/>
          <w:bCs/>
          <w:color w:val="auto"/>
          <w:sz w:val="24"/>
          <w:highlight w:val="none"/>
        </w:rPr>
      </w:pPr>
      <w:r>
        <w:rPr>
          <w:rFonts w:hint="eastAsia" w:ascii="宋体" w:hAnsi="宋体" w:cs="宋体"/>
          <w:b/>
          <w:bCs/>
          <w:color w:val="auto"/>
          <w:sz w:val="24"/>
          <w:highlight w:val="none"/>
        </w:rPr>
        <w:t>根据评审标准及投标人自身情况，格式自拟</w:t>
      </w:r>
    </w:p>
    <w:p w14:paraId="0AB6A2E0">
      <w:pPr>
        <w:shd w:val="clea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3823736C">
      <w:pPr>
        <w:shd w:val="clear"/>
        <w:adjustRightInd w:val="0"/>
        <w:snapToGrid w:val="0"/>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（4）采购需求偏离表</w:t>
      </w:r>
    </w:p>
    <w:p w14:paraId="147751C7">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采 购 人：</w:t>
      </w:r>
    </w:p>
    <w:p w14:paraId="284254DC">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项目名称：</w:t>
      </w:r>
    </w:p>
    <w:p w14:paraId="19BFC21F">
      <w:pPr>
        <w:shd w:val="clear"/>
        <w:adjustRightInd w:val="0"/>
        <w:snapToGrid w:val="0"/>
        <w:spacing w:line="360" w:lineRule="auto"/>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项目编号：</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80"/>
        <w:gridCol w:w="2911"/>
        <w:gridCol w:w="2407"/>
      </w:tblGrid>
      <w:tr w14:paraId="4FAC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5364D01C">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3480" w:type="dxa"/>
            <w:vAlign w:val="center"/>
          </w:tcPr>
          <w:p w14:paraId="508F2933">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招标文件要求</w:t>
            </w:r>
          </w:p>
        </w:tc>
        <w:tc>
          <w:tcPr>
            <w:tcW w:w="2911" w:type="dxa"/>
            <w:vAlign w:val="center"/>
          </w:tcPr>
          <w:p w14:paraId="7DFF5B76">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响应规格</w:t>
            </w:r>
          </w:p>
        </w:tc>
        <w:tc>
          <w:tcPr>
            <w:tcW w:w="2407" w:type="dxa"/>
            <w:vAlign w:val="center"/>
          </w:tcPr>
          <w:p w14:paraId="7936485F">
            <w:pPr>
              <w:shd w:val="clear"/>
              <w:jc w:val="center"/>
              <w:rPr>
                <w:rFonts w:hint="eastAsia" w:ascii="宋体" w:hAnsi="宋体" w:cs="宋体"/>
                <w:b/>
                <w:bCs/>
                <w:color w:val="auto"/>
                <w:szCs w:val="21"/>
                <w:highlight w:val="none"/>
              </w:rPr>
            </w:pPr>
            <w:r>
              <w:rPr>
                <w:rFonts w:hint="eastAsia" w:ascii="宋体" w:hAnsi="宋体" w:cs="宋体"/>
                <w:b/>
                <w:bCs/>
                <w:color w:val="auto"/>
                <w:szCs w:val="21"/>
                <w:highlight w:val="none"/>
              </w:rPr>
              <w:t>是否偏离（提供说明）</w:t>
            </w:r>
          </w:p>
        </w:tc>
      </w:tr>
      <w:tr w14:paraId="115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4"/>
            <w:vAlign w:val="center"/>
          </w:tcPr>
          <w:p w14:paraId="50A3B597">
            <w:pPr>
              <w:shd w:val="clear"/>
              <w:rPr>
                <w:rFonts w:hint="eastAsia" w:ascii="宋体" w:hAnsi="宋体" w:cs="宋体"/>
                <w:color w:val="auto"/>
                <w:szCs w:val="21"/>
                <w:highlight w:val="none"/>
              </w:rPr>
            </w:pPr>
            <w:r>
              <w:rPr>
                <w:rFonts w:hint="eastAsia" w:ascii="宋体" w:hAnsi="宋体" w:cs="宋体"/>
                <w:b/>
                <w:bCs/>
                <w:color w:val="auto"/>
                <w:szCs w:val="21"/>
                <w:highlight w:val="none"/>
              </w:rPr>
              <w:t>采购资金的支付方式、时间、条件</w:t>
            </w:r>
          </w:p>
        </w:tc>
      </w:tr>
      <w:tr w14:paraId="5A09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5D5D029D">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vAlign w:val="center"/>
          </w:tcPr>
          <w:p w14:paraId="20F4AFD3">
            <w:pPr>
              <w:shd w:val="clear"/>
              <w:rPr>
                <w:rFonts w:hint="eastAsia" w:ascii="宋体" w:hAnsi="宋体" w:cs="宋体"/>
                <w:color w:val="auto"/>
                <w:szCs w:val="21"/>
                <w:highlight w:val="none"/>
              </w:rPr>
            </w:pPr>
          </w:p>
        </w:tc>
        <w:tc>
          <w:tcPr>
            <w:tcW w:w="2911" w:type="dxa"/>
            <w:vAlign w:val="center"/>
          </w:tcPr>
          <w:p w14:paraId="5EBD8A49">
            <w:pPr>
              <w:shd w:val="clear"/>
              <w:rPr>
                <w:rFonts w:hint="eastAsia" w:ascii="宋体" w:hAnsi="宋体" w:cs="宋体"/>
                <w:color w:val="auto"/>
                <w:szCs w:val="21"/>
                <w:highlight w:val="none"/>
              </w:rPr>
            </w:pPr>
          </w:p>
        </w:tc>
        <w:tc>
          <w:tcPr>
            <w:tcW w:w="2407" w:type="dxa"/>
            <w:vAlign w:val="center"/>
          </w:tcPr>
          <w:p w14:paraId="2A768835">
            <w:pPr>
              <w:shd w:val="clear"/>
              <w:rPr>
                <w:rFonts w:hint="eastAsia" w:ascii="宋体" w:hAnsi="宋体" w:cs="宋体"/>
                <w:color w:val="auto"/>
                <w:szCs w:val="21"/>
                <w:highlight w:val="none"/>
              </w:rPr>
            </w:pPr>
          </w:p>
        </w:tc>
      </w:tr>
      <w:tr w14:paraId="55F1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18421F5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vAlign w:val="center"/>
          </w:tcPr>
          <w:p w14:paraId="67DF13E3">
            <w:pPr>
              <w:shd w:val="clear"/>
              <w:rPr>
                <w:rFonts w:hint="eastAsia" w:ascii="宋体" w:hAnsi="宋体" w:cs="宋体"/>
                <w:color w:val="auto"/>
                <w:szCs w:val="21"/>
                <w:highlight w:val="none"/>
              </w:rPr>
            </w:pPr>
          </w:p>
        </w:tc>
        <w:tc>
          <w:tcPr>
            <w:tcW w:w="2911" w:type="dxa"/>
            <w:vAlign w:val="center"/>
          </w:tcPr>
          <w:p w14:paraId="1ABE1F04">
            <w:pPr>
              <w:shd w:val="clear"/>
              <w:rPr>
                <w:rFonts w:hint="eastAsia" w:ascii="宋体" w:hAnsi="宋体" w:cs="宋体"/>
                <w:color w:val="auto"/>
                <w:szCs w:val="21"/>
                <w:highlight w:val="none"/>
              </w:rPr>
            </w:pPr>
          </w:p>
        </w:tc>
        <w:tc>
          <w:tcPr>
            <w:tcW w:w="2407" w:type="dxa"/>
            <w:vAlign w:val="center"/>
          </w:tcPr>
          <w:p w14:paraId="4E9558AF">
            <w:pPr>
              <w:shd w:val="clear"/>
              <w:rPr>
                <w:rFonts w:hint="eastAsia" w:ascii="宋体" w:hAnsi="宋体" w:cs="宋体"/>
                <w:color w:val="auto"/>
                <w:szCs w:val="21"/>
                <w:highlight w:val="none"/>
              </w:rPr>
            </w:pPr>
          </w:p>
        </w:tc>
      </w:tr>
      <w:tr w14:paraId="4EC0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616302FC">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vAlign w:val="center"/>
          </w:tcPr>
          <w:p w14:paraId="02BE11E4">
            <w:pPr>
              <w:shd w:val="clear"/>
              <w:rPr>
                <w:rFonts w:hint="eastAsia" w:ascii="宋体" w:hAnsi="宋体" w:cs="宋体"/>
                <w:color w:val="auto"/>
                <w:szCs w:val="21"/>
                <w:highlight w:val="none"/>
              </w:rPr>
            </w:pPr>
          </w:p>
        </w:tc>
        <w:tc>
          <w:tcPr>
            <w:tcW w:w="2911" w:type="dxa"/>
            <w:vAlign w:val="center"/>
          </w:tcPr>
          <w:p w14:paraId="33E7EC02">
            <w:pPr>
              <w:shd w:val="clear"/>
              <w:rPr>
                <w:rFonts w:hint="eastAsia" w:ascii="宋体" w:hAnsi="宋体" w:cs="宋体"/>
                <w:color w:val="auto"/>
                <w:szCs w:val="21"/>
                <w:highlight w:val="none"/>
              </w:rPr>
            </w:pPr>
          </w:p>
        </w:tc>
        <w:tc>
          <w:tcPr>
            <w:tcW w:w="2407" w:type="dxa"/>
            <w:vAlign w:val="center"/>
          </w:tcPr>
          <w:p w14:paraId="427F5BB3">
            <w:pPr>
              <w:shd w:val="clear"/>
              <w:rPr>
                <w:rFonts w:hint="eastAsia" w:ascii="宋体" w:hAnsi="宋体" w:cs="宋体"/>
                <w:color w:val="auto"/>
                <w:szCs w:val="21"/>
                <w:highlight w:val="none"/>
              </w:rPr>
            </w:pPr>
          </w:p>
        </w:tc>
      </w:tr>
      <w:tr w14:paraId="3D0B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4"/>
            <w:vAlign w:val="center"/>
          </w:tcPr>
          <w:p w14:paraId="75ED7987">
            <w:pPr>
              <w:shd w:val="clear"/>
              <w:rPr>
                <w:rFonts w:hint="eastAsia" w:ascii="宋体" w:hAnsi="宋体" w:cs="宋体"/>
                <w:color w:val="auto"/>
                <w:szCs w:val="21"/>
                <w:highlight w:val="none"/>
              </w:rPr>
            </w:pPr>
            <w:r>
              <w:rPr>
                <w:rFonts w:hint="eastAsia" w:ascii="宋体" w:hAnsi="宋体" w:cs="宋体"/>
                <w:b/>
                <w:bCs/>
                <w:color w:val="auto"/>
                <w:szCs w:val="21"/>
                <w:highlight w:val="none"/>
              </w:rPr>
              <w:t>服务要求</w:t>
            </w:r>
          </w:p>
        </w:tc>
      </w:tr>
      <w:tr w14:paraId="2C24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4473A24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vAlign w:val="center"/>
          </w:tcPr>
          <w:p w14:paraId="7454FDB4">
            <w:pPr>
              <w:shd w:val="clear"/>
              <w:rPr>
                <w:rFonts w:hint="eastAsia" w:ascii="宋体" w:hAnsi="宋体" w:cs="宋体"/>
                <w:color w:val="auto"/>
                <w:szCs w:val="21"/>
                <w:highlight w:val="none"/>
              </w:rPr>
            </w:pPr>
          </w:p>
        </w:tc>
        <w:tc>
          <w:tcPr>
            <w:tcW w:w="2911" w:type="dxa"/>
            <w:vAlign w:val="center"/>
          </w:tcPr>
          <w:p w14:paraId="41BCA94A">
            <w:pPr>
              <w:shd w:val="clear"/>
              <w:rPr>
                <w:rFonts w:hint="eastAsia" w:ascii="宋体" w:hAnsi="宋体" w:cs="宋体"/>
                <w:color w:val="auto"/>
                <w:szCs w:val="21"/>
                <w:highlight w:val="none"/>
              </w:rPr>
            </w:pPr>
          </w:p>
        </w:tc>
        <w:tc>
          <w:tcPr>
            <w:tcW w:w="2407" w:type="dxa"/>
            <w:vAlign w:val="center"/>
          </w:tcPr>
          <w:p w14:paraId="19B544FC">
            <w:pPr>
              <w:shd w:val="clear"/>
              <w:rPr>
                <w:rFonts w:hint="eastAsia" w:ascii="宋体" w:hAnsi="宋体" w:cs="宋体"/>
                <w:color w:val="auto"/>
                <w:szCs w:val="21"/>
                <w:highlight w:val="none"/>
              </w:rPr>
            </w:pPr>
          </w:p>
        </w:tc>
      </w:tr>
      <w:tr w14:paraId="0038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06EC6327">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vAlign w:val="center"/>
          </w:tcPr>
          <w:p w14:paraId="725FEEAA">
            <w:pPr>
              <w:shd w:val="clear"/>
              <w:rPr>
                <w:rFonts w:hint="eastAsia" w:ascii="宋体" w:hAnsi="宋体" w:cs="宋体"/>
                <w:color w:val="auto"/>
                <w:szCs w:val="21"/>
                <w:highlight w:val="none"/>
              </w:rPr>
            </w:pPr>
          </w:p>
        </w:tc>
        <w:tc>
          <w:tcPr>
            <w:tcW w:w="2911" w:type="dxa"/>
            <w:vAlign w:val="center"/>
          </w:tcPr>
          <w:p w14:paraId="363E1931">
            <w:pPr>
              <w:shd w:val="clear"/>
              <w:rPr>
                <w:rFonts w:hint="eastAsia" w:ascii="宋体" w:hAnsi="宋体" w:cs="宋体"/>
                <w:color w:val="auto"/>
                <w:szCs w:val="21"/>
                <w:highlight w:val="none"/>
              </w:rPr>
            </w:pPr>
          </w:p>
        </w:tc>
        <w:tc>
          <w:tcPr>
            <w:tcW w:w="2407" w:type="dxa"/>
            <w:vAlign w:val="center"/>
          </w:tcPr>
          <w:p w14:paraId="71CC45FF">
            <w:pPr>
              <w:shd w:val="clear"/>
              <w:rPr>
                <w:rFonts w:hint="eastAsia" w:ascii="宋体" w:hAnsi="宋体" w:cs="宋体"/>
                <w:color w:val="auto"/>
                <w:szCs w:val="21"/>
                <w:highlight w:val="none"/>
              </w:rPr>
            </w:pPr>
          </w:p>
        </w:tc>
      </w:tr>
      <w:tr w14:paraId="211B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710428A1">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vAlign w:val="center"/>
          </w:tcPr>
          <w:p w14:paraId="23DE6FC3">
            <w:pPr>
              <w:shd w:val="clear"/>
              <w:rPr>
                <w:rFonts w:hint="eastAsia" w:ascii="宋体" w:hAnsi="宋体" w:cs="宋体"/>
                <w:color w:val="auto"/>
                <w:szCs w:val="21"/>
                <w:highlight w:val="none"/>
              </w:rPr>
            </w:pPr>
          </w:p>
        </w:tc>
        <w:tc>
          <w:tcPr>
            <w:tcW w:w="2911" w:type="dxa"/>
            <w:vAlign w:val="center"/>
          </w:tcPr>
          <w:p w14:paraId="29036A42">
            <w:pPr>
              <w:shd w:val="clear"/>
              <w:rPr>
                <w:rFonts w:hint="eastAsia" w:ascii="宋体" w:hAnsi="宋体" w:cs="宋体"/>
                <w:color w:val="auto"/>
                <w:szCs w:val="21"/>
                <w:highlight w:val="none"/>
              </w:rPr>
            </w:pPr>
          </w:p>
        </w:tc>
        <w:tc>
          <w:tcPr>
            <w:tcW w:w="2407" w:type="dxa"/>
            <w:vAlign w:val="center"/>
          </w:tcPr>
          <w:p w14:paraId="5A7FEB26">
            <w:pPr>
              <w:shd w:val="clear"/>
              <w:rPr>
                <w:rFonts w:hint="eastAsia" w:ascii="宋体" w:hAnsi="宋体" w:cs="宋体"/>
                <w:color w:val="auto"/>
                <w:szCs w:val="21"/>
                <w:highlight w:val="none"/>
              </w:rPr>
            </w:pPr>
          </w:p>
        </w:tc>
      </w:tr>
      <w:tr w14:paraId="4C77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4"/>
            <w:vAlign w:val="center"/>
          </w:tcPr>
          <w:p w14:paraId="1E690FE8">
            <w:pPr>
              <w:shd w:val="clear"/>
              <w:rPr>
                <w:rFonts w:hint="eastAsia" w:ascii="宋体" w:hAnsi="宋体" w:cs="宋体"/>
                <w:color w:val="auto"/>
                <w:szCs w:val="21"/>
                <w:highlight w:val="none"/>
              </w:rPr>
            </w:pPr>
            <w:r>
              <w:rPr>
                <w:rFonts w:hint="eastAsia" w:ascii="宋体" w:hAnsi="宋体" w:cs="宋体"/>
                <w:b/>
                <w:bCs/>
                <w:color w:val="auto"/>
                <w:szCs w:val="21"/>
                <w:highlight w:val="none"/>
              </w:rPr>
              <w:t>技术要求（招标文件中要求提供佐证材料的，建议在响应规格中标明佐证材料对应页码）</w:t>
            </w:r>
          </w:p>
        </w:tc>
      </w:tr>
      <w:tr w14:paraId="5DDA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6AC196D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480" w:type="dxa"/>
            <w:vAlign w:val="center"/>
          </w:tcPr>
          <w:p w14:paraId="3C63A6C4">
            <w:pPr>
              <w:shd w:val="clear"/>
              <w:rPr>
                <w:rFonts w:hint="eastAsia" w:ascii="宋体" w:hAnsi="宋体" w:cs="宋体"/>
                <w:color w:val="auto"/>
                <w:szCs w:val="21"/>
                <w:highlight w:val="none"/>
              </w:rPr>
            </w:pPr>
          </w:p>
        </w:tc>
        <w:tc>
          <w:tcPr>
            <w:tcW w:w="2911" w:type="dxa"/>
            <w:vAlign w:val="center"/>
          </w:tcPr>
          <w:p w14:paraId="644F54BA">
            <w:pPr>
              <w:shd w:val="clear"/>
              <w:rPr>
                <w:rFonts w:hint="eastAsia" w:ascii="宋体" w:hAnsi="宋体" w:cs="宋体"/>
                <w:color w:val="auto"/>
                <w:szCs w:val="21"/>
                <w:highlight w:val="none"/>
              </w:rPr>
            </w:pPr>
          </w:p>
        </w:tc>
        <w:tc>
          <w:tcPr>
            <w:tcW w:w="2407" w:type="dxa"/>
            <w:vAlign w:val="center"/>
          </w:tcPr>
          <w:p w14:paraId="7C320A1C">
            <w:pPr>
              <w:shd w:val="clear"/>
              <w:rPr>
                <w:rFonts w:hint="eastAsia" w:ascii="宋体" w:hAnsi="宋体" w:cs="宋体"/>
                <w:color w:val="auto"/>
                <w:szCs w:val="21"/>
                <w:highlight w:val="none"/>
              </w:rPr>
            </w:pPr>
          </w:p>
        </w:tc>
      </w:tr>
      <w:tr w14:paraId="2D1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11D6250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480" w:type="dxa"/>
            <w:vAlign w:val="center"/>
          </w:tcPr>
          <w:p w14:paraId="3FB061D1">
            <w:pPr>
              <w:shd w:val="clear"/>
              <w:rPr>
                <w:rFonts w:hint="eastAsia" w:ascii="宋体" w:hAnsi="宋体" w:cs="宋体"/>
                <w:color w:val="auto"/>
                <w:szCs w:val="21"/>
                <w:highlight w:val="none"/>
              </w:rPr>
            </w:pPr>
          </w:p>
        </w:tc>
        <w:tc>
          <w:tcPr>
            <w:tcW w:w="2911" w:type="dxa"/>
            <w:vAlign w:val="center"/>
          </w:tcPr>
          <w:p w14:paraId="26CC6FA4">
            <w:pPr>
              <w:shd w:val="clear"/>
              <w:rPr>
                <w:rFonts w:hint="eastAsia" w:ascii="宋体" w:hAnsi="宋体" w:cs="宋体"/>
                <w:color w:val="auto"/>
                <w:szCs w:val="21"/>
                <w:highlight w:val="none"/>
              </w:rPr>
            </w:pPr>
          </w:p>
        </w:tc>
        <w:tc>
          <w:tcPr>
            <w:tcW w:w="2407" w:type="dxa"/>
            <w:vAlign w:val="center"/>
          </w:tcPr>
          <w:p w14:paraId="3FDEC3AE">
            <w:pPr>
              <w:shd w:val="clear"/>
              <w:rPr>
                <w:rFonts w:hint="eastAsia" w:ascii="宋体" w:hAnsi="宋体" w:cs="宋体"/>
                <w:color w:val="auto"/>
                <w:szCs w:val="21"/>
                <w:highlight w:val="none"/>
              </w:rPr>
            </w:pPr>
          </w:p>
        </w:tc>
      </w:tr>
      <w:tr w14:paraId="05C3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vAlign w:val="center"/>
          </w:tcPr>
          <w:p w14:paraId="3AF73B1A">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480" w:type="dxa"/>
            <w:vAlign w:val="center"/>
          </w:tcPr>
          <w:p w14:paraId="564DF356">
            <w:pPr>
              <w:shd w:val="clear"/>
              <w:rPr>
                <w:rFonts w:hint="eastAsia" w:ascii="宋体" w:hAnsi="宋体" w:cs="宋体"/>
                <w:color w:val="auto"/>
                <w:szCs w:val="21"/>
                <w:highlight w:val="none"/>
              </w:rPr>
            </w:pPr>
          </w:p>
        </w:tc>
        <w:tc>
          <w:tcPr>
            <w:tcW w:w="2911" w:type="dxa"/>
            <w:vAlign w:val="center"/>
          </w:tcPr>
          <w:p w14:paraId="078778E5">
            <w:pPr>
              <w:shd w:val="clear"/>
              <w:rPr>
                <w:rFonts w:hint="eastAsia" w:ascii="宋体" w:hAnsi="宋体" w:cs="宋体"/>
                <w:color w:val="auto"/>
                <w:szCs w:val="21"/>
                <w:highlight w:val="none"/>
              </w:rPr>
            </w:pPr>
          </w:p>
        </w:tc>
        <w:tc>
          <w:tcPr>
            <w:tcW w:w="2407" w:type="dxa"/>
            <w:vAlign w:val="center"/>
          </w:tcPr>
          <w:p w14:paraId="46C95CC4">
            <w:pPr>
              <w:shd w:val="clear"/>
              <w:rPr>
                <w:rFonts w:hint="eastAsia" w:ascii="宋体" w:hAnsi="宋体" w:cs="宋体"/>
                <w:color w:val="auto"/>
                <w:szCs w:val="21"/>
                <w:highlight w:val="none"/>
              </w:rPr>
            </w:pPr>
          </w:p>
        </w:tc>
      </w:tr>
    </w:tbl>
    <w:p w14:paraId="0453ADAD">
      <w:pPr>
        <w:shd w:val="clear"/>
        <w:adjustRightInd w:val="0"/>
        <w:snapToGrid w:val="0"/>
        <w:spacing w:line="360" w:lineRule="auto"/>
        <w:rPr>
          <w:rFonts w:hint="eastAsia" w:ascii="宋体" w:hAnsi="宋体" w:cs="宋体"/>
          <w:color w:val="auto"/>
          <w:szCs w:val="21"/>
          <w:highlight w:val="none"/>
        </w:rPr>
      </w:pPr>
    </w:p>
    <w:p w14:paraId="3F7F6EA9">
      <w:pPr>
        <w:shd w:val="clea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说明：</w:t>
      </w:r>
    </w:p>
    <w:p w14:paraId="22FA085D">
      <w:pPr>
        <w:shd w:val="clea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1.逐项按照招标文件第三章 招标项目要求</w:t>
      </w:r>
      <w:r>
        <w:rPr>
          <w:rFonts w:hint="eastAsia" w:ascii="宋体" w:hAnsi="宋体" w:cs="宋体"/>
          <w:color w:val="auto"/>
          <w:szCs w:val="21"/>
          <w:highlight w:val="none"/>
        </w:rPr>
        <w:t>（不含“一、为落实政府采购政策需满足的要求”）</w:t>
      </w:r>
      <w:r>
        <w:rPr>
          <w:rFonts w:hint="eastAsia" w:ascii="宋体" w:hAnsi="宋体" w:cs="宋体"/>
          <w:b/>
          <w:bCs/>
          <w:color w:val="auto"/>
          <w:szCs w:val="21"/>
          <w:highlight w:val="none"/>
        </w:rPr>
        <w:t>填写响应规格；</w:t>
      </w:r>
    </w:p>
    <w:p w14:paraId="3A0213D1">
      <w:pPr>
        <w:shd w:val="clea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2.偏离说明是指对招标文件要求存在不同之处的解释说明，偏离系指正偏离（高于采购需求）、负偏离（低于采购需求）、无偏离（满足采购需求）；</w:t>
      </w:r>
    </w:p>
    <w:p w14:paraId="61312EF8">
      <w:pPr>
        <w:shd w:val="clea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3.如不填写或未如实填写，自行承担投标风险；</w:t>
      </w:r>
    </w:p>
    <w:p w14:paraId="70C65D26">
      <w:pPr>
        <w:shd w:val="clea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4.如需提供相关材料的请附在此页之后。</w:t>
      </w:r>
    </w:p>
    <w:p w14:paraId="789FB634">
      <w:pPr>
        <w:shd w:val="clear"/>
        <w:adjustRightInd w:val="0"/>
        <w:snapToGrid w:val="0"/>
        <w:spacing w:line="360" w:lineRule="auto"/>
        <w:rPr>
          <w:rFonts w:hint="eastAsia" w:ascii="宋体" w:hAnsi="宋体" w:cs="宋体"/>
          <w:color w:val="auto"/>
          <w:szCs w:val="21"/>
          <w:highlight w:val="none"/>
        </w:rPr>
      </w:pPr>
    </w:p>
    <w:p w14:paraId="595CCD4D">
      <w:pPr>
        <w:pStyle w:val="11"/>
        <w:shd w:val="clear"/>
        <w:rPr>
          <w:rFonts w:hint="eastAsia" w:ascii="宋体" w:hAnsi="宋体" w:cs="宋体"/>
          <w:color w:val="auto"/>
          <w:highlight w:val="none"/>
        </w:rPr>
      </w:pPr>
    </w:p>
    <w:p w14:paraId="75F88A31">
      <w:pPr>
        <w:pStyle w:val="7"/>
        <w:shd w:val="clear"/>
        <w:spacing w:line="360" w:lineRule="auto"/>
        <w:ind w:firstLine="0"/>
        <w:rPr>
          <w:rFonts w:hint="eastAsia" w:hAnsi="宋体" w:cs="宋体"/>
          <w:b/>
          <w:bCs/>
          <w:color w:val="auto"/>
          <w:spacing w:val="-6"/>
          <w:sz w:val="21"/>
          <w:szCs w:val="21"/>
          <w:highlight w:val="none"/>
        </w:rPr>
      </w:pPr>
      <w:r>
        <w:rPr>
          <w:rFonts w:hint="eastAsia" w:hAnsi="宋体" w:cs="宋体"/>
          <w:b/>
          <w:bCs/>
          <w:color w:val="auto"/>
          <w:spacing w:val="-6"/>
          <w:sz w:val="21"/>
          <w:szCs w:val="21"/>
          <w:highlight w:val="none"/>
        </w:rPr>
        <w:t>投标人名称（公章）：</w:t>
      </w:r>
    </w:p>
    <w:p w14:paraId="32DD36A8">
      <w:pPr>
        <w:pStyle w:val="7"/>
        <w:shd w:val="clear"/>
        <w:spacing w:line="360" w:lineRule="auto"/>
        <w:ind w:firstLine="0"/>
        <w:rPr>
          <w:rFonts w:hint="eastAsia" w:hAnsi="宋体" w:cs="宋体"/>
          <w:b/>
          <w:bCs/>
          <w:color w:val="auto"/>
          <w:spacing w:val="-6"/>
          <w:sz w:val="21"/>
          <w:szCs w:val="21"/>
          <w:highlight w:val="none"/>
        </w:rPr>
      </w:pPr>
      <w:r>
        <w:rPr>
          <w:rFonts w:hint="eastAsia" w:hAnsi="宋体" w:cs="宋体"/>
          <w:b/>
          <w:bCs/>
          <w:color w:val="auto"/>
          <w:spacing w:val="-6"/>
          <w:sz w:val="21"/>
          <w:szCs w:val="21"/>
          <w:highlight w:val="none"/>
        </w:rPr>
        <w:t>日期：     年   月   日</w:t>
      </w:r>
    </w:p>
    <w:p w14:paraId="00691C8C">
      <w:pPr>
        <w:shd w:val="clear"/>
        <w:adjustRightInd w:val="0"/>
        <w:snapToGrid w:val="0"/>
        <w:jc w:val="center"/>
        <w:outlineLvl w:val="2"/>
        <w:rPr>
          <w:rFonts w:hint="eastAsia" w:ascii="宋体" w:hAnsi="宋体" w:cs="宋体"/>
          <w:b/>
          <w:color w:val="auto"/>
          <w:spacing w:val="-6"/>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（5）货物配置清单</w:t>
      </w:r>
      <w:r>
        <w:rPr>
          <w:rFonts w:hint="eastAsia" w:ascii="宋体" w:hAnsi="宋体" w:cs="宋体"/>
          <w:color w:val="auto"/>
          <w:spacing w:val="-6"/>
          <w:szCs w:val="21"/>
          <w:highlight w:val="none"/>
        </w:rPr>
        <w:t>（不含报价）</w:t>
      </w:r>
    </w:p>
    <w:p w14:paraId="34521227">
      <w:pPr>
        <w:shd w:val="clear"/>
        <w:adjustRightInd w:val="0"/>
        <w:snapToGrid w:val="0"/>
        <w:spacing w:line="288" w:lineRule="auto"/>
        <w:rPr>
          <w:rFonts w:hint="eastAsia" w:ascii="宋体" w:hAnsi="宋体" w:cs="宋体"/>
          <w:color w:val="auto"/>
          <w:spacing w:val="-6"/>
          <w:szCs w:val="21"/>
          <w:highlight w:val="none"/>
        </w:rPr>
      </w:pPr>
    </w:p>
    <w:tbl>
      <w:tblPr>
        <w:tblStyle w:val="27"/>
        <w:tblW w:w="94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011"/>
        <w:gridCol w:w="2105"/>
        <w:gridCol w:w="756"/>
        <w:gridCol w:w="1011"/>
        <w:gridCol w:w="2025"/>
      </w:tblGrid>
      <w:tr w14:paraId="22B6B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824E312">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vAlign w:val="center"/>
          </w:tcPr>
          <w:p w14:paraId="18984014">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6F3437AE">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品牌</w:t>
            </w: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040C4A49">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规格型号</w:t>
            </w:r>
          </w:p>
          <w:p w14:paraId="6C6B02B2">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D64F9FA">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79ECA453">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2025" w:type="dxa"/>
            <w:tcBorders>
              <w:top w:val="single" w:color="auto" w:sz="4" w:space="0"/>
              <w:left w:val="single" w:color="auto" w:sz="4" w:space="0"/>
              <w:bottom w:val="single" w:color="auto" w:sz="4" w:space="0"/>
              <w:right w:val="single" w:color="auto" w:sz="4" w:space="0"/>
            </w:tcBorders>
            <w:vAlign w:val="center"/>
          </w:tcPr>
          <w:p w14:paraId="35094585">
            <w:pPr>
              <w:shd w:val="clear"/>
              <w:adjustRightInd w:val="0"/>
              <w:snapToGri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配置（可另附页）</w:t>
            </w:r>
          </w:p>
        </w:tc>
      </w:tr>
      <w:tr w14:paraId="29DA8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17DD39E">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1D87A54">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423EC92F">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02525253">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0C052393">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374EE83F">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3B7C2B0B">
            <w:pPr>
              <w:shd w:val="clear"/>
              <w:adjustRightInd w:val="0"/>
              <w:snapToGrid w:val="0"/>
              <w:spacing w:line="288" w:lineRule="auto"/>
              <w:jc w:val="center"/>
              <w:rPr>
                <w:rFonts w:hint="eastAsia" w:ascii="宋体" w:hAnsi="宋体" w:cs="宋体"/>
                <w:b/>
                <w:bCs/>
                <w:color w:val="auto"/>
                <w:szCs w:val="21"/>
                <w:highlight w:val="none"/>
              </w:rPr>
            </w:pPr>
          </w:p>
        </w:tc>
      </w:tr>
      <w:tr w14:paraId="4EDC9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6BA8EC2">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3EF32EE7">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4B0ABF17">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17870B08">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033C25DB">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1A371999">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7AD78D0">
            <w:pPr>
              <w:shd w:val="clear"/>
              <w:adjustRightInd w:val="0"/>
              <w:snapToGrid w:val="0"/>
              <w:spacing w:line="288" w:lineRule="auto"/>
              <w:jc w:val="center"/>
              <w:rPr>
                <w:rFonts w:hint="eastAsia" w:ascii="宋体" w:hAnsi="宋体" w:cs="宋体"/>
                <w:b/>
                <w:bCs/>
                <w:color w:val="auto"/>
                <w:szCs w:val="21"/>
                <w:highlight w:val="none"/>
              </w:rPr>
            </w:pPr>
          </w:p>
        </w:tc>
      </w:tr>
      <w:tr w14:paraId="17ED5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AC3B7C0">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3A57AE3E">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047A49E9">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51BDE982">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4B64FB9">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52F3456A">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A6CD993">
            <w:pPr>
              <w:shd w:val="clear"/>
              <w:adjustRightInd w:val="0"/>
              <w:snapToGrid w:val="0"/>
              <w:spacing w:line="288" w:lineRule="auto"/>
              <w:jc w:val="center"/>
              <w:rPr>
                <w:rFonts w:hint="eastAsia" w:ascii="宋体" w:hAnsi="宋体" w:cs="宋体"/>
                <w:b/>
                <w:bCs/>
                <w:color w:val="auto"/>
                <w:szCs w:val="21"/>
                <w:highlight w:val="none"/>
              </w:rPr>
            </w:pPr>
          </w:p>
        </w:tc>
      </w:tr>
      <w:tr w14:paraId="310B2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F83D9F1">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435174BA">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294E85DE">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462CC174">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70A33868">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4ABC7CBD">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9B98922">
            <w:pPr>
              <w:shd w:val="clear"/>
              <w:adjustRightInd w:val="0"/>
              <w:snapToGrid w:val="0"/>
              <w:spacing w:line="288" w:lineRule="auto"/>
              <w:jc w:val="center"/>
              <w:rPr>
                <w:rFonts w:hint="eastAsia" w:ascii="宋体" w:hAnsi="宋体" w:cs="宋体"/>
                <w:b/>
                <w:bCs/>
                <w:color w:val="auto"/>
                <w:szCs w:val="21"/>
                <w:highlight w:val="none"/>
              </w:rPr>
            </w:pPr>
          </w:p>
        </w:tc>
      </w:tr>
      <w:tr w14:paraId="74B76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7262815">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2A9DD401">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6333A79A">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7EECE0F7">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BA998B7">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04B31606">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3D81459">
            <w:pPr>
              <w:shd w:val="clear"/>
              <w:adjustRightInd w:val="0"/>
              <w:snapToGrid w:val="0"/>
              <w:spacing w:line="288" w:lineRule="auto"/>
              <w:jc w:val="center"/>
              <w:rPr>
                <w:rFonts w:hint="eastAsia" w:ascii="宋体" w:hAnsi="宋体" w:cs="宋体"/>
                <w:b/>
                <w:bCs/>
                <w:color w:val="auto"/>
                <w:szCs w:val="21"/>
                <w:highlight w:val="none"/>
              </w:rPr>
            </w:pPr>
          </w:p>
        </w:tc>
      </w:tr>
      <w:tr w14:paraId="1A608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86D5DE3">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2181A56">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1D403140">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0A114C20">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098A6B6F">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7B41C9C4">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16659257">
            <w:pPr>
              <w:shd w:val="clear"/>
              <w:adjustRightInd w:val="0"/>
              <w:snapToGrid w:val="0"/>
              <w:spacing w:line="288" w:lineRule="auto"/>
              <w:jc w:val="center"/>
              <w:rPr>
                <w:rFonts w:hint="eastAsia" w:ascii="宋体" w:hAnsi="宋体" w:cs="宋体"/>
                <w:b/>
                <w:bCs/>
                <w:color w:val="auto"/>
                <w:szCs w:val="21"/>
                <w:highlight w:val="none"/>
              </w:rPr>
            </w:pPr>
          </w:p>
        </w:tc>
      </w:tr>
      <w:tr w14:paraId="46778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DED2FCC">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0AA6630F">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5409D51D">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2FC73D8B">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6E9B396C">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23FC72BF">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6D4B4783">
            <w:pPr>
              <w:shd w:val="clear"/>
              <w:adjustRightInd w:val="0"/>
              <w:snapToGrid w:val="0"/>
              <w:spacing w:line="288" w:lineRule="auto"/>
              <w:jc w:val="center"/>
              <w:rPr>
                <w:rFonts w:hint="eastAsia" w:ascii="宋体" w:hAnsi="宋体" w:cs="宋体"/>
                <w:b/>
                <w:bCs/>
                <w:color w:val="auto"/>
                <w:szCs w:val="21"/>
                <w:highlight w:val="none"/>
              </w:rPr>
            </w:pPr>
          </w:p>
        </w:tc>
      </w:tr>
      <w:tr w14:paraId="512E3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788E1B8">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6AE68FC9">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2EE42770">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5272869D">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3328976F">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29F6014F">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007D62D2">
            <w:pPr>
              <w:shd w:val="clear"/>
              <w:adjustRightInd w:val="0"/>
              <w:snapToGrid w:val="0"/>
              <w:spacing w:line="288" w:lineRule="auto"/>
              <w:jc w:val="center"/>
              <w:rPr>
                <w:rFonts w:hint="eastAsia" w:ascii="宋体" w:hAnsi="宋体" w:cs="宋体"/>
                <w:b/>
                <w:bCs/>
                <w:color w:val="auto"/>
                <w:szCs w:val="21"/>
                <w:highlight w:val="none"/>
              </w:rPr>
            </w:pPr>
          </w:p>
        </w:tc>
      </w:tr>
      <w:tr w14:paraId="5AE4D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B4ED1DD">
            <w:pPr>
              <w:shd w:val="clear"/>
              <w:adjustRightInd w:val="0"/>
              <w:snapToGrid w:val="0"/>
              <w:spacing w:line="288" w:lineRule="auto"/>
              <w:jc w:val="center"/>
              <w:rPr>
                <w:rFonts w:hint="eastAsia" w:ascii="宋体" w:hAnsi="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7F7C1EC">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106EDDA6">
            <w:pPr>
              <w:shd w:val="clear"/>
              <w:adjustRightInd w:val="0"/>
              <w:snapToGrid w:val="0"/>
              <w:spacing w:line="288" w:lineRule="auto"/>
              <w:jc w:val="center"/>
              <w:rPr>
                <w:rFonts w:hint="eastAsia" w:ascii="宋体" w:hAnsi="宋体" w:cs="宋体"/>
                <w:b/>
                <w:bCs/>
                <w:color w:val="auto"/>
                <w:szCs w:val="21"/>
                <w:highlight w:val="none"/>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14:paraId="55809933">
            <w:pPr>
              <w:shd w:val="clear"/>
              <w:adjustRightInd w:val="0"/>
              <w:snapToGrid w:val="0"/>
              <w:spacing w:line="288" w:lineRule="auto"/>
              <w:jc w:val="center"/>
              <w:rPr>
                <w:rFonts w:hint="eastAsia" w:ascii="宋体"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DF502BA">
            <w:pPr>
              <w:shd w:val="clear"/>
              <w:adjustRightInd w:val="0"/>
              <w:snapToGrid w:val="0"/>
              <w:spacing w:line="288" w:lineRule="auto"/>
              <w:jc w:val="center"/>
              <w:rPr>
                <w:rFonts w:hint="eastAsia" w:ascii="宋体"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7F87941E">
            <w:pPr>
              <w:shd w:val="clear"/>
              <w:adjustRightInd w:val="0"/>
              <w:snapToGrid w:val="0"/>
              <w:spacing w:line="288" w:lineRule="auto"/>
              <w:jc w:val="center"/>
              <w:rPr>
                <w:rFonts w:hint="eastAsia" w:ascii="宋体" w:hAnsi="宋体" w:cs="宋体"/>
                <w:b/>
                <w:bCs/>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DA7030A">
            <w:pPr>
              <w:shd w:val="clear"/>
              <w:adjustRightInd w:val="0"/>
              <w:snapToGrid w:val="0"/>
              <w:spacing w:line="288" w:lineRule="auto"/>
              <w:jc w:val="center"/>
              <w:rPr>
                <w:rFonts w:hint="eastAsia" w:ascii="宋体" w:hAnsi="宋体" w:cs="宋体"/>
                <w:b/>
                <w:bCs/>
                <w:color w:val="auto"/>
                <w:szCs w:val="21"/>
                <w:highlight w:val="none"/>
              </w:rPr>
            </w:pPr>
          </w:p>
        </w:tc>
      </w:tr>
    </w:tbl>
    <w:p w14:paraId="4202EB59">
      <w:pPr>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注：此表中无须填写报价！</w:t>
      </w:r>
    </w:p>
    <w:p w14:paraId="6E4B42CC">
      <w:pPr>
        <w:shd w:val="clear"/>
        <w:adjustRightInd w:val="0"/>
        <w:snapToGrid w:val="0"/>
        <w:spacing w:line="288" w:lineRule="auto"/>
        <w:rPr>
          <w:rFonts w:hint="eastAsia" w:ascii="宋体" w:hAnsi="宋体" w:cs="宋体"/>
          <w:color w:val="auto"/>
          <w:spacing w:val="-6"/>
          <w:szCs w:val="21"/>
          <w:highlight w:val="none"/>
        </w:rPr>
      </w:pPr>
    </w:p>
    <w:p w14:paraId="498EBEEA">
      <w:pPr>
        <w:pStyle w:val="11"/>
        <w:shd w:val="clear"/>
        <w:rPr>
          <w:rFonts w:hint="eastAsia" w:ascii="宋体" w:hAnsi="宋体" w:cs="宋体"/>
          <w:color w:val="auto"/>
          <w:highlight w:val="none"/>
        </w:rPr>
      </w:pPr>
    </w:p>
    <w:p w14:paraId="38E0E240">
      <w:pPr>
        <w:shd w:val="clear"/>
        <w:adjustRightInd w:val="0"/>
        <w:snapToGrid w:val="0"/>
        <w:spacing w:line="288"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投标人名称（电子签名/公章）：</w:t>
      </w:r>
    </w:p>
    <w:p w14:paraId="64CA7C29">
      <w:pPr>
        <w:shd w:val="clear"/>
        <w:adjustRightInd w:val="0"/>
        <w:snapToGrid w:val="0"/>
        <w:spacing w:line="288"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日期：     年   月   日</w:t>
      </w:r>
    </w:p>
    <w:p w14:paraId="111AA0D3">
      <w:pPr>
        <w:shd w:val="clear"/>
        <w:autoSpaceDE w:val="0"/>
        <w:autoSpaceDN w:val="0"/>
        <w:adjustRightInd w:val="0"/>
        <w:snapToGrid w:val="0"/>
        <w:spacing w:line="288" w:lineRule="auto"/>
        <w:jc w:val="left"/>
        <w:rPr>
          <w:rFonts w:hint="eastAsia" w:ascii="宋体" w:hAnsi="宋体" w:cs="宋体"/>
          <w:color w:val="auto"/>
          <w:spacing w:val="-6"/>
          <w:kern w:val="0"/>
          <w:szCs w:val="21"/>
          <w:highlight w:val="none"/>
        </w:rPr>
      </w:pPr>
    </w:p>
    <w:p w14:paraId="0C79746E">
      <w:pPr>
        <w:shd w:val="clear"/>
        <w:adjustRightInd w:val="0"/>
        <w:snapToGrid w:val="0"/>
        <w:spacing w:line="288" w:lineRule="auto"/>
        <w:rPr>
          <w:rFonts w:hint="eastAsia" w:ascii="宋体" w:hAnsi="宋体" w:cs="宋体"/>
          <w:color w:val="auto"/>
          <w:szCs w:val="21"/>
          <w:highlight w:val="none"/>
        </w:rPr>
      </w:pPr>
    </w:p>
    <w:p w14:paraId="51FE501F">
      <w:pPr>
        <w:shd w:val="clear"/>
        <w:adjustRightInd w:val="0"/>
        <w:snapToGrid w:val="0"/>
        <w:spacing w:line="288" w:lineRule="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附：产品技术支持材料</w:t>
      </w:r>
    </w:p>
    <w:p w14:paraId="252826CE">
      <w:pPr>
        <w:shd w:val="clear"/>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br w:type="page"/>
      </w:r>
    </w:p>
    <w:p w14:paraId="1DA2F35A">
      <w:pPr>
        <w:shd w:val="clear"/>
        <w:tabs>
          <w:tab w:val="left" w:pos="1050"/>
        </w:tabs>
        <w:snapToGrid w:val="0"/>
        <w:spacing w:line="360" w:lineRule="auto"/>
        <w:ind w:left="528"/>
        <w:jc w:val="center"/>
        <w:rPr>
          <w:rFonts w:hint="eastAsia" w:ascii="宋体" w:hAnsi="宋体" w:cs="宋体"/>
          <w:b/>
          <w:bCs/>
          <w:color w:val="auto"/>
          <w:sz w:val="24"/>
          <w:szCs w:val="24"/>
          <w:highlight w:val="none"/>
        </w:rPr>
      </w:pPr>
      <w:r>
        <w:rPr>
          <w:rFonts w:hint="eastAsia" w:ascii="宋体" w:hAnsi="宋体" w:cs="宋体"/>
          <w:b/>
          <w:bCs/>
          <w:color w:val="auto"/>
          <w:sz w:val="24"/>
          <w:highlight w:val="none"/>
        </w:rPr>
        <w:t>（6）</w:t>
      </w:r>
      <w:r>
        <w:rPr>
          <w:rFonts w:hint="eastAsia" w:ascii="宋体" w:hAnsi="宋体" w:cs="宋体"/>
          <w:b/>
          <w:bCs/>
          <w:color w:val="auto"/>
          <w:sz w:val="24"/>
          <w:szCs w:val="24"/>
          <w:highlight w:val="none"/>
        </w:rPr>
        <w:t>技术方案</w:t>
      </w:r>
    </w:p>
    <w:p w14:paraId="165EB575">
      <w:pPr>
        <w:shd w:val="clear"/>
        <w:adjustRightInd w:val="0"/>
        <w:snapToGrid w:val="0"/>
        <w:outlineLvl w:val="2"/>
        <w:rPr>
          <w:rFonts w:hint="eastAsia" w:ascii="宋体" w:hAnsi="宋体" w:cs="宋体"/>
          <w:b/>
          <w:bCs/>
          <w:color w:val="auto"/>
          <w:sz w:val="24"/>
          <w:highlight w:val="none"/>
        </w:rPr>
      </w:pPr>
      <w:r>
        <w:rPr>
          <w:rFonts w:hint="eastAsia" w:ascii="宋体" w:hAnsi="宋体" w:cs="宋体"/>
          <w:b/>
          <w:bCs/>
          <w:color w:val="auto"/>
          <w:sz w:val="24"/>
          <w:highlight w:val="none"/>
        </w:rPr>
        <w:t>根据评审标准及投标人自身情况，格式自拟</w:t>
      </w:r>
    </w:p>
    <w:p w14:paraId="2D298F2B">
      <w:pPr>
        <w:shd w:val="clear"/>
        <w:adjustRightInd w:val="0"/>
        <w:snapToGrid w:val="0"/>
        <w:outlineLvl w:val="2"/>
        <w:rPr>
          <w:rFonts w:hint="eastAsia" w:ascii="宋体" w:hAnsi="宋体" w:cs="宋体"/>
          <w:b/>
          <w:bCs/>
          <w:color w:val="auto"/>
          <w:sz w:val="24"/>
          <w:highlight w:val="none"/>
        </w:rPr>
      </w:pPr>
    </w:p>
    <w:p w14:paraId="2CFF833E">
      <w:pPr>
        <w:shd w:val="clear"/>
        <w:adjustRightInd w:val="0"/>
        <w:snapToGrid w:val="0"/>
        <w:jc w:val="center"/>
        <w:outlineLvl w:val="2"/>
        <w:rPr>
          <w:rFonts w:hint="eastAsia" w:ascii="宋体" w:hAnsi="宋体" w:cs="宋体"/>
          <w:b/>
          <w:bCs/>
          <w:color w:val="auto"/>
          <w:sz w:val="24"/>
          <w:highlight w:val="none"/>
        </w:rPr>
      </w:pPr>
    </w:p>
    <w:p w14:paraId="2E04236D">
      <w:pPr>
        <w:shd w:val="clear"/>
        <w:adjustRightInd w:val="0"/>
        <w:snapToGrid w:val="0"/>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（7）售后服务方案</w:t>
      </w:r>
    </w:p>
    <w:p w14:paraId="145C9F9D">
      <w:pPr>
        <w:shd w:val="clear"/>
        <w:adjustRightInd w:val="0"/>
        <w:snapToGrid w:val="0"/>
        <w:jc w:val="center"/>
        <w:outlineLvl w:val="2"/>
        <w:rPr>
          <w:rFonts w:hint="eastAsia" w:ascii="宋体" w:hAnsi="宋体" w:cs="宋体"/>
          <w:b/>
          <w:bCs/>
          <w:color w:val="auto"/>
          <w:sz w:val="24"/>
          <w:highlight w:val="none"/>
        </w:rPr>
      </w:pPr>
    </w:p>
    <w:p w14:paraId="2BCC6836">
      <w:pPr>
        <w:shd w:val="clear"/>
        <w:adjustRightInd w:val="0"/>
        <w:snapToGrid w:val="0"/>
        <w:outlineLvl w:val="2"/>
        <w:rPr>
          <w:rFonts w:hint="eastAsia" w:ascii="宋体" w:hAnsi="宋体" w:cs="宋体"/>
          <w:b/>
          <w:bCs/>
          <w:color w:val="auto"/>
          <w:sz w:val="24"/>
          <w:highlight w:val="none"/>
        </w:rPr>
      </w:pPr>
      <w:r>
        <w:rPr>
          <w:rFonts w:hint="eastAsia" w:ascii="宋体" w:hAnsi="宋体" w:cs="宋体"/>
          <w:b/>
          <w:bCs/>
          <w:color w:val="auto"/>
          <w:sz w:val="24"/>
          <w:highlight w:val="none"/>
        </w:rPr>
        <w:t>根据评审标准及投标人自身情况，格式自拟</w:t>
      </w:r>
    </w:p>
    <w:p w14:paraId="2B63991F">
      <w:pPr>
        <w:shd w:val="clear"/>
        <w:adjustRightInd w:val="0"/>
        <w:snapToGrid w:val="0"/>
        <w:outlineLvl w:val="2"/>
        <w:rPr>
          <w:rFonts w:hint="eastAsia" w:ascii="宋体" w:hAnsi="宋体" w:cs="宋体"/>
          <w:b/>
          <w:bCs/>
          <w:color w:val="auto"/>
          <w:sz w:val="24"/>
          <w:highlight w:val="none"/>
        </w:rPr>
      </w:pPr>
    </w:p>
    <w:p w14:paraId="3AA13696">
      <w:pPr>
        <w:shd w:val="clear"/>
        <w:adjustRightInd w:val="0"/>
        <w:snapToGrid w:val="0"/>
        <w:jc w:val="center"/>
        <w:outlineLvl w:val="2"/>
        <w:rPr>
          <w:rFonts w:hint="eastAsia" w:ascii="宋体" w:hAnsi="宋体" w:cs="宋体"/>
          <w:b/>
          <w:bCs/>
          <w:color w:val="auto"/>
          <w:sz w:val="24"/>
          <w:highlight w:val="none"/>
        </w:rPr>
      </w:pPr>
    </w:p>
    <w:p w14:paraId="21D99F26">
      <w:pPr>
        <w:shd w:val="clear"/>
        <w:adjustRightInd w:val="0"/>
        <w:snapToGrid w:val="0"/>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（8）培训方案</w:t>
      </w:r>
    </w:p>
    <w:p w14:paraId="6288E8C2">
      <w:pPr>
        <w:shd w:val="clear"/>
        <w:adjustRightInd w:val="0"/>
        <w:snapToGrid w:val="0"/>
        <w:spacing w:line="288" w:lineRule="auto"/>
        <w:rPr>
          <w:rFonts w:hint="eastAsia" w:ascii="宋体" w:hAnsi="宋体" w:cs="宋体"/>
          <w:color w:val="auto"/>
          <w:spacing w:val="-6"/>
          <w:szCs w:val="21"/>
          <w:highlight w:val="none"/>
        </w:rPr>
      </w:pPr>
    </w:p>
    <w:p w14:paraId="348D1C38">
      <w:pPr>
        <w:shd w:val="clear"/>
        <w:adjustRightInd w:val="0"/>
        <w:snapToGrid w:val="0"/>
        <w:outlineLvl w:val="2"/>
        <w:rPr>
          <w:rFonts w:hint="eastAsia" w:ascii="宋体" w:hAnsi="宋体" w:cs="宋体"/>
          <w:b/>
          <w:bCs/>
          <w:color w:val="auto"/>
          <w:spacing w:val="-6"/>
          <w:szCs w:val="21"/>
          <w:highlight w:val="none"/>
        </w:rPr>
      </w:pPr>
      <w:r>
        <w:rPr>
          <w:rFonts w:hint="eastAsia" w:ascii="宋体" w:hAnsi="宋体" w:cs="宋体"/>
          <w:b/>
          <w:bCs/>
          <w:color w:val="auto"/>
          <w:sz w:val="24"/>
          <w:highlight w:val="none"/>
        </w:rPr>
        <w:t>根据评审标准及投标人自身情况，格式自拟</w:t>
      </w:r>
    </w:p>
    <w:p w14:paraId="437BEA32">
      <w:pPr>
        <w:shd w:val="clear"/>
        <w:adjustRightInd w:val="0"/>
        <w:snapToGrid w:val="0"/>
        <w:jc w:val="center"/>
        <w:outlineLvl w:val="2"/>
        <w:rPr>
          <w:rFonts w:hint="eastAsia" w:ascii="宋体" w:hAnsi="宋体" w:cs="宋体"/>
          <w:b/>
          <w:color w:val="auto"/>
          <w:sz w:val="32"/>
          <w:szCs w:val="32"/>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（9）义乌市政府采购项目投标承诺书</w:t>
      </w:r>
    </w:p>
    <w:p w14:paraId="11439EA6">
      <w:pPr>
        <w:shd w:val="clea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我单位已认真阅读了本项目的招标公告、招标文件、技术要求、招标补充（答疑）文件及相关资料，对其全部内容和要求有实质性了解，并对这些内容表示理解且无任何异议，接受其全部内容及要求，承诺本单位的投标文件已经完全响应并符合其全部条件和要求，愿意参加投标并愿意</w:t>
      </w:r>
      <w:r>
        <w:rPr>
          <w:rFonts w:hint="eastAsia" w:ascii="宋体" w:hAnsi="宋体" w:cs="宋体"/>
          <w:color w:val="auto"/>
          <w:szCs w:val="21"/>
          <w:highlight w:val="none"/>
        </w:rPr>
        <w:t>中标</w:t>
      </w:r>
      <w:r>
        <w:rPr>
          <w:rFonts w:hint="eastAsia" w:ascii="宋体" w:hAnsi="宋体" w:cs="宋体"/>
          <w:color w:val="auto"/>
          <w:highlight w:val="none"/>
        </w:rPr>
        <w:t>；</w:t>
      </w:r>
    </w:p>
    <w:p w14:paraId="78763A6F">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2.自愿接受义乌市财政局（以下简称市财政局）的管理，并严格遵守政府采购监管部门制定的招投标管理制度、规范和纪律。</w:t>
      </w:r>
    </w:p>
    <w:p w14:paraId="7EDA480A">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3.我单位承诺参与本次投标的资格符合《中华人民共和国政府采购法》的规定，并承诺近三年内，在经营活动中没有重大违法记录。</w:t>
      </w:r>
    </w:p>
    <w:p w14:paraId="4691CBA8">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6F5BC98D">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5.不转让、出借、涂改、伪造资质（资格）证书或者以其他方式允许其他单位（个人）以我单位（本人）名义承接业务。</w:t>
      </w:r>
    </w:p>
    <w:p w14:paraId="0F679FC1">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6.不与采购人或者其他投标人相互串通投标，围标，不以行贿等不正当手段谋取中标。</w:t>
      </w:r>
    </w:p>
    <w:p w14:paraId="7934A50E">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7.在备案、招标、投标、报名、开标、评标、询标、中标、签订合同、合同备案等招投标预备和进行的全过程中提供的资料均真实、有效，不弄虚作假。</w:t>
      </w:r>
    </w:p>
    <w:p w14:paraId="358F08ED">
      <w:pPr>
        <w:shd w:val="clear"/>
        <w:tabs>
          <w:tab w:val="left" w:pos="8820"/>
        </w:tabs>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8.我方已详细审核全部招标文件，包括修改文件(如果有的话），及有关附件，我方同意放弃提出含糊不清或误解的权力。 </w:t>
      </w:r>
    </w:p>
    <w:p w14:paraId="29474C4E">
      <w:pPr>
        <w:shd w:val="clear"/>
        <w:tabs>
          <w:tab w:val="left" w:pos="8820"/>
        </w:tabs>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9.我方同意所递交的投标文件在招标期内有效，在此期间内我方有可能中标，我方将受此约束。</w:t>
      </w:r>
    </w:p>
    <w:p w14:paraId="20592BD3">
      <w:pPr>
        <w:shd w:val="clear"/>
        <w:tabs>
          <w:tab w:val="left" w:pos="8820"/>
        </w:tabs>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10.我方相信贵方的招标结果是公正、合法的，无论我方</w:t>
      </w:r>
      <w:r>
        <w:rPr>
          <w:rFonts w:hint="eastAsia" w:ascii="宋体" w:hAnsi="宋体" w:cs="宋体"/>
          <w:color w:val="auto"/>
          <w:szCs w:val="21"/>
          <w:highlight w:val="none"/>
        </w:rPr>
        <w:t>中标</w:t>
      </w:r>
      <w:r>
        <w:rPr>
          <w:rFonts w:hint="eastAsia" w:ascii="宋体" w:hAnsi="宋体" w:cs="宋体"/>
          <w:color w:val="auto"/>
          <w:highlight w:val="none"/>
        </w:rPr>
        <w:t>还是落标，我方将接受这一结果。 </w:t>
      </w:r>
    </w:p>
    <w:p w14:paraId="5BE2EB56">
      <w:pPr>
        <w:shd w:val="clear"/>
        <w:tabs>
          <w:tab w:val="left" w:pos="8820"/>
        </w:tabs>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11.一旦我方</w:t>
      </w:r>
      <w:r>
        <w:rPr>
          <w:rFonts w:hint="eastAsia" w:ascii="宋体" w:hAnsi="宋体" w:cs="宋体"/>
          <w:color w:val="auto"/>
          <w:szCs w:val="21"/>
          <w:highlight w:val="none"/>
        </w:rPr>
        <w:t>中标</w:t>
      </w:r>
      <w:r>
        <w:rPr>
          <w:rFonts w:hint="eastAsia" w:ascii="宋体" w:hAnsi="宋体" w:cs="宋体"/>
          <w:color w:val="auto"/>
          <w:highlight w:val="none"/>
        </w:rPr>
        <w:t>，我方将严格依照招标文件中的相关规定与采购人签订合同。</w:t>
      </w:r>
    </w:p>
    <w:p w14:paraId="45870450">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12.不低于企业成本价投标，不恶意过高报价，不扰乱招投标的正常秩序。</w:t>
      </w:r>
    </w:p>
    <w:p w14:paraId="3EF250FA">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13.严格遵守开标会议纪律，不在开标会场吵闹、滋事，服从工作人员指挥。</w:t>
      </w:r>
    </w:p>
    <w:p w14:paraId="135058D9">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14.按照法律法规和本项目招标文件规定的程序和方式进行异议和投诉，不越级投诉，不无理投诉。如捏造事实、伪造材料或者以非法手段取得说明材料进行投诉，给他人造成损失的，依法承担赔偿责任。</w:t>
      </w:r>
    </w:p>
    <w:p w14:paraId="5E88E1E6">
      <w:pPr>
        <w:shd w:val="clea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承诺事项已认真逐项核对，均表达我单位真实意见，愿承担任何责任。若有任何弄虚作假内容或未遵守上述约定的，经查实后，愿意放弃投标及中标资格，并对该项目的损失进行赔偿。如我单位违反上述承诺事项，无条件接受财政局或相关监管部门作出的任何管理和处理决定，并自愿承担一切不利的后果。</w:t>
      </w:r>
    </w:p>
    <w:p w14:paraId="0F66172C">
      <w:pPr>
        <w:shd w:val="clear"/>
        <w:spacing w:line="400" w:lineRule="exact"/>
        <w:rPr>
          <w:rFonts w:hint="eastAsia" w:ascii="宋体" w:hAnsi="宋体" w:cs="宋体"/>
          <w:color w:val="auto"/>
          <w:szCs w:val="21"/>
          <w:highlight w:val="none"/>
        </w:rPr>
      </w:pPr>
    </w:p>
    <w:p w14:paraId="2D14B522">
      <w:pPr>
        <w:shd w:val="clear"/>
        <w:adjustRightInd w:val="0"/>
        <w:snapToGrid w:val="0"/>
        <w:spacing w:line="288"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投标人名称（电子签名/公章）：</w:t>
      </w:r>
    </w:p>
    <w:p w14:paraId="090459CA">
      <w:pPr>
        <w:shd w:val="clear"/>
        <w:spacing w:line="400" w:lineRule="exact"/>
        <w:rPr>
          <w:rFonts w:hint="eastAsia" w:ascii="宋体" w:hAnsi="宋体" w:cs="宋体"/>
          <w:b/>
          <w:bCs/>
          <w:color w:val="auto"/>
          <w:sz w:val="32"/>
          <w:szCs w:val="32"/>
          <w:highlight w:val="none"/>
        </w:rPr>
      </w:pPr>
      <w:r>
        <w:rPr>
          <w:rFonts w:hint="eastAsia" w:ascii="宋体" w:hAnsi="宋体" w:cs="宋体"/>
          <w:b/>
          <w:bCs/>
          <w:color w:val="auto"/>
          <w:szCs w:val="21"/>
          <w:highlight w:val="none"/>
        </w:rPr>
        <w:t>日期：    年   月   日</w:t>
      </w:r>
    </w:p>
    <w:p w14:paraId="7571556D">
      <w:pPr>
        <w:shd w:val="clear"/>
        <w:adjustRightInd w:val="0"/>
        <w:snapToGrid w:val="0"/>
        <w:jc w:val="center"/>
        <w:outlineLvl w:val="2"/>
        <w:rPr>
          <w:rFonts w:hint="eastAsia" w:ascii="宋体" w:hAnsi="宋体" w:cs="宋体"/>
          <w:b/>
          <w:bCs/>
          <w:color w:val="auto"/>
          <w:sz w:val="24"/>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4"/>
          <w:highlight w:val="none"/>
        </w:rPr>
        <w:t>（10）投标人认为须提供的其他资料</w:t>
      </w:r>
    </w:p>
    <w:p w14:paraId="1AFC4F49">
      <w:pPr>
        <w:widowControl/>
        <w:shd w:val="clear"/>
        <w:spacing w:before="120" w:beforeLines="5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（投标人自行提供，格式自拟）</w:t>
      </w:r>
    </w:p>
    <w:p w14:paraId="5810F80C">
      <w:pPr>
        <w:widowControl/>
        <w:shd w:val="clear"/>
        <w:spacing w:before="120" w:beforeLines="50" w:line="360" w:lineRule="auto"/>
        <w:rPr>
          <w:rFonts w:hint="eastAsia" w:ascii="宋体" w:hAnsi="宋体" w:cs="宋体"/>
          <w:b/>
          <w:bCs/>
          <w:color w:val="auto"/>
          <w:sz w:val="15"/>
          <w:szCs w:val="15"/>
          <w:highlight w:val="none"/>
        </w:rPr>
      </w:pPr>
    </w:p>
    <w:p w14:paraId="7526EBF7">
      <w:pPr>
        <w:shd w:val="clear"/>
        <w:spacing w:line="400" w:lineRule="exact"/>
        <w:rPr>
          <w:rFonts w:hint="eastAsia" w:ascii="宋体" w:hAnsi="宋体" w:cs="宋体"/>
          <w:b/>
          <w:color w:val="auto"/>
          <w:sz w:val="32"/>
          <w:szCs w:val="32"/>
          <w:highlight w:val="none"/>
        </w:rPr>
      </w:pPr>
    </w:p>
    <w:p w14:paraId="7FCD91CE">
      <w:pPr>
        <w:shd w:val="clear"/>
        <w:jc w:val="center"/>
        <w:rPr>
          <w:rFonts w:hint="eastAsia" w:ascii="宋体" w:hAnsi="宋体" w:cs="宋体"/>
          <w:b/>
          <w:bCs/>
          <w:color w:val="auto"/>
          <w:kern w:val="0"/>
          <w:szCs w:val="21"/>
          <w:highlight w:val="none"/>
        </w:rPr>
      </w:pPr>
      <w:r>
        <w:rPr>
          <w:rFonts w:hint="eastAsia" w:ascii="宋体" w:hAnsi="宋体" w:cs="宋体"/>
          <w:b/>
          <w:bCs/>
          <w:color w:val="auto"/>
          <w:sz w:val="36"/>
          <w:szCs w:val="36"/>
          <w:highlight w:val="none"/>
        </w:rPr>
        <w:br w:type="page"/>
      </w:r>
      <w:r>
        <w:rPr>
          <w:rFonts w:hint="eastAsia" w:ascii="宋体" w:hAnsi="宋体" w:cs="宋体"/>
          <w:b/>
          <w:bCs/>
          <w:color w:val="auto"/>
          <w:kern w:val="0"/>
          <w:sz w:val="36"/>
          <w:szCs w:val="36"/>
          <w:highlight w:val="none"/>
        </w:rPr>
        <w:t>封面格式</w:t>
      </w:r>
    </w:p>
    <w:p w14:paraId="572A3A84">
      <w:pPr>
        <w:widowControl/>
        <w:shd w:val="clear"/>
        <w:tabs>
          <w:tab w:val="left" w:pos="8280"/>
        </w:tabs>
        <w:spacing w:line="360" w:lineRule="auto"/>
        <w:ind w:firstLine="480"/>
        <w:jc w:val="center"/>
        <w:rPr>
          <w:rFonts w:hint="eastAsia" w:ascii="宋体" w:hAnsi="宋体" w:cs="宋体"/>
          <w:b/>
          <w:color w:val="auto"/>
          <w:kern w:val="0"/>
          <w:sz w:val="32"/>
          <w:szCs w:val="32"/>
          <w:highlight w:val="none"/>
        </w:rPr>
      </w:pPr>
    </w:p>
    <w:p w14:paraId="1FE46B65">
      <w:pPr>
        <w:widowControl/>
        <w:shd w:val="clear"/>
        <w:tabs>
          <w:tab w:val="left" w:pos="450"/>
          <w:tab w:val="left" w:pos="8280"/>
        </w:tabs>
        <w:spacing w:line="360" w:lineRule="auto"/>
        <w:ind w:firstLine="885" w:firstLineChars="245"/>
        <w:jc w:val="left"/>
        <w:rPr>
          <w:rFonts w:hint="eastAsia"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14:paraId="1BDE8806">
      <w:pPr>
        <w:widowControl/>
        <w:shd w:val="clear"/>
        <w:tabs>
          <w:tab w:val="left" w:pos="450"/>
          <w:tab w:val="left" w:pos="8280"/>
        </w:tabs>
        <w:spacing w:line="360" w:lineRule="auto"/>
        <w:ind w:firstLine="480"/>
        <w:jc w:val="center"/>
        <w:rPr>
          <w:rFonts w:hint="eastAsia" w:ascii="宋体" w:hAnsi="宋体" w:cs="宋体"/>
          <w:b/>
          <w:color w:val="auto"/>
          <w:kern w:val="0"/>
          <w:sz w:val="44"/>
          <w:szCs w:val="44"/>
          <w:highlight w:val="none"/>
        </w:rPr>
      </w:pPr>
    </w:p>
    <w:p w14:paraId="7A195FC3">
      <w:pPr>
        <w:widowControl/>
        <w:shd w:val="clear"/>
        <w:tabs>
          <w:tab w:val="left" w:pos="450"/>
          <w:tab w:val="left" w:pos="8280"/>
        </w:tabs>
        <w:spacing w:line="360" w:lineRule="auto"/>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14:paraId="1D59E4B9">
      <w:pPr>
        <w:widowControl/>
        <w:shd w:val="clear"/>
        <w:tabs>
          <w:tab w:val="left" w:pos="450"/>
          <w:tab w:val="left" w:pos="8280"/>
        </w:tabs>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（报价响应文件）</w:t>
      </w:r>
    </w:p>
    <w:p w14:paraId="06CE96C0">
      <w:pPr>
        <w:widowControl/>
        <w:shd w:val="clear"/>
        <w:tabs>
          <w:tab w:val="left" w:pos="275"/>
          <w:tab w:val="left" w:pos="8280"/>
        </w:tabs>
        <w:spacing w:line="360"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6EF6B182">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1DC4F45B">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0A5E0A45">
      <w:pPr>
        <w:widowControl/>
        <w:shd w:val="clear"/>
        <w:tabs>
          <w:tab w:val="left" w:pos="275"/>
          <w:tab w:val="left" w:pos="8280"/>
        </w:tabs>
        <w:spacing w:line="360" w:lineRule="auto"/>
        <w:ind w:firstLine="480"/>
        <w:jc w:val="left"/>
        <w:rPr>
          <w:rFonts w:hint="eastAsia" w:ascii="宋体" w:hAnsi="宋体" w:cs="宋体"/>
          <w:b/>
          <w:color w:val="auto"/>
          <w:kern w:val="0"/>
          <w:sz w:val="32"/>
          <w:szCs w:val="32"/>
          <w:highlight w:val="none"/>
        </w:rPr>
      </w:pPr>
    </w:p>
    <w:p w14:paraId="48A0260E">
      <w:pPr>
        <w:widowControl/>
        <w:shd w:val="clear"/>
        <w:tabs>
          <w:tab w:val="left" w:pos="275"/>
          <w:tab w:val="left" w:pos="8280"/>
        </w:tabs>
        <w:spacing w:line="360"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14:paraId="31D235DA">
      <w:pPr>
        <w:widowControl/>
        <w:shd w:val="clear"/>
        <w:tabs>
          <w:tab w:val="left" w:pos="765"/>
          <w:tab w:val="left" w:pos="8280"/>
        </w:tabs>
        <w:spacing w:line="360" w:lineRule="auto"/>
        <w:ind w:firstLine="480"/>
        <w:jc w:val="left"/>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14:paraId="2B8F8A22">
      <w:pPr>
        <w:widowControl/>
        <w:shd w:val="clear"/>
        <w:tabs>
          <w:tab w:val="left" w:pos="765"/>
          <w:tab w:val="left" w:pos="8280"/>
        </w:tabs>
        <w:spacing w:line="360" w:lineRule="auto"/>
        <w:ind w:firstLine="315" w:firstLineChars="98"/>
        <w:jc w:val="left"/>
        <w:rPr>
          <w:rFonts w:hint="eastAsia" w:ascii="宋体" w:hAnsi="宋体" w:cs="宋体"/>
          <w:b/>
          <w:color w:val="auto"/>
          <w:kern w:val="0"/>
          <w:sz w:val="36"/>
          <w:szCs w:val="36"/>
          <w:highlight w:val="none"/>
        </w:rPr>
      </w:pPr>
      <w:r>
        <w:rPr>
          <w:rFonts w:hint="eastAsia" w:ascii="宋体" w:hAnsi="宋体" w:cs="宋体"/>
          <w:b/>
          <w:color w:val="auto"/>
          <w:kern w:val="0"/>
          <w:sz w:val="32"/>
          <w:szCs w:val="32"/>
          <w:highlight w:val="none"/>
        </w:rPr>
        <w:t>投标人（电子签章）：</w:t>
      </w:r>
      <w:r>
        <w:rPr>
          <w:rFonts w:hint="eastAsia" w:ascii="宋体" w:hAnsi="宋体" w:cs="宋体"/>
          <w:b/>
          <w:color w:val="auto"/>
          <w:kern w:val="0"/>
          <w:sz w:val="36"/>
          <w:szCs w:val="36"/>
          <w:highlight w:val="none"/>
          <w:u w:val="single"/>
        </w:rPr>
        <w:t xml:space="preserve">                            </w:t>
      </w:r>
    </w:p>
    <w:p w14:paraId="60862C44">
      <w:pPr>
        <w:widowControl/>
        <w:shd w:val="clear"/>
        <w:tabs>
          <w:tab w:val="left" w:pos="8280"/>
        </w:tabs>
        <w:spacing w:line="360" w:lineRule="auto"/>
        <w:ind w:firstLine="480"/>
        <w:jc w:val="center"/>
        <w:rPr>
          <w:rFonts w:hint="eastAsia" w:ascii="宋体" w:hAnsi="宋体" w:cs="宋体"/>
          <w:b/>
          <w:color w:val="auto"/>
          <w:kern w:val="0"/>
          <w:sz w:val="32"/>
          <w:szCs w:val="32"/>
          <w:highlight w:val="none"/>
        </w:rPr>
      </w:pPr>
    </w:p>
    <w:p w14:paraId="191B06A1">
      <w:pPr>
        <w:widowControl/>
        <w:shd w:val="clear"/>
        <w:tabs>
          <w:tab w:val="left" w:pos="8280"/>
        </w:tabs>
        <w:spacing w:line="360" w:lineRule="auto"/>
        <w:rPr>
          <w:rFonts w:hint="eastAsia" w:ascii="宋体" w:hAnsi="宋体" w:cs="宋体"/>
          <w:b/>
          <w:color w:val="auto"/>
          <w:kern w:val="0"/>
          <w:sz w:val="32"/>
          <w:szCs w:val="32"/>
          <w:highlight w:val="none"/>
        </w:rPr>
      </w:pPr>
    </w:p>
    <w:p w14:paraId="1739503D">
      <w:pPr>
        <w:widowControl/>
        <w:shd w:val="clear"/>
        <w:tabs>
          <w:tab w:val="left" w:pos="350"/>
          <w:tab w:val="left" w:pos="8280"/>
        </w:tabs>
        <w:spacing w:line="360" w:lineRule="auto"/>
        <w:ind w:firstLine="480"/>
        <w:jc w:val="left"/>
        <w:rPr>
          <w:rFonts w:hint="eastAsia"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14:paraId="4EBB6E3D">
      <w:pPr>
        <w:widowControl/>
        <w:shd w:val="clear"/>
        <w:tabs>
          <w:tab w:val="left" w:pos="350"/>
          <w:tab w:val="left" w:pos="8280"/>
        </w:tabs>
        <w:spacing w:line="360" w:lineRule="auto"/>
        <w:ind w:firstLine="480"/>
        <w:jc w:val="left"/>
        <w:rPr>
          <w:rFonts w:hint="eastAsia" w:ascii="宋体" w:hAnsi="宋体" w:cs="宋体"/>
          <w:b/>
          <w:color w:val="auto"/>
          <w:kern w:val="0"/>
          <w:sz w:val="32"/>
          <w:szCs w:val="32"/>
          <w:highlight w:val="none"/>
        </w:rPr>
      </w:pPr>
    </w:p>
    <w:p w14:paraId="224C78D5">
      <w:pPr>
        <w:widowControl/>
        <w:shd w:val="clear"/>
        <w:tabs>
          <w:tab w:val="left" w:pos="0"/>
        </w:tabs>
        <w:snapToGrid w:val="0"/>
        <w:spacing w:line="360" w:lineRule="auto"/>
        <w:jc w:val="left"/>
        <w:rPr>
          <w:rFonts w:hint="eastAsia" w:ascii="宋体" w:hAnsi="宋体" w:cs="宋体"/>
          <w:b/>
          <w:bCs/>
          <w:color w:val="auto"/>
          <w:kern w:val="0"/>
          <w:sz w:val="32"/>
          <w:szCs w:val="32"/>
          <w:highlight w:val="none"/>
        </w:rPr>
      </w:pPr>
    </w:p>
    <w:p w14:paraId="1E3F8794">
      <w:pPr>
        <w:shd w:val="clear"/>
        <w:adjustRightInd w:val="0"/>
        <w:snapToGrid w:val="0"/>
        <w:spacing w:line="288" w:lineRule="auto"/>
        <w:jc w:val="center"/>
        <w:outlineLvl w:val="2"/>
        <w:rPr>
          <w:rFonts w:hint="eastAsia" w:ascii="宋体" w:hAnsi="宋体" w:cs="宋体"/>
          <w:b/>
          <w:bCs/>
          <w:color w:val="auto"/>
          <w:szCs w:val="21"/>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4"/>
          <w:highlight w:val="none"/>
        </w:rPr>
        <w:t>（1）投标函（格式）</w:t>
      </w:r>
    </w:p>
    <w:p w14:paraId="09EB6E28">
      <w:pPr>
        <w:pStyle w:val="13"/>
        <w:shd w:val="clear"/>
        <w:spacing w:before="120" w:after="120" w:line="360" w:lineRule="auto"/>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p>
    <w:p w14:paraId="4FEE2A8B">
      <w:pPr>
        <w:pStyle w:val="13"/>
        <w:shd w:val="clear"/>
        <w:spacing w:before="120" w:after="120" w:line="360" w:lineRule="auto"/>
        <w:rPr>
          <w:rFonts w:hint="eastAsia" w:hAnsi="宋体" w:cs="宋体"/>
          <w:color w:val="auto"/>
          <w:sz w:val="21"/>
          <w:szCs w:val="21"/>
          <w:highlight w:val="none"/>
        </w:rPr>
      </w:pPr>
      <w:r>
        <w:rPr>
          <w:rFonts w:hint="eastAsia" w:hAnsi="宋体" w:cs="宋体"/>
          <w:color w:val="auto"/>
          <w:sz w:val="21"/>
          <w:szCs w:val="21"/>
          <w:highlight w:val="none"/>
        </w:rPr>
        <w:t xml:space="preserve">     _________________________（投标人全称）授权_________________（全名、职务）为全权代表参加贵方组织的______________________________项目（</w:t>
      </w:r>
      <w:r>
        <w:rPr>
          <w:rFonts w:hint="eastAsia" w:hAnsi="宋体" w:cs="宋体"/>
          <w:color w:val="auto"/>
          <w:sz w:val="21"/>
          <w:szCs w:val="21"/>
          <w:highlight w:val="none"/>
          <w:u w:val="single"/>
        </w:rPr>
        <w:t xml:space="preserve">采购编号：                  </w:t>
      </w:r>
      <w:r>
        <w:rPr>
          <w:rFonts w:hint="eastAsia" w:hAnsi="宋体" w:cs="宋体"/>
          <w:color w:val="auto"/>
          <w:sz w:val="21"/>
          <w:szCs w:val="21"/>
          <w:highlight w:val="none"/>
        </w:rPr>
        <w:t>）的招标、投标等有关活动，为此提交下述文件：</w:t>
      </w:r>
    </w:p>
    <w:p w14:paraId="2594B84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1.资格响应文件</w:t>
      </w:r>
    </w:p>
    <w:p w14:paraId="6BF5A7E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2.商务技术响应文件；</w:t>
      </w:r>
    </w:p>
    <w:p w14:paraId="3200DBB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3.报价响应文件；</w:t>
      </w:r>
    </w:p>
    <w:p w14:paraId="3E135E6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w:t>
      </w:r>
    </w:p>
    <w:p w14:paraId="5FF6575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5.据此函，本公司宣布同意如下：</w:t>
      </w:r>
    </w:p>
    <w:p w14:paraId="4F6629F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12"/>
          <w:szCs w:val="21"/>
          <w:highlight w:val="none"/>
        </w:rPr>
        <w:t xml:space="preserve">所附投标报价表中规定的应提供和支付的货物和服务投标总价为（人民币） </w:t>
      </w:r>
      <w:r>
        <w:rPr>
          <w:rFonts w:hint="eastAsia" w:ascii="宋体" w:hAnsi="宋体" w:cs="宋体"/>
          <w:color w:val="auto"/>
          <w:spacing w:val="12"/>
          <w:szCs w:val="21"/>
          <w:highlight w:val="none"/>
          <w:u w:val="single"/>
        </w:rPr>
        <w:t xml:space="preserve">      </w:t>
      </w:r>
      <w:r>
        <w:rPr>
          <w:rFonts w:hint="eastAsia" w:ascii="宋体" w:hAnsi="宋体" w:cs="宋体"/>
          <w:color w:val="auto"/>
          <w:szCs w:val="21"/>
          <w:highlight w:val="none"/>
        </w:rPr>
        <w:t>， 即 ________________________（大写）。</w:t>
      </w:r>
    </w:p>
    <w:p w14:paraId="3DAFA09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2）投标人已详细审查全部招标文件，我们完全理解并同意放弃对这方面有不明及误解的权利。</w:t>
      </w:r>
    </w:p>
    <w:p w14:paraId="280D931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3）投标人将按招标文件规定履行合同责任和义务。</w:t>
      </w:r>
    </w:p>
    <w:p w14:paraId="451FB3E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4）其投标自开标之日起有效期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w:t>
      </w:r>
    </w:p>
    <w:p w14:paraId="4397D33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5）如果在规定的开标时间后，投标人在投标有效期内撤回投标，否则将按失信行为上报义乌市信用管理部门。</w:t>
      </w:r>
    </w:p>
    <w:p w14:paraId="51E4F7E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6）投标人同意提供按照贵方可能要求的与其投标有关的一切数据或资料，理解贵方不一定要接受最低价的投标或收到的任何投标。</w:t>
      </w:r>
    </w:p>
    <w:p w14:paraId="5C5874D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7）与本次投标有关的一切正式往来通讯请寄：</w:t>
      </w:r>
    </w:p>
    <w:p w14:paraId="5D075FD0">
      <w:pPr>
        <w:shd w:val="clear"/>
        <w:spacing w:line="360" w:lineRule="auto"/>
        <w:rPr>
          <w:rFonts w:hint="eastAsia" w:ascii="宋体" w:hAnsi="宋体" w:cs="宋体"/>
          <w:color w:val="auto"/>
          <w:szCs w:val="21"/>
          <w:highlight w:val="none"/>
        </w:rPr>
      </w:pPr>
    </w:p>
    <w:p w14:paraId="4727D028">
      <w:pPr>
        <w:shd w:val="clear"/>
        <w:spacing w:line="360" w:lineRule="auto"/>
        <w:rPr>
          <w:rFonts w:hint="eastAsia" w:ascii="宋体" w:hAnsi="宋体" w:cs="宋体"/>
          <w:color w:val="auto"/>
          <w:szCs w:val="21"/>
          <w:highlight w:val="none"/>
        </w:rPr>
      </w:pPr>
    </w:p>
    <w:p w14:paraId="6115438F">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地址：______________________           邮编：______________________  </w:t>
      </w:r>
    </w:p>
    <w:p w14:paraId="026800EE">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电话：______________________           传真：______________________ </w:t>
      </w:r>
    </w:p>
    <w:p w14:paraId="3ED8AD15">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投标人名称：________________（电子签章）</w:t>
      </w:r>
    </w:p>
    <w:p w14:paraId="7D5F7006">
      <w:pPr>
        <w:shd w:val="clea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投标日期： _____年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 xml:space="preserve">月___日    </w:t>
      </w:r>
    </w:p>
    <w:p w14:paraId="0BC31646">
      <w:pPr>
        <w:shd w:val="clear"/>
        <w:adjustRightInd w:val="0"/>
        <w:snapToGrid w:val="0"/>
        <w:spacing w:line="288" w:lineRule="auto"/>
        <w:jc w:val="center"/>
        <w:outlineLvl w:val="2"/>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（2）开标一览表</w:t>
      </w:r>
    </w:p>
    <w:p w14:paraId="2448CE6F">
      <w:pPr>
        <w:shd w:val="clear"/>
        <w:spacing w:after="120" w:afterLines="5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940E605">
      <w:pPr>
        <w:shd w:val="clear"/>
        <w:spacing w:after="120" w:afterLines="50"/>
        <w:rPr>
          <w:rFonts w:hint="eastAsia" w:ascii="宋体" w:hAnsi="宋体" w:cs="宋体"/>
          <w:color w:val="auto"/>
          <w:szCs w:val="21"/>
          <w:highlight w:val="none"/>
        </w:rPr>
      </w:pPr>
      <w:r>
        <w:rPr>
          <w:rFonts w:hint="eastAsia" w:ascii="宋体" w:hAnsi="宋体" w:cs="宋体"/>
          <w:color w:val="auto"/>
          <w:szCs w:val="21"/>
          <w:highlight w:val="none"/>
        </w:rPr>
        <w:t>采购编号：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D6E2E5">
      <w:pPr>
        <w:pStyle w:val="11"/>
        <w:shd w:val="clear"/>
        <w:rPr>
          <w:rFonts w:hint="eastAsia" w:ascii="宋体" w:hAnsi="宋体" w:cs="宋体"/>
          <w:color w:val="auto"/>
          <w:sz w:val="21"/>
          <w:szCs w:val="21"/>
          <w:highlight w:val="none"/>
        </w:rPr>
      </w:pPr>
    </w:p>
    <w:tbl>
      <w:tblPr>
        <w:tblStyle w:val="27"/>
        <w:tblW w:w="9918" w:type="dxa"/>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1137"/>
        <w:gridCol w:w="1273"/>
        <w:gridCol w:w="756"/>
        <w:gridCol w:w="1011"/>
        <w:gridCol w:w="1323"/>
        <w:gridCol w:w="1863"/>
        <w:gridCol w:w="8"/>
      </w:tblGrid>
      <w:tr w14:paraId="55549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624" w:hRule="atLeast"/>
        </w:trPr>
        <w:tc>
          <w:tcPr>
            <w:tcW w:w="708" w:type="dxa"/>
            <w:tcBorders>
              <w:top w:val="single" w:color="auto" w:sz="4" w:space="0"/>
              <w:left w:val="single" w:color="auto" w:sz="4" w:space="0"/>
              <w:bottom w:val="single" w:color="auto" w:sz="4" w:space="0"/>
              <w:right w:val="single" w:color="auto" w:sz="4" w:space="0"/>
            </w:tcBorders>
            <w:vAlign w:val="center"/>
          </w:tcPr>
          <w:p w14:paraId="491671B5">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839" w:type="dxa"/>
            <w:tcBorders>
              <w:top w:val="single" w:color="auto" w:sz="4" w:space="0"/>
              <w:left w:val="single" w:color="auto" w:sz="4" w:space="0"/>
              <w:bottom w:val="single" w:color="auto" w:sz="4" w:space="0"/>
              <w:right w:val="single" w:color="auto" w:sz="4" w:space="0"/>
            </w:tcBorders>
            <w:vAlign w:val="center"/>
          </w:tcPr>
          <w:p w14:paraId="146F8D18">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14:paraId="71E00050">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品牌</w:t>
            </w:r>
          </w:p>
        </w:tc>
        <w:tc>
          <w:tcPr>
            <w:tcW w:w="1273" w:type="dxa"/>
            <w:tcBorders>
              <w:top w:val="single" w:color="auto" w:sz="4" w:space="0"/>
              <w:left w:val="single" w:color="auto" w:sz="4" w:space="0"/>
              <w:bottom w:val="single" w:color="auto" w:sz="4" w:space="0"/>
              <w:right w:val="single" w:color="auto" w:sz="4" w:space="0"/>
            </w:tcBorders>
            <w:shd w:val="clear" w:color="auto" w:fill="FFFFFF"/>
            <w:vAlign w:val="center"/>
          </w:tcPr>
          <w:p w14:paraId="793A8F5D">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规格型号</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4317130D">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6F59AA35">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1323" w:type="dxa"/>
            <w:tcBorders>
              <w:top w:val="single" w:color="auto" w:sz="4" w:space="0"/>
              <w:left w:val="single" w:color="auto" w:sz="4" w:space="0"/>
              <w:bottom w:val="single" w:color="auto" w:sz="4" w:space="0"/>
              <w:right w:val="single" w:color="auto" w:sz="4" w:space="0"/>
            </w:tcBorders>
            <w:vAlign w:val="center"/>
          </w:tcPr>
          <w:p w14:paraId="6E7B62A6">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单价（元）</w:t>
            </w:r>
          </w:p>
        </w:tc>
        <w:tc>
          <w:tcPr>
            <w:tcW w:w="1863" w:type="dxa"/>
            <w:tcBorders>
              <w:top w:val="single" w:color="auto" w:sz="4" w:space="0"/>
              <w:left w:val="single" w:color="auto" w:sz="4" w:space="0"/>
              <w:bottom w:val="single" w:color="auto" w:sz="4" w:space="0"/>
              <w:right w:val="single" w:color="auto" w:sz="4" w:space="0"/>
            </w:tcBorders>
            <w:vAlign w:val="center"/>
          </w:tcPr>
          <w:p w14:paraId="3486FFDC">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金额（元）</w:t>
            </w:r>
          </w:p>
        </w:tc>
      </w:tr>
      <w:tr w14:paraId="51A97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624" w:hRule="atLeast"/>
        </w:trPr>
        <w:tc>
          <w:tcPr>
            <w:tcW w:w="708" w:type="dxa"/>
            <w:tcBorders>
              <w:top w:val="single" w:color="auto" w:sz="4" w:space="0"/>
              <w:left w:val="single" w:color="auto" w:sz="4" w:space="0"/>
              <w:bottom w:val="single" w:color="auto" w:sz="4" w:space="0"/>
              <w:right w:val="single" w:color="auto" w:sz="4" w:space="0"/>
            </w:tcBorders>
            <w:vAlign w:val="center"/>
          </w:tcPr>
          <w:p w14:paraId="39EC0918">
            <w:pPr>
              <w:shd w:val="clear"/>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39" w:type="dxa"/>
            <w:tcBorders>
              <w:top w:val="single" w:color="auto" w:sz="4" w:space="0"/>
              <w:left w:val="single" w:color="auto" w:sz="4" w:space="0"/>
              <w:bottom w:val="single" w:color="auto" w:sz="4" w:space="0"/>
              <w:right w:val="single" w:color="auto" w:sz="4" w:space="0"/>
            </w:tcBorders>
            <w:vAlign w:val="center"/>
          </w:tcPr>
          <w:p w14:paraId="56A6B852">
            <w:pPr>
              <w:shd w:val="clear"/>
              <w:jc w:val="center"/>
              <w:rPr>
                <w:rFonts w:hint="eastAsia" w:ascii="宋体" w:hAnsi="宋体" w:cs="宋体"/>
                <w:b/>
                <w:bCs/>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14:paraId="72C9DCA5">
            <w:pPr>
              <w:pStyle w:val="13"/>
              <w:shd w:val="clear"/>
              <w:spacing w:before="120" w:after="120"/>
              <w:jc w:val="center"/>
              <w:outlineLvl w:val="0"/>
              <w:rPr>
                <w:rFonts w:hint="eastAsia" w:hAnsi="宋体" w:cs="宋体"/>
                <w:b/>
                <w:bCs/>
                <w:color w:val="auto"/>
                <w:szCs w:val="21"/>
                <w:highlight w:val="none"/>
              </w:rPr>
            </w:pPr>
          </w:p>
        </w:tc>
        <w:tc>
          <w:tcPr>
            <w:tcW w:w="1273" w:type="dxa"/>
            <w:tcBorders>
              <w:top w:val="single" w:color="auto" w:sz="4" w:space="0"/>
              <w:left w:val="single" w:color="auto" w:sz="4" w:space="0"/>
              <w:bottom w:val="single" w:color="auto" w:sz="4" w:space="0"/>
              <w:right w:val="single" w:color="auto" w:sz="4" w:space="0"/>
            </w:tcBorders>
            <w:shd w:val="clear" w:color="auto" w:fill="FFFFFF"/>
            <w:vAlign w:val="center"/>
          </w:tcPr>
          <w:p w14:paraId="39A4D055">
            <w:pPr>
              <w:pStyle w:val="13"/>
              <w:shd w:val="clear"/>
              <w:spacing w:before="120" w:after="120"/>
              <w:jc w:val="center"/>
              <w:outlineLvl w:val="0"/>
              <w:rPr>
                <w:rFonts w:hint="eastAsia" w:hAnsi="宋体" w:cs="宋体"/>
                <w:b/>
                <w:bCs/>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14:paraId="1CE513E6">
            <w:pPr>
              <w:pStyle w:val="13"/>
              <w:shd w:val="clear"/>
              <w:spacing w:before="120" w:after="120"/>
              <w:jc w:val="center"/>
              <w:outlineLvl w:val="0"/>
              <w:rPr>
                <w:rFonts w:hint="eastAsia" w:hAnsi="宋体" w:cs="宋体"/>
                <w:b/>
                <w:bCs/>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14:paraId="294F83B5">
            <w:pPr>
              <w:pStyle w:val="13"/>
              <w:shd w:val="clear"/>
              <w:spacing w:before="120" w:after="120"/>
              <w:jc w:val="center"/>
              <w:outlineLvl w:val="0"/>
              <w:rPr>
                <w:rFonts w:hint="eastAsia" w:hAnsi="宋体" w:cs="宋体"/>
                <w:b/>
                <w:bCs/>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43A79654">
            <w:pPr>
              <w:shd w:val="clear"/>
              <w:adjustRightInd w:val="0"/>
              <w:snapToGrid w:val="0"/>
              <w:spacing w:line="288" w:lineRule="auto"/>
              <w:jc w:val="center"/>
              <w:rPr>
                <w:rFonts w:hint="eastAsia" w:ascii="宋体" w:hAnsi="宋体" w:cs="宋体"/>
                <w:b/>
                <w:bCs/>
                <w:color w:val="auto"/>
                <w:szCs w:val="21"/>
                <w:highlight w:val="none"/>
              </w:rPr>
            </w:pPr>
          </w:p>
        </w:tc>
        <w:tc>
          <w:tcPr>
            <w:tcW w:w="1863" w:type="dxa"/>
            <w:tcBorders>
              <w:top w:val="single" w:color="auto" w:sz="4" w:space="0"/>
              <w:left w:val="single" w:color="auto" w:sz="4" w:space="0"/>
              <w:bottom w:val="single" w:color="auto" w:sz="4" w:space="0"/>
              <w:right w:val="single" w:color="auto" w:sz="4" w:space="0"/>
            </w:tcBorders>
            <w:vAlign w:val="center"/>
          </w:tcPr>
          <w:p w14:paraId="63138078">
            <w:pPr>
              <w:shd w:val="clear"/>
              <w:adjustRightInd w:val="0"/>
              <w:snapToGrid w:val="0"/>
              <w:spacing w:line="288" w:lineRule="auto"/>
              <w:jc w:val="center"/>
              <w:rPr>
                <w:rFonts w:hint="eastAsia" w:ascii="宋体" w:hAnsi="宋体" w:cs="宋体"/>
                <w:b/>
                <w:bCs/>
                <w:color w:val="auto"/>
                <w:szCs w:val="21"/>
                <w:highlight w:val="none"/>
              </w:rPr>
            </w:pPr>
          </w:p>
        </w:tc>
      </w:tr>
      <w:tr w14:paraId="17538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14:paraId="604122E5">
            <w:pPr>
              <w:shd w:val="clear"/>
              <w:adjustRightInd w:val="0"/>
              <w:snapToGrid w:val="0"/>
              <w:spacing w:line="288" w:lineRule="auto"/>
              <w:jc w:val="left"/>
              <w:rPr>
                <w:rFonts w:hint="eastAsia" w:ascii="宋体" w:hAnsi="宋体" w:cs="宋体"/>
                <w:b/>
                <w:bCs/>
                <w:color w:val="auto"/>
                <w:szCs w:val="21"/>
                <w:highlight w:val="none"/>
              </w:rPr>
            </w:pPr>
            <w:r>
              <w:rPr>
                <w:rFonts w:hint="eastAsia" w:ascii="宋体" w:hAnsi="宋体" w:cs="宋体"/>
                <w:b/>
                <w:color w:val="auto"/>
                <w:spacing w:val="-6"/>
                <w:szCs w:val="21"/>
                <w:highlight w:val="none"/>
              </w:rPr>
              <w:t>说明：★</w:t>
            </w:r>
            <w:r>
              <w:rPr>
                <w:rFonts w:hint="eastAsia" w:ascii="宋体" w:hAnsi="宋体" w:cs="宋体"/>
                <w:bCs/>
                <w:color w:val="auto"/>
                <w:spacing w:val="-6"/>
                <w:szCs w:val="21"/>
                <w:highlight w:val="none"/>
              </w:rPr>
              <w:t>采购人将以合同形式有偿取得货物或服务，不接受投标人给予的赠品、回扣或者与采购无关的其他商品、服务。</w:t>
            </w:r>
          </w:p>
          <w:p w14:paraId="0909FFBA">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投标总价（人民币元）</w:t>
            </w:r>
          </w:p>
          <w:p w14:paraId="1993E217">
            <w:pPr>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小写：_________________________</w:t>
            </w:r>
          </w:p>
          <w:p w14:paraId="64A6E02F">
            <w:pPr>
              <w:shd w:val="clear"/>
              <w:adjustRightInd w:val="0"/>
              <w:snapToGrid w:val="0"/>
              <w:spacing w:line="288" w:lineRule="auto"/>
              <w:rPr>
                <w:rFonts w:hint="eastAsia" w:ascii="宋体" w:hAnsi="宋体" w:cs="宋体"/>
                <w:b/>
                <w:bCs/>
                <w:color w:val="auto"/>
                <w:szCs w:val="21"/>
                <w:highlight w:val="none"/>
              </w:rPr>
            </w:pPr>
          </w:p>
          <w:p w14:paraId="1C968BC2">
            <w:pPr>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大写：_________________________</w:t>
            </w:r>
          </w:p>
        </w:tc>
      </w:tr>
      <w:tr w14:paraId="6ACE1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14:paraId="2AA16DB9">
            <w:pPr>
              <w:shd w:val="clea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企业成本价（人民币元）</w:t>
            </w:r>
          </w:p>
          <w:p w14:paraId="60DA486C">
            <w:pPr>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小写：_________________________</w:t>
            </w:r>
          </w:p>
          <w:p w14:paraId="7258E9DC">
            <w:pPr>
              <w:shd w:val="clear"/>
              <w:adjustRightInd w:val="0"/>
              <w:snapToGrid w:val="0"/>
              <w:spacing w:line="288" w:lineRule="auto"/>
              <w:rPr>
                <w:rFonts w:hint="eastAsia" w:ascii="宋体" w:hAnsi="宋体" w:cs="宋体"/>
                <w:b/>
                <w:bCs/>
                <w:color w:val="auto"/>
                <w:szCs w:val="21"/>
                <w:highlight w:val="none"/>
              </w:rPr>
            </w:pPr>
          </w:p>
          <w:p w14:paraId="62E334E1">
            <w:pPr>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大写：_________________________</w:t>
            </w:r>
          </w:p>
        </w:tc>
      </w:tr>
    </w:tbl>
    <w:p w14:paraId="7A944E68">
      <w:pPr>
        <w:shd w:val="clear"/>
        <w:rPr>
          <w:rFonts w:hint="eastAsia" w:ascii="宋体" w:hAnsi="宋体" w:cs="宋体"/>
          <w:color w:val="auto"/>
          <w:highlight w:val="none"/>
        </w:rPr>
      </w:pPr>
    </w:p>
    <w:p w14:paraId="3335AF88">
      <w:pPr>
        <w:shd w:val="clear"/>
        <w:adjustRightInd w:val="0"/>
        <w:snapToGrid w:val="0"/>
        <w:spacing w:line="288" w:lineRule="auto"/>
        <w:rPr>
          <w:rFonts w:hint="eastAsia" w:ascii="宋体" w:hAnsi="宋体" w:cs="宋体"/>
          <w:b/>
          <w:bCs/>
          <w:color w:val="auto"/>
          <w:spacing w:val="-6"/>
          <w:szCs w:val="21"/>
          <w:highlight w:val="none"/>
        </w:rPr>
      </w:pPr>
    </w:p>
    <w:p w14:paraId="0849CB89">
      <w:pPr>
        <w:shd w:val="clear"/>
        <w:adjustRightInd w:val="0"/>
        <w:snapToGrid w:val="0"/>
        <w:spacing w:line="288" w:lineRule="auto"/>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投标人名称（电子签名/公章）：</w:t>
      </w:r>
    </w:p>
    <w:p w14:paraId="380F47B6">
      <w:pPr>
        <w:shd w:val="clear"/>
        <w:spacing w:line="500" w:lineRule="exact"/>
        <w:rPr>
          <w:rFonts w:hint="eastAsia" w:ascii="宋体" w:hAnsi="宋体" w:cs="宋体"/>
          <w:b/>
          <w:bCs/>
          <w:color w:val="auto"/>
          <w:szCs w:val="21"/>
          <w:highlight w:val="none"/>
        </w:rPr>
      </w:pPr>
      <w:r>
        <w:rPr>
          <w:rFonts w:hint="eastAsia" w:ascii="宋体" w:hAnsi="宋体" w:cs="宋体"/>
          <w:b/>
          <w:bCs/>
          <w:color w:val="auto"/>
          <w:szCs w:val="21"/>
          <w:highlight w:val="none"/>
        </w:rPr>
        <w:t xml:space="preserve">日 期：           </w:t>
      </w:r>
    </w:p>
    <w:p w14:paraId="6D434E65">
      <w:pPr>
        <w:shd w:val="clear"/>
        <w:spacing w:line="400" w:lineRule="exact"/>
        <w:ind w:left="420" w:hanging="420" w:hangingChars="200"/>
        <w:rPr>
          <w:rFonts w:hint="eastAsia" w:ascii="宋体" w:hAnsi="宋体" w:cs="宋体"/>
          <w:color w:val="auto"/>
          <w:szCs w:val="21"/>
          <w:highlight w:val="none"/>
        </w:rPr>
      </w:pPr>
    </w:p>
    <w:p w14:paraId="549F1A00">
      <w:pPr>
        <w:shd w:val="clear"/>
        <w:spacing w:line="400" w:lineRule="exact"/>
        <w:ind w:left="420" w:hanging="420" w:hangingChars="200"/>
        <w:rPr>
          <w:rFonts w:hint="eastAsia" w:ascii="宋体" w:hAnsi="宋体" w:cs="宋体"/>
          <w:color w:val="auto"/>
          <w:szCs w:val="21"/>
          <w:highlight w:val="none"/>
        </w:rPr>
      </w:pPr>
      <w:r>
        <w:rPr>
          <w:rFonts w:hint="eastAsia" w:ascii="宋体" w:hAnsi="宋体" w:cs="宋体"/>
          <w:color w:val="auto"/>
          <w:szCs w:val="21"/>
          <w:highlight w:val="none"/>
        </w:rPr>
        <w:t>注：</w:t>
      </w:r>
    </w:p>
    <w:p w14:paraId="0906F9E8">
      <w:pPr>
        <w:pStyle w:val="13"/>
        <w:shd w:val="clear"/>
        <w:spacing w:before="0" w:beforeLines="0" w:after="0" w:afterLines="0" w:line="400" w:lineRule="exact"/>
        <w:rPr>
          <w:rFonts w:hint="eastAsia" w:hAnsi="宋体" w:cs="宋体"/>
          <w:b/>
          <w:color w:val="auto"/>
          <w:sz w:val="21"/>
          <w:szCs w:val="21"/>
          <w:highlight w:val="none"/>
        </w:rPr>
      </w:pPr>
      <w:r>
        <w:rPr>
          <w:rFonts w:hint="eastAsia" w:hAnsi="宋体" w:cs="宋体"/>
          <w:color w:val="auto"/>
          <w:sz w:val="21"/>
          <w:szCs w:val="21"/>
          <w:highlight w:val="none"/>
        </w:rPr>
        <w:t>1.投标人应根据国家的有关规定和</w:t>
      </w:r>
      <w:r>
        <w:rPr>
          <w:rFonts w:hint="eastAsia" w:hAnsi="宋体" w:cs="宋体"/>
          <w:b/>
          <w:color w:val="auto"/>
          <w:sz w:val="21"/>
          <w:szCs w:val="21"/>
          <w:highlight w:val="none"/>
        </w:rPr>
        <w:t>实际情况</w:t>
      </w:r>
      <w:r>
        <w:rPr>
          <w:rFonts w:hint="eastAsia" w:hAnsi="宋体" w:cs="宋体"/>
          <w:color w:val="auto"/>
          <w:sz w:val="21"/>
          <w:szCs w:val="21"/>
          <w:highlight w:val="none"/>
        </w:rPr>
        <w:t>并结合企业的实际情况进行投标报价。</w:t>
      </w:r>
      <w:r>
        <w:rPr>
          <w:rFonts w:hint="eastAsia" w:hAnsi="宋体" w:cs="宋体"/>
          <w:b/>
          <w:color w:val="auto"/>
          <w:sz w:val="21"/>
          <w:szCs w:val="21"/>
          <w:highlight w:val="none"/>
        </w:rPr>
        <w:t>投标报价为投标人所能承受的最低、最终一次性报价。</w:t>
      </w:r>
    </w:p>
    <w:p w14:paraId="07F344DA">
      <w:pPr>
        <w:pStyle w:val="13"/>
        <w:shd w:val="clear"/>
        <w:spacing w:before="0" w:beforeLines="0" w:after="0" w:afterLines="0" w:line="400" w:lineRule="exact"/>
        <w:rPr>
          <w:rFonts w:hint="eastAsia" w:hAnsi="宋体" w:cs="宋体"/>
          <w:b/>
          <w:color w:val="auto"/>
          <w:sz w:val="21"/>
          <w:szCs w:val="21"/>
          <w:highlight w:val="none"/>
        </w:rPr>
      </w:pPr>
      <w:r>
        <w:rPr>
          <w:rFonts w:hint="eastAsia" w:hAnsi="宋体" w:cs="宋体"/>
          <w:b/>
          <w:color w:val="auto"/>
          <w:sz w:val="21"/>
          <w:szCs w:val="21"/>
          <w:highlight w:val="none"/>
        </w:rPr>
        <w:t>2.投标报价低于自报成本价的，投标将被拒绝。</w:t>
      </w:r>
    </w:p>
    <w:p w14:paraId="07851522">
      <w:pPr>
        <w:shd w:val="clea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3.此表在不改变表式内容的情况下，可自行制作。</w:t>
      </w:r>
    </w:p>
    <w:p w14:paraId="66E77804">
      <w:pPr>
        <w:shd w:val="clea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14A4168">
      <w:pPr>
        <w:shd w:val="clear"/>
        <w:adjustRightInd w:val="0"/>
        <w:snapToGrid w:val="0"/>
        <w:spacing w:line="288"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（3）报价情况说明（如有）</w:t>
      </w:r>
    </w:p>
    <w:p w14:paraId="49FDE1C2">
      <w:pPr>
        <w:keepNext w:val="0"/>
        <w:keepLines w:val="0"/>
        <w:widowControl/>
        <w:suppressLineNumbers w:val="0"/>
        <w:shd w:val="clear"/>
        <w:autoSpaceDE w:val="0"/>
        <w:autoSpaceDN/>
        <w:spacing w:line="288" w:lineRule="auto"/>
        <w:ind w:left="0" w:firstLine="412"/>
        <w:jc w:val="left"/>
        <w:rPr>
          <w:rFonts w:hint="eastAsia" w:ascii="宋体" w:hAnsi="宋体" w:eastAsia="宋体" w:cs="宋体"/>
          <w:color w:val="auto"/>
          <w:sz w:val="21"/>
          <w:szCs w:val="21"/>
          <w:highlight w:val="none"/>
        </w:rPr>
      </w:pPr>
      <w:r>
        <w:rPr>
          <w:rFonts w:hint="eastAsia" w:ascii="宋体" w:hAnsi="宋体" w:cs="宋体"/>
          <w:color w:val="auto"/>
          <w:spacing w:val="-2"/>
          <w:kern w:val="0"/>
          <w:sz w:val="21"/>
          <w:szCs w:val="21"/>
          <w:highlight w:val="none"/>
          <w:lang w:val="en-US" w:eastAsia="zh-CN" w:bidi="ar"/>
        </w:rPr>
        <w:t>★</w:t>
      </w:r>
      <w:r>
        <w:rPr>
          <w:rFonts w:hint="eastAsia" w:ascii="宋体" w:hAnsi="宋体" w:eastAsia="宋体" w:cs="宋体"/>
          <w:color w:val="auto"/>
          <w:spacing w:val="-2"/>
          <w:kern w:val="0"/>
          <w:sz w:val="21"/>
          <w:szCs w:val="21"/>
          <w:highlight w:val="none"/>
          <w:lang w:val="en-US" w:eastAsia="zh-CN" w:bidi="ar"/>
        </w:rPr>
        <w:t>投标人报价低于采购项目最高限价45%的，即投标报价&lt;采购项目最高限价×45%，提供书面说明及必要的</w:t>
      </w:r>
      <w:r>
        <w:rPr>
          <w:rFonts w:hint="eastAsia" w:ascii="宋体" w:hAnsi="宋体" w:cs="宋体"/>
          <w:color w:val="auto"/>
          <w:spacing w:val="-2"/>
          <w:kern w:val="0"/>
          <w:sz w:val="21"/>
          <w:szCs w:val="21"/>
          <w:highlight w:val="none"/>
          <w:lang w:val="en-US" w:eastAsia="zh-CN" w:bidi="ar"/>
        </w:rPr>
        <w:t>佐证</w:t>
      </w:r>
      <w:r>
        <w:rPr>
          <w:rFonts w:hint="eastAsia" w:ascii="宋体" w:hAnsi="宋体" w:eastAsia="宋体" w:cs="宋体"/>
          <w:color w:val="auto"/>
          <w:spacing w:val="-2"/>
          <w:kern w:val="0"/>
          <w:sz w:val="21"/>
          <w:szCs w:val="21"/>
          <w:highlight w:val="none"/>
          <w:lang w:val="en-US" w:eastAsia="zh-CN" w:bidi="ar"/>
        </w:rPr>
        <w:t>材料，对投标价格作出解释。书面说明、</w:t>
      </w:r>
      <w:r>
        <w:rPr>
          <w:rFonts w:hint="eastAsia" w:ascii="宋体" w:hAnsi="宋体" w:cs="宋体"/>
          <w:color w:val="auto"/>
          <w:spacing w:val="-2"/>
          <w:kern w:val="0"/>
          <w:sz w:val="21"/>
          <w:szCs w:val="21"/>
          <w:highlight w:val="none"/>
          <w:lang w:val="en-US" w:eastAsia="zh-CN" w:bidi="ar"/>
        </w:rPr>
        <w:t>佐证</w:t>
      </w:r>
      <w:r>
        <w:rPr>
          <w:rFonts w:hint="eastAsia" w:ascii="宋体" w:hAnsi="宋体" w:eastAsia="宋体" w:cs="宋体"/>
          <w:color w:val="auto"/>
          <w:spacing w:val="-2"/>
          <w:kern w:val="0"/>
          <w:sz w:val="21"/>
          <w:szCs w:val="21"/>
          <w:highlight w:val="none"/>
          <w:lang w:val="en-US" w:eastAsia="zh-CN" w:bidi="ar"/>
        </w:rPr>
        <w:t>材料主要是</w:t>
      </w:r>
      <w:r>
        <w:rPr>
          <w:rFonts w:hint="eastAsia" w:ascii="宋体" w:hAnsi="宋体" w:eastAsia="宋体" w:cs="宋体"/>
          <w:b/>
          <w:bCs/>
          <w:color w:val="auto"/>
          <w:spacing w:val="-2"/>
          <w:kern w:val="0"/>
          <w:sz w:val="21"/>
          <w:szCs w:val="21"/>
          <w:highlight w:val="none"/>
          <w:lang w:val="en-US" w:eastAsia="zh-CN" w:bidi="ar"/>
        </w:rPr>
        <w:t>项目具体成本测算等与报价合理性相关的说明、材料</w:t>
      </w:r>
      <w:r>
        <w:rPr>
          <w:rFonts w:hint="eastAsia" w:ascii="宋体" w:hAnsi="宋体" w:cs="宋体"/>
          <w:b/>
          <w:bCs/>
          <w:color w:val="auto"/>
          <w:spacing w:val="-2"/>
          <w:kern w:val="0"/>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SA"/>
        </w:rPr>
        <w:t>未提供的，投标无效。</w:t>
      </w:r>
    </w:p>
    <w:p w14:paraId="13B18163">
      <w:pPr>
        <w:shd w:val="clea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272ED77B">
      <w:pPr>
        <w:shd w:val="clear"/>
        <w:adjustRightInd w:val="0"/>
        <w:snapToGrid w:val="0"/>
        <w:spacing w:line="288" w:lineRule="auto"/>
        <w:jc w:val="center"/>
        <w:outlineLvl w:val="2"/>
        <w:rPr>
          <w:rFonts w:hint="eastAsia" w:ascii="宋体" w:hAnsi="宋体" w:eastAsia="宋体" w:cs="宋体"/>
          <w:b/>
          <w:bCs/>
          <w:color w:val="auto"/>
          <w:szCs w:val="21"/>
          <w:highlight w:val="none"/>
          <w:lang w:eastAsia="zh-CN"/>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）中小企业声明函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w:t>
      </w:r>
      <w:r>
        <w:rPr>
          <w:rFonts w:hint="eastAsia" w:ascii="宋体" w:hAnsi="宋体" w:cs="宋体"/>
          <w:b/>
          <w:bCs/>
          <w:color w:val="auto"/>
          <w:sz w:val="24"/>
          <w:highlight w:val="none"/>
          <w:lang w:eastAsia="zh-CN"/>
        </w:rPr>
        <w:t>）</w:t>
      </w:r>
    </w:p>
    <w:p w14:paraId="3CB32F7D">
      <w:pPr>
        <w:shd w:val="clear"/>
        <w:adjustRightInd w:val="0"/>
        <w:snapToGrid w:val="0"/>
        <w:spacing w:line="400" w:lineRule="exact"/>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 号）的规定，本公司参加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w:t>
      </w:r>
      <w:bookmarkStart w:id="69" w:name="_Hlk118098443"/>
      <w:r>
        <w:rPr>
          <w:rFonts w:hint="eastAsia" w:ascii="宋体" w:hAnsi="宋体" w:cs="宋体"/>
          <w:color w:val="auto"/>
          <w:szCs w:val="21"/>
          <w:highlight w:val="none"/>
          <w:u w:val="single"/>
        </w:rPr>
        <w:t>项目名称</w:t>
      </w:r>
      <w:bookmarkEnd w:id="69"/>
      <w:r>
        <w:rPr>
          <w:rFonts w:hint="eastAsia" w:ascii="宋体" w:hAnsi="宋体" w:cs="宋体"/>
          <w:color w:val="auto"/>
          <w:szCs w:val="21"/>
          <w:highlight w:val="none"/>
          <w:u w:val="single"/>
        </w:rPr>
        <w:t>）</w:t>
      </w:r>
      <w:r>
        <w:rPr>
          <w:rFonts w:hint="eastAsia" w:ascii="宋体" w:hAnsi="宋体" w:cs="宋体"/>
          <w:color w:val="auto"/>
          <w:szCs w:val="21"/>
          <w:highlight w:val="none"/>
        </w:rPr>
        <w:t>采购活动，</w:t>
      </w:r>
      <w:r>
        <w:rPr>
          <w:rFonts w:hint="eastAsia" w:ascii="宋体" w:hAnsi="宋体" w:cs="宋体"/>
          <w:b/>
          <w:bCs/>
          <w:color w:val="auto"/>
          <w:szCs w:val="21"/>
          <w:highlight w:val="none"/>
        </w:rPr>
        <w:t>提供的货物全部由符合政策要求的中小企业制造</w:t>
      </w:r>
      <w:r>
        <w:rPr>
          <w:rFonts w:hint="eastAsia" w:ascii="宋体" w:hAnsi="宋体" w:cs="宋体"/>
          <w:color w:val="auto"/>
          <w:szCs w:val="21"/>
          <w:highlight w:val="none"/>
        </w:rPr>
        <w:t>。相关企业的具体情况如下：</w:t>
      </w:r>
    </w:p>
    <w:p w14:paraId="5789CD39">
      <w:pPr>
        <w:shd w:val="clear"/>
        <w:adjustRightInd w:val="0"/>
        <w:snapToGrid w:val="0"/>
        <w:spacing w:line="400" w:lineRule="exact"/>
        <w:ind w:firstLine="495" w:firstLineChars="236"/>
        <w:rPr>
          <w:rFonts w:hint="eastAsia" w:ascii="宋体" w:hAnsi="宋体" w:cs="宋体"/>
          <w:color w:val="auto"/>
          <w:szCs w:val="21"/>
          <w:highlight w:val="none"/>
        </w:rPr>
      </w:pPr>
      <w:r>
        <w:rPr>
          <w:rFonts w:hint="eastAsia" w:ascii="宋体" w:hAnsi="宋体" w:cs="宋体"/>
          <w:color w:val="auto"/>
          <w:szCs w:val="21"/>
          <w:highlight w:val="none"/>
          <w:u w:val="single"/>
        </w:rPr>
        <w:t>1.基于医学大模型的临床智能预警监测平台</w:t>
      </w:r>
      <w:r>
        <w:rPr>
          <w:rFonts w:hint="eastAsia" w:ascii="宋体" w:hAnsi="宋体" w:cs="宋体"/>
          <w:color w:val="auto"/>
          <w:szCs w:val="21"/>
          <w:highlight w:val="none"/>
        </w:rPr>
        <w:t>，属于</w:t>
      </w:r>
      <w:r>
        <w:rPr>
          <w:rFonts w:hint="eastAsia" w:ascii="宋体" w:hAnsi="宋体" w:cs="宋体"/>
          <w:color w:val="auto"/>
          <w:szCs w:val="21"/>
          <w:highlight w:val="none"/>
          <w:u w:val="single"/>
        </w:rPr>
        <w:t>（软件和信息技术服务业）行业</w:t>
      </w:r>
      <w:r>
        <w:rPr>
          <w:rFonts w:hint="eastAsia" w:ascii="宋体" w:hAnsi="宋体" w:cs="宋体"/>
          <w:color w:val="auto"/>
          <w:szCs w:val="21"/>
          <w:highlight w:val="none"/>
        </w:rPr>
        <w:t>；制造商为</w:t>
      </w:r>
    </w:p>
    <w:p w14:paraId="4E3E40F9">
      <w:pPr>
        <w:shd w:val="clea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5EEC7A01">
      <w:pPr>
        <w:shd w:val="clear"/>
        <w:adjustRightInd w:val="0"/>
        <w:snapToGrid w:val="0"/>
        <w:spacing w:line="400" w:lineRule="exact"/>
        <w:ind w:firstLine="495" w:firstLineChars="236"/>
        <w:rPr>
          <w:rFonts w:hint="eastAsia" w:ascii="宋体" w:hAnsi="宋体" w:cs="宋体"/>
          <w:color w:val="auto"/>
          <w:szCs w:val="21"/>
          <w:highlight w:val="none"/>
        </w:rPr>
      </w:pPr>
    </w:p>
    <w:p w14:paraId="03639C5B">
      <w:pPr>
        <w:shd w:val="clear"/>
        <w:adjustRightInd w:val="0"/>
        <w:snapToGrid w:val="0"/>
        <w:spacing w:line="400" w:lineRule="exact"/>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0A731185">
      <w:pPr>
        <w:shd w:val="clear"/>
        <w:adjustRightInd w:val="0"/>
        <w:snapToGrid w:val="0"/>
        <w:spacing w:line="400" w:lineRule="exact"/>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B5E7482">
      <w:pPr>
        <w:shd w:val="clear"/>
        <w:adjustRightInd w:val="0"/>
        <w:snapToGrid w:val="0"/>
        <w:spacing w:line="400" w:lineRule="exact"/>
        <w:ind w:firstLine="498" w:firstLineChars="236"/>
        <w:rPr>
          <w:rFonts w:hint="eastAsia" w:ascii="宋体" w:hAnsi="宋体" w:cs="宋体"/>
          <w:b/>
          <w:bCs/>
          <w:color w:val="auto"/>
          <w:szCs w:val="21"/>
          <w:highlight w:val="none"/>
        </w:rPr>
      </w:pPr>
      <w:r>
        <w:rPr>
          <w:rFonts w:hint="eastAsia" w:ascii="宋体" w:hAnsi="宋体" w:cs="宋体"/>
          <w:b/>
          <w:bCs/>
          <w:color w:val="auto"/>
          <w:szCs w:val="21"/>
          <w:highlight w:val="none"/>
        </w:rPr>
        <w:t>企业名称（盖章）：</w:t>
      </w:r>
    </w:p>
    <w:p w14:paraId="6E5701F0">
      <w:pPr>
        <w:shd w:val="clear"/>
        <w:adjustRightInd w:val="0"/>
        <w:snapToGrid w:val="0"/>
        <w:spacing w:line="400" w:lineRule="exact"/>
        <w:ind w:firstLine="498" w:firstLineChars="236"/>
        <w:rPr>
          <w:rFonts w:hint="eastAsia" w:ascii="宋体" w:hAnsi="宋体" w:cs="宋体"/>
          <w:b/>
          <w:bCs/>
          <w:color w:val="auto"/>
          <w:szCs w:val="21"/>
          <w:highlight w:val="none"/>
        </w:rPr>
      </w:pPr>
      <w:r>
        <w:rPr>
          <w:rFonts w:hint="eastAsia" w:ascii="宋体" w:hAnsi="宋体" w:cs="宋体"/>
          <w:b/>
          <w:bCs/>
          <w:color w:val="auto"/>
          <w:szCs w:val="21"/>
          <w:highlight w:val="none"/>
        </w:rPr>
        <w:t>日期：</w:t>
      </w:r>
    </w:p>
    <w:p w14:paraId="6E2D2670">
      <w:pPr>
        <w:shd w:val="clear"/>
        <w:adjustRightInd w:val="0"/>
        <w:snapToGrid w:val="0"/>
        <w:spacing w:line="400" w:lineRule="exact"/>
        <w:ind w:firstLine="420" w:firstLineChars="200"/>
        <w:rPr>
          <w:rFonts w:hint="eastAsia" w:ascii="宋体" w:hAnsi="宋体" w:cs="宋体"/>
          <w:color w:val="auto"/>
          <w:szCs w:val="21"/>
          <w:highlight w:val="none"/>
        </w:rPr>
      </w:pPr>
    </w:p>
    <w:p w14:paraId="3A5CCC0D">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填写说明：</w:t>
      </w:r>
    </w:p>
    <w:p w14:paraId="10A36E04">
      <w:pPr>
        <w:shd w:val="clear"/>
        <w:adjustRightInd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本项目属性为：货物</w:t>
      </w:r>
    </w:p>
    <w:p w14:paraId="7B2E04B9">
      <w:pPr>
        <w:shd w:val="clear"/>
        <w:adjustRightInd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采购标的对应的中小企业划分标准所属行业：软件和信息技术服务业；</w:t>
      </w:r>
    </w:p>
    <w:p w14:paraId="47DC2BFC">
      <w:pPr>
        <w:shd w:val="clear"/>
        <w:adjustRightInd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3276BE">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1.标的名称，按照【招标文件】中明确的标的填写；</w:t>
      </w:r>
    </w:p>
    <w:p w14:paraId="5B2B2F41">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2.所属行业，按照【招标文件】中明确的标的“所属行业”填写；</w:t>
      </w:r>
    </w:p>
    <w:p w14:paraId="2499B5B9">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3.制造商，货物由中小企业制造，即货物由中小企业生产且使用该中小企业商号或者注册商标；</w:t>
      </w:r>
    </w:p>
    <w:p w14:paraId="5787D66F">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4.从业人员、营业收入、资产总额填报上一年度数据，无上一年度数据的新成立企业可不填报。</w:t>
      </w:r>
    </w:p>
    <w:p w14:paraId="3251236E">
      <w:pPr>
        <w:shd w:val="clea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5.企业类型（包括新成立企业），按照《中小企业划型标准规定》（工信部联企业〔2011〕300号）规定和【招标文件】中明确的标的“所属行业”，选择“中型企业、小型企业、微型企业”其中之一；</w:t>
      </w:r>
    </w:p>
    <w:p w14:paraId="38E950AD">
      <w:pPr>
        <w:shd w:val="clear"/>
        <w:adjustRightInd w:val="0"/>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1900B6F8">
      <w:pPr>
        <w:shd w:val="clear"/>
        <w:adjustRightInd w:val="0"/>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1.中小企业参加政府采购活动，应当出具本办法规定的《中小企业声明函》，否则不得享受相关中小企业扶持政策。</w:t>
      </w:r>
    </w:p>
    <w:p w14:paraId="71BA4B15">
      <w:pPr>
        <w:shd w:val="clear"/>
        <w:adjustRightInd w:val="0"/>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3A0862ED">
      <w:pPr>
        <w:shd w:val="clear"/>
        <w:adjustRightInd w:val="0"/>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1FE8B399">
      <w:pPr>
        <w:shd w:val="clear"/>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383AFAEC">
      <w:pPr>
        <w:shd w:val="clear"/>
        <w:adjustRightInd w:val="0"/>
        <w:snapToGrid w:val="0"/>
        <w:spacing w:line="288" w:lineRule="auto"/>
        <w:jc w:val="center"/>
        <w:outlineLvl w:val="2"/>
        <w:rPr>
          <w:rFonts w:hint="eastAsia" w:ascii="宋体" w:hAnsi="宋体" w:cs="宋体"/>
          <w:b/>
          <w:color w:val="auto"/>
          <w:spacing w:val="-6"/>
          <w:szCs w:val="21"/>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）属于监狱企业的证明文件（若属于监狱企业）</w:t>
      </w:r>
    </w:p>
    <w:p w14:paraId="33E406F3">
      <w:pPr>
        <w:shd w:val="clear"/>
        <w:adjustRightInd w:val="0"/>
        <w:snapToGrid w:val="0"/>
        <w:spacing w:line="288" w:lineRule="auto"/>
        <w:rPr>
          <w:rFonts w:hint="eastAsia" w:ascii="宋体" w:hAnsi="宋体" w:cs="宋体"/>
          <w:color w:val="auto"/>
          <w:kern w:val="0"/>
          <w:szCs w:val="21"/>
          <w:highlight w:val="none"/>
        </w:rPr>
      </w:pPr>
    </w:p>
    <w:p w14:paraId="60732088">
      <w:pPr>
        <w:shd w:val="clea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本单位郑重声明，根据《财政部 司法部关于政府采购支持监狱企业发展有关问题的通知》（财库〔2014〕68号）的规定，</w:t>
      </w:r>
      <w:r>
        <w:rPr>
          <w:rFonts w:hint="eastAsia" w:ascii="宋体" w:hAnsi="宋体"/>
          <w:b/>
          <w:bCs/>
          <w:color w:val="auto"/>
          <w:spacing w:val="6"/>
          <w:szCs w:val="21"/>
          <w:highlight w:val="none"/>
        </w:rPr>
        <w:t>本单位为符合条件的监狱企业</w:t>
      </w:r>
      <w:r>
        <w:rPr>
          <w:rFonts w:hint="eastAsia" w:ascii="宋体" w:hAnsi="宋体"/>
          <w:color w:val="auto"/>
          <w:spacing w:val="6"/>
          <w:szCs w:val="21"/>
          <w:highlight w:val="none"/>
        </w:rPr>
        <w:t>，且本单位参加______（采购人）单位的______（项目名称）项目采购活动提供本单位制造的货物，或者提供其他监狱企业制造的货物。</w:t>
      </w:r>
    </w:p>
    <w:p w14:paraId="6910556E">
      <w:pPr>
        <w:shd w:val="clear"/>
        <w:adjustRightInd w:val="0"/>
        <w:snapToGrid w:val="0"/>
        <w:spacing w:line="360" w:lineRule="auto"/>
        <w:ind w:firstLine="444" w:firstLineChars="200"/>
        <w:rPr>
          <w:rFonts w:hint="eastAsia" w:ascii="宋体" w:hAnsi="宋体"/>
          <w:color w:val="auto"/>
          <w:spacing w:val="6"/>
          <w:szCs w:val="21"/>
          <w:highlight w:val="none"/>
        </w:rPr>
      </w:pPr>
    </w:p>
    <w:p w14:paraId="4D509022">
      <w:pPr>
        <w:shd w:val="clea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625A2751">
      <w:pPr>
        <w:shd w:val="clear"/>
        <w:tabs>
          <w:tab w:val="left" w:pos="4860"/>
        </w:tabs>
        <w:adjustRightInd w:val="0"/>
        <w:snapToGrid w:val="0"/>
        <w:spacing w:line="360" w:lineRule="auto"/>
        <w:ind w:right="1560"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单位名称（盖章）：</w:t>
      </w:r>
    </w:p>
    <w:p w14:paraId="75347B75">
      <w:pPr>
        <w:shd w:val="clear"/>
        <w:tabs>
          <w:tab w:val="left" w:pos="4860"/>
        </w:tabs>
        <w:adjustRightInd w:val="0"/>
        <w:snapToGrid w:val="0"/>
        <w:spacing w:line="360" w:lineRule="auto"/>
        <w:ind w:right="1560"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日  期：</w:t>
      </w:r>
    </w:p>
    <w:p w14:paraId="3B3166AF">
      <w:pPr>
        <w:shd w:val="clear"/>
        <w:adjustRightInd w:val="0"/>
        <w:snapToGrid w:val="0"/>
        <w:spacing w:line="288" w:lineRule="auto"/>
        <w:rPr>
          <w:rFonts w:hint="eastAsia" w:ascii="宋体" w:hAnsi="宋体" w:cs="宋体"/>
          <w:color w:val="auto"/>
          <w:kern w:val="0"/>
          <w:szCs w:val="21"/>
          <w:highlight w:val="none"/>
        </w:rPr>
      </w:pPr>
    </w:p>
    <w:p w14:paraId="7DD204ED">
      <w:pPr>
        <w:shd w:val="clear"/>
        <w:adjustRightInd w:val="0"/>
        <w:snapToGrid w:val="0"/>
        <w:spacing w:line="288" w:lineRule="auto"/>
        <w:ind w:firstLine="373" w:firstLineChars="177"/>
        <w:rPr>
          <w:rFonts w:hint="eastAsia" w:ascii="宋体" w:hAnsi="宋体"/>
          <w:b/>
          <w:bCs/>
          <w:color w:val="auto"/>
          <w:szCs w:val="21"/>
          <w:highlight w:val="none"/>
        </w:rPr>
      </w:pPr>
      <w:r>
        <w:rPr>
          <w:rFonts w:hint="eastAsia" w:ascii="宋体" w:hAnsi="宋体" w:cs="宋体"/>
          <w:b/>
          <w:bCs/>
          <w:color w:val="auto"/>
          <w:kern w:val="0"/>
          <w:szCs w:val="21"/>
          <w:highlight w:val="none"/>
        </w:rPr>
        <w:t>监狱企业参加政府采购活动时，应当提供由省级以上监狱管理局、戒毒管理局（含新疆生产建设兵团）出具的属于监狱企业的证明文件。</w:t>
      </w:r>
    </w:p>
    <w:p w14:paraId="32950B1A">
      <w:pPr>
        <w:shd w:val="clear"/>
        <w:adjustRightInd w:val="0"/>
        <w:snapToGrid w:val="0"/>
        <w:spacing w:line="288" w:lineRule="auto"/>
        <w:rPr>
          <w:rFonts w:hint="eastAsia" w:ascii="宋体" w:hAnsi="宋体"/>
          <w:color w:val="auto"/>
          <w:szCs w:val="21"/>
          <w:highlight w:val="none"/>
        </w:rPr>
      </w:pPr>
    </w:p>
    <w:p w14:paraId="4D82D78F">
      <w:pPr>
        <w:shd w:val="clear"/>
        <w:adjustRightInd w:val="0"/>
        <w:snapToGrid w:val="0"/>
        <w:spacing w:line="288" w:lineRule="auto"/>
        <w:rPr>
          <w:rFonts w:hint="eastAsia" w:ascii="宋体" w:hAnsi="宋体"/>
          <w:b/>
          <w:bCs/>
          <w:color w:val="auto"/>
          <w:szCs w:val="21"/>
          <w:highlight w:val="none"/>
        </w:rPr>
      </w:pPr>
      <w:r>
        <w:rPr>
          <w:rFonts w:hint="eastAsia" w:ascii="宋体" w:hAnsi="宋体"/>
          <w:b/>
          <w:bCs/>
          <w:color w:val="auto"/>
          <w:szCs w:val="21"/>
          <w:highlight w:val="none"/>
        </w:rPr>
        <w:t>说明：</w:t>
      </w:r>
    </w:p>
    <w:p w14:paraId="52187E2E">
      <w:pPr>
        <w:widowControl/>
        <w:shd w:val="clear"/>
        <w:adjustRightInd w:val="0"/>
        <w:snapToGrid w:val="0"/>
        <w:spacing w:line="288" w:lineRule="auto"/>
        <w:ind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DF0CD7B">
      <w:pPr>
        <w:widowControl/>
        <w:shd w:val="clear"/>
        <w:adjustRightInd w:val="0"/>
        <w:snapToGrid w:val="0"/>
        <w:spacing w:line="288" w:lineRule="auto"/>
        <w:ind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二、在政府采购活动中，监狱企业视同小型、微型企业，享受预留份额、评审中价格扣除等政府采购促进中小企业发展的政府采购政策。</w:t>
      </w:r>
    </w:p>
    <w:p w14:paraId="6C9BBD1F">
      <w:pPr>
        <w:widowControl/>
        <w:shd w:val="clear"/>
        <w:snapToGrid w:val="0"/>
        <w:spacing w:line="360" w:lineRule="auto"/>
        <w:ind w:firstLine="420" w:firstLineChars="200"/>
        <w:rPr>
          <w:rFonts w:hint="eastAsia" w:ascii="宋体" w:hAnsi="宋体" w:cs="宋体"/>
          <w:color w:val="auto"/>
          <w:szCs w:val="21"/>
          <w:highlight w:val="none"/>
        </w:rPr>
      </w:pPr>
    </w:p>
    <w:p w14:paraId="29328FB4">
      <w:pPr>
        <w:pStyle w:val="13"/>
        <w:shd w:val="clear"/>
        <w:adjustRightInd w:val="0"/>
        <w:snapToGrid w:val="0"/>
        <w:spacing w:before="120" w:after="120" w:line="300" w:lineRule="auto"/>
        <w:ind w:firstLine="420" w:firstLineChars="200"/>
        <w:rPr>
          <w:rFonts w:hint="eastAsia" w:hAnsi="宋体" w:cs="宋体"/>
          <w:color w:val="auto"/>
          <w:sz w:val="21"/>
          <w:szCs w:val="21"/>
          <w:highlight w:val="none"/>
        </w:rPr>
      </w:pPr>
    </w:p>
    <w:p w14:paraId="0E47E7B8">
      <w:pPr>
        <w:pStyle w:val="13"/>
        <w:shd w:val="clear"/>
        <w:adjustRightInd w:val="0"/>
        <w:snapToGrid w:val="0"/>
        <w:spacing w:before="120" w:after="120" w:line="300" w:lineRule="auto"/>
        <w:ind w:firstLine="420" w:firstLineChars="200"/>
        <w:rPr>
          <w:rFonts w:hint="eastAsia" w:hAnsi="宋体" w:cs="宋体"/>
          <w:color w:val="auto"/>
          <w:sz w:val="21"/>
          <w:szCs w:val="21"/>
          <w:highlight w:val="none"/>
        </w:rPr>
      </w:pPr>
    </w:p>
    <w:p w14:paraId="3AF8EFCD">
      <w:pPr>
        <w:shd w:val="clear"/>
        <w:adjustRightInd w:val="0"/>
        <w:snapToGrid w:val="0"/>
        <w:spacing w:line="288" w:lineRule="auto"/>
        <w:jc w:val="center"/>
        <w:outlineLvl w:val="2"/>
        <w:rPr>
          <w:rFonts w:hint="eastAsia" w:ascii="宋体" w:hAnsi="宋体" w:cs="宋体"/>
          <w:b/>
          <w:color w:val="auto"/>
          <w:spacing w:val="-6"/>
          <w:szCs w:val="21"/>
          <w:highlight w:val="none"/>
        </w:rPr>
      </w:pPr>
      <w:bookmarkStart w:id="70" w:name="OLE_LINK13"/>
      <w:bookmarkStart w:id="71" w:name="OLE_LINK14"/>
      <w:r>
        <w:rPr>
          <w:rFonts w:hint="eastAsia" w:ascii="宋体" w:hAnsi="宋体" w:cs="宋体"/>
          <w:b/>
          <w:bCs/>
          <w:color w:val="auto"/>
          <w:sz w:val="24"/>
          <w:highlight w:val="none"/>
        </w:rPr>
        <w:br w:type="page"/>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bookmarkEnd w:id="70"/>
      <w:bookmarkEnd w:id="71"/>
      <w:r>
        <w:rPr>
          <w:rFonts w:hint="eastAsia" w:ascii="宋体" w:hAnsi="宋体" w:cs="宋体"/>
          <w:b/>
          <w:bCs/>
          <w:color w:val="auto"/>
          <w:sz w:val="24"/>
          <w:highlight w:val="none"/>
        </w:rPr>
        <w:t>残疾人福利性单位声明函（若属于残疾人福利性单位）</w:t>
      </w:r>
    </w:p>
    <w:p w14:paraId="0FDF5308">
      <w:pPr>
        <w:shd w:val="clear"/>
        <w:adjustRightInd w:val="0"/>
        <w:snapToGrid w:val="0"/>
        <w:spacing w:line="288" w:lineRule="auto"/>
        <w:rPr>
          <w:rFonts w:hint="eastAsia" w:ascii="宋体" w:hAnsi="宋体" w:cs="宋体"/>
          <w:b/>
          <w:color w:val="auto"/>
          <w:spacing w:val="6"/>
          <w:szCs w:val="21"/>
          <w:highlight w:val="none"/>
        </w:rPr>
      </w:pPr>
    </w:p>
    <w:p w14:paraId="255FCE1F">
      <w:pPr>
        <w:shd w:val="clear"/>
        <w:adjustRightInd w:val="0"/>
        <w:snapToGrid w:val="0"/>
        <w:spacing w:line="288"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w:t>
      </w:r>
      <w:r>
        <w:rPr>
          <w:rFonts w:hint="eastAsia" w:ascii="宋体" w:hAnsi="宋体" w:cs="宋体"/>
          <w:b/>
          <w:bCs/>
          <w:color w:val="auto"/>
          <w:spacing w:val="6"/>
          <w:szCs w:val="21"/>
          <w:highlight w:val="none"/>
        </w:rPr>
        <w:t>本单位为符合条件的残疾人福利性单位</w:t>
      </w:r>
      <w:r>
        <w:rPr>
          <w:rFonts w:hint="eastAsia" w:ascii="宋体" w:hAnsi="宋体" w:cs="宋体"/>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1A569810">
      <w:pPr>
        <w:shd w:val="clear"/>
        <w:adjustRightInd w:val="0"/>
        <w:snapToGrid w:val="0"/>
        <w:spacing w:line="288"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B10FF96">
      <w:pPr>
        <w:shd w:val="clear"/>
        <w:tabs>
          <w:tab w:val="left" w:pos="4860"/>
        </w:tabs>
        <w:adjustRightInd w:val="0"/>
        <w:snapToGrid w:val="0"/>
        <w:spacing w:line="288" w:lineRule="auto"/>
        <w:ind w:right="1560"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单位名称（盖章）：</w:t>
      </w:r>
    </w:p>
    <w:p w14:paraId="5519CBC5">
      <w:pPr>
        <w:shd w:val="clear"/>
        <w:tabs>
          <w:tab w:val="left" w:pos="4860"/>
        </w:tabs>
        <w:adjustRightInd w:val="0"/>
        <w:snapToGrid w:val="0"/>
        <w:spacing w:line="288" w:lineRule="auto"/>
        <w:ind w:right="1560"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7D2666AE">
      <w:pPr>
        <w:shd w:val="clear"/>
        <w:adjustRightInd w:val="0"/>
        <w:snapToGrid w:val="0"/>
        <w:spacing w:line="288" w:lineRule="auto"/>
        <w:rPr>
          <w:rFonts w:hint="eastAsia" w:ascii="宋体" w:hAnsi="宋体" w:cs="宋体"/>
          <w:color w:val="auto"/>
          <w:szCs w:val="21"/>
          <w:highlight w:val="none"/>
        </w:rPr>
      </w:pPr>
    </w:p>
    <w:p w14:paraId="40C167BB">
      <w:pPr>
        <w:shd w:val="clea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说明：</w:t>
      </w:r>
    </w:p>
    <w:p w14:paraId="5E5F184C">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一、享受政府采购支持政策的残疾人福利性单位应当同时满足以下条件：</w:t>
      </w:r>
    </w:p>
    <w:p w14:paraId="7B287986">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（一）安置的残疾人占本单位在职职工人数的比例不低于25%（含25%），并且安置的残疾人人数不少于10人（含10人）；</w:t>
      </w:r>
    </w:p>
    <w:p w14:paraId="4BB875FE">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（二）依法与安置的每位残疾人签订了一年以上（含一年）的劳动合同或服务协议；</w:t>
      </w:r>
    </w:p>
    <w:p w14:paraId="5E9006B7">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（三）为安置的每位残疾人按月足额缴纳了基本养老保险、基本医疗保险、失业保险、工伤保险和生育保险等社会保险费；</w:t>
      </w:r>
    </w:p>
    <w:p w14:paraId="2C9FEE26">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（四）通过银行等金融机构向安置的每位残疾人，按月支付了不低于单位所在区县适用的经省级人民政府批准的月最低工资标准的工资；</w:t>
      </w:r>
    </w:p>
    <w:p w14:paraId="22663D26">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2AC91958">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8389A1">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二、符合条件的残疾人福利性单位在参加政府采购活动时，应当提供财库〔2017〕141号文件规定的《残疾人福利性单位声明函》，并对声明的真实性负责。</w:t>
      </w:r>
    </w:p>
    <w:p w14:paraId="26985AB9">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三、在政府采购活动中，残疾人福利性单位视同小型、微型企业，享受预留份额、评审中价格扣除等促进中小企业发展的政府采购政策。</w:t>
      </w:r>
    </w:p>
    <w:p w14:paraId="202E88FD">
      <w:pPr>
        <w:pStyle w:val="22"/>
        <w:shd w:val="clear"/>
        <w:adjustRightInd w:val="0"/>
        <w:snapToGrid w:val="0"/>
        <w:spacing w:before="0" w:beforeAutospacing="0" w:after="0" w:afterAutospacing="0" w:line="288" w:lineRule="auto"/>
        <w:ind w:firstLine="371" w:firstLineChars="177"/>
        <w:rPr>
          <w:rFonts w:hint="eastAsia" w:cs="宋体"/>
          <w:color w:val="auto"/>
          <w:sz w:val="21"/>
          <w:szCs w:val="21"/>
          <w:highlight w:val="none"/>
        </w:rPr>
      </w:pPr>
      <w:r>
        <w:rPr>
          <w:rFonts w:hint="eastAsia" w:cs="宋体"/>
          <w:color w:val="auto"/>
          <w:sz w:val="21"/>
          <w:szCs w:val="21"/>
          <w:highlight w:val="none"/>
        </w:rPr>
        <w:t>残疾人福利性单位属于小型、微型企业的，不重复享受政策。</w:t>
      </w:r>
    </w:p>
    <w:p w14:paraId="77E93BA6">
      <w:pPr>
        <w:shd w:val="clear"/>
        <w:spacing w:line="400" w:lineRule="exact"/>
        <w:rPr>
          <w:rFonts w:hint="eastAsia" w:ascii="宋体" w:hAnsi="宋体" w:cs="宋体"/>
          <w:color w:val="auto"/>
          <w:szCs w:val="21"/>
          <w:highlight w:val="none"/>
        </w:rPr>
      </w:pPr>
    </w:p>
    <w:bookmarkEnd w:id="72"/>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Noto Sans SC Medium"/>
    <w:panose1 w:val="00000000000000000000"/>
    <w:charset w:val="00"/>
    <w:family w:val="auto"/>
    <w:pitch w:val="default"/>
    <w:sig w:usb0="00000000" w:usb1="00000000" w:usb2="00000000" w:usb3="00000000" w:csb0="00040001" w:csb1="00000000"/>
  </w:font>
  <w:font w:name="Noto Sans SC Medium">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Helvetica Neue Light">
    <w:altName w:val="Corbel"/>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ヒラギノ角ゴ Pro W3">
    <w:altName w:val="Noto Serif SC"/>
    <w:panose1 w:val="00000000000000000000"/>
    <w:charset w:val="80"/>
    <w:family w:val="auto"/>
    <w:pitch w:val="default"/>
    <w:sig w:usb0="00000000" w:usb1="00000000" w:usb2="00000000" w:usb3="00000000" w:csb0="00160000" w:csb1="00000000"/>
  </w:font>
  <w:font w:name="Noto Serif SC">
    <w:panose1 w:val="02020200000000000000"/>
    <w:charset w:val="86"/>
    <w:family w:val="auto"/>
    <w:pitch w:val="default"/>
    <w:sig w:usb0="20000083" w:usb1="2ADF3C10" w:usb2="00000016" w:usb3="00000000" w:csb0="60060107"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36B0">
    <w:pPr>
      <w:pStyle w:val="17"/>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FA87">
    <w:pPr>
      <w:pStyle w:val="17"/>
      <w:jc w:val="center"/>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2B98">
    <w:pPr>
      <w:pStyle w:val="17"/>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20</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9947">
    <w:pPr>
      <w:jc w:val="center"/>
      <w:rPr>
        <w:rFonts w:hint="eastAsia"/>
      </w:rPr>
    </w:pPr>
    <w:r>
      <w:rPr>
        <w:rFonts w:hint="eastAsia"/>
      </w:rPr>
      <w:drawing>
        <wp:inline distT="0" distB="0" distL="114300" distR="114300">
          <wp:extent cx="5906770" cy="676910"/>
          <wp:effectExtent l="0" t="0" r="11430" b="8890"/>
          <wp:docPr id="1"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页眉"/>
                  <pic:cNvPicPr>
                    <a:picLocks noChangeAspect="1"/>
                  </pic:cNvPicPr>
                </pic:nvPicPr>
                <pic:blipFill>
                  <a:blip r:embed="rId1"/>
                  <a:stretch>
                    <a:fillRect/>
                  </a:stretch>
                </pic:blipFill>
                <pic:spPr>
                  <a:xfrm>
                    <a:off x="0" y="0"/>
                    <a:ext cx="5906770" cy="676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mE3Zjc2YjhlM2EyNmZlNjdjM2VjZGM0YmQzMjA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27264"/>
    <w:rsid w:val="00034595"/>
    <w:rsid w:val="00037CC3"/>
    <w:rsid w:val="00037F12"/>
    <w:rsid w:val="000404C3"/>
    <w:rsid w:val="00041035"/>
    <w:rsid w:val="0004184A"/>
    <w:rsid w:val="00042FA2"/>
    <w:rsid w:val="00043D3F"/>
    <w:rsid w:val="00044931"/>
    <w:rsid w:val="0004610A"/>
    <w:rsid w:val="00046C0F"/>
    <w:rsid w:val="00047FBE"/>
    <w:rsid w:val="000505CC"/>
    <w:rsid w:val="000536E0"/>
    <w:rsid w:val="00053BCC"/>
    <w:rsid w:val="00057E8D"/>
    <w:rsid w:val="0006261A"/>
    <w:rsid w:val="00065AAC"/>
    <w:rsid w:val="00066C2F"/>
    <w:rsid w:val="00067CDC"/>
    <w:rsid w:val="000704F7"/>
    <w:rsid w:val="00074377"/>
    <w:rsid w:val="000765FF"/>
    <w:rsid w:val="00080197"/>
    <w:rsid w:val="00080E86"/>
    <w:rsid w:val="000814AD"/>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43C7"/>
    <w:rsid w:val="000B5BC8"/>
    <w:rsid w:val="000C1DE2"/>
    <w:rsid w:val="000C1EF8"/>
    <w:rsid w:val="000C3537"/>
    <w:rsid w:val="000C3917"/>
    <w:rsid w:val="000C558F"/>
    <w:rsid w:val="000C587E"/>
    <w:rsid w:val="000C5B11"/>
    <w:rsid w:val="000C67A6"/>
    <w:rsid w:val="000D0B38"/>
    <w:rsid w:val="000D107B"/>
    <w:rsid w:val="000D4121"/>
    <w:rsid w:val="000D763B"/>
    <w:rsid w:val="000E0370"/>
    <w:rsid w:val="000E0B46"/>
    <w:rsid w:val="000E12A8"/>
    <w:rsid w:val="000E158D"/>
    <w:rsid w:val="000E3384"/>
    <w:rsid w:val="000E6420"/>
    <w:rsid w:val="000F4562"/>
    <w:rsid w:val="000F53EB"/>
    <w:rsid w:val="00103101"/>
    <w:rsid w:val="00103FF5"/>
    <w:rsid w:val="00105EC1"/>
    <w:rsid w:val="00106A4D"/>
    <w:rsid w:val="00111418"/>
    <w:rsid w:val="00112A2A"/>
    <w:rsid w:val="001137C8"/>
    <w:rsid w:val="00117EF1"/>
    <w:rsid w:val="001203D7"/>
    <w:rsid w:val="00120781"/>
    <w:rsid w:val="00121025"/>
    <w:rsid w:val="001273B1"/>
    <w:rsid w:val="00130294"/>
    <w:rsid w:val="00132E0C"/>
    <w:rsid w:val="001358FA"/>
    <w:rsid w:val="00137FB9"/>
    <w:rsid w:val="00143534"/>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5642"/>
    <w:rsid w:val="00166D36"/>
    <w:rsid w:val="00166EDC"/>
    <w:rsid w:val="00167EC3"/>
    <w:rsid w:val="0017064E"/>
    <w:rsid w:val="00170DD1"/>
    <w:rsid w:val="00172304"/>
    <w:rsid w:val="0017647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44DB"/>
    <w:rsid w:val="001D7868"/>
    <w:rsid w:val="001E1516"/>
    <w:rsid w:val="001E1992"/>
    <w:rsid w:val="001E1EBA"/>
    <w:rsid w:val="001E3085"/>
    <w:rsid w:val="001F36AC"/>
    <w:rsid w:val="001F47BE"/>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4FE"/>
    <w:rsid w:val="00230DA7"/>
    <w:rsid w:val="002336BD"/>
    <w:rsid w:val="00236327"/>
    <w:rsid w:val="00236937"/>
    <w:rsid w:val="00236FC6"/>
    <w:rsid w:val="002402D1"/>
    <w:rsid w:val="002435F2"/>
    <w:rsid w:val="00243D1E"/>
    <w:rsid w:val="002460A0"/>
    <w:rsid w:val="00251324"/>
    <w:rsid w:val="00251F2E"/>
    <w:rsid w:val="002529BD"/>
    <w:rsid w:val="00255493"/>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77B18"/>
    <w:rsid w:val="00282765"/>
    <w:rsid w:val="002831C7"/>
    <w:rsid w:val="00283AE2"/>
    <w:rsid w:val="00283EB5"/>
    <w:rsid w:val="002871B1"/>
    <w:rsid w:val="00290285"/>
    <w:rsid w:val="00296AB0"/>
    <w:rsid w:val="002A17E3"/>
    <w:rsid w:val="002A7085"/>
    <w:rsid w:val="002A799A"/>
    <w:rsid w:val="002B0296"/>
    <w:rsid w:val="002B1048"/>
    <w:rsid w:val="002B4AE9"/>
    <w:rsid w:val="002B7F42"/>
    <w:rsid w:val="002C3342"/>
    <w:rsid w:val="002C33D1"/>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382"/>
    <w:rsid w:val="00341604"/>
    <w:rsid w:val="0034465D"/>
    <w:rsid w:val="00347B55"/>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133"/>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6F73"/>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46DB"/>
    <w:rsid w:val="00416A3D"/>
    <w:rsid w:val="004173F4"/>
    <w:rsid w:val="00417F83"/>
    <w:rsid w:val="004237F8"/>
    <w:rsid w:val="00426923"/>
    <w:rsid w:val="00426ADA"/>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48C"/>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2B4E"/>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04A05"/>
    <w:rsid w:val="0051415E"/>
    <w:rsid w:val="0051461C"/>
    <w:rsid w:val="00515BFE"/>
    <w:rsid w:val="005161CE"/>
    <w:rsid w:val="005165C5"/>
    <w:rsid w:val="00516C2B"/>
    <w:rsid w:val="00517F0F"/>
    <w:rsid w:val="00520566"/>
    <w:rsid w:val="00520844"/>
    <w:rsid w:val="00520962"/>
    <w:rsid w:val="00520CCA"/>
    <w:rsid w:val="0052332C"/>
    <w:rsid w:val="005238C8"/>
    <w:rsid w:val="0052419B"/>
    <w:rsid w:val="00525513"/>
    <w:rsid w:val="00530A6E"/>
    <w:rsid w:val="00530E18"/>
    <w:rsid w:val="00533573"/>
    <w:rsid w:val="0053482D"/>
    <w:rsid w:val="005349E7"/>
    <w:rsid w:val="00536EA4"/>
    <w:rsid w:val="00543979"/>
    <w:rsid w:val="0054461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44F"/>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BE5"/>
    <w:rsid w:val="005F7DB1"/>
    <w:rsid w:val="005F7F4E"/>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C7EA8"/>
    <w:rsid w:val="006D0223"/>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34A"/>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DA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6CC"/>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88B"/>
    <w:rsid w:val="00843CE6"/>
    <w:rsid w:val="00844B85"/>
    <w:rsid w:val="00845785"/>
    <w:rsid w:val="0084594D"/>
    <w:rsid w:val="0084629B"/>
    <w:rsid w:val="008470A5"/>
    <w:rsid w:val="008524BA"/>
    <w:rsid w:val="00854FBA"/>
    <w:rsid w:val="00857757"/>
    <w:rsid w:val="00860FD0"/>
    <w:rsid w:val="008629F4"/>
    <w:rsid w:val="00863A5B"/>
    <w:rsid w:val="00864489"/>
    <w:rsid w:val="0087038D"/>
    <w:rsid w:val="008718C0"/>
    <w:rsid w:val="008800E3"/>
    <w:rsid w:val="008807C0"/>
    <w:rsid w:val="008851A9"/>
    <w:rsid w:val="00887F0C"/>
    <w:rsid w:val="00893056"/>
    <w:rsid w:val="00893A32"/>
    <w:rsid w:val="00894B74"/>
    <w:rsid w:val="008A1A9C"/>
    <w:rsid w:val="008A541E"/>
    <w:rsid w:val="008B0ED1"/>
    <w:rsid w:val="008B205C"/>
    <w:rsid w:val="008B2C2E"/>
    <w:rsid w:val="008B3188"/>
    <w:rsid w:val="008B336F"/>
    <w:rsid w:val="008B56D2"/>
    <w:rsid w:val="008B7147"/>
    <w:rsid w:val="008C1CF3"/>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146E"/>
    <w:rsid w:val="008F3F87"/>
    <w:rsid w:val="008F3FFA"/>
    <w:rsid w:val="008F6917"/>
    <w:rsid w:val="008F71B6"/>
    <w:rsid w:val="008F7584"/>
    <w:rsid w:val="0090229C"/>
    <w:rsid w:val="00903112"/>
    <w:rsid w:val="0090469F"/>
    <w:rsid w:val="0090555B"/>
    <w:rsid w:val="009113FC"/>
    <w:rsid w:val="00911B77"/>
    <w:rsid w:val="00912B21"/>
    <w:rsid w:val="0091365F"/>
    <w:rsid w:val="0091683E"/>
    <w:rsid w:val="00916945"/>
    <w:rsid w:val="00917842"/>
    <w:rsid w:val="009207E0"/>
    <w:rsid w:val="00921DF6"/>
    <w:rsid w:val="00924893"/>
    <w:rsid w:val="00926422"/>
    <w:rsid w:val="009302F3"/>
    <w:rsid w:val="00934006"/>
    <w:rsid w:val="009341FA"/>
    <w:rsid w:val="009369AF"/>
    <w:rsid w:val="00937328"/>
    <w:rsid w:val="0093779E"/>
    <w:rsid w:val="00940228"/>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E7F11"/>
    <w:rsid w:val="009F00CA"/>
    <w:rsid w:val="009F5445"/>
    <w:rsid w:val="009F6E40"/>
    <w:rsid w:val="00A01CA9"/>
    <w:rsid w:val="00A02B70"/>
    <w:rsid w:val="00A02EC0"/>
    <w:rsid w:val="00A0310D"/>
    <w:rsid w:val="00A076C3"/>
    <w:rsid w:val="00A11D23"/>
    <w:rsid w:val="00A12BFB"/>
    <w:rsid w:val="00A131C6"/>
    <w:rsid w:val="00A14643"/>
    <w:rsid w:val="00A153E2"/>
    <w:rsid w:val="00A208BD"/>
    <w:rsid w:val="00A20C0F"/>
    <w:rsid w:val="00A2456D"/>
    <w:rsid w:val="00A24843"/>
    <w:rsid w:val="00A24A64"/>
    <w:rsid w:val="00A272A5"/>
    <w:rsid w:val="00A31583"/>
    <w:rsid w:val="00A31B9C"/>
    <w:rsid w:val="00A32353"/>
    <w:rsid w:val="00A32B99"/>
    <w:rsid w:val="00A33534"/>
    <w:rsid w:val="00A34503"/>
    <w:rsid w:val="00A347D6"/>
    <w:rsid w:val="00A36534"/>
    <w:rsid w:val="00A365B5"/>
    <w:rsid w:val="00A37F7F"/>
    <w:rsid w:val="00A40D08"/>
    <w:rsid w:val="00A41840"/>
    <w:rsid w:val="00A436D8"/>
    <w:rsid w:val="00A44432"/>
    <w:rsid w:val="00A45BBE"/>
    <w:rsid w:val="00A500FC"/>
    <w:rsid w:val="00A50DF7"/>
    <w:rsid w:val="00A5356D"/>
    <w:rsid w:val="00A56E2F"/>
    <w:rsid w:val="00A616FB"/>
    <w:rsid w:val="00A62074"/>
    <w:rsid w:val="00A626B0"/>
    <w:rsid w:val="00A63A9C"/>
    <w:rsid w:val="00A63F72"/>
    <w:rsid w:val="00A66EBD"/>
    <w:rsid w:val="00A72B3B"/>
    <w:rsid w:val="00A73039"/>
    <w:rsid w:val="00A739E7"/>
    <w:rsid w:val="00A75C85"/>
    <w:rsid w:val="00A81A17"/>
    <w:rsid w:val="00A8478E"/>
    <w:rsid w:val="00A85A75"/>
    <w:rsid w:val="00A85D86"/>
    <w:rsid w:val="00A91A61"/>
    <w:rsid w:val="00A91F9F"/>
    <w:rsid w:val="00A93BEF"/>
    <w:rsid w:val="00A94BE5"/>
    <w:rsid w:val="00A94CC6"/>
    <w:rsid w:val="00AA1EC4"/>
    <w:rsid w:val="00AA26BF"/>
    <w:rsid w:val="00AA4EEB"/>
    <w:rsid w:val="00AA6158"/>
    <w:rsid w:val="00AB0DB9"/>
    <w:rsid w:val="00AB197A"/>
    <w:rsid w:val="00AB538C"/>
    <w:rsid w:val="00AB6351"/>
    <w:rsid w:val="00AC0C26"/>
    <w:rsid w:val="00AC2484"/>
    <w:rsid w:val="00AC2AE1"/>
    <w:rsid w:val="00AC729C"/>
    <w:rsid w:val="00AD052B"/>
    <w:rsid w:val="00AD15D6"/>
    <w:rsid w:val="00AD3A6E"/>
    <w:rsid w:val="00AD4215"/>
    <w:rsid w:val="00AD454A"/>
    <w:rsid w:val="00AD49C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05EB8"/>
    <w:rsid w:val="00B11414"/>
    <w:rsid w:val="00B2224D"/>
    <w:rsid w:val="00B228EA"/>
    <w:rsid w:val="00B26485"/>
    <w:rsid w:val="00B27103"/>
    <w:rsid w:val="00B27134"/>
    <w:rsid w:val="00B27466"/>
    <w:rsid w:val="00B31493"/>
    <w:rsid w:val="00B34018"/>
    <w:rsid w:val="00B3468F"/>
    <w:rsid w:val="00B408F4"/>
    <w:rsid w:val="00B41A65"/>
    <w:rsid w:val="00B426B6"/>
    <w:rsid w:val="00B427AC"/>
    <w:rsid w:val="00B44146"/>
    <w:rsid w:val="00B5172B"/>
    <w:rsid w:val="00B5208F"/>
    <w:rsid w:val="00B52627"/>
    <w:rsid w:val="00B5382A"/>
    <w:rsid w:val="00B54056"/>
    <w:rsid w:val="00B54F8A"/>
    <w:rsid w:val="00B5680A"/>
    <w:rsid w:val="00B608E3"/>
    <w:rsid w:val="00B6179A"/>
    <w:rsid w:val="00B63121"/>
    <w:rsid w:val="00B64886"/>
    <w:rsid w:val="00B6509E"/>
    <w:rsid w:val="00B6513B"/>
    <w:rsid w:val="00B66247"/>
    <w:rsid w:val="00B6671E"/>
    <w:rsid w:val="00B709E0"/>
    <w:rsid w:val="00B70A8E"/>
    <w:rsid w:val="00B71159"/>
    <w:rsid w:val="00B724F3"/>
    <w:rsid w:val="00B74EE1"/>
    <w:rsid w:val="00B76833"/>
    <w:rsid w:val="00B76BE5"/>
    <w:rsid w:val="00B77856"/>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D7BDF"/>
    <w:rsid w:val="00BE0F12"/>
    <w:rsid w:val="00BE1633"/>
    <w:rsid w:val="00BE1EA8"/>
    <w:rsid w:val="00BE21D5"/>
    <w:rsid w:val="00BE2488"/>
    <w:rsid w:val="00BE2B41"/>
    <w:rsid w:val="00BE5332"/>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82A"/>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B5862"/>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D7B25"/>
    <w:rsid w:val="00CE1BC2"/>
    <w:rsid w:val="00CE2E6F"/>
    <w:rsid w:val="00CE3C16"/>
    <w:rsid w:val="00CE6FB6"/>
    <w:rsid w:val="00CE7AD9"/>
    <w:rsid w:val="00CF32A8"/>
    <w:rsid w:val="00CF3576"/>
    <w:rsid w:val="00CF4740"/>
    <w:rsid w:val="00CF4781"/>
    <w:rsid w:val="00CF6826"/>
    <w:rsid w:val="00CF7A2E"/>
    <w:rsid w:val="00D00847"/>
    <w:rsid w:val="00D02590"/>
    <w:rsid w:val="00D03363"/>
    <w:rsid w:val="00D04AA5"/>
    <w:rsid w:val="00D074CA"/>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3A7F"/>
    <w:rsid w:val="00D642C9"/>
    <w:rsid w:val="00D66FB7"/>
    <w:rsid w:val="00D71592"/>
    <w:rsid w:val="00D72413"/>
    <w:rsid w:val="00D7265F"/>
    <w:rsid w:val="00D737DF"/>
    <w:rsid w:val="00D739AF"/>
    <w:rsid w:val="00D7688C"/>
    <w:rsid w:val="00D769DE"/>
    <w:rsid w:val="00D76D20"/>
    <w:rsid w:val="00D81C37"/>
    <w:rsid w:val="00D82CD2"/>
    <w:rsid w:val="00D867C7"/>
    <w:rsid w:val="00D938B2"/>
    <w:rsid w:val="00D944DF"/>
    <w:rsid w:val="00D946C8"/>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097"/>
    <w:rsid w:val="00DD17D3"/>
    <w:rsid w:val="00DD3FB1"/>
    <w:rsid w:val="00DD4E42"/>
    <w:rsid w:val="00DD540C"/>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2EC5"/>
    <w:rsid w:val="00E03ACF"/>
    <w:rsid w:val="00E03B2B"/>
    <w:rsid w:val="00E03DEE"/>
    <w:rsid w:val="00E04498"/>
    <w:rsid w:val="00E04709"/>
    <w:rsid w:val="00E048FB"/>
    <w:rsid w:val="00E05026"/>
    <w:rsid w:val="00E06DAF"/>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6EAC"/>
    <w:rsid w:val="00E370BD"/>
    <w:rsid w:val="00E379E2"/>
    <w:rsid w:val="00E402DD"/>
    <w:rsid w:val="00E4041E"/>
    <w:rsid w:val="00E41CA1"/>
    <w:rsid w:val="00E43AF2"/>
    <w:rsid w:val="00E43B06"/>
    <w:rsid w:val="00E45A9D"/>
    <w:rsid w:val="00E46D21"/>
    <w:rsid w:val="00E507E2"/>
    <w:rsid w:val="00E51D4F"/>
    <w:rsid w:val="00E55076"/>
    <w:rsid w:val="00E5522B"/>
    <w:rsid w:val="00E554E7"/>
    <w:rsid w:val="00E62869"/>
    <w:rsid w:val="00E63216"/>
    <w:rsid w:val="00E659E3"/>
    <w:rsid w:val="00E70FDF"/>
    <w:rsid w:val="00E71E33"/>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1871"/>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1B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E09"/>
    <w:rsid w:val="00F26F38"/>
    <w:rsid w:val="00F27C4E"/>
    <w:rsid w:val="00F302AC"/>
    <w:rsid w:val="00F304B9"/>
    <w:rsid w:val="00F30CA0"/>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55B1"/>
    <w:rsid w:val="00FD6717"/>
    <w:rsid w:val="00FE0D9E"/>
    <w:rsid w:val="00FE1EE7"/>
    <w:rsid w:val="00FE5A7E"/>
    <w:rsid w:val="00FF195F"/>
    <w:rsid w:val="00FF3198"/>
    <w:rsid w:val="00FF5A34"/>
    <w:rsid w:val="00FF6F04"/>
    <w:rsid w:val="01002AC7"/>
    <w:rsid w:val="010033FE"/>
    <w:rsid w:val="01154D79"/>
    <w:rsid w:val="01172890"/>
    <w:rsid w:val="011F0831"/>
    <w:rsid w:val="01285229"/>
    <w:rsid w:val="01457DBB"/>
    <w:rsid w:val="018020A3"/>
    <w:rsid w:val="0183512E"/>
    <w:rsid w:val="019329D2"/>
    <w:rsid w:val="01A050EF"/>
    <w:rsid w:val="01A717A7"/>
    <w:rsid w:val="01CF4A64"/>
    <w:rsid w:val="01D16A4D"/>
    <w:rsid w:val="01D472E0"/>
    <w:rsid w:val="01DA5EE9"/>
    <w:rsid w:val="01F81427"/>
    <w:rsid w:val="020672D7"/>
    <w:rsid w:val="02223910"/>
    <w:rsid w:val="022A0D1C"/>
    <w:rsid w:val="023000CF"/>
    <w:rsid w:val="0233162C"/>
    <w:rsid w:val="024C43DF"/>
    <w:rsid w:val="026D4C89"/>
    <w:rsid w:val="02832649"/>
    <w:rsid w:val="02AF3B8B"/>
    <w:rsid w:val="02B313FF"/>
    <w:rsid w:val="02DC59B0"/>
    <w:rsid w:val="02E355E9"/>
    <w:rsid w:val="02F600C3"/>
    <w:rsid w:val="031E57BA"/>
    <w:rsid w:val="0320472C"/>
    <w:rsid w:val="03295346"/>
    <w:rsid w:val="033C78F7"/>
    <w:rsid w:val="035144CF"/>
    <w:rsid w:val="03830824"/>
    <w:rsid w:val="03A209F5"/>
    <w:rsid w:val="03AC1B29"/>
    <w:rsid w:val="03F93561"/>
    <w:rsid w:val="040B79B6"/>
    <w:rsid w:val="040E43B5"/>
    <w:rsid w:val="0411533A"/>
    <w:rsid w:val="04261A5C"/>
    <w:rsid w:val="04307ED7"/>
    <w:rsid w:val="043851F9"/>
    <w:rsid w:val="046724C5"/>
    <w:rsid w:val="046F0577"/>
    <w:rsid w:val="047A39D5"/>
    <w:rsid w:val="04A96068"/>
    <w:rsid w:val="04F41D30"/>
    <w:rsid w:val="04FF6E13"/>
    <w:rsid w:val="0506170D"/>
    <w:rsid w:val="050F19D9"/>
    <w:rsid w:val="053550B7"/>
    <w:rsid w:val="05573452"/>
    <w:rsid w:val="05664782"/>
    <w:rsid w:val="057D6996"/>
    <w:rsid w:val="058645FB"/>
    <w:rsid w:val="05AD4A17"/>
    <w:rsid w:val="05BD41E8"/>
    <w:rsid w:val="05D34727"/>
    <w:rsid w:val="05D9297D"/>
    <w:rsid w:val="060877DB"/>
    <w:rsid w:val="062F32E3"/>
    <w:rsid w:val="063A2F65"/>
    <w:rsid w:val="06B33EC9"/>
    <w:rsid w:val="06C61123"/>
    <w:rsid w:val="06E8178D"/>
    <w:rsid w:val="06EB3BE6"/>
    <w:rsid w:val="06FF6413"/>
    <w:rsid w:val="07070E5A"/>
    <w:rsid w:val="0719448C"/>
    <w:rsid w:val="071B72AB"/>
    <w:rsid w:val="073C43C1"/>
    <w:rsid w:val="073D1FEE"/>
    <w:rsid w:val="07650D44"/>
    <w:rsid w:val="07931315"/>
    <w:rsid w:val="07A95263"/>
    <w:rsid w:val="07B02B10"/>
    <w:rsid w:val="07CA4AF5"/>
    <w:rsid w:val="07D36E5A"/>
    <w:rsid w:val="07D53466"/>
    <w:rsid w:val="07DB5C37"/>
    <w:rsid w:val="07F2027A"/>
    <w:rsid w:val="07F95A4D"/>
    <w:rsid w:val="07FE66CB"/>
    <w:rsid w:val="083B7401"/>
    <w:rsid w:val="083C7992"/>
    <w:rsid w:val="08864506"/>
    <w:rsid w:val="08903B99"/>
    <w:rsid w:val="08931933"/>
    <w:rsid w:val="08A22B86"/>
    <w:rsid w:val="08C83CF3"/>
    <w:rsid w:val="08DC47B9"/>
    <w:rsid w:val="08F16D13"/>
    <w:rsid w:val="09015152"/>
    <w:rsid w:val="09030A93"/>
    <w:rsid w:val="090B419B"/>
    <w:rsid w:val="091F331A"/>
    <w:rsid w:val="092D0FB0"/>
    <w:rsid w:val="093A35C4"/>
    <w:rsid w:val="09611CF3"/>
    <w:rsid w:val="097D7FFF"/>
    <w:rsid w:val="09CA0BB9"/>
    <w:rsid w:val="09DC163D"/>
    <w:rsid w:val="09E02EFE"/>
    <w:rsid w:val="09F5068C"/>
    <w:rsid w:val="0A0B6909"/>
    <w:rsid w:val="0A3B1082"/>
    <w:rsid w:val="0A3F5E5E"/>
    <w:rsid w:val="0A4E0677"/>
    <w:rsid w:val="0A4F2210"/>
    <w:rsid w:val="0A52707D"/>
    <w:rsid w:val="0A5E6F2D"/>
    <w:rsid w:val="0A8F0E99"/>
    <w:rsid w:val="0A955578"/>
    <w:rsid w:val="0AD153CD"/>
    <w:rsid w:val="0ADA341F"/>
    <w:rsid w:val="0AFB4013"/>
    <w:rsid w:val="0B0522A1"/>
    <w:rsid w:val="0B217D79"/>
    <w:rsid w:val="0B250B22"/>
    <w:rsid w:val="0B254E57"/>
    <w:rsid w:val="0B440899"/>
    <w:rsid w:val="0B4A1776"/>
    <w:rsid w:val="0B5E62B6"/>
    <w:rsid w:val="0B6A675C"/>
    <w:rsid w:val="0B7B1FE3"/>
    <w:rsid w:val="0B7B3D99"/>
    <w:rsid w:val="0B906705"/>
    <w:rsid w:val="0BB46580"/>
    <w:rsid w:val="0BBE3D51"/>
    <w:rsid w:val="0BD41778"/>
    <w:rsid w:val="0BD50265"/>
    <w:rsid w:val="0BEC010D"/>
    <w:rsid w:val="0BF82F1A"/>
    <w:rsid w:val="0BFB189F"/>
    <w:rsid w:val="0C0A0C3A"/>
    <w:rsid w:val="0C243773"/>
    <w:rsid w:val="0C25027D"/>
    <w:rsid w:val="0C3B6140"/>
    <w:rsid w:val="0C421DAC"/>
    <w:rsid w:val="0C627371"/>
    <w:rsid w:val="0C670CE7"/>
    <w:rsid w:val="0C755A7E"/>
    <w:rsid w:val="0C786503"/>
    <w:rsid w:val="0C7A44F7"/>
    <w:rsid w:val="0C840297"/>
    <w:rsid w:val="0C8E4429"/>
    <w:rsid w:val="0CA459B7"/>
    <w:rsid w:val="0CA77331"/>
    <w:rsid w:val="0CB1205F"/>
    <w:rsid w:val="0CB81213"/>
    <w:rsid w:val="0CF25CDC"/>
    <w:rsid w:val="0D1A04C9"/>
    <w:rsid w:val="0D281A4C"/>
    <w:rsid w:val="0D3B72EE"/>
    <w:rsid w:val="0D5541BD"/>
    <w:rsid w:val="0D6B7290"/>
    <w:rsid w:val="0D7C082F"/>
    <w:rsid w:val="0D9A6FDE"/>
    <w:rsid w:val="0DA1776A"/>
    <w:rsid w:val="0DA43FD6"/>
    <w:rsid w:val="0DBA7538"/>
    <w:rsid w:val="0DC605E9"/>
    <w:rsid w:val="0DCB77B4"/>
    <w:rsid w:val="0DF95DE5"/>
    <w:rsid w:val="0E064F10"/>
    <w:rsid w:val="0E346744"/>
    <w:rsid w:val="0E5A6B98"/>
    <w:rsid w:val="0E8026E4"/>
    <w:rsid w:val="0E9658AF"/>
    <w:rsid w:val="0EC428B4"/>
    <w:rsid w:val="0EFA0CA0"/>
    <w:rsid w:val="0F0D2363"/>
    <w:rsid w:val="0F0E6976"/>
    <w:rsid w:val="0F0E7940"/>
    <w:rsid w:val="0F442548"/>
    <w:rsid w:val="0F496F33"/>
    <w:rsid w:val="0F4A2292"/>
    <w:rsid w:val="0F4E072A"/>
    <w:rsid w:val="0F4E093C"/>
    <w:rsid w:val="0F5B483C"/>
    <w:rsid w:val="0FA05BB5"/>
    <w:rsid w:val="0FB2394F"/>
    <w:rsid w:val="0FB50B6C"/>
    <w:rsid w:val="0FB871DB"/>
    <w:rsid w:val="0FC02FE7"/>
    <w:rsid w:val="0FD57709"/>
    <w:rsid w:val="0FE32D76"/>
    <w:rsid w:val="10084F5B"/>
    <w:rsid w:val="10460CC2"/>
    <w:rsid w:val="104E5851"/>
    <w:rsid w:val="105656D9"/>
    <w:rsid w:val="10757130"/>
    <w:rsid w:val="10954144"/>
    <w:rsid w:val="10AD60E8"/>
    <w:rsid w:val="10E97429"/>
    <w:rsid w:val="111C1612"/>
    <w:rsid w:val="112B34AD"/>
    <w:rsid w:val="112E4A2D"/>
    <w:rsid w:val="11306736"/>
    <w:rsid w:val="1146137A"/>
    <w:rsid w:val="117E0327"/>
    <w:rsid w:val="11C354E2"/>
    <w:rsid w:val="11FF5827"/>
    <w:rsid w:val="120A60E3"/>
    <w:rsid w:val="121015B2"/>
    <w:rsid w:val="12225A91"/>
    <w:rsid w:val="122D0B62"/>
    <w:rsid w:val="12427803"/>
    <w:rsid w:val="1251466E"/>
    <w:rsid w:val="12527A9D"/>
    <w:rsid w:val="12A637D8"/>
    <w:rsid w:val="12BC3DD6"/>
    <w:rsid w:val="13127549"/>
    <w:rsid w:val="13216E71"/>
    <w:rsid w:val="13247B6B"/>
    <w:rsid w:val="133F1B3E"/>
    <w:rsid w:val="133F386E"/>
    <w:rsid w:val="134164F4"/>
    <w:rsid w:val="13445AAB"/>
    <w:rsid w:val="136D249F"/>
    <w:rsid w:val="136D7178"/>
    <w:rsid w:val="13A96EC3"/>
    <w:rsid w:val="13D42AEF"/>
    <w:rsid w:val="13DA6538"/>
    <w:rsid w:val="142631BE"/>
    <w:rsid w:val="14370DFF"/>
    <w:rsid w:val="143B16BB"/>
    <w:rsid w:val="14492156"/>
    <w:rsid w:val="144A4342"/>
    <w:rsid w:val="145A20A7"/>
    <w:rsid w:val="146D7968"/>
    <w:rsid w:val="147765C9"/>
    <w:rsid w:val="14897B07"/>
    <w:rsid w:val="148B3D96"/>
    <w:rsid w:val="14A3156B"/>
    <w:rsid w:val="14C40F66"/>
    <w:rsid w:val="14DB7AD8"/>
    <w:rsid w:val="14F43309"/>
    <w:rsid w:val="150B2B34"/>
    <w:rsid w:val="150D3802"/>
    <w:rsid w:val="153B29E4"/>
    <w:rsid w:val="15517551"/>
    <w:rsid w:val="156F14CC"/>
    <w:rsid w:val="157012B3"/>
    <w:rsid w:val="157C24EA"/>
    <w:rsid w:val="15A2668D"/>
    <w:rsid w:val="15C34BDC"/>
    <w:rsid w:val="15D00CD9"/>
    <w:rsid w:val="15ED7C1A"/>
    <w:rsid w:val="160B1DB7"/>
    <w:rsid w:val="165B2E3B"/>
    <w:rsid w:val="167E7B78"/>
    <w:rsid w:val="16810AFC"/>
    <w:rsid w:val="16910D3C"/>
    <w:rsid w:val="16A67A37"/>
    <w:rsid w:val="16AC1858"/>
    <w:rsid w:val="16BE50DE"/>
    <w:rsid w:val="16D346BB"/>
    <w:rsid w:val="16E4751C"/>
    <w:rsid w:val="17212936"/>
    <w:rsid w:val="173D2C06"/>
    <w:rsid w:val="17473D3D"/>
    <w:rsid w:val="176B7489"/>
    <w:rsid w:val="176D6A5E"/>
    <w:rsid w:val="1773336D"/>
    <w:rsid w:val="17781BD0"/>
    <w:rsid w:val="177E6CE5"/>
    <w:rsid w:val="17845DA0"/>
    <w:rsid w:val="17894D64"/>
    <w:rsid w:val="17B76940"/>
    <w:rsid w:val="17EC7121"/>
    <w:rsid w:val="17EF5450"/>
    <w:rsid w:val="18090C43"/>
    <w:rsid w:val="18184CA0"/>
    <w:rsid w:val="182906C6"/>
    <w:rsid w:val="18297794"/>
    <w:rsid w:val="18726624"/>
    <w:rsid w:val="187759E0"/>
    <w:rsid w:val="18AE4589"/>
    <w:rsid w:val="18B710E2"/>
    <w:rsid w:val="18D17A0D"/>
    <w:rsid w:val="18D731CF"/>
    <w:rsid w:val="18FB5F15"/>
    <w:rsid w:val="1906629D"/>
    <w:rsid w:val="190804D2"/>
    <w:rsid w:val="1908051E"/>
    <w:rsid w:val="193C1919"/>
    <w:rsid w:val="197D71E0"/>
    <w:rsid w:val="198C07E7"/>
    <w:rsid w:val="19A406B7"/>
    <w:rsid w:val="19B26E85"/>
    <w:rsid w:val="19BE7C49"/>
    <w:rsid w:val="19D133E7"/>
    <w:rsid w:val="19F0407C"/>
    <w:rsid w:val="1A0A53A3"/>
    <w:rsid w:val="1A240D2C"/>
    <w:rsid w:val="1A551242"/>
    <w:rsid w:val="1A642D06"/>
    <w:rsid w:val="1A6674A1"/>
    <w:rsid w:val="1A6F102A"/>
    <w:rsid w:val="1A7E0088"/>
    <w:rsid w:val="1A7F1CED"/>
    <w:rsid w:val="1A936D28"/>
    <w:rsid w:val="1A970399"/>
    <w:rsid w:val="1A9A4135"/>
    <w:rsid w:val="1AC45BF1"/>
    <w:rsid w:val="1AC67579"/>
    <w:rsid w:val="1AD324ED"/>
    <w:rsid w:val="1AEB73B7"/>
    <w:rsid w:val="1AF062E4"/>
    <w:rsid w:val="1B1E3089"/>
    <w:rsid w:val="1B321622"/>
    <w:rsid w:val="1B6A2A52"/>
    <w:rsid w:val="1B6E78F2"/>
    <w:rsid w:val="1B6F5412"/>
    <w:rsid w:val="1B893235"/>
    <w:rsid w:val="1B940AAE"/>
    <w:rsid w:val="1BA60209"/>
    <w:rsid w:val="1BA65613"/>
    <w:rsid w:val="1BBF4D00"/>
    <w:rsid w:val="1BC00694"/>
    <w:rsid w:val="1BD7544C"/>
    <w:rsid w:val="1BDB2731"/>
    <w:rsid w:val="1BE91858"/>
    <w:rsid w:val="1C060E08"/>
    <w:rsid w:val="1C1F0E48"/>
    <w:rsid w:val="1C533D6D"/>
    <w:rsid w:val="1C5501D6"/>
    <w:rsid w:val="1C5E06CD"/>
    <w:rsid w:val="1C9D7868"/>
    <w:rsid w:val="1CDB16B7"/>
    <w:rsid w:val="1CEF6B87"/>
    <w:rsid w:val="1CF540E9"/>
    <w:rsid w:val="1D345F1E"/>
    <w:rsid w:val="1D4F4BC8"/>
    <w:rsid w:val="1D5133A9"/>
    <w:rsid w:val="1D5C173A"/>
    <w:rsid w:val="1DCF3BC5"/>
    <w:rsid w:val="1DE40399"/>
    <w:rsid w:val="1E264686"/>
    <w:rsid w:val="1E2F27D7"/>
    <w:rsid w:val="1E452027"/>
    <w:rsid w:val="1E4F7A48"/>
    <w:rsid w:val="1E724B88"/>
    <w:rsid w:val="1E7966D4"/>
    <w:rsid w:val="1E797973"/>
    <w:rsid w:val="1E826F9E"/>
    <w:rsid w:val="1EDE9A9D"/>
    <w:rsid w:val="1EE45D3E"/>
    <w:rsid w:val="1EEB1A56"/>
    <w:rsid w:val="1EFA4751"/>
    <w:rsid w:val="1F351D3D"/>
    <w:rsid w:val="1F3E4776"/>
    <w:rsid w:val="1F6F0182"/>
    <w:rsid w:val="1F9C38D3"/>
    <w:rsid w:val="1FAF670B"/>
    <w:rsid w:val="1FCD04EB"/>
    <w:rsid w:val="1FE70A63"/>
    <w:rsid w:val="1FFF11C5"/>
    <w:rsid w:val="200902A2"/>
    <w:rsid w:val="200A7D1E"/>
    <w:rsid w:val="201C205F"/>
    <w:rsid w:val="2037541B"/>
    <w:rsid w:val="203F2777"/>
    <w:rsid w:val="20644E2A"/>
    <w:rsid w:val="206C2341"/>
    <w:rsid w:val="20767551"/>
    <w:rsid w:val="207F0992"/>
    <w:rsid w:val="20D61E02"/>
    <w:rsid w:val="20E207FA"/>
    <w:rsid w:val="20E33285"/>
    <w:rsid w:val="20FD356C"/>
    <w:rsid w:val="211636D4"/>
    <w:rsid w:val="212705BE"/>
    <w:rsid w:val="21274A8D"/>
    <w:rsid w:val="2169414C"/>
    <w:rsid w:val="218E1885"/>
    <w:rsid w:val="21962D28"/>
    <w:rsid w:val="21B31DC3"/>
    <w:rsid w:val="21BA0C7D"/>
    <w:rsid w:val="21DB64E2"/>
    <w:rsid w:val="21F726B1"/>
    <w:rsid w:val="221C4C30"/>
    <w:rsid w:val="22271722"/>
    <w:rsid w:val="22335D4F"/>
    <w:rsid w:val="224131C1"/>
    <w:rsid w:val="22532D92"/>
    <w:rsid w:val="22636BF9"/>
    <w:rsid w:val="22656FE6"/>
    <w:rsid w:val="22661A2D"/>
    <w:rsid w:val="2280028D"/>
    <w:rsid w:val="228B3B7A"/>
    <w:rsid w:val="22973BD0"/>
    <w:rsid w:val="22995862"/>
    <w:rsid w:val="229D5DBE"/>
    <w:rsid w:val="229E0564"/>
    <w:rsid w:val="22A70B6C"/>
    <w:rsid w:val="22AD65CC"/>
    <w:rsid w:val="22D318F3"/>
    <w:rsid w:val="22F15563"/>
    <w:rsid w:val="23400B66"/>
    <w:rsid w:val="23691BCC"/>
    <w:rsid w:val="23857FD5"/>
    <w:rsid w:val="238C2566"/>
    <w:rsid w:val="238E40F0"/>
    <w:rsid w:val="2394368A"/>
    <w:rsid w:val="23BD6681"/>
    <w:rsid w:val="23C14303"/>
    <w:rsid w:val="23D9038F"/>
    <w:rsid w:val="23F757B2"/>
    <w:rsid w:val="23FF4622"/>
    <w:rsid w:val="24061828"/>
    <w:rsid w:val="243C2AF5"/>
    <w:rsid w:val="246266BF"/>
    <w:rsid w:val="24651B54"/>
    <w:rsid w:val="24A20971"/>
    <w:rsid w:val="24DA7298"/>
    <w:rsid w:val="24F674E5"/>
    <w:rsid w:val="252202D5"/>
    <w:rsid w:val="25347DC2"/>
    <w:rsid w:val="254507E0"/>
    <w:rsid w:val="25822D01"/>
    <w:rsid w:val="25966072"/>
    <w:rsid w:val="25A217AC"/>
    <w:rsid w:val="25C428AA"/>
    <w:rsid w:val="261F4FFC"/>
    <w:rsid w:val="26247F33"/>
    <w:rsid w:val="26467D05"/>
    <w:rsid w:val="265D6715"/>
    <w:rsid w:val="26673911"/>
    <w:rsid w:val="26A91DFC"/>
    <w:rsid w:val="26B62357"/>
    <w:rsid w:val="270A5318"/>
    <w:rsid w:val="270F0F22"/>
    <w:rsid w:val="27432BC1"/>
    <w:rsid w:val="27790766"/>
    <w:rsid w:val="27B04BAD"/>
    <w:rsid w:val="27B0704B"/>
    <w:rsid w:val="27B50BAA"/>
    <w:rsid w:val="27B71296"/>
    <w:rsid w:val="27D97F6F"/>
    <w:rsid w:val="27E2170E"/>
    <w:rsid w:val="27F0275A"/>
    <w:rsid w:val="27FE6EAA"/>
    <w:rsid w:val="28046835"/>
    <w:rsid w:val="28092CBD"/>
    <w:rsid w:val="280C3C41"/>
    <w:rsid w:val="2810627B"/>
    <w:rsid w:val="281D775F"/>
    <w:rsid w:val="28580092"/>
    <w:rsid w:val="2861114D"/>
    <w:rsid w:val="288B1B57"/>
    <w:rsid w:val="289C2757"/>
    <w:rsid w:val="28A41CD9"/>
    <w:rsid w:val="28A877E4"/>
    <w:rsid w:val="28AD37CB"/>
    <w:rsid w:val="28B57959"/>
    <w:rsid w:val="28BC23D4"/>
    <w:rsid w:val="28C17BAA"/>
    <w:rsid w:val="28CC0D6E"/>
    <w:rsid w:val="28E613A6"/>
    <w:rsid w:val="28E7684F"/>
    <w:rsid w:val="28F456A7"/>
    <w:rsid w:val="28F64EC4"/>
    <w:rsid w:val="28F95878"/>
    <w:rsid w:val="290B7B8A"/>
    <w:rsid w:val="291308D3"/>
    <w:rsid w:val="29151EF5"/>
    <w:rsid w:val="291F2DA4"/>
    <w:rsid w:val="29226266"/>
    <w:rsid w:val="293C0E20"/>
    <w:rsid w:val="293E2816"/>
    <w:rsid w:val="29465F48"/>
    <w:rsid w:val="294D17B4"/>
    <w:rsid w:val="295968A3"/>
    <w:rsid w:val="299B32E4"/>
    <w:rsid w:val="299E53D5"/>
    <w:rsid w:val="29A978FB"/>
    <w:rsid w:val="29B134B7"/>
    <w:rsid w:val="29C33313"/>
    <w:rsid w:val="29C40D94"/>
    <w:rsid w:val="29D303B0"/>
    <w:rsid w:val="2A123E41"/>
    <w:rsid w:val="2A3F18F9"/>
    <w:rsid w:val="2A7423E6"/>
    <w:rsid w:val="2A797CE0"/>
    <w:rsid w:val="2A7B4CC0"/>
    <w:rsid w:val="2A8E3CE0"/>
    <w:rsid w:val="2A947DE8"/>
    <w:rsid w:val="2AA10ED5"/>
    <w:rsid w:val="2AD021CB"/>
    <w:rsid w:val="2AD215C5"/>
    <w:rsid w:val="2ADA0518"/>
    <w:rsid w:val="2AE05137"/>
    <w:rsid w:val="2AE928C2"/>
    <w:rsid w:val="2AEE4FFE"/>
    <w:rsid w:val="2B234328"/>
    <w:rsid w:val="2B4B1B15"/>
    <w:rsid w:val="2B55600F"/>
    <w:rsid w:val="2B7D553A"/>
    <w:rsid w:val="2BB36041"/>
    <w:rsid w:val="2BBD34D7"/>
    <w:rsid w:val="2BCF1FA9"/>
    <w:rsid w:val="2BFA2EC1"/>
    <w:rsid w:val="2C1B0EE8"/>
    <w:rsid w:val="2C5A6534"/>
    <w:rsid w:val="2C727379"/>
    <w:rsid w:val="2C7876AB"/>
    <w:rsid w:val="2C7E318B"/>
    <w:rsid w:val="2C921974"/>
    <w:rsid w:val="2C960832"/>
    <w:rsid w:val="2C9D4E17"/>
    <w:rsid w:val="2CC83928"/>
    <w:rsid w:val="2CC971DC"/>
    <w:rsid w:val="2CDC672B"/>
    <w:rsid w:val="2CF369CD"/>
    <w:rsid w:val="2D1139FF"/>
    <w:rsid w:val="2D2E0DB1"/>
    <w:rsid w:val="2D3253DF"/>
    <w:rsid w:val="2D3E57C8"/>
    <w:rsid w:val="2D605B3B"/>
    <w:rsid w:val="2D8877B9"/>
    <w:rsid w:val="2D924E6B"/>
    <w:rsid w:val="2DAB617C"/>
    <w:rsid w:val="2DB35ED0"/>
    <w:rsid w:val="2DBE14C9"/>
    <w:rsid w:val="2DDB7157"/>
    <w:rsid w:val="2DE4733A"/>
    <w:rsid w:val="2E073308"/>
    <w:rsid w:val="2E086516"/>
    <w:rsid w:val="2E157DAA"/>
    <w:rsid w:val="2E2B31E3"/>
    <w:rsid w:val="2E36021F"/>
    <w:rsid w:val="2E3E316C"/>
    <w:rsid w:val="2E402DEC"/>
    <w:rsid w:val="2E6566A1"/>
    <w:rsid w:val="2E677D38"/>
    <w:rsid w:val="2E790D80"/>
    <w:rsid w:val="2E951C3D"/>
    <w:rsid w:val="2E9A5A84"/>
    <w:rsid w:val="2EB35682"/>
    <w:rsid w:val="2ED77388"/>
    <w:rsid w:val="2EE54BFF"/>
    <w:rsid w:val="2F043F88"/>
    <w:rsid w:val="2F347E86"/>
    <w:rsid w:val="2F380CDF"/>
    <w:rsid w:val="2F3D528D"/>
    <w:rsid w:val="2F6509D0"/>
    <w:rsid w:val="2F6A64D8"/>
    <w:rsid w:val="2F835A02"/>
    <w:rsid w:val="2F8F71D5"/>
    <w:rsid w:val="2FBC3E7F"/>
    <w:rsid w:val="2FC177A6"/>
    <w:rsid w:val="2FC50223"/>
    <w:rsid w:val="2FD61424"/>
    <w:rsid w:val="2FE62858"/>
    <w:rsid w:val="2FE77CA5"/>
    <w:rsid w:val="2FE85726"/>
    <w:rsid w:val="2FFE314D"/>
    <w:rsid w:val="301E50B5"/>
    <w:rsid w:val="30616EA9"/>
    <w:rsid w:val="306F1D0F"/>
    <w:rsid w:val="307F74C7"/>
    <w:rsid w:val="30824DF6"/>
    <w:rsid w:val="30906E39"/>
    <w:rsid w:val="30987933"/>
    <w:rsid w:val="30AC3F3B"/>
    <w:rsid w:val="30D675AD"/>
    <w:rsid w:val="30E852C9"/>
    <w:rsid w:val="30F10937"/>
    <w:rsid w:val="31055D62"/>
    <w:rsid w:val="310657CE"/>
    <w:rsid w:val="310C01F4"/>
    <w:rsid w:val="31200CA6"/>
    <w:rsid w:val="3126173F"/>
    <w:rsid w:val="31337958"/>
    <w:rsid w:val="3152277A"/>
    <w:rsid w:val="31676E9C"/>
    <w:rsid w:val="31677002"/>
    <w:rsid w:val="31A44D82"/>
    <w:rsid w:val="31A65375"/>
    <w:rsid w:val="31C85C3C"/>
    <w:rsid w:val="31E00868"/>
    <w:rsid w:val="320D6688"/>
    <w:rsid w:val="321118B3"/>
    <w:rsid w:val="32447B7D"/>
    <w:rsid w:val="32771258"/>
    <w:rsid w:val="32927883"/>
    <w:rsid w:val="32AB72CC"/>
    <w:rsid w:val="32B47020"/>
    <w:rsid w:val="32B75C71"/>
    <w:rsid w:val="32B85544"/>
    <w:rsid w:val="32BA2E25"/>
    <w:rsid w:val="32BE120D"/>
    <w:rsid w:val="32DD0B47"/>
    <w:rsid w:val="32DE35B9"/>
    <w:rsid w:val="32EA1597"/>
    <w:rsid w:val="32FC6D98"/>
    <w:rsid w:val="330C0EF9"/>
    <w:rsid w:val="33322B71"/>
    <w:rsid w:val="334E34B9"/>
    <w:rsid w:val="33506DE6"/>
    <w:rsid w:val="33522F1C"/>
    <w:rsid w:val="335A310A"/>
    <w:rsid w:val="336743E3"/>
    <w:rsid w:val="336A7566"/>
    <w:rsid w:val="336F02F9"/>
    <w:rsid w:val="338830BA"/>
    <w:rsid w:val="33A44248"/>
    <w:rsid w:val="33AD4B58"/>
    <w:rsid w:val="33B249EB"/>
    <w:rsid w:val="33BA6B4D"/>
    <w:rsid w:val="33BA7765"/>
    <w:rsid w:val="33C17F75"/>
    <w:rsid w:val="33D56C16"/>
    <w:rsid w:val="33FD5CF7"/>
    <w:rsid w:val="34004E73"/>
    <w:rsid w:val="34154B70"/>
    <w:rsid w:val="34176785"/>
    <w:rsid w:val="342A2223"/>
    <w:rsid w:val="34384B8F"/>
    <w:rsid w:val="343D27B3"/>
    <w:rsid w:val="34623382"/>
    <w:rsid w:val="34A32BCF"/>
    <w:rsid w:val="34A34F6C"/>
    <w:rsid w:val="34D11437"/>
    <w:rsid w:val="3503002A"/>
    <w:rsid w:val="3504764D"/>
    <w:rsid w:val="351515E6"/>
    <w:rsid w:val="35194EAC"/>
    <w:rsid w:val="353460FF"/>
    <w:rsid w:val="35925C72"/>
    <w:rsid w:val="35A525CC"/>
    <w:rsid w:val="35A54CED"/>
    <w:rsid w:val="35AA1CC3"/>
    <w:rsid w:val="35C267C1"/>
    <w:rsid w:val="35CB6F3A"/>
    <w:rsid w:val="35DD4DEC"/>
    <w:rsid w:val="35F752C6"/>
    <w:rsid w:val="36156268"/>
    <w:rsid w:val="361F32D7"/>
    <w:rsid w:val="362B6A5C"/>
    <w:rsid w:val="36325618"/>
    <w:rsid w:val="36590593"/>
    <w:rsid w:val="366448FA"/>
    <w:rsid w:val="36770493"/>
    <w:rsid w:val="369662F0"/>
    <w:rsid w:val="36A25FD3"/>
    <w:rsid w:val="36AF5145"/>
    <w:rsid w:val="36C4318C"/>
    <w:rsid w:val="36E209DD"/>
    <w:rsid w:val="37534CA7"/>
    <w:rsid w:val="3763266A"/>
    <w:rsid w:val="3765797E"/>
    <w:rsid w:val="378E3C20"/>
    <w:rsid w:val="37904CE2"/>
    <w:rsid w:val="37A30A5B"/>
    <w:rsid w:val="37A4078E"/>
    <w:rsid w:val="37B66B65"/>
    <w:rsid w:val="37BA363D"/>
    <w:rsid w:val="37C14A80"/>
    <w:rsid w:val="37D824F1"/>
    <w:rsid w:val="37FF3148"/>
    <w:rsid w:val="3808447D"/>
    <w:rsid w:val="3808658C"/>
    <w:rsid w:val="381A7C1A"/>
    <w:rsid w:val="38255F76"/>
    <w:rsid w:val="383241EA"/>
    <w:rsid w:val="384967E1"/>
    <w:rsid w:val="384A1CB5"/>
    <w:rsid w:val="38735393"/>
    <w:rsid w:val="38751A5A"/>
    <w:rsid w:val="387E0FDF"/>
    <w:rsid w:val="388502E5"/>
    <w:rsid w:val="38862F93"/>
    <w:rsid w:val="388A3751"/>
    <w:rsid w:val="388E7F80"/>
    <w:rsid w:val="38910481"/>
    <w:rsid w:val="38A30A78"/>
    <w:rsid w:val="38B8209E"/>
    <w:rsid w:val="38D11987"/>
    <w:rsid w:val="38EA4A6F"/>
    <w:rsid w:val="38F372D7"/>
    <w:rsid w:val="38FF143F"/>
    <w:rsid w:val="390144FE"/>
    <w:rsid w:val="390451D1"/>
    <w:rsid w:val="39176838"/>
    <w:rsid w:val="39405113"/>
    <w:rsid w:val="394871E4"/>
    <w:rsid w:val="394F02CB"/>
    <w:rsid w:val="39664A9C"/>
    <w:rsid w:val="39B55ECE"/>
    <w:rsid w:val="39B905C0"/>
    <w:rsid w:val="39B918B5"/>
    <w:rsid w:val="39D30EB6"/>
    <w:rsid w:val="39D55FF8"/>
    <w:rsid w:val="39D96898"/>
    <w:rsid w:val="39DB55C9"/>
    <w:rsid w:val="3A10210A"/>
    <w:rsid w:val="3A287454"/>
    <w:rsid w:val="3A625E49"/>
    <w:rsid w:val="3A7876F9"/>
    <w:rsid w:val="3A7B5DD1"/>
    <w:rsid w:val="3A935D24"/>
    <w:rsid w:val="3A9D3793"/>
    <w:rsid w:val="3AAF33E5"/>
    <w:rsid w:val="3AAF372C"/>
    <w:rsid w:val="3AD4740C"/>
    <w:rsid w:val="3AE3482A"/>
    <w:rsid w:val="3B084AF6"/>
    <w:rsid w:val="3B0C4DFA"/>
    <w:rsid w:val="3B2D17A6"/>
    <w:rsid w:val="3B4879DB"/>
    <w:rsid w:val="3B5023D2"/>
    <w:rsid w:val="3B6F440E"/>
    <w:rsid w:val="3B7C0908"/>
    <w:rsid w:val="3B965952"/>
    <w:rsid w:val="3B9733D4"/>
    <w:rsid w:val="3BAA664E"/>
    <w:rsid w:val="3BAE2224"/>
    <w:rsid w:val="3BC82B1C"/>
    <w:rsid w:val="3BDB52A9"/>
    <w:rsid w:val="3BED0FF7"/>
    <w:rsid w:val="3BF30383"/>
    <w:rsid w:val="3BFA1DF4"/>
    <w:rsid w:val="3C10583C"/>
    <w:rsid w:val="3C19215B"/>
    <w:rsid w:val="3C3953DC"/>
    <w:rsid w:val="3C3A4B88"/>
    <w:rsid w:val="3C4D26C6"/>
    <w:rsid w:val="3C72085C"/>
    <w:rsid w:val="3C8E7F14"/>
    <w:rsid w:val="3CC2763E"/>
    <w:rsid w:val="3D021592"/>
    <w:rsid w:val="3D044EFC"/>
    <w:rsid w:val="3D0E2325"/>
    <w:rsid w:val="3D0F0506"/>
    <w:rsid w:val="3D2F0AF9"/>
    <w:rsid w:val="3D3D054B"/>
    <w:rsid w:val="3D540B55"/>
    <w:rsid w:val="3D792B22"/>
    <w:rsid w:val="3D931F15"/>
    <w:rsid w:val="3DF21F2E"/>
    <w:rsid w:val="3DFE2092"/>
    <w:rsid w:val="3E05432D"/>
    <w:rsid w:val="3E0A66F5"/>
    <w:rsid w:val="3E2919ED"/>
    <w:rsid w:val="3E456A1F"/>
    <w:rsid w:val="3E6946AD"/>
    <w:rsid w:val="3E8B46AB"/>
    <w:rsid w:val="3E97095F"/>
    <w:rsid w:val="3E9956C1"/>
    <w:rsid w:val="3EB60CB3"/>
    <w:rsid w:val="3EC436F9"/>
    <w:rsid w:val="3EDB5211"/>
    <w:rsid w:val="3EF604D7"/>
    <w:rsid w:val="3EFA3D32"/>
    <w:rsid w:val="3F127E08"/>
    <w:rsid w:val="3F1E4982"/>
    <w:rsid w:val="3F2A2BEE"/>
    <w:rsid w:val="3F517FD6"/>
    <w:rsid w:val="3F740895"/>
    <w:rsid w:val="3F8942A5"/>
    <w:rsid w:val="3FAC7877"/>
    <w:rsid w:val="3FB93DC6"/>
    <w:rsid w:val="3FE10974"/>
    <w:rsid w:val="3FE63663"/>
    <w:rsid w:val="3FF117CC"/>
    <w:rsid w:val="3FFB4CC3"/>
    <w:rsid w:val="40093884"/>
    <w:rsid w:val="402A691C"/>
    <w:rsid w:val="40316058"/>
    <w:rsid w:val="40372168"/>
    <w:rsid w:val="40573164"/>
    <w:rsid w:val="405837D4"/>
    <w:rsid w:val="4059679A"/>
    <w:rsid w:val="405D39D2"/>
    <w:rsid w:val="407961A2"/>
    <w:rsid w:val="409D5390"/>
    <w:rsid w:val="40FB566E"/>
    <w:rsid w:val="410A733B"/>
    <w:rsid w:val="412465A4"/>
    <w:rsid w:val="412709D8"/>
    <w:rsid w:val="413F124B"/>
    <w:rsid w:val="4154383A"/>
    <w:rsid w:val="41770847"/>
    <w:rsid w:val="418D5210"/>
    <w:rsid w:val="41B550DD"/>
    <w:rsid w:val="41B750D0"/>
    <w:rsid w:val="41C50675"/>
    <w:rsid w:val="41F36599"/>
    <w:rsid w:val="422E66F3"/>
    <w:rsid w:val="425930E7"/>
    <w:rsid w:val="4265497C"/>
    <w:rsid w:val="426623FD"/>
    <w:rsid w:val="4275164D"/>
    <w:rsid w:val="428E22BD"/>
    <w:rsid w:val="429D20F2"/>
    <w:rsid w:val="42D537F5"/>
    <w:rsid w:val="430A3262"/>
    <w:rsid w:val="432A7D1E"/>
    <w:rsid w:val="433F0440"/>
    <w:rsid w:val="434F77FF"/>
    <w:rsid w:val="4359282D"/>
    <w:rsid w:val="435C3CCA"/>
    <w:rsid w:val="4373416E"/>
    <w:rsid w:val="43980F12"/>
    <w:rsid w:val="439D1AC5"/>
    <w:rsid w:val="43AB5520"/>
    <w:rsid w:val="43C367F6"/>
    <w:rsid w:val="43D6387F"/>
    <w:rsid w:val="43D77BD7"/>
    <w:rsid w:val="43E03697"/>
    <w:rsid w:val="44112439"/>
    <w:rsid w:val="44265D88"/>
    <w:rsid w:val="44447CC5"/>
    <w:rsid w:val="44521BA4"/>
    <w:rsid w:val="44B752E9"/>
    <w:rsid w:val="44CE0BF8"/>
    <w:rsid w:val="44D16FF4"/>
    <w:rsid w:val="44D56F19"/>
    <w:rsid w:val="450219BD"/>
    <w:rsid w:val="450B0DF5"/>
    <w:rsid w:val="450D025A"/>
    <w:rsid w:val="451308A6"/>
    <w:rsid w:val="4531540D"/>
    <w:rsid w:val="454778DE"/>
    <w:rsid w:val="456074FF"/>
    <w:rsid w:val="457B6850"/>
    <w:rsid w:val="457E3359"/>
    <w:rsid w:val="4590612D"/>
    <w:rsid w:val="4593384C"/>
    <w:rsid w:val="459704F8"/>
    <w:rsid w:val="45AF503A"/>
    <w:rsid w:val="45BB5620"/>
    <w:rsid w:val="45D32C63"/>
    <w:rsid w:val="45FC942F"/>
    <w:rsid w:val="46022F14"/>
    <w:rsid w:val="46713F31"/>
    <w:rsid w:val="4676691E"/>
    <w:rsid w:val="468808C3"/>
    <w:rsid w:val="46A824B9"/>
    <w:rsid w:val="46B43DEC"/>
    <w:rsid w:val="46BB170B"/>
    <w:rsid w:val="46D973C9"/>
    <w:rsid w:val="472F540A"/>
    <w:rsid w:val="47457D7D"/>
    <w:rsid w:val="474D4D7E"/>
    <w:rsid w:val="474D7F6C"/>
    <w:rsid w:val="47510906"/>
    <w:rsid w:val="47542A45"/>
    <w:rsid w:val="477066B1"/>
    <w:rsid w:val="47736E15"/>
    <w:rsid w:val="47876268"/>
    <w:rsid w:val="4798798B"/>
    <w:rsid w:val="479C4F08"/>
    <w:rsid w:val="47BE41C3"/>
    <w:rsid w:val="47D74AED"/>
    <w:rsid w:val="47E4413F"/>
    <w:rsid w:val="47E9088B"/>
    <w:rsid w:val="47EF2794"/>
    <w:rsid w:val="47FB383A"/>
    <w:rsid w:val="483B47F6"/>
    <w:rsid w:val="486A550F"/>
    <w:rsid w:val="487F6800"/>
    <w:rsid w:val="48AC05C9"/>
    <w:rsid w:val="48C13CFE"/>
    <w:rsid w:val="48ED6E34"/>
    <w:rsid w:val="491F37E8"/>
    <w:rsid w:val="49556BD0"/>
    <w:rsid w:val="495D70F7"/>
    <w:rsid w:val="49620640"/>
    <w:rsid w:val="496334B0"/>
    <w:rsid w:val="49795D11"/>
    <w:rsid w:val="49867CF3"/>
    <w:rsid w:val="498C1364"/>
    <w:rsid w:val="4A1679F4"/>
    <w:rsid w:val="4A2410AF"/>
    <w:rsid w:val="4A3B4557"/>
    <w:rsid w:val="4A4C2AD2"/>
    <w:rsid w:val="4A861667"/>
    <w:rsid w:val="4AA82505"/>
    <w:rsid w:val="4AC24D5B"/>
    <w:rsid w:val="4ACA7330"/>
    <w:rsid w:val="4ADF5065"/>
    <w:rsid w:val="4AE25FEA"/>
    <w:rsid w:val="4AE72885"/>
    <w:rsid w:val="4B0C130D"/>
    <w:rsid w:val="4B2056B7"/>
    <w:rsid w:val="4B2C18E1"/>
    <w:rsid w:val="4B3B596C"/>
    <w:rsid w:val="4B48070A"/>
    <w:rsid w:val="4B5E5C90"/>
    <w:rsid w:val="4B6319EC"/>
    <w:rsid w:val="4B7A61B0"/>
    <w:rsid w:val="4B7B42E8"/>
    <w:rsid w:val="4B7D5F80"/>
    <w:rsid w:val="4B8A6C7F"/>
    <w:rsid w:val="4BAD6104"/>
    <w:rsid w:val="4BCE71E6"/>
    <w:rsid w:val="4BE64593"/>
    <w:rsid w:val="4BE9138C"/>
    <w:rsid w:val="4BF40741"/>
    <w:rsid w:val="4C5E019B"/>
    <w:rsid w:val="4C663BE7"/>
    <w:rsid w:val="4C944F94"/>
    <w:rsid w:val="4CA9039D"/>
    <w:rsid w:val="4CAC4143"/>
    <w:rsid w:val="4CBE75D4"/>
    <w:rsid w:val="4CC304CF"/>
    <w:rsid w:val="4CC6475A"/>
    <w:rsid w:val="4CCE6A8F"/>
    <w:rsid w:val="4D286BEE"/>
    <w:rsid w:val="4D52686A"/>
    <w:rsid w:val="4D600589"/>
    <w:rsid w:val="4D7177EB"/>
    <w:rsid w:val="4DC20F09"/>
    <w:rsid w:val="4E287D9F"/>
    <w:rsid w:val="4E2B68FA"/>
    <w:rsid w:val="4E2D4012"/>
    <w:rsid w:val="4E762A77"/>
    <w:rsid w:val="4E766DB9"/>
    <w:rsid w:val="4EB250E6"/>
    <w:rsid w:val="4EB31309"/>
    <w:rsid w:val="4ED513E2"/>
    <w:rsid w:val="4F067826"/>
    <w:rsid w:val="4F170F52"/>
    <w:rsid w:val="4F372CF8"/>
    <w:rsid w:val="4F59151E"/>
    <w:rsid w:val="4F64249F"/>
    <w:rsid w:val="4F6E1200"/>
    <w:rsid w:val="4F833617"/>
    <w:rsid w:val="4FEB1382"/>
    <w:rsid w:val="4FEE189E"/>
    <w:rsid w:val="4FEE6286"/>
    <w:rsid w:val="4FF359AC"/>
    <w:rsid w:val="50055C55"/>
    <w:rsid w:val="500B7C38"/>
    <w:rsid w:val="5034188A"/>
    <w:rsid w:val="5045033F"/>
    <w:rsid w:val="50621E6E"/>
    <w:rsid w:val="508C56DB"/>
    <w:rsid w:val="50B72BFD"/>
    <w:rsid w:val="50DC3D36"/>
    <w:rsid w:val="50E74EED"/>
    <w:rsid w:val="50F012A1"/>
    <w:rsid w:val="51155E60"/>
    <w:rsid w:val="51187C5D"/>
    <w:rsid w:val="51222E7E"/>
    <w:rsid w:val="512963B4"/>
    <w:rsid w:val="513550CA"/>
    <w:rsid w:val="513965B0"/>
    <w:rsid w:val="51430405"/>
    <w:rsid w:val="516520F6"/>
    <w:rsid w:val="51726F4F"/>
    <w:rsid w:val="51824B2F"/>
    <w:rsid w:val="518B3B96"/>
    <w:rsid w:val="519A31F0"/>
    <w:rsid w:val="51A15FEB"/>
    <w:rsid w:val="51AF0696"/>
    <w:rsid w:val="51C36847"/>
    <w:rsid w:val="51E47CAD"/>
    <w:rsid w:val="524714B7"/>
    <w:rsid w:val="52582EBF"/>
    <w:rsid w:val="52673904"/>
    <w:rsid w:val="52862934"/>
    <w:rsid w:val="528D14FE"/>
    <w:rsid w:val="52E41331"/>
    <w:rsid w:val="533B291C"/>
    <w:rsid w:val="534212A1"/>
    <w:rsid w:val="5345653C"/>
    <w:rsid w:val="53541390"/>
    <w:rsid w:val="536C4FDF"/>
    <w:rsid w:val="53835565"/>
    <w:rsid w:val="538F45A4"/>
    <w:rsid w:val="539604C3"/>
    <w:rsid w:val="53AA43CE"/>
    <w:rsid w:val="53BA0CC5"/>
    <w:rsid w:val="53EE04F3"/>
    <w:rsid w:val="53F038EA"/>
    <w:rsid w:val="53F040ED"/>
    <w:rsid w:val="53F64DD1"/>
    <w:rsid w:val="541D0AA3"/>
    <w:rsid w:val="543F5E24"/>
    <w:rsid w:val="54504294"/>
    <w:rsid w:val="54691A69"/>
    <w:rsid w:val="54782323"/>
    <w:rsid w:val="5479291F"/>
    <w:rsid w:val="54847D2C"/>
    <w:rsid w:val="549A5D5B"/>
    <w:rsid w:val="549F2962"/>
    <w:rsid w:val="54AB59CA"/>
    <w:rsid w:val="54AC2A7B"/>
    <w:rsid w:val="54AF4AD4"/>
    <w:rsid w:val="54D505ED"/>
    <w:rsid w:val="54DA6B45"/>
    <w:rsid w:val="54DC5799"/>
    <w:rsid w:val="54E01333"/>
    <w:rsid w:val="54F71C9A"/>
    <w:rsid w:val="551C2A10"/>
    <w:rsid w:val="552F17A0"/>
    <w:rsid w:val="5530750A"/>
    <w:rsid w:val="557C0EA0"/>
    <w:rsid w:val="55866C5D"/>
    <w:rsid w:val="55A16C21"/>
    <w:rsid w:val="55A30CE4"/>
    <w:rsid w:val="55A41A91"/>
    <w:rsid w:val="55E64AAC"/>
    <w:rsid w:val="560F1140"/>
    <w:rsid w:val="560F6E07"/>
    <w:rsid w:val="56191C53"/>
    <w:rsid w:val="56226ADC"/>
    <w:rsid w:val="56334D5F"/>
    <w:rsid w:val="563C2F09"/>
    <w:rsid w:val="563D1683"/>
    <w:rsid w:val="56427760"/>
    <w:rsid w:val="56474EF8"/>
    <w:rsid w:val="564C025A"/>
    <w:rsid w:val="56685052"/>
    <w:rsid w:val="566E6F5B"/>
    <w:rsid w:val="56771E39"/>
    <w:rsid w:val="5699577A"/>
    <w:rsid w:val="569F433A"/>
    <w:rsid w:val="56AE2378"/>
    <w:rsid w:val="56AF61EA"/>
    <w:rsid w:val="56AF79C4"/>
    <w:rsid w:val="56B23ED5"/>
    <w:rsid w:val="56BE6085"/>
    <w:rsid w:val="56EA6524"/>
    <w:rsid w:val="56F45672"/>
    <w:rsid w:val="570E4CA4"/>
    <w:rsid w:val="57295F96"/>
    <w:rsid w:val="57457BF0"/>
    <w:rsid w:val="576234AF"/>
    <w:rsid w:val="577F2A9E"/>
    <w:rsid w:val="579161E1"/>
    <w:rsid w:val="57B439EF"/>
    <w:rsid w:val="57BA4FBB"/>
    <w:rsid w:val="57E013BB"/>
    <w:rsid w:val="57E15922"/>
    <w:rsid w:val="57FD73D2"/>
    <w:rsid w:val="58067EE3"/>
    <w:rsid w:val="5812180A"/>
    <w:rsid w:val="58143B53"/>
    <w:rsid w:val="58244FA7"/>
    <w:rsid w:val="586737B4"/>
    <w:rsid w:val="58A545FC"/>
    <w:rsid w:val="58B96B20"/>
    <w:rsid w:val="58D92033"/>
    <w:rsid w:val="590B30A7"/>
    <w:rsid w:val="59244AC5"/>
    <w:rsid w:val="592C35DC"/>
    <w:rsid w:val="59540269"/>
    <w:rsid w:val="597276B4"/>
    <w:rsid w:val="59A72F25"/>
    <w:rsid w:val="59B447B9"/>
    <w:rsid w:val="59B61D90"/>
    <w:rsid w:val="59B80435"/>
    <w:rsid w:val="59BA69E3"/>
    <w:rsid w:val="59C13FC6"/>
    <w:rsid w:val="59FD00B1"/>
    <w:rsid w:val="5A031430"/>
    <w:rsid w:val="5A3878E8"/>
    <w:rsid w:val="5A412BB3"/>
    <w:rsid w:val="5A635857"/>
    <w:rsid w:val="5A661DF4"/>
    <w:rsid w:val="5AB968C2"/>
    <w:rsid w:val="5ACF0178"/>
    <w:rsid w:val="5ADB0B97"/>
    <w:rsid w:val="5AEE6358"/>
    <w:rsid w:val="5B154E31"/>
    <w:rsid w:val="5B276FC2"/>
    <w:rsid w:val="5B330900"/>
    <w:rsid w:val="5B3F54BB"/>
    <w:rsid w:val="5B7D1EFA"/>
    <w:rsid w:val="5B7D50AA"/>
    <w:rsid w:val="5B9B13DC"/>
    <w:rsid w:val="5BBE133B"/>
    <w:rsid w:val="5BF949F3"/>
    <w:rsid w:val="5BFA3AA0"/>
    <w:rsid w:val="5C0056E3"/>
    <w:rsid w:val="5C3E17F9"/>
    <w:rsid w:val="5C483ABC"/>
    <w:rsid w:val="5C531CB7"/>
    <w:rsid w:val="5C736894"/>
    <w:rsid w:val="5C8A3266"/>
    <w:rsid w:val="5C941ABA"/>
    <w:rsid w:val="5C9A78E6"/>
    <w:rsid w:val="5CB645DE"/>
    <w:rsid w:val="5CC44962"/>
    <w:rsid w:val="5CD0005F"/>
    <w:rsid w:val="5CDF1CE5"/>
    <w:rsid w:val="5CEB5280"/>
    <w:rsid w:val="5D052980"/>
    <w:rsid w:val="5D1A22C4"/>
    <w:rsid w:val="5D2C0AC8"/>
    <w:rsid w:val="5D3A6920"/>
    <w:rsid w:val="5D410BBA"/>
    <w:rsid w:val="5D514C25"/>
    <w:rsid w:val="5D54142D"/>
    <w:rsid w:val="5D5A054E"/>
    <w:rsid w:val="5D717167"/>
    <w:rsid w:val="5D8135CC"/>
    <w:rsid w:val="5DB22581"/>
    <w:rsid w:val="5DB37EE1"/>
    <w:rsid w:val="5DBD240F"/>
    <w:rsid w:val="5DE11200"/>
    <w:rsid w:val="5DEE0D74"/>
    <w:rsid w:val="5DF10A2F"/>
    <w:rsid w:val="5DF247AE"/>
    <w:rsid w:val="5DF47CB1"/>
    <w:rsid w:val="5DFA762E"/>
    <w:rsid w:val="5E016FC7"/>
    <w:rsid w:val="5E195C50"/>
    <w:rsid w:val="5E1A6E9C"/>
    <w:rsid w:val="5E287173"/>
    <w:rsid w:val="5E337C02"/>
    <w:rsid w:val="5E4C5327"/>
    <w:rsid w:val="5E4E7BB5"/>
    <w:rsid w:val="5E7E6D93"/>
    <w:rsid w:val="5E876B1C"/>
    <w:rsid w:val="5E9D190F"/>
    <w:rsid w:val="5EC44B06"/>
    <w:rsid w:val="5ED57F57"/>
    <w:rsid w:val="5EEA2C20"/>
    <w:rsid w:val="5EF534F9"/>
    <w:rsid w:val="5EFC04E3"/>
    <w:rsid w:val="5F052A0D"/>
    <w:rsid w:val="5F087B79"/>
    <w:rsid w:val="5F135BF0"/>
    <w:rsid w:val="5F1979C8"/>
    <w:rsid w:val="5F1F747E"/>
    <w:rsid w:val="5F317E47"/>
    <w:rsid w:val="5F546974"/>
    <w:rsid w:val="5F5631CE"/>
    <w:rsid w:val="5F5743AE"/>
    <w:rsid w:val="5F646C0E"/>
    <w:rsid w:val="5F8051E2"/>
    <w:rsid w:val="5F9A5549"/>
    <w:rsid w:val="5FA85BED"/>
    <w:rsid w:val="5FB62BC7"/>
    <w:rsid w:val="5FB832E0"/>
    <w:rsid w:val="5FB9411A"/>
    <w:rsid w:val="5FDC3640"/>
    <w:rsid w:val="5FE9C7F7"/>
    <w:rsid w:val="600446EC"/>
    <w:rsid w:val="6004682B"/>
    <w:rsid w:val="600D2EE6"/>
    <w:rsid w:val="600D5DA2"/>
    <w:rsid w:val="602D7F7A"/>
    <w:rsid w:val="60572D1E"/>
    <w:rsid w:val="606471FD"/>
    <w:rsid w:val="607A2A40"/>
    <w:rsid w:val="60B81ABE"/>
    <w:rsid w:val="60C51369"/>
    <w:rsid w:val="60C93F57"/>
    <w:rsid w:val="60E65A85"/>
    <w:rsid w:val="60F632D8"/>
    <w:rsid w:val="61025A99"/>
    <w:rsid w:val="612B443D"/>
    <w:rsid w:val="612D33D0"/>
    <w:rsid w:val="612F2105"/>
    <w:rsid w:val="617D6101"/>
    <w:rsid w:val="61BC0F85"/>
    <w:rsid w:val="61C471B3"/>
    <w:rsid w:val="61D4087B"/>
    <w:rsid w:val="61DF5D9B"/>
    <w:rsid w:val="61E0242D"/>
    <w:rsid w:val="62066613"/>
    <w:rsid w:val="620842F1"/>
    <w:rsid w:val="62173376"/>
    <w:rsid w:val="621760F6"/>
    <w:rsid w:val="62246B60"/>
    <w:rsid w:val="628506F0"/>
    <w:rsid w:val="628A2B7E"/>
    <w:rsid w:val="62C03A9D"/>
    <w:rsid w:val="62C52A98"/>
    <w:rsid w:val="62D00439"/>
    <w:rsid w:val="62E81A95"/>
    <w:rsid w:val="62FE04A2"/>
    <w:rsid w:val="630E7BB4"/>
    <w:rsid w:val="63304A44"/>
    <w:rsid w:val="6339334E"/>
    <w:rsid w:val="634E3F04"/>
    <w:rsid w:val="635E6CEA"/>
    <w:rsid w:val="63850007"/>
    <w:rsid w:val="63A22D53"/>
    <w:rsid w:val="63C719E8"/>
    <w:rsid w:val="63EA5099"/>
    <w:rsid w:val="63EC7129"/>
    <w:rsid w:val="63FBB760"/>
    <w:rsid w:val="64187EC6"/>
    <w:rsid w:val="643D6B20"/>
    <w:rsid w:val="644F1ACD"/>
    <w:rsid w:val="64751744"/>
    <w:rsid w:val="648336D6"/>
    <w:rsid w:val="64872E73"/>
    <w:rsid w:val="64945292"/>
    <w:rsid w:val="64BB2F53"/>
    <w:rsid w:val="64E53D97"/>
    <w:rsid w:val="64F30652"/>
    <w:rsid w:val="65277EFA"/>
    <w:rsid w:val="65381814"/>
    <w:rsid w:val="658C6A5C"/>
    <w:rsid w:val="659226F2"/>
    <w:rsid w:val="65966139"/>
    <w:rsid w:val="65CB72CB"/>
    <w:rsid w:val="65E10C11"/>
    <w:rsid w:val="66067A9C"/>
    <w:rsid w:val="660B02F6"/>
    <w:rsid w:val="662A3DEC"/>
    <w:rsid w:val="663B46C9"/>
    <w:rsid w:val="663E2081"/>
    <w:rsid w:val="663E2C8D"/>
    <w:rsid w:val="667529CC"/>
    <w:rsid w:val="667B309B"/>
    <w:rsid w:val="667B3E2D"/>
    <w:rsid w:val="667F048D"/>
    <w:rsid w:val="66822ECD"/>
    <w:rsid w:val="669C06FE"/>
    <w:rsid w:val="66A02907"/>
    <w:rsid w:val="66A53E8B"/>
    <w:rsid w:val="66AE5459"/>
    <w:rsid w:val="66B52D0D"/>
    <w:rsid w:val="66D0420D"/>
    <w:rsid w:val="66D53242"/>
    <w:rsid w:val="67050051"/>
    <w:rsid w:val="67060D39"/>
    <w:rsid w:val="670E6301"/>
    <w:rsid w:val="67161DF4"/>
    <w:rsid w:val="671D31D2"/>
    <w:rsid w:val="672D16D2"/>
    <w:rsid w:val="67307AA5"/>
    <w:rsid w:val="676A43B7"/>
    <w:rsid w:val="678D29F1"/>
    <w:rsid w:val="67A17493"/>
    <w:rsid w:val="67AF0983"/>
    <w:rsid w:val="67C26CC2"/>
    <w:rsid w:val="67C45C55"/>
    <w:rsid w:val="67EE4F89"/>
    <w:rsid w:val="67F31E4A"/>
    <w:rsid w:val="67FF1998"/>
    <w:rsid w:val="680B583D"/>
    <w:rsid w:val="680D1D99"/>
    <w:rsid w:val="68223CEF"/>
    <w:rsid w:val="6843121A"/>
    <w:rsid w:val="68500B06"/>
    <w:rsid w:val="687C2679"/>
    <w:rsid w:val="68A967BB"/>
    <w:rsid w:val="68FB66A9"/>
    <w:rsid w:val="691C4781"/>
    <w:rsid w:val="692C4A1B"/>
    <w:rsid w:val="693F3798"/>
    <w:rsid w:val="69431270"/>
    <w:rsid w:val="69462B1E"/>
    <w:rsid w:val="69605762"/>
    <w:rsid w:val="696E2F06"/>
    <w:rsid w:val="69AE2F27"/>
    <w:rsid w:val="69B226F6"/>
    <w:rsid w:val="69C077EF"/>
    <w:rsid w:val="69DF2DDC"/>
    <w:rsid w:val="69E25443"/>
    <w:rsid w:val="6A1A2066"/>
    <w:rsid w:val="6A5247FE"/>
    <w:rsid w:val="6A563204"/>
    <w:rsid w:val="6A5C2B8F"/>
    <w:rsid w:val="6A7B433D"/>
    <w:rsid w:val="6A7F4F75"/>
    <w:rsid w:val="6AC60F39"/>
    <w:rsid w:val="6AC70286"/>
    <w:rsid w:val="6ACA16F9"/>
    <w:rsid w:val="6AD246EE"/>
    <w:rsid w:val="6AF2491E"/>
    <w:rsid w:val="6AFB3992"/>
    <w:rsid w:val="6AFE4916"/>
    <w:rsid w:val="6B16774A"/>
    <w:rsid w:val="6B1A09C3"/>
    <w:rsid w:val="6B3B4F93"/>
    <w:rsid w:val="6B836969"/>
    <w:rsid w:val="6B896A79"/>
    <w:rsid w:val="6BAD0600"/>
    <w:rsid w:val="6BB037D1"/>
    <w:rsid w:val="6BD3607E"/>
    <w:rsid w:val="6BE11D81"/>
    <w:rsid w:val="6BE1298B"/>
    <w:rsid w:val="6BE77523"/>
    <w:rsid w:val="6BEE7AA2"/>
    <w:rsid w:val="6BF36128"/>
    <w:rsid w:val="6C041C46"/>
    <w:rsid w:val="6C467142"/>
    <w:rsid w:val="6C4706F9"/>
    <w:rsid w:val="6C625828"/>
    <w:rsid w:val="6C6D0666"/>
    <w:rsid w:val="6C6E4FA2"/>
    <w:rsid w:val="6C8A3532"/>
    <w:rsid w:val="6CB03B45"/>
    <w:rsid w:val="6CB30BDF"/>
    <w:rsid w:val="6CBD131F"/>
    <w:rsid w:val="6CCD2AE5"/>
    <w:rsid w:val="6CD634C9"/>
    <w:rsid w:val="6CDE15A9"/>
    <w:rsid w:val="6D1415F2"/>
    <w:rsid w:val="6D196F53"/>
    <w:rsid w:val="6D2E042E"/>
    <w:rsid w:val="6D3135B1"/>
    <w:rsid w:val="6D3276C6"/>
    <w:rsid w:val="6D3C7526"/>
    <w:rsid w:val="6D3F28C7"/>
    <w:rsid w:val="6D4B6683"/>
    <w:rsid w:val="6D5D1B45"/>
    <w:rsid w:val="6D656C3E"/>
    <w:rsid w:val="6D7875A9"/>
    <w:rsid w:val="6D8F71CE"/>
    <w:rsid w:val="6D966B59"/>
    <w:rsid w:val="6DF81C3C"/>
    <w:rsid w:val="6DF841E5"/>
    <w:rsid w:val="6DFBE67E"/>
    <w:rsid w:val="6E054C0E"/>
    <w:rsid w:val="6E1634C8"/>
    <w:rsid w:val="6E465678"/>
    <w:rsid w:val="6E5F1E3E"/>
    <w:rsid w:val="6E796E47"/>
    <w:rsid w:val="6E957F0D"/>
    <w:rsid w:val="6E9A0985"/>
    <w:rsid w:val="6EB63704"/>
    <w:rsid w:val="6ECE2681"/>
    <w:rsid w:val="6ED12033"/>
    <w:rsid w:val="6EF415C9"/>
    <w:rsid w:val="6EF9118A"/>
    <w:rsid w:val="6F435BBB"/>
    <w:rsid w:val="6F601648"/>
    <w:rsid w:val="6F675D4D"/>
    <w:rsid w:val="6F685621"/>
    <w:rsid w:val="6F727364"/>
    <w:rsid w:val="6F7A1C98"/>
    <w:rsid w:val="6F7F6161"/>
    <w:rsid w:val="6F827634"/>
    <w:rsid w:val="6F866004"/>
    <w:rsid w:val="6FD8467C"/>
    <w:rsid w:val="6FF73411"/>
    <w:rsid w:val="6FF74040"/>
    <w:rsid w:val="701E3E11"/>
    <w:rsid w:val="70227EC6"/>
    <w:rsid w:val="70336A57"/>
    <w:rsid w:val="70BE4E07"/>
    <w:rsid w:val="70C45D69"/>
    <w:rsid w:val="70FA453D"/>
    <w:rsid w:val="710245F7"/>
    <w:rsid w:val="71041CF8"/>
    <w:rsid w:val="71145A08"/>
    <w:rsid w:val="711E6125"/>
    <w:rsid w:val="7131308F"/>
    <w:rsid w:val="713A2F0B"/>
    <w:rsid w:val="714B6FA9"/>
    <w:rsid w:val="71504376"/>
    <w:rsid w:val="717C6C3D"/>
    <w:rsid w:val="718E5E33"/>
    <w:rsid w:val="71C07997"/>
    <w:rsid w:val="71D54F80"/>
    <w:rsid w:val="71E12113"/>
    <w:rsid w:val="71E13237"/>
    <w:rsid w:val="71E85D49"/>
    <w:rsid w:val="71ED7A78"/>
    <w:rsid w:val="71F40A0E"/>
    <w:rsid w:val="72040AEF"/>
    <w:rsid w:val="720904C8"/>
    <w:rsid w:val="72334969"/>
    <w:rsid w:val="72340F9C"/>
    <w:rsid w:val="72750781"/>
    <w:rsid w:val="72850984"/>
    <w:rsid w:val="72A5093A"/>
    <w:rsid w:val="72D164E9"/>
    <w:rsid w:val="72D31DF1"/>
    <w:rsid w:val="72D4230E"/>
    <w:rsid w:val="73016C5F"/>
    <w:rsid w:val="730A1149"/>
    <w:rsid w:val="73367052"/>
    <w:rsid w:val="735D0BC8"/>
    <w:rsid w:val="736D2F64"/>
    <w:rsid w:val="736D5A6B"/>
    <w:rsid w:val="737F171E"/>
    <w:rsid w:val="73822063"/>
    <w:rsid w:val="739A7AB0"/>
    <w:rsid w:val="73AB40E6"/>
    <w:rsid w:val="73C12E76"/>
    <w:rsid w:val="73D47729"/>
    <w:rsid w:val="73E54E99"/>
    <w:rsid w:val="73F94044"/>
    <w:rsid w:val="73FF994F"/>
    <w:rsid w:val="74052A06"/>
    <w:rsid w:val="740735EA"/>
    <w:rsid w:val="740D77C6"/>
    <w:rsid w:val="7416299E"/>
    <w:rsid w:val="74277859"/>
    <w:rsid w:val="74352AE2"/>
    <w:rsid w:val="74404796"/>
    <w:rsid w:val="744B3EBD"/>
    <w:rsid w:val="744B7C3A"/>
    <w:rsid w:val="744D04DB"/>
    <w:rsid w:val="745B6E53"/>
    <w:rsid w:val="746E0A40"/>
    <w:rsid w:val="747C35A9"/>
    <w:rsid w:val="748642E1"/>
    <w:rsid w:val="74885F6C"/>
    <w:rsid w:val="74BA6911"/>
    <w:rsid w:val="74BC1E14"/>
    <w:rsid w:val="74F10FE9"/>
    <w:rsid w:val="75051742"/>
    <w:rsid w:val="751C2282"/>
    <w:rsid w:val="75344411"/>
    <w:rsid w:val="753711E2"/>
    <w:rsid w:val="754B0E32"/>
    <w:rsid w:val="754F3987"/>
    <w:rsid w:val="75687D2E"/>
    <w:rsid w:val="75AE6841"/>
    <w:rsid w:val="760E2989"/>
    <w:rsid w:val="761B22D6"/>
    <w:rsid w:val="76286AE8"/>
    <w:rsid w:val="763243C9"/>
    <w:rsid w:val="76676633"/>
    <w:rsid w:val="76764668"/>
    <w:rsid w:val="76CF057A"/>
    <w:rsid w:val="76E3768E"/>
    <w:rsid w:val="76F01AE5"/>
    <w:rsid w:val="770D005F"/>
    <w:rsid w:val="771244E7"/>
    <w:rsid w:val="7719700C"/>
    <w:rsid w:val="771D3258"/>
    <w:rsid w:val="773E082E"/>
    <w:rsid w:val="774152C9"/>
    <w:rsid w:val="774F6F03"/>
    <w:rsid w:val="77594C5B"/>
    <w:rsid w:val="77606737"/>
    <w:rsid w:val="77965E80"/>
    <w:rsid w:val="779C0BC8"/>
    <w:rsid w:val="77CB1F29"/>
    <w:rsid w:val="77FB1A04"/>
    <w:rsid w:val="77FC5C01"/>
    <w:rsid w:val="781626AC"/>
    <w:rsid w:val="782E40D1"/>
    <w:rsid w:val="785F6F48"/>
    <w:rsid w:val="788231B4"/>
    <w:rsid w:val="788643D9"/>
    <w:rsid w:val="789B1682"/>
    <w:rsid w:val="789B436E"/>
    <w:rsid w:val="78A25EF7"/>
    <w:rsid w:val="78C47730"/>
    <w:rsid w:val="78D20C44"/>
    <w:rsid w:val="78D235BF"/>
    <w:rsid w:val="78D62ECE"/>
    <w:rsid w:val="78DD7C7D"/>
    <w:rsid w:val="78F84707"/>
    <w:rsid w:val="78F910A8"/>
    <w:rsid w:val="78FA6B39"/>
    <w:rsid w:val="78FC6E2A"/>
    <w:rsid w:val="79297B73"/>
    <w:rsid w:val="793070F8"/>
    <w:rsid w:val="793309FF"/>
    <w:rsid w:val="79364E8D"/>
    <w:rsid w:val="793A736F"/>
    <w:rsid w:val="794D5F3C"/>
    <w:rsid w:val="79620AE3"/>
    <w:rsid w:val="796B5873"/>
    <w:rsid w:val="797B3134"/>
    <w:rsid w:val="79884369"/>
    <w:rsid w:val="79CD28C7"/>
    <w:rsid w:val="79D54ED7"/>
    <w:rsid w:val="79D825C1"/>
    <w:rsid w:val="79D9563C"/>
    <w:rsid w:val="79DC137B"/>
    <w:rsid w:val="79E85A7B"/>
    <w:rsid w:val="79F0361A"/>
    <w:rsid w:val="7A0216AA"/>
    <w:rsid w:val="7A2860D9"/>
    <w:rsid w:val="7A335389"/>
    <w:rsid w:val="7A4F6FC1"/>
    <w:rsid w:val="7A590988"/>
    <w:rsid w:val="7A681AE2"/>
    <w:rsid w:val="7A787E45"/>
    <w:rsid w:val="7A7C6A82"/>
    <w:rsid w:val="7A890316"/>
    <w:rsid w:val="7A9863B2"/>
    <w:rsid w:val="7AAF1560"/>
    <w:rsid w:val="7B116F75"/>
    <w:rsid w:val="7B1F4AEB"/>
    <w:rsid w:val="7B35043A"/>
    <w:rsid w:val="7B3606D0"/>
    <w:rsid w:val="7B4A3551"/>
    <w:rsid w:val="7B4B4C64"/>
    <w:rsid w:val="7B5D131E"/>
    <w:rsid w:val="7B644801"/>
    <w:rsid w:val="7B7E53AB"/>
    <w:rsid w:val="7B907D47"/>
    <w:rsid w:val="7BA25C24"/>
    <w:rsid w:val="7BCD09AD"/>
    <w:rsid w:val="7BDA5818"/>
    <w:rsid w:val="7BE13DCA"/>
    <w:rsid w:val="7BF23C0D"/>
    <w:rsid w:val="7BF75F6E"/>
    <w:rsid w:val="7C0C3C88"/>
    <w:rsid w:val="7C117D81"/>
    <w:rsid w:val="7C1F175E"/>
    <w:rsid w:val="7C316837"/>
    <w:rsid w:val="7C4E233E"/>
    <w:rsid w:val="7C577978"/>
    <w:rsid w:val="7C595AA4"/>
    <w:rsid w:val="7C686C61"/>
    <w:rsid w:val="7C824B4A"/>
    <w:rsid w:val="7C8D5568"/>
    <w:rsid w:val="7C9351F0"/>
    <w:rsid w:val="7CA75843"/>
    <w:rsid w:val="7CAC6D16"/>
    <w:rsid w:val="7CB334D6"/>
    <w:rsid w:val="7CBE7128"/>
    <w:rsid w:val="7CCE0550"/>
    <w:rsid w:val="7CD36C81"/>
    <w:rsid w:val="7CE03CED"/>
    <w:rsid w:val="7CE7227B"/>
    <w:rsid w:val="7CED65EA"/>
    <w:rsid w:val="7D2154F3"/>
    <w:rsid w:val="7D3A3102"/>
    <w:rsid w:val="7D3C27B9"/>
    <w:rsid w:val="7D402C4C"/>
    <w:rsid w:val="7D435F90"/>
    <w:rsid w:val="7D775BFE"/>
    <w:rsid w:val="7D8E3261"/>
    <w:rsid w:val="7D9464F2"/>
    <w:rsid w:val="7D950234"/>
    <w:rsid w:val="7DB3054C"/>
    <w:rsid w:val="7DB41B16"/>
    <w:rsid w:val="7DB7343D"/>
    <w:rsid w:val="7DD76804"/>
    <w:rsid w:val="7DDF1692"/>
    <w:rsid w:val="7DEB79E2"/>
    <w:rsid w:val="7DF95558"/>
    <w:rsid w:val="7DFC5027"/>
    <w:rsid w:val="7E002D54"/>
    <w:rsid w:val="7E1626BC"/>
    <w:rsid w:val="7E1E0F03"/>
    <w:rsid w:val="7E1F6BF8"/>
    <w:rsid w:val="7E3A462D"/>
    <w:rsid w:val="7E4E1E86"/>
    <w:rsid w:val="7E5A7B0C"/>
    <w:rsid w:val="7E617F52"/>
    <w:rsid w:val="7E90530F"/>
    <w:rsid w:val="7E9B004D"/>
    <w:rsid w:val="7EA0044B"/>
    <w:rsid w:val="7EA666FA"/>
    <w:rsid w:val="7EAC75F6"/>
    <w:rsid w:val="7EAE2686"/>
    <w:rsid w:val="7EBF03D0"/>
    <w:rsid w:val="7EC30613"/>
    <w:rsid w:val="7ECE2EB0"/>
    <w:rsid w:val="7EDD546B"/>
    <w:rsid w:val="7F012A6E"/>
    <w:rsid w:val="7F022716"/>
    <w:rsid w:val="7F0B0A5C"/>
    <w:rsid w:val="7F253F7A"/>
    <w:rsid w:val="7F687E94"/>
    <w:rsid w:val="7F9E6D8D"/>
    <w:rsid w:val="7FA839B0"/>
    <w:rsid w:val="7FCF181A"/>
    <w:rsid w:val="7FF51BC0"/>
    <w:rsid w:val="7FF81D01"/>
    <w:rsid w:val="BDDE8BD7"/>
    <w:rsid w:val="BFFF2FBE"/>
    <w:rsid w:val="DF7B6C70"/>
    <w:rsid w:val="DFFFEE15"/>
    <w:rsid w:val="FD7794D1"/>
    <w:rsid w:val="FDB74826"/>
    <w:rsid w:val="FEFAB58E"/>
    <w:rsid w:val="FFFDA7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
    <w:pPr>
      <w:keepNext/>
      <w:keepLines/>
      <w:spacing w:before="260" w:after="260" w:line="416" w:lineRule="auto"/>
      <w:outlineLvl w:val="2"/>
    </w:pPr>
    <w:rPr>
      <w:rFonts w:ascii="Times New Roman" w:hAnsi="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kern w:val="0"/>
      <w:sz w:val="24"/>
      <w:szCs w:val="20"/>
    </w:rPr>
  </w:style>
  <w:style w:type="paragraph" w:styleId="6">
    <w:name w:val="Normal Indent"/>
    <w:basedOn w:val="1"/>
    <w:next w:val="7"/>
    <w:link w:val="43"/>
    <w:qFormat/>
    <w:uiPriority w:val="0"/>
    <w:pPr>
      <w:ind w:firstLine="420"/>
    </w:pPr>
  </w:style>
  <w:style w:type="paragraph" w:styleId="7">
    <w:name w:val="Body Text Indent"/>
    <w:basedOn w:val="1"/>
    <w:link w:val="44"/>
    <w:qFormat/>
    <w:uiPriority w:val="0"/>
    <w:pPr>
      <w:spacing w:line="200" w:lineRule="atLeast"/>
      <w:ind w:firstLine="301"/>
    </w:pPr>
    <w:rPr>
      <w:rFonts w:ascii="宋体" w:hAnsi="Courier New"/>
      <w:spacing w:val="-4"/>
      <w:sz w:val="18"/>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45"/>
    <w:unhideWhenUsed/>
    <w:qFormat/>
    <w:uiPriority w:val="99"/>
    <w:rPr>
      <w:rFonts w:ascii="宋体"/>
      <w:sz w:val="18"/>
      <w:szCs w:val="18"/>
    </w:rPr>
  </w:style>
  <w:style w:type="paragraph" w:styleId="10">
    <w:name w:val="annotation text"/>
    <w:basedOn w:val="1"/>
    <w:link w:val="46"/>
    <w:unhideWhenUsed/>
    <w:qFormat/>
    <w:uiPriority w:val="99"/>
    <w:pPr>
      <w:jc w:val="left"/>
    </w:pPr>
  </w:style>
  <w:style w:type="paragraph" w:styleId="11">
    <w:name w:val="Body Text"/>
    <w:basedOn w:val="1"/>
    <w:next w:val="1"/>
    <w:link w:val="47"/>
    <w:unhideWhenUsed/>
    <w:qFormat/>
    <w:uiPriority w:val="99"/>
    <w:pPr>
      <w:spacing w:after="120"/>
    </w:pPr>
    <w:rPr>
      <w:rFonts w:ascii="Times New Roman" w:hAnsi="Times New Roman"/>
      <w:sz w:val="28"/>
      <w:szCs w:val="24"/>
    </w:rPr>
  </w:style>
  <w:style w:type="paragraph" w:styleId="12">
    <w:name w:val="List 2"/>
    <w:basedOn w:val="1"/>
    <w:unhideWhenUsed/>
    <w:qFormat/>
    <w:uiPriority w:val="99"/>
    <w:pPr>
      <w:ind w:left="100" w:leftChars="200" w:hanging="200" w:hangingChars="200"/>
      <w:contextualSpacing/>
    </w:pPr>
    <w:rPr>
      <w:rFonts w:ascii="Times New Roman" w:hAnsi="Times New Roman"/>
      <w:sz w:val="28"/>
      <w:szCs w:val="24"/>
    </w:rPr>
  </w:style>
  <w:style w:type="paragraph" w:styleId="13">
    <w:name w:val="Plain Text"/>
    <w:basedOn w:val="1"/>
    <w:next w:val="1"/>
    <w:link w:val="48"/>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49"/>
    <w:qFormat/>
    <w:uiPriority w:val="0"/>
    <w:pPr>
      <w:ind w:left="2500" w:leftChars="2500"/>
    </w:pPr>
    <w:rPr>
      <w:rFonts w:ascii="Times New Roman" w:hAnsi="Times New Roman" w:eastAsia="楷体_GB2312"/>
      <w:sz w:val="32"/>
      <w:szCs w:val="20"/>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50"/>
    <w:qFormat/>
    <w:uiPriority w:val="0"/>
    <w:rPr>
      <w:rFonts w:ascii="Times New Roman" w:hAnsi="Times New Roman"/>
      <w:sz w:val="18"/>
      <w:szCs w:val="18"/>
    </w:rPr>
  </w:style>
  <w:style w:type="paragraph" w:styleId="17">
    <w:name w:val="footer"/>
    <w:basedOn w:val="1"/>
    <w:link w:val="39"/>
    <w:unhideWhenUsed/>
    <w:qFormat/>
    <w:uiPriority w:val="99"/>
    <w:pPr>
      <w:tabs>
        <w:tab w:val="center" w:pos="4153"/>
        <w:tab w:val="right" w:pos="8306"/>
      </w:tabs>
      <w:snapToGrid w:val="0"/>
      <w:jc w:val="left"/>
    </w:pPr>
    <w:rPr>
      <w:sz w:val="18"/>
      <w:szCs w:val="18"/>
    </w:rPr>
  </w:style>
  <w:style w:type="paragraph" w:styleId="18">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44"/>
      </w:tabs>
      <w:spacing w:line="360" w:lineRule="auto"/>
    </w:pPr>
    <w:rPr>
      <w:sz w:val="24"/>
    </w:rPr>
  </w:style>
  <w:style w:type="paragraph" w:styleId="20">
    <w:name w:val="List"/>
    <w:basedOn w:val="1"/>
    <w:qFormat/>
    <w:uiPriority w:val="0"/>
    <w:pPr>
      <w:ind w:left="200" w:hanging="200" w:hangingChars="200"/>
    </w:pPr>
    <w:rPr>
      <w:rFonts w:ascii="Times New Roman" w:hAnsi="Times New Roman"/>
      <w:sz w:val="28"/>
      <w:szCs w:val="24"/>
    </w:rPr>
  </w:style>
  <w:style w:type="paragraph" w:styleId="21">
    <w:name w:val="Body Text 2"/>
    <w:basedOn w:val="1"/>
    <w:link w:val="52"/>
    <w:qFormat/>
    <w:uiPriority w:val="0"/>
    <w:pPr>
      <w:widowControl/>
      <w:snapToGrid w:val="0"/>
      <w:spacing w:before="50" w:after="156" w:afterLines="50" w:line="400" w:lineRule="atLeast"/>
      <w:jc w:val="left"/>
    </w:pPr>
    <w:rPr>
      <w:rFonts w:hint="eastAsia" w:ascii="宋体" w:hAnsi="宋体"/>
      <w:color w:val="000000"/>
      <w:sz w:val="24"/>
      <w:szCs w:val="24"/>
    </w:rPr>
  </w:style>
  <w:style w:type="paragraph" w:styleId="22">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53"/>
    <w:unhideWhenUsed/>
    <w:qFormat/>
    <w:uiPriority w:val="99"/>
    <w:rPr>
      <w:b/>
      <w:bCs/>
      <w:sz w:val="28"/>
      <w:szCs w:val="24"/>
    </w:rPr>
  </w:style>
  <w:style w:type="paragraph" w:styleId="25">
    <w:name w:val="Body Text First Indent"/>
    <w:qFormat/>
    <w:uiPriority w:val="0"/>
    <w:pPr>
      <w:widowControl w:val="0"/>
      <w:spacing w:after="120" w:line="288" w:lineRule="auto"/>
      <w:ind w:firstLine="420" w:firstLineChars="100"/>
      <w:jc w:val="both"/>
    </w:pPr>
    <w:rPr>
      <w:rFonts w:ascii="Times New Roman" w:hAnsi="Times New Roman" w:eastAsia="宋体" w:cs="Times New Roman"/>
      <w:kern w:val="2"/>
      <w:sz w:val="28"/>
      <w:szCs w:val="24"/>
      <w:lang w:val="en-US" w:eastAsia="zh-CN" w:bidi="ar-SA"/>
    </w:rPr>
  </w:style>
  <w:style w:type="paragraph" w:styleId="26">
    <w:name w:val="Body Text First Indent 2"/>
    <w:basedOn w:val="7"/>
    <w:next w:val="1"/>
    <w:link w:val="54"/>
    <w:unhideWhenUsed/>
    <w:qFormat/>
    <w:uiPriority w:val="99"/>
    <w:pPr>
      <w:ind w:firstLine="420"/>
    </w:p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FollowedHyperlink"/>
    <w:unhideWhenUsed/>
    <w:qFormat/>
    <w:uiPriority w:val="99"/>
    <w:rPr>
      <w:color w:val="5579A7"/>
      <w:u w:val="none"/>
    </w:rPr>
  </w:style>
  <w:style w:type="character" w:styleId="33">
    <w:name w:val="HTML Definition"/>
    <w:unhideWhenUsed/>
    <w:qFormat/>
    <w:uiPriority w:val="99"/>
    <w:rPr>
      <w:i/>
    </w:rPr>
  </w:style>
  <w:style w:type="character" w:styleId="34">
    <w:name w:val="Hyperlink"/>
    <w:qFormat/>
    <w:uiPriority w:val="0"/>
    <w:rPr>
      <w:color w:val="5579A7"/>
      <w:u w:val="none"/>
    </w:rPr>
  </w:style>
  <w:style w:type="character" w:styleId="35">
    <w:name w:val="HTML Code"/>
    <w:unhideWhenUsed/>
    <w:qFormat/>
    <w:uiPriority w:val="99"/>
    <w:rPr>
      <w:rFonts w:ascii="-apple-system" w:hAnsi="-apple-system" w:eastAsia="-apple-system" w:cs="-apple-system"/>
      <w:sz w:val="21"/>
      <w:szCs w:val="21"/>
    </w:rPr>
  </w:style>
  <w:style w:type="character" w:styleId="36">
    <w:name w:val="annotation reference"/>
    <w:unhideWhenUsed/>
    <w:qFormat/>
    <w:uiPriority w:val="99"/>
    <w:rPr>
      <w:sz w:val="21"/>
      <w:szCs w:val="21"/>
    </w:rPr>
  </w:style>
  <w:style w:type="character" w:styleId="37">
    <w:name w:val="HTML Keyboard"/>
    <w:unhideWhenUsed/>
    <w:qFormat/>
    <w:uiPriority w:val="99"/>
    <w:rPr>
      <w:rFonts w:hint="default" w:ascii="-apple-system" w:hAnsi="-apple-system" w:eastAsia="-apple-system" w:cs="-apple-system"/>
      <w:sz w:val="21"/>
      <w:szCs w:val="21"/>
    </w:rPr>
  </w:style>
  <w:style w:type="character" w:styleId="38">
    <w:name w:val="HTML Sample"/>
    <w:unhideWhenUsed/>
    <w:qFormat/>
    <w:uiPriority w:val="99"/>
    <w:rPr>
      <w:rFonts w:hint="default" w:ascii="-apple-system" w:hAnsi="-apple-system" w:eastAsia="-apple-system" w:cs="-apple-system"/>
      <w:sz w:val="21"/>
      <w:szCs w:val="21"/>
    </w:rPr>
  </w:style>
  <w:style w:type="character" w:customStyle="1" w:styleId="39">
    <w:name w:val="页脚 字符"/>
    <w:link w:val="17"/>
    <w:qFormat/>
    <w:uiPriority w:val="99"/>
    <w:rPr>
      <w:sz w:val="18"/>
      <w:szCs w:val="18"/>
    </w:rPr>
  </w:style>
  <w:style w:type="character" w:customStyle="1" w:styleId="40">
    <w:name w:val="标题 1 字符"/>
    <w:link w:val="2"/>
    <w:qFormat/>
    <w:uiPriority w:val="9"/>
    <w:rPr>
      <w:rFonts w:ascii="Times New Roman" w:hAnsi="Times New Roman" w:eastAsia="宋体" w:cs="Times New Roman"/>
      <w:b/>
      <w:bCs/>
      <w:kern w:val="44"/>
      <w:sz w:val="44"/>
      <w:szCs w:val="44"/>
    </w:rPr>
  </w:style>
  <w:style w:type="character" w:customStyle="1" w:styleId="41">
    <w:name w:val="标题 2 字符"/>
    <w:link w:val="3"/>
    <w:qFormat/>
    <w:uiPriority w:val="9"/>
    <w:rPr>
      <w:rFonts w:ascii="Cambria" w:hAnsi="Cambria" w:eastAsia="宋体" w:cs="Times New Roman"/>
      <w:b/>
      <w:bCs/>
      <w:sz w:val="32"/>
      <w:szCs w:val="32"/>
    </w:rPr>
  </w:style>
  <w:style w:type="character" w:customStyle="1" w:styleId="42">
    <w:name w:val="标题 3 字符"/>
    <w:link w:val="4"/>
    <w:qFormat/>
    <w:uiPriority w:val="9"/>
    <w:rPr>
      <w:rFonts w:ascii="Times New Roman" w:hAnsi="Times New Roman" w:eastAsia="宋体" w:cs="Times New Roman"/>
      <w:b/>
      <w:bCs/>
      <w:sz w:val="32"/>
      <w:szCs w:val="32"/>
    </w:rPr>
  </w:style>
  <w:style w:type="character" w:customStyle="1" w:styleId="43">
    <w:name w:val="正文缩进 字符"/>
    <w:link w:val="6"/>
    <w:qFormat/>
    <w:uiPriority w:val="0"/>
    <w:rPr>
      <w:rFonts w:eastAsia="宋体"/>
    </w:rPr>
  </w:style>
  <w:style w:type="character" w:customStyle="1" w:styleId="44">
    <w:name w:val="正文文本缩进 字符2"/>
    <w:link w:val="7"/>
    <w:qFormat/>
    <w:uiPriority w:val="0"/>
    <w:rPr>
      <w:rFonts w:ascii="宋体" w:hAnsi="Courier New"/>
      <w:spacing w:val="-4"/>
      <w:sz w:val="18"/>
    </w:rPr>
  </w:style>
  <w:style w:type="character" w:customStyle="1" w:styleId="45">
    <w:name w:val="文档结构图 字符"/>
    <w:link w:val="9"/>
    <w:qFormat/>
    <w:uiPriority w:val="99"/>
    <w:rPr>
      <w:rFonts w:ascii="宋体"/>
      <w:sz w:val="18"/>
      <w:szCs w:val="18"/>
    </w:rPr>
  </w:style>
  <w:style w:type="character" w:customStyle="1" w:styleId="46">
    <w:name w:val="批注文字 字符1"/>
    <w:link w:val="10"/>
    <w:semiHidden/>
    <w:qFormat/>
    <w:uiPriority w:val="99"/>
  </w:style>
  <w:style w:type="character" w:customStyle="1" w:styleId="47">
    <w:name w:val="正文文本 字符"/>
    <w:link w:val="11"/>
    <w:qFormat/>
    <w:uiPriority w:val="99"/>
    <w:rPr>
      <w:rFonts w:ascii="Times New Roman" w:hAnsi="Times New Roman" w:eastAsia="宋体" w:cs="Times New Roman"/>
      <w:sz w:val="28"/>
      <w:szCs w:val="24"/>
    </w:rPr>
  </w:style>
  <w:style w:type="character" w:customStyle="1" w:styleId="48">
    <w:name w:val="纯文本 字符1"/>
    <w:link w:val="13"/>
    <w:qFormat/>
    <w:uiPriority w:val="99"/>
    <w:rPr>
      <w:rFonts w:ascii="宋体" w:hAnsi="Courier New"/>
      <w:sz w:val="24"/>
      <w:szCs w:val="24"/>
    </w:rPr>
  </w:style>
  <w:style w:type="character" w:customStyle="1" w:styleId="49">
    <w:name w:val="日期 字符"/>
    <w:link w:val="14"/>
    <w:qFormat/>
    <w:uiPriority w:val="0"/>
    <w:rPr>
      <w:rFonts w:ascii="Times New Roman" w:hAnsi="Times New Roman" w:eastAsia="楷体_GB2312" w:cs="Times New Roman"/>
      <w:sz w:val="32"/>
      <w:szCs w:val="20"/>
    </w:rPr>
  </w:style>
  <w:style w:type="character" w:customStyle="1" w:styleId="50">
    <w:name w:val="批注框文本 字符"/>
    <w:link w:val="16"/>
    <w:qFormat/>
    <w:uiPriority w:val="0"/>
    <w:rPr>
      <w:rFonts w:ascii="Times New Roman" w:hAnsi="Times New Roman" w:eastAsia="宋体" w:cs="Times New Roman"/>
      <w:sz w:val="18"/>
      <w:szCs w:val="18"/>
    </w:rPr>
  </w:style>
  <w:style w:type="character" w:customStyle="1" w:styleId="51">
    <w:name w:val="页眉 字符"/>
    <w:link w:val="18"/>
    <w:qFormat/>
    <w:uiPriority w:val="99"/>
    <w:rPr>
      <w:sz w:val="18"/>
      <w:szCs w:val="18"/>
    </w:rPr>
  </w:style>
  <w:style w:type="character" w:customStyle="1" w:styleId="52">
    <w:name w:val="正文文本 2 字符"/>
    <w:link w:val="21"/>
    <w:qFormat/>
    <w:uiPriority w:val="0"/>
    <w:rPr>
      <w:rFonts w:ascii="宋体" w:hAnsi="宋体" w:eastAsia="宋体" w:cs="Times New Roman"/>
      <w:color w:val="000000"/>
      <w:sz w:val="24"/>
      <w:szCs w:val="24"/>
    </w:rPr>
  </w:style>
  <w:style w:type="character" w:customStyle="1" w:styleId="53">
    <w:name w:val="批注主题 字符"/>
    <w:link w:val="24"/>
    <w:qFormat/>
    <w:uiPriority w:val="99"/>
    <w:rPr>
      <w:b/>
      <w:bCs/>
      <w:sz w:val="28"/>
      <w:szCs w:val="24"/>
    </w:rPr>
  </w:style>
  <w:style w:type="character" w:customStyle="1" w:styleId="54">
    <w:name w:val="正文文本首行缩进 2 字符"/>
    <w:link w:val="26"/>
    <w:qFormat/>
    <w:uiPriority w:val="99"/>
    <w:rPr>
      <w:rFonts w:ascii="宋体" w:hAnsi="Courier New"/>
      <w:spacing w:val="-4"/>
      <w:sz w:val="18"/>
    </w:rPr>
  </w:style>
  <w:style w:type="character" w:customStyle="1" w:styleId="55">
    <w:name w:val="正文文本缩进 字符3"/>
    <w:semiHidden/>
    <w:qFormat/>
    <w:uiPriority w:val="99"/>
  </w:style>
  <w:style w:type="character" w:customStyle="1" w:styleId="56">
    <w:name w:val="jbox-icon-none"/>
    <w:qFormat/>
    <w:uiPriority w:val="0"/>
    <w:rPr>
      <w:vanish/>
    </w:rPr>
  </w:style>
  <w:style w:type="character" w:customStyle="1" w:styleId="57">
    <w:name w:val="z-窗体底端 字符"/>
    <w:link w:val="58"/>
    <w:qFormat/>
    <w:uiPriority w:val="99"/>
    <w:rPr>
      <w:rFonts w:ascii="Arial" w:hAnsi="Arial"/>
      <w:vanish/>
      <w:sz w:val="16"/>
      <w:szCs w:val="16"/>
    </w:rPr>
  </w:style>
  <w:style w:type="paragraph" w:customStyle="1" w:styleId="58">
    <w:name w:val="z-窗体底端1"/>
    <w:basedOn w:val="1"/>
    <w:next w:val="1"/>
    <w:link w:val="57"/>
    <w:unhideWhenUsed/>
    <w:qFormat/>
    <w:uiPriority w:val="99"/>
    <w:pPr>
      <w:widowControl/>
      <w:pBdr>
        <w:top w:val="single" w:color="auto" w:sz="6" w:space="1"/>
      </w:pBdr>
      <w:jc w:val="center"/>
    </w:pPr>
    <w:rPr>
      <w:rFonts w:ascii="Arial" w:hAnsi="Arial"/>
      <w:vanish/>
      <w:sz w:val="16"/>
      <w:szCs w:val="16"/>
    </w:rPr>
  </w:style>
  <w:style w:type="character" w:customStyle="1" w:styleId="59">
    <w:name w:val="black601"/>
    <w:qFormat/>
    <w:uiPriority w:val="0"/>
    <w:rPr>
      <w:color w:val="666666"/>
    </w:rPr>
  </w:style>
  <w:style w:type="character" w:customStyle="1" w:styleId="60">
    <w:name w:val="hour_pm"/>
    <w:qFormat/>
    <w:uiPriority w:val="0"/>
  </w:style>
  <w:style w:type="character" w:customStyle="1" w:styleId="61">
    <w:name w:val="标题 1 Char Char"/>
    <w:qFormat/>
    <w:uiPriority w:val="0"/>
    <w:rPr>
      <w:rFonts w:eastAsia="宋体"/>
      <w:b/>
      <w:spacing w:val="-2"/>
      <w:sz w:val="24"/>
      <w:lang w:val="en-US" w:eastAsia="zh-CN" w:bidi="ar-SA"/>
    </w:rPr>
  </w:style>
  <w:style w:type="character" w:customStyle="1" w:styleId="62">
    <w:name w:val="jbox-icon-info"/>
    <w:qFormat/>
    <w:uiPriority w:val="0"/>
  </w:style>
  <w:style w:type="character" w:customStyle="1" w:styleId="63">
    <w:name w:val="hover9"/>
    <w:qFormat/>
    <w:uiPriority w:val="0"/>
    <w:rPr>
      <w:shd w:val="clear" w:color="auto" w:fill="EEEEEE"/>
    </w:rPr>
  </w:style>
  <w:style w:type="character" w:customStyle="1" w:styleId="64">
    <w:name w:val="maywed421"/>
    <w:qFormat/>
    <w:uiPriority w:val="0"/>
    <w:rPr>
      <w:color w:val="366FB6"/>
      <w:u w:val="none"/>
    </w:rPr>
  </w:style>
  <w:style w:type="character" w:customStyle="1" w:styleId="65">
    <w:name w:val="old"/>
    <w:qFormat/>
    <w:uiPriority w:val="0"/>
    <w:rPr>
      <w:color w:val="999999"/>
    </w:rPr>
  </w:style>
  <w:style w:type="character" w:customStyle="1" w:styleId="66">
    <w:name w:val="jbox-icon-warning"/>
    <w:qFormat/>
    <w:uiPriority w:val="0"/>
  </w:style>
  <w:style w:type="character" w:customStyle="1" w:styleId="67">
    <w:name w:val="z-窗体顶端 字符"/>
    <w:link w:val="68"/>
    <w:qFormat/>
    <w:uiPriority w:val="99"/>
    <w:rPr>
      <w:rFonts w:ascii="Arial" w:hAnsi="Arial"/>
      <w:vanish/>
      <w:sz w:val="16"/>
      <w:szCs w:val="16"/>
    </w:rPr>
  </w:style>
  <w:style w:type="paragraph" w:customStyle="1" w:styleId="68">
    <w:name w:val="z-窗体顶端1"/>
    <w:basedOn w:val="1"/>
    <w:next w:val="1"/>
    <w:link w:val="67"/>
    <w:unhideWhenUsed/>
    <w:qFormat/>
    <w:uiPriority w:val="99"/>
    <w:pPr>
      <w:widowControl/>
      <w:pBdr>
        <w:bottom w:val="single" w:color="auto" w:sz="6" w:space="1"/>
      </w:pBdr>
      <w:jc w:val="center"/>
    </w:pPr>
    <w:rPr>
      <w:rFonts w:ascii="Arial" w:hAnsi="Arial"/>
      <w:vanish/>
      <w:sz w:val="16"/>
      <w:szCs w:val="16"/>
    </w:rPr>
  </w:style>
  <w:style w:type="character" w:customStyle="1" w:styleId="69">
    <w:name w:val="jbox-icon-loading"/>
    <w:qFormat/>
    <w:uiPriority w:val="0"/>
  </w:style>
  <w:style w:type="character" w:customStyle="1" w:styleId="70">
    <w:name w:val="正文文本缩进 字符"/>
    <w:qFormat/>
    <w:uiPriority w:val="0"/>
    <w:rPr>
      <w:rFonts w:ascii="宋体" w:hAnsi="Courier New"/>
      <w:spacing w:val="-4"/>
      <w:kern w:val="2"/>
      <w:sz w:val="18"/>
    </w:rPr>
  </w:style>
  <w:style w:type="character" w:customStyle="1" w:styleId="71">
    <w:name w:val="正文文本缩进 字符1"/>
    <w:qFormat/>
    <w:uiPriority w:val="0"/>
    <w:rPr>
      <w:rFonts w:ascii="宋体" w:hAnsi="Courier New"/>
      <w:spacing w:val="-4"/>
      <w:kern w:val="2"/>
      <w:sz w:val="18"/>
    </w:rPr>
  </w:style>
  <w:style w:type="character" w:customStyle="1" w:styleId="72">
    <w:name w:val="纯文本 字符"/>
    <w:qFormat/>
    <w:uiPriority w:val="99"/>
    <w:rPr>
      <w:rFonts w:ascii="宋体" w:hAnsi="Courier New"/>
      <w:kern w:val="2"/>
      <w:sz w:val="24"/>
      <w:szCs w:val="24"/>
    </w:rPr>
  </w:style>
  <w:style w:type="character" w:customStyle="1" w:styleId="73">
    <w:name w:val="jbox-icon-question"/>
    <w:qFormat/>
    <w:uiPriority w:val="0"/>
  </w:style>
  <w:style w:type="character" w:customStyle="1" w:styleId="74">
    <w:name w:val="jbox-icon"/>
    <w:qFormat/>
    <w:uiPriority w:val="0"/>
  </w:style>
  <w:style w:type="character" w:customStyle="1" w:styleId="75">
    <w:name w:val="纯文本 字符2"/>
    <w:qFormat/>
    <w:uiPriority w:val="99"/>
    <w:rPr>
      <w:rFonts w:ascii="宋体" w:hAnsi="Courier New"/>
      <w:kern w:val="2"/>
      <w:sz w:val="24"/>
      <w:szCs w:val="24"/>
    </w:rPr>
  </w:style>
  <w:style w:type="character" w:customStyle="1" w:styleId="76">
    <w:name w:val="hour_am"/>
    <w:qFormat/>
    <w:uiPriority w:val="0"/>
  </w:style>
  <w:style w:type="character" w:customStyle="1" w:styleId="77">
    <w:name w:val="jbox-icon-success"/>
    <w:qFormat/>
    <w:uiPriority w:val="0"/>
  </w:style>
  <w:style w:type="character" w:customStyle="1" w:styleId="78">
    <w:name w:val="批注文字 字符"/>
    <w:qFormat/>
    <w:uiPriority w:val="99"/>
    <w:rPr>
      <w:kern w:val="2"/>
      <w:sz w:val="28"/>
      <w:szCs w:val="24"/>
    </w:rPr>
  </w:style>
  <w:style w:type="character" w:customStyle="1" w:styleId="79">
    <w:name w:val="纯文本 Char1"/>
    <w:qFormat/>
    <w:uiPriority w:val="0"/>
    <w:rPr>
      <w:rFonts w:ascii="宋体" w:hAnsi="Courier New"/>
      <w:kern w:val="2"/>
      <w:sz w:val="21"/>
    </w:rPr>
  </w:style>
  <w:style w:type="character" w:customStyle="1" w:styleId="80">
    <w:name w:val="纯文本 Char"/>
    <w:qFormat/>
    <w:uiPriority w:val="99"/>
    <w:rPr>
      <w:rFonts w:ascii="宋体" w:hAnsi="Courier New"/>
      <w:kern w:val="2"/>
      <w:sz w:val="24"/>
      <w:szCs w:val="24"/>
    </w:rPr>
  </w:style>
  <w:style w:type="character" w:customStyle="1" w:styleId="81">
    <w:name w:val="sub_title s0"/>
    <w:qFormat/>
    <w:uiPriority w:val="0"/>
  </w:style>
  <w:style w:type="character" w:customStyle="1" w:styleId="82">
    <w:name w:val="jbox-icon-error"/>
    <w:qFormat/>
    <w:uiPriority w:val="0"/>
  </w:style>
  <w:style w:type="paragraph" w:customStyle="1" w:styleId="83">
    <w:name w:val="默认段落字体 Para Char Char Char Char Char Char Char Char Char1 Char Char Char Char"/>
    <w:basedOn w:val="1"/>
    <w:qFormat/>
    <w:uiPriority w:val="0"/>
    <w:rPr>
      <w:rFonts w:ascii="Tahoma" w:hAnsi="Tahoma"/>
      <w:sz w:val="24"/>
      <w:szCs w:val="20"/>
    </w:rPr>
  </w:style>
  <w:style w:type="paragraph" w:customStyle="1" w:styleId="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85">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7">
    <w:name w:val="z-窗体顶端 字符1"/>
    <w:semiHidden/>
    <w:qFormat/>
    <w:uiPriority w:val="99"/>
    <w:rPr>
      <w:rFonts w:ascii="Arial" w:hAnsi="Arial" w:cs="Arial"/>
      <w:vanish/>
      <w:sz w:val="16"/>
      <w:szCs w:val="16"/>
    </w:rPr>
  </w:style>
  <w:style w:type="paragraph" w:customStyle="1" w:styleId="88">
    <w:name w:val="正文段"/>
    <w:basedOn w:val="1"/>
    <w:qFormat/>
    <w:uiPriority w:val="0"/>
    <w:pPr>
      <w:widowControl/>
      <w:snapToGrid w:val="0"/>
      <w:spacing w:after="156" w:afterLines="50"/>
      <w:ind w:firstLine="200" w:firstLineChars="200"/>
    </w:pPr>
    <w:rPr>
      <w:rFonts w:ascii="Times New Roman" w:hAnsi="Times New Roman"/>
      <w:kern w:val="0"/>
      <w:sz w:val="24"/>
      <w:szCs w:val="20"/>
    </w:rPr>
  </w:style>
  <w:style w:type="paragraph" w:customStyle="1" w:styleId="8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90">
    <w:name w:val="批注主题 字符1"/>
    <w:semiHidden/>
    <w:qFormat/>
    <w:uiPriority w:val="99"/>
    <w:rPr>
      <w:b/>
      <w:bCs/>
    </w:rPr>
  </w:style>
  <w:style w:type="character" w:customStyle="1" w:styleId="91">
    <w:name w:val="文档结构图 字符1"/>
    <w:semiHidden/>
    <w:qFormat/>
    <w:uiPriority w:val="99"/>
    <w:rPr>
      <w:rFonts w:ascii="Microsoft YaHei UI" w:eastAsia="Microsoft YaHei UI"/>
      <w:sz w:val="18"/>
      <w:szCs w:val="18"/>
    </w:rPr>
  </w:style>
  <w:style w:type="character" w:customStyle="1" w:styleId="92">
    <w:name w:val="纯文本 字符3"/>
    <w:semiHidden/>
    <w:qFormat/>
    <w:uiPriority w:val="99"/>
    <w:rPr>
      <w:rFonts w:ascii="等线" w:hAnsi="Courier New" w:cs="Courier New"/>
    </w:rPr>
  </w:style>
  <w:style w:type="character" w:customStyle="1" w:styleId="93">
    <w:name w:val="z-窗体底端 字符1"/>
    <w:semiHidden/>
    <w:qFormat/>
    <w:uiPriority w:val="99"/>
    <w:rPr>
      <w:rFonts w:ascii="Arial" w:hAnsi="Arial" w:cs="Arial"/>
      <w:vanish/>
      <w:sz w:val="16"/>
      <w:szCs w:val="16"/>
    </w:rPr>
  </w:style>
  <w:style w:type="paragraph" w:customStyle="1" w:styleId="94">
    <w:name w:val="此正文"/>
    <w:basedOn w:val="1"/>
    <w:qFormat/>
    <w:uiPriority w:val="0"/>
    <w:pPr>
      <w:spacing w:line="360" w:lineRule="auto"/>
      <w:ind w:firstLine="200" w:firstLineChars="200"/>
    </w:pPr>
    <w:rPr>
      <w:rFonts w:ascii="Times New Roman" w:hAnsi="Times New Roman"/>
      <w:sz w:val="24"/>
      <w:szCs w:val="24"/>
    </w:rPr>
  </w:style>
  <w:style w:type="paragraph" w:customStyle="1" w:styleId="95">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8"/>
      <w:szCs w:val="28"/>
      <w:lang w:val="en-US" w:eastAsia="zh-CN" w:bidi="ar-SA"/>
    </w:rPr>
  </w:style>
  <w:style w:type="paragraph" w:customStyle="1" w:styleId="9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8">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9">
    <w:name w:val="Char Char Char Char1"/>
    <w:basedOn w:val="1"/>
    <w:qFormat/>
    <w:uiPriority w:val="0"/>
    <w:rPr>
      <w:rFonts w:ascii="Tahoma" w:hAnsi="Tahoma"/>
      <w:sz w:val="24"/>
      <w:szCs w:val="20"/>
    </w:rPr>
  </w:style>
  <w:style w:type="paragraph" w:customStyle="1" w:styleId="100">
    <w:name w:val="彩色列表 - 强调文字颜色 11"/>
    <w:basedOn w:val="1"/>
    <w:qFormat/>
    <w:uiPriority w:val="34"/>
    <w:pPr>
      <w:ind w:firstLine="420" w:firstLineChars="200"/>
    </w:pPr>
    <w:rPr>
      <w:rFonts w:ascii="Calibri" w:hAnsi="Calibri"/>
    </w:rPr>
  </w:style>
  <w:style w:type="paragraph" w:customStyle="1" w:styleId="101">
    <w:name w:val="Proposals body"/>
    <w:basedOn w:val="1"/>
    <w:next w:val="1"/>
    <w:qFormat/>
    <w:uiPriority w:val="0"/>
    <w:pPr>
      <w:widowControl/>
      <w:spacing w:line="460" w:lineRule="exact"/>
      <w:jc w:val="left"/>
    </w:pPr>
    <w:rPr>
      <w:rFonts w:ascii="仿宋_GB2312" w:hAnsi="Times New Roman" w:eastAsia="仿宋_GB2312"/>
      <w:snapToGrid w:val="0"/>
      <w:kern w:val="0"/>
      <w:sz w:val="24"/>
      <w:szCs w:val="24"/>
    </w:rPr>
  </w:style>
  <w:style w:type="paragraph" w:customStyle="1" w:styleId="102">
    <w:name w:val="正文2"/>
    <w:basedOn w:val="1"/>
    <w:link w:val="103"/>
    <w:qFormat/>
    <w:uiPriority w:val="0"/>
    <w:pPr>
      <w:spacing w:before="156" w:line="360" w:lineRule="auto"/>
      <w:ind w:firstLine="510" w:firstLineChars="200"/>
    </w:pPr>
    <w:rPr>
      <w:rFonts w:ascii="Times New Roman" w:hAnsi="Times New Roman"/>
      <w:sz w:val="24"/>
      <w:szCs w:val="20"/>
    </w:rPr>
  </w:style>
  <w:style w:type="character" w:customStyle="1" w:styleId="103">
    <w:name w:val="正文2 Char Char"/>
    <w:link w:val="102"/>
    <w:qFormat/>
    <w:uiPriority w:val="0"/>
    <w:rPr>
      <w:kern w:val="2"/>
      <w:sz w:val="24"/>
    </w:rPr>
  </w:style>
  <w:style w:type="paragraph" w:customStyle="1" w:styleId="10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5">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6">
    <w:name w:val="List Paragraph"/>
    <w:basedOn w:val="1"/>
    <w:qFormat/>
    <w:uiPriority w:val="34"/>
    <w:pPr>
      <w:ind w:left="720"/>
      <w:contextualSpacing/>
    </w:pPr>
    <w:rPr>
      <w:rFonts w:ascii="Times New Roman" w:hAnsi="Times New Roman"/>
      <w:sz w:val="28"/>
      <w:szCs w:val="20"/>
    </w:rPr>
  </w:style>
  <w:style w:type="paragraph" w:customStyle="1" w:styleId="107">
    <w:name w:val="List Paragraph1"/>
    <w:basedOn w:val="1"/>
    <w:qFormat/>
    <w:uiPriority w:val="0"/>
    <w:pPr>
      <w:ind w:firstLine="420" w:firstLineChars="200"/>
    </w:pPr>
    <w:rPr>
      <w:rFonts w:ascii="Times New Roman" w:hAnsi="Times New Roman"/>
      <w:szCs w:val="24"/>
    </w:rPr>
  </w:style>
  <w:style w:type="paragraph" w:customStyle="1" w:styleId="108">
    <w:name w:val="标题 10"/>
    <w:basedOn w:val="3"/>
    <w:qFormat/>
    <w:uiPriority w:val="0"/>
    <w:pPr>
      <w:jc w:val="center"/>
    </w:pPr>
    <w:rPr>
      <w:kern w:val="0"/>
    </w:rPr>
  </w:style>
  <w:style w:type="character" w:customStyle="1" w:styleId="109">
    <w:name w:val="未处理的提及1"/>
    <w:unhideWhenUsed/>
    <w:qFormat/>
    <w:uiPriority w:val="99"/>
    <w:rPr>
      <w:color w:val="605E5C"/>
      <w:shd w:val="clear" w:color="auto" w:fill="E1DFDD"/>
    </w:rPr>
  </w:style>
  <w:style w:type="character" w:customStyle="1" w:styleId="110">
    <w:name w:val="未处理的提及2"/>
    <w:unhideWhenUsed/>
    <w:qFormat/>
    <w:uiPriority w:val="99"/>
    <w:rPr>
      <w:color w:val="605E5C"/>
      <w:shd w:val="clear" w:color="auto" w:fill="E1DFDD"/>
    </w:rPr>
  </w:style>
  <w:style w:type="character" w:customStyle="1" w:styleId="111">
    <w:name w:val="未处理的提及3"/>
    <w:unhideWhenUsed/>
    <w:qFormat/>
    <w:uiPriority w:val="99"/>
    <w:rPr>
      <w:color w:val="605E5C"/>
      <w:shd w:val="clear" w:color="auto" w:fill="E1DFDD"/>
    </w:rPr>
  </w:style>
  <w:style w:type="table" w:customStyle="1" w:styleId="112">
    <w:name w:val="网格型1"/>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首行缩进"/>
    <w:basedOn w:val="1"/>
    <w:qFormat/>
    <w:uiPriority w:val="0"/>
    <w:pPr>
      <w:spacing w:line="360" w:lineRule="auto"/>
      <w:ind w:firstLine="480" w:firstLineChars="200"/>
    </w:pPr>
    <w:rPr>
      <w:sz w:val="24"/>
      <w:lang w:val="zh-CN"/>
    </w:rPr>
  </w:style>
  <w:style w:type="paragraph" w:customStyle="1" w:styleId="1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5">
    <w:name w:val="列出段落1"/>
    <w:basedOn w:val="1"/>
    <w:qFormat/>
    <w:uiPriority w:val="34"/>
    <w:pPr>
      <w:ind w:firstLine="420" w:firstLineChars="200"/>
    </w:pPr>
  </w:style>
  <w:style w:type="paragraph" w:customStyle="1" w:styleId="116">
    <w:name w:val="正文（首行缩进2字符）"/>
    <w:basedOn w:val="1"/>
    <w:qFormat/>
    <w:uiPriority w:val="0"/>
    <w:pPr>
      <w:spacing w:line="360" w:lineRule="auto"/>
      <w:ind w:firstLine="420" w:firstLineChars="200"/>
    </w:pPr>
    <w:rPr>
      <w:szCs w:val="21"/>
    </w:rPr>
  </w:style>
  <w:style w:type="paragraph" w:customStyle="1" w:styleId="117">
    <w:name w:val="江正"/>
    <w:basedOn w:val="1"/>
    <w:qFormat/>
    <w:uiPriority w:val="0"/>
    <w:pPr>
      <w:adjustRightInd w:val="0"/>
      <w:snapToGrid w:val="0"/>
      <w:spacing w:afterLines="50" w:line="300" w:lineRule="auto"/>
      <w:ind w:firstLine="480"/>
    </w:pPr>
    <w:rPr>
      <w:rFonts w:ascii="宋体" w:hAnsi="宋体"/>
      <w:color w:val="0D0D0D"/>
      <w:szCs w:val="24"/>
    </w:rPr>
  </w:style>
  <w:style w:type="paragraph" w:customStyle="1" w:styleId="118">
    <w:name w:val="正文缩进11"/>
    <w:basedOn w:val="1"/>
    <w:qFormat/>
    <w:uiPriority w:val="0"/>
    <w:pPr>
      <w:ind w:firstLine="420"/>
    </w:pPr>
    <w:rPr>
      <w:szCs w:val="20"/>
    </w:rPr>
  </w:style>
  <w:style w:type="paragraph" w:customStyle="1" w:styleId="119">
    <w:name w:val="纯文本1"/>
    <w:basedOn w:val="1"/>
    <w:next w:val="1"/>
    <w:qFormat/>
    <w:uiPriority w:val="0"/>
    <w:rPr>
      <w:rFonts w:ascii="宋体" w:hAnsi="宋体" w:cs="Courier New"/>
      <w:szCs w:val="20"/>
    </w:rPr>
  </w:style>
  <w:style w:type="paragraph" w:customStyle="1" w:styleId="120">
    <w:name w:val="_Style 119"/>
    <w:unhideWhenUsed/>
    <w:qFormat/>
    <w:uiPriority w:val="99"/>
    <w:rPr>
      <w:rFonts w:ascii="等线" w:hAnsi="等线" w:eastAsia="宋体" w:cs="Times New Roman"/>
      <w:kern w:val="2"/>
      <w:sz w:val="21"/>
      <w:szCs w:val="22"/>
      <w:lang w:val="en-US" w:eastAsia="zh-CN" w:bidi="ar-SA"/>
    </w:rPr>
  </w:style>
  <w:style w:type="character" w:customStyle="1" w:styleId="121">
    <w:name w:val="CharAttribute5"/>
    <w:qFormat/>
    <w:uiPriority w:val="0"/>
    <w:rPr>
      <w:rFonts w:ascii="宋体" w:eastAsia="宋体"/>
      <w:sz w:val="28"/>
    </w:rPr>
  </w:style>
  <w:style w:type="paragraph" w:customStyle="1" w:styleId="122">
    <w:name w:val="正文正"/>
    <w:basedOn w:val="1"/>
    <w:qFormat/>
    <w:uiPriority w:val="0"/>
    <w:pPr>
      <w:spacing w:line="560" w:lineRule="exact"/>
      <w:ind w:firstLine="561"/>
    </w:pPr>
    <w:rPr>
      <w:rFonts w:ascii="Calibri" w:hAnsi="Calibri"/>
      <w:szCs w:val="28"/>
    </w:rPr>
  </w:style>
  <w:style w:type="character" w:customStyle="1" w:styleId="123">
    <w:name w:val="font31"/>
    <w:basedOn w:val="29"/>
    <w:qFormat/>
    <w:uiPriority w:val="0"/>
    <w:rPr>
      <w:rFonts w:hint="eastAsia" w:ascii="宋体" w:hAnsi="宋体" w:eastAsia="宋体" w:cs="宋体"/>
      <w:color w:val="000000"/>
      <w:sz w:val="16"/>
      <w:szCs w:val="16"/>
      <w:u w:val="none"/>
    </w:rPr>
  </w:style>
  <w:style w:type="paragraph" w:customStyle="1" w:styleId="124">
    <w:name w:val="Revision"/>
    <w:hidden/>
    <w:unhideWhenUsed/>
    <w:qFormat/>
    <w:uiPriority w:val="99"/>
    <w:rPr>
      <w:rFonts w:ascii="等线" w:hAnsi="等线"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d788cbcf-a93e-408c-8124-173e4cf2b3ee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75305A7C</paraID>
      <start>6</start>
      <end>15</end>
      <status>modified</status>
      <modifiedWord>2023年1月1日</modifiedWord>
      <trackRevisions>false</trackRevisions>
    </reviewItem>
    <reviewItem>
      <errorID>5a6baca7-7a32-4d5b-b848-9d1cd16db055</errorID>
      <errorWord>（</errorWord>
      <group>L1_Punc</group>
      <groupName>标点问题</groupName>
      <ability>L2_Punc</ability>
      <abilityName>标点符号检查</abilityName>
      <candidateList/>
      <explain>同一形式括号套用。</explain>
      <paraID>4AEADD20</paraID>
      <start>349</start>
      <end>350</end>
      <status>unmodified</status>
      <modifiedWord/>
      <trackRevisions>false</trackRevisions>
    </reviewItem>
    <reviewItem>
      <errorID>402ab0f2-9b16-4451-9b79-6f12e355c2e9</errorID>
      <errorWord>）</errorWord>
      <group>L1_Punc</group>
      <groupName>标点问题</groupName>
      <ability>L2_Punc</ability>
      <abilityName>标点符号检查</abilityName>
      <candidateList/>
      <explain>同一形式括号套用。</explain>
      <paraID>4AEADD20</paraID>
      <start>354</start>
      <end>355</end>
      <status>unmodified</status>
      <modifiedWord/>
      <trackRevisions>false</trackRevisions>
    </reviewItem>
    <reviewItem>
      <errorID>4793375c-d972-4aaa-9c5e-9d586023eeb5</errorID>
      <errorWord>：/</errorWord>
      <group>L1_Punc</group>
      <groupName>标点问题</groupName>
      <ability>L2_Punc</ability>
      <abilityName>标点符号检查</abilityName>
      <candidateList>
        <item>：</item>
      </candidateList>
      <explain/>
      <paraID>19670C04</paraID>
      <start>2</start>
      <end>4</end>
      <status>unmodified</status>
      <modifiedWord/>
      <trackRevisions>false</trackRevisions>
    </reviewItem>
    <reviewItem>
      <errorID>460fab4b-a1d8-47dd-9819-fdd8e7659cb4</errorID>
      <errorWord>：/</errorWord>
      <group>L1_Punc</group>
      <groupName>标点问题</groupName>
      <ability>L2_Punc</ability>
      <abilityName>标点符号检查</abilityName>
      <candidateList>
        <item>：</item>
      </candidateList>
      <explain/>
      <paraID>62883581</paraID>
      <start>2</start>
      <end>4</end>
      <status>unmodified</status>
      <modifiedWord/>
      <trackRevisions>false</trackRevisions>
    </reviewItem>
    <reviewItem>
      <errorID>ab132abb-eb57-4b15-8613-cf94a02885e2</errorID>
      <errorWord>政府从</errorWord>
      <group>L1_Word</group>
      <groupName>字词问题</groupName>
      <ability>L2_Typo</ability>
      <abilityName>字词错误</abilityName>
      <candidateList>
        <item>政府</item>
      </candidateList>
      <explain/>
      <paraID>16FF854E</paraID>
      <start>98</start>
      <end>101</end>
      <status>unmodified</status>
      <modifiedWord/>
      <trackRevisions>false</trackRevisions>
    </reviewItem>
    <reviewItem>
      <errorID>c758e95c-0d55-4dd6-b17f-a66607da7f05</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6C18EFA3</paraID>
      <start>7</start>
      <end>16</end>
      <status>modified</status>
      <modifiedWord>2023年1月1日</modifiedWord>
      <trackRevisions>false</trackRevisions>
    </reviewItem>
    <reviewItem>
      <errorID>d47078d9-7b4d-4c8f-970e-57af657de477</errorID>
      <errorWord>须</errorWord>
      <group>L1_Word</group>
      <groupName>字词问题</groupName>
      <ability>L2_Typo</ability>
      <abilityName>字词错误</abilityName>
      <candidateList>
        <item>需</item>
      </candidateList>
      <explain>存在发音相同字词的误用。</explain>
      <paraID>7DFC662C</paraID>
      <start>9</start>
      <end>10</end>
      <status>modified</status>
      <modifiedWord>需</modifiedWord>
      <trackRevisions>false</trackRevisions>
    </reviewItem>
    <reviewItem>
      <errorID>6d54194d-396b-4a1c-aa73-3ddeb5295ffc</errorID>
      <errorWord>泄露</errorWord>
      <group>L1_Word</group>
      <groupName>字词问题</groupName>
      <ability>L2_Typo</ability>
      <abilityName>字词错误</abilityName>
      <candidateList>
        <item>泄漏</item>
      </candidateList>
      <explain>存在发音相同字词的误用。</explain>
      <paraID>274C0B2F</paraID>
      <start>18</start>
      <end>20</end>
      <status>unmodified</status>
      <modifiedWord/>
      <trackRevisions>false</trackRevisions>
    </reviewItem>
    <reviewItem>
      <errorID>b5477277-198d-4d37-9476-d41142386e53</errorID>
      <errorWord>]</errorWord>
      <group>L1_Punc</group>
      <groupName>标点问题</groupName>
      <ability>L2_Punc</ability>
      <abilityName>标点符号检查</abilityName>
      <candidateList/>
      <explain/>
      <paraID>4EFABF05</paraID>
      <start>140</start>
      <end>141</end>
      <status>unmodified</status>
      <modifiedWord/>
      <trackRevisions>false</trackRevisions>
    </reviewItem>
    <reviewItem>
      <errorID>5dcf58af-8765-45b0-af79-90bccf6cef10</errorID>
      <errorWord>书</errorWord>
      <group>L1_Word</group>
      <groupName>字词问题</groupName>
      <ability>L2_Typo</ability>
      <abilityName>字词错误</abilityName>
      <candidateList>
        <item>书和</item>
      </candidateList>
      <explain/>
      <paraID>22F2E8A1</paraID>
      <start>16</start>
      <end>17</end>
      <status>unmodified</status>
      <modifiedWord/>
      <trackRevisions>false</trackRevisions>
    </reviewItem>
    <reviewItem>
      <errorID>d4a480c8-c919-4339-84bb-59f9f004b00e</errorID>
      <errorWord>人</errorWord>
      <group>L1_Word</group>
      <groupName>字词问题</groupName>
      <ability>L2_Typo</ability>
      <abilityName>字词错误</abilityName>
      <candidateList>
        <item>人员</item>
      </candidateList>
      <explain>〈名〉担任某种职务的人：机关工作～｜值班～｜～配备。</explain>
      <paraID>42732C69</paraID>
      <start>9</start>
      <end>10</end>
      <status>unmodified</status>
      <modifiedWord/>
      <trackRevisions>false</trackRevisions>
    </reviewItem>
    <reviewItem>
      <errorID>307310f6-d7ba-412c-8844-788e0beafc5d</errorID>
      <errorWord>多端</errorWord>
      <group>L1_Word</group>
      <groupName>字词问题</groupName>
      <ability>L2_Typo</ability>
      <abilityName>字词错误</abilityName>
      <candidateList>
        <item>多点</item>
      </candidateList>
      <explain/>
      <paraID> C86F88E</paraID>
      <start>50</start>
      <end>52</end>
      <status>unmodified</status>
      <modifiedWord/>
      <trackRevisions>false</trackRevisions>
    </reviewItem>
    <reviewItem>
      <errorID>2ad74b2f-69d7-4da0-86e2-1ce3f9697196</errorID>
      <errorWord>可引用性</errorWord>
      <group>L1_Knowledge</group>
      <groupName>知识性问题</groupName>
      <ability>L2_Term</ability>
      <abilityName>专业术语</abilityName>
      <candidateList>
        <item>可重用性</item>
      </candidateList>
      <explain/>
      <paraID>51AE2122</paraID>
      <start>41</start>
      <end>45</end>
      <status>unmodified</status>
      <modifiedWord/>
      <trackRevisions>false</trackRevisions>
    </reviewItem>
    <reviewItem>
      <errorID>6ff68a6b-389d-456a-a967-b9047b8bc0e6</errorID>
      <errorWord>（</errorWord>
      <group>L1_Punc</group>
      <groupName>标点问题</groupName>
      <ability>L2_Punc</ability>
      <abilityName>标点符号检查</abilityName>
      <candidateList/>
      <explain>同一形式括号套用。</explain>
      <paraID>6FA94DE1</paraID>
      <start>92</start>
      <end>93</end>
      <status>unmodified</status>
      <modifiedWord/>
      <trackRevisions>false</trackRevisions>
    </reviewItem>
    <reviewItem>
      <errorID>43b226a6-abbd-4143-bb0c-18e7e4e64863</errorID>
      <errorWord>）</errorWord>
      <group>L1_Punc</group>
      <groupName>标点问题</groupName>
      <ability>L2_Punc</ability>
      <abilityName>标点符号检查</abilityName>
      <candidateList/>
      <explain>同一形式括号套用。</explain>
      <paraID>6FA94DE1</paraID>
      <start>97</start>
      <end>98</end>
      <status>unmodified</status>
      <modifiedWord/>
      <trackRevisions>false</trackRevisions>
    </reviewItem>
    <reviewItem>
      <errorID>5f648690-33ec-40c9-accc-3272e4d5ccb3</errorID>
      <errorWord>作必要</errorWord>
      <group>L1_Word</group>
      <groupName>字词问题</groupName>
      <ability>L2_Typo</ability>
      <abilityName>字词错误</abilityName>
      <candidateList>
        <item>做必要</item>
      </candidateList>
      <explain/>
      <paraID>14EB351E</paraID>
      <start>98</start>
      <end>101</end>
      <status>unmodified</status>
      <modifiedWord/>
      <trackRevisions>false</trackRevisions>
    </reviewItem>
    <reviewItem>
      <errorID>5b9db151-274a-47dd-8b36-fe9b12fd7038</errorID>
      <errorWord>作</errorWord>
      <group>L1_Word</group>
      <groupName>字词问题</groupName>
      <ability>L2_Typo</ability>
      <abilityName>字词错误</abilityName>
      <candidateList>
        <item>做</item>
      </candidateList>
      <explain>存在发音相同字词的误用。</explain>
      <paraID>7DA376D4</paraID>
      <start>48</start>
      <end>49</end>
      <status>unmodified</status>
      <modifiedWord/>
      <trackRevisions>false</trackRevisions>
    </reviewItem>
    <reviewItem>
      <errorID>04cacff2-b5a0-4278-b270-872e9016b2ad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1F0AD6F4</paraID>
      <start>0</start>
      <end>2</end>
      <status>unmodified</status>
      <modifiedWord/>
      <trackRevisions>false</trackRevisions>
    </reviewItem>
    <reviewItem>
      <errorID>d3174e4d-d5a3-4ef9-b63c-f1fbb732946e</errorID>
      <errorWord>]</errorWord>
      <group>L1_Punc</group>
      <groupName>标点问题</groupName>
      <ability>L2_Punc</ability>
      <abilityName>标点符号检查</abilityName>
      <candidateList/>
      <explain/>
      <paraID>444A3A77</paraID>
      <start>135</start>
      <end>136</end>
      <status>unmodified</status>
      <modifiedWord/>
      <trackRevisions>false</trackRevisions>
    </reviewItem>
    <reviewItem>
      <errorID>d18be5af-d0fa-4c8a-aea5-fb07003a60df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1D943A5E</paraID>
      <start>13</start>
      <end>16</end>
      <status>unmodified</status>
      <modifiedWord/>
      <trackRevisions>false</trackRevisions>
    </reviewItem>
    <reviewItem>
      <errorID>05db139a-7c94-4e68-8e78-c1ebf268b0bf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2044F910</paraID>
      <start>42</start>
      <end>45</end>
      <status>unmodified</status>
      <modifiedWord/>
      <trackRevisions>false</trackRevisions>
    </reviewItem>
    <reviewItem>
      <errorID>4be9401f-ed1e-401b-80a0-0a7fbd941aed</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3B7B3CBB</paraID>
      <start>57</start>
      <end>58</end>
      <status>unmodified</status>
      <modifiedWord/>
      <trackRevisions>false</trackRevisions>
    </reviewItem>
    <reviewItem>
      <errorID>f9610e82-7353-4beb-9ac0-7b573c94e98c</errorID>
      <errorWord>涉及到</errorWord>
      <group>L1_Word</group>
      <groupName>字词问题</groupName>
      <ability>L2_Typo</ability>
      <abilityName>字词错误</abilityName>
      <candidateList>
        <item>涉及</item>
      </candidateList>
      <explain>〈动〉牵涉到；关联到：案子～好几个人｜这个问题～面很广。</explain>
      <paraID>3348DA78</paraID>
      <start>40</start>
      <end>43</end>
      <status>unmodified</status>
      <modifiedWord/>
      <trackRevisions>false</trackRevisions>
    </reviewItem>
    <reviewItem>
      <errorID>31c057a0-f187-4f2c-9999-bb17e06fc501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2DED9EC6</paraID>
      <start>21</start>
      <end>22</end>
      <status>unmodified</status>
      <modifiedWord/>
      <trackRevisions>false</trackRevisions>
    </reviewItem>
    <reviewItem>
      <errorID>125fa8dc-1acb-4167-9ced-f9b936a5b971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503E88BF</paraID>
      <start>54</start>
      <end>55</end>
      <status>unmodified</status>
      <modifiedWord/>
      <trackRevisions>false</trackRevisions>
    </reviewItem>
    <reviewItem>
      <errorID>74dcaa84-c1fc-4df9-9b38-ec28ad1808df</errorID>
      <errorWord>送到</errorWord>
      <group>L1_Word</group>
      <groupName>字词问题</groupName>
      <ability>L2_Typo</ability>
      <abilityName>字词错误</abilityName>
      <candidateList>
        <item>送达</item>
      </candidateList>
      <explain>存在发音相近字词的误用。</explain>
      <paraID> 7E0427E</paraID>
      <start>30</start>
      <end>32</end>
      <status>unmodified</status>
      <modifiedWord/>
      <trackRevisions>false</trackRevisions>
    </reviewItem>
    <reviewItem>
      <errorID>dffffd61-ba25-4dfd-8937-6e173d32f488</errorID>
      <errorWord>作</errorWord>
      <group>L1_Word</group>
      <groupName>字词问题</groupName>
      <ability>L2_Typo</ability>
      <abilityName>字词错误</abilityName>
      <candidateList>
        <item>做</item>
      </candidateList>
      <explain>存在发音相同字词的误用。</explain>
      <paraID>1598BB1D</paraID>
      <start>4</start>
      <end>5</end>
      <status>unmodified</status>
      <modifiedWord/>
      <trackRevisions>false</trackRevisions>
    </reviewItem>
    <reviewItem>
      <errorID>9ecc56a7-fadc-45d6-9171-35f80144e36a</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2EE6C01D</paraID>
      <start>3</start>
      <end>12</end>
      <status>modified</status>
      <modifiedWord>2023年1月1日</modifiedWord>
      <trackRevisions>false</trackRevisions>
    </reviewItem>
    <reviewItem>
      <errorID>f6e293c1-eec0-4ab2-bb7d-b72688be6fb7</errorID>
      <errorWord>评审中</errorWord>
      <group>L1_Word</group>
      <groupName>字词问题</groupName>
      <ability>L2_Typo</ability>
      <abilityName>字词错误</abilityName>
      <candidateList>
        <item>评审</item>
      </candidateList>
      <explain/>
      <paraID>256EDAD2</paraID>
      <start>32</start>
      <end>35</end>
      <status>unmodified</status>
      <modifiedWord/>
      <trackRevisions>false</trackRevisions>
    </reviewItem>
    <reviewItem>
      <errorID>b58acbe1-fb31-4b15-98df-042407cf5ee2</errorID>
      <errorWord>评审中</errorWord>
      <group>L1_Word</group>
      <groupName>字词问题</groupName>
      <ability>L2_Typo</ability>
      <abilityName>字词错误</abilityName>
      <candidateList>
        <item>评审</item>
      </candidateList>
      <explain/>
      <paraID> AA513DF</paraID>
      <start>36</start>
      <end>39</end>
      <status>unmodified</status>
      <modifiedWord/>
      <trackRevisions>false</trackRevisions>
    </reviewItem>
    <reviewItem>
      <errorID>60435e98-3edc-49f5-8fd3-6123e50547b9</errorID>
      <errorWord>（</errorWord>
      <group>L1_Punc</group>
      <groupName>标点问题</groupName>
      <ability>L2_Punc</ability>
      <abilityName>标点符号检查</abilityName>
      <candidateList/>
      <explain>同一形式括号套用。</explain>
      <paraID>5567A59E</paraID>
      <start>10</start>
      <end>11</end>
      <status>unmodified</status>
      <modifiedWord/>
      <trackRevisions>false</trackRevisions>
    </reviewItem>
    <reviewItem>
      <errorID>09ff22f0-78d7-4ae8-8597-5138acd029b4</errorID>
      <errorWord>）</errorWord>
      <group>L1_Punc</group>
      <groupName>标点问题</groupName>
      <ability>L2_Punc</ability>
      <abilityName>标点符号检查</abilityName>
      <candidateList/>
      <explain>同一形式括号套用。</explain>
      <paraID>5567A59E</paraID>
      <start>22</start>
      <end>23</end>
      <status>unmodified</status>
      <modifiedWord/>
      <trackRevisions>false</trackRevisions>
    </reviewItem>
    <reviewItem>
      <errorID>7061d480-7984-462d-9274-bc0575c3868a</errorID>
      <errorWord>，</errorWord>
      <group>L1_Word</group>
      <groupName>字词问题</groupName>
      <ability>L2_Typo</ability>
      <abilityName>字词错误</abilityName>
      <candidateList>
        <item>，以</item>
      </candidateList>
      <explain/>
      <paraID>48C90D7F</paraID>
      <start>29</start>
      <end>30</end>
      <status>unmodified</status>
      <modifiedWord/>
      <trackRevisions>false</trackRevisions>
    </reviewItem>
    <reviewItem>
      <errorID>e5a4c1ee-a08f-44b0-87a3-64fe9a864b25</errorID>
      <errorWord>须</errorWord>
      <group>L1_Word</group>
      <groupName>字词问题</groupName>
      <ability>L2_Typo</ability>
      <abilityName>字词错误</abilityName>
      <candidateList>
        <item>需</item>
      </candidateList>
      <explain>存在发音相同字词的误用。</explain>
      <paraID>1ABEDEEB</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14334FC1-1E98-449A-BE29-1F548ABAD61B}">
  <ds:schemaRefs/>
</ds:datastoreItem>
</file>

<file path=docProps/app.xml><?xml version="1.0" encoding="utf-8"?>
<Properties xmlns="http://schemas.openxmlformats.org/officeDocument/2006/extended-properties" xmlns:vt="http://schemas.openxmlformats.org/officeDocument/2006/docPropsVTypes">
  <Template>Normal</Template>
  <Pages>68</Pages>
  <Words>16301</Words>
  <Characters>17636</Characters>
  <Lines>398</Lines>
  <Paragraphs>112</Paragraphs>
  <TotalTime>1</TotalTime>
  <ScaleCrop>false</ScaleCrop>
  <LinksUpToDate>false</LinksUpToDate>
  <CharactersWithSpaces>17713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2025-12-31T03:03:00Z</dcterms:created>
  <dcterms:modified xsi:type="dcterms:W3CDTF">2026-04-07T11:17:05Z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eyJoZGlkIjoiZGU4N2Q0MWRkNTYwNjE2Y2ExYjk3YzVkOGYyYTNmN2IiLCJ1c2VySWQiOiI0NTcxMjExMDYifQ==</vt:lpwstr>
  </property>
  <property fmtid="{D5CDD505-2E9C-101B-9397-08002B2CF9AE}" pid="3" name="KSOProductBuildVer">
    <vt:lpwstr>2052-12.1.0.25225</vt:lpwstr>
  </property>
  <property fmtid="{D5CDD505-2E9C-101B-9397-08002B2CF9AE}" pid="4" name="ICV">
    <vt:lpwstr>EB7AD78E7F4D486990A667AE56C7CB14_13</vt:lpwstr>
  </property>
</Properties>
</file>