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C8D5A">
      <w:pPr>
        <w:pageBreakBefore w:val="0"/>
        <w:autoSpaceDE w:val="0"/>
        <w:autoSpaceDN w:val="0"/>
        <w:bidi w:val="0"/>
        <w:adjustRightInd w:val="0"/>
        <w:spacing w:line="360" w:lineRule="auto"/>
        <w:jc w:val="right"/>
        <w:rPr>
          <w:rFonts w:hint="default" w:ascii="仿宋" w:hAnsi="仿宋" w:eastAsia="仿宋" w:cs="仿宋"/>
          <w:b/>
          <w:color w:val="auto"/>
          <w:sz w:val="24"/>
          <w:szCs w:val="24"/>
          <w:lang w:val="en-US" w:eastAsia="zh-CN"/>
        </w:rPr>
      </w:pPr>
      <w:r>
        <w:rPr>
          <w:rFonts w:hint="eastAsia" w:ascii="仿宋" w:hAnsi="仿宋" w:eastAsia="仿宋" w:cs="仿宋"/>
          <w:b/>
          <w:color w:val="auto"/>
          <w:kern w:val="0"/>
          <w:sz w:val="24"/>
          <w:szCs w:val="24"/>
          <w:highlight w:val="none"/>
          <w:lang w:val="en-US" w:eastAsia="zh-CN" w:bidi="ar"/>
        </w:rPr>
        <w:t xml:space="preserve"> </w:t>
      </w:r>
      <w:r>
        <w:rPr>
          <w:rFonts w:hint="eastAsia" w:ascii="仿宋" w:hAnsi="仿宋" w:eastAsia="仿宋" w:cs="仿宋"/>
          <w:b/>
          <w:color w:val="auto"/>
          <w:sz w:val="24"/>
          <w:szCs w:val="24"/>
        </w:rPr>
        <w:t>项目编码：</w:t>
      </w:r>
      <w:bookmarkStart w:id="0" w:name="OLE_LINK2"/>
      <w:r>
        <w:rPr>
          <w:rFonts w:hint="eastAsia" w:ascii="仿宋" w:hAnsi="仿宋" w:eastAsia="仿宋" w:cs="仿宋"/>
          <w:b/>
          <w:color w:val="auto"/>
          <w:sz w:val="24"/>
          <w:szCs w:val="24"/>
          <w:lang w:val="en-US" w:eastAsia="zh-CN"/>
        </w:rPr>
        <w:t>XJJB-2026-024/025</w:t>
      </w:r>
    </w:p>
    <w:bookmarkEnd w:id="0"/>
    <w:p w14:paraId="311E96D4">
      <w:pPr>
        <w:pageBreakBefore w:val="0"/>
        <w:autoSpaceDE w:val="0"/>
        <w:autoSpaceDN w:val="0"/>
        <w:bidi w:val="0"/>
        <w:adjustRightInd w:val="0"/>
        <w:spacing w:line="360" w:lineRule="auto"/>
        <w:jc w:val="center"/>
        <w:rPr>
          <w:rFonts w:hint="eastAsia" w:ascii="仿宋" w:hAnsi="仿宋" w:eastAsia="仿宋" w:cs="仿宋"/>
          <w:b/>
          <w:color w:val="auto"/>
          <w:sz w:val="24"/>
          <w:szCs w:val="24"/>
        </w:rPr>
      </w:pPr>
    </w:p>
    <w:p w14:paraId="47380A19">
      <w:pPr>
        <w:pStyle w:val="34"/>
        <w:pageBreakBefore w:val="0"/>
        <w:bidi w:val="0"/>
        <w:spacing w:line="360" w:lineRule="auto"/>
        <w:rPr>
          <w:rFonts w:hint="eastAsia" w:ascii="仿宋" w:hAnsi="仿宋" w:eastAsia="仿宋" w:cs="仿宋"/>
          <w:sz w:val="24"/>
          <w:szCs w:val="24"/>
        </w:rPr>
      </w:pPr>
    </w:p>
    <w:p w14:paraId="67E38B89">
      <w:pPr>
        <w:pStyle w:val="34"/>
        <w:pageBreakBefore w:val="0"/>
        <w:bidi w:val="0"/>
        <w:spacing w:line="360" w:lineRule="auto"/>
        <w:ind w:left="0" w:leftChars="0" w:firstLine="0" w:firstLineChars="0"/>
        <w:jc w:val="center"/>
        <w:rPr>
          <w:rFonts w:hint="eastAsia" w:ascii="仿宋" w:hAnsi="仿宋" w:eastAsia="仿宋" w:cs="仿宋"/>
          <w:color w:val="auto"/>
          <w:sz w:val="24"/>
          <w:szCs w:val="24"/>
          <w:lang w:val="en-US"/>
        </w:rPr>
      </w:pPr>
      <w:bookmarkStart w:id="1" w:name="OLE_LINK1"/>
      <w:r>
        <w:rPr>
          <w:rFonts w:hint="eastAsia" w:ascii="仿宋" w:hAnsi="仿宋" w:eastAsia="仿宋" w:cs="宋体"/>
          <w:b/>
          <w:sz w:val="44"/>
          <w:szCs w:val="44"/>
          <w:lang w:eastAsia="zh-CN"/>
        </w:rPr>
        <w:t>2026年中央医疗服务与保障能力提升(医疗卫生机构能力建设)补助资金(肿瘤重点专科医疗设备)项目</w:t>
      </w:r>
    </w:p>
    <w:bookmarkEnd w:id="1"/>
    <w:p w14:paraId="5CCCB488">
      <w:pPr>
        <w:pStyle w:val="34"/>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3129F88A">
      <w:pPr>
        <w:pStyle w:val="34"/>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1C66A5DA">
      <w:pPr>
        <w:pStyle w:val="34"/>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73AA7BD1">
      <w:pPr>
        <w:autoSpaceDE w:val="0"/>
        <w:autoSpaceDN w:val="0"/>
        <w:adjustRightInd w:val="0"/>
        <w:spacing w:line="360" w:lineRule="auto"/>
        <w:jc w:val="center"/>
        <w:rPr>
          <w:rFonts w:hint="eastAsia" w:ascii="宋体" w:hAnsi="宋体" w:eastAsia="宋体" w:cs="宋体"/>
          <w:b/>
          <w:color w:val="auto"/>
          <w:sz w:val="84"/>
          <w:szCs w:val="84"/>
          <w:lang w:eastAsia="zh-CN"/>
        </w:rPr>
      </w:pPr>
      <w:r>
        <w:rPr>
          <w:rFonts w:hint="eastAsia" w:ascii="宋体" w:hAnsi="宋体" w:eastAsia="宋体" w:cs="宋体"/>
          <w:b/>
          <w:color w:val="auto"/>
          <w:sz w:val="84"/>
          <w:szCs w:val="84"/>
        </w:rPr>
        <w:t xml:space="preserve"> 招 标 文 件</w:t>
      </w:r>
      <w:r>
        <w:rPr>
          <w:rFonts w:hint="eastAsia" w:ascii="宋体" w:hAnsi="宋体" w:cs="宋体"/>
          <w:b/>
          <w:color w:val="auto"/>
          <w:sz w:val="84"/>
          <w:szCs w:val="84"/>
          <w:lang w:eastAsia="zh-CN"/>
        </w:rPr>
        <w:t>（</w:t>
      </w:r>
      <w:r>
        <w:rPr>
          <w:rFonts w:hint="eastAsia" w:ascii="宋体" w:hAnsi="宋体" w:cs="宋体"/>
          <w:b/>
          <w:color w:val="auto"/>
          <w:sz w:val="84"/>
          <w:szCs w:val="84"/>
          <w:lang w:val="en-US" w:eastAsia="zh-CN"/>
        </w:rPr>
        <w:t>二次</w:t>
      </w:r>
      <w:r>
        <w:rPr>
          <w:rFonts w:hint="eastAsia" w:ascii="宋体" w:hAnsi="宋体" w:cs="宋体"/>
          <w:b/>
          <w:color w:val="auto"/>
          <w:sz w:val="84"/>
          <w:szCs w:val="84"/>
          <w:lang w:eastAsia="zh-CN"/>
        </w:rPr>
        <w:t>）</w:t>
      </w:r>
    </w:p>
    <w:p w14:paraId="106B6C50">
      <w:pPr>
        <w:pageBreakBefore w:val="0"/>
        <w:autoSpaceDE w:val="0"/>
        <w:autoSpaceDN w:val="0"/>
        <w:bidi w:val="0"/>
        <w:adjustRightInd w:val="0"/>
        <w:spacing w:line="360" w:lineRule="auto"/>
        <w:jc w:val="center"/>
        <w:rPr>
          <w:rFonts w:hint="eastAsia" w:ascii="仿宋" w:hAnsi="仿宋" w:eastAsia="仿宋" w:cs="仿宋"/>
          <w:b/>
          <w:color w:val="auto"/>
          <w:sz w:val="24"/>
          <w:szCs w:val="24"/>
        </w:rPr>
      </w:pPr>
    </w:p>
    <w:p w14:paraId="58440E99">
      <w:pPr>
        <w:pStyle w:val="34"/>
        <w:pageBreakBefore w:val="0"/>
        <w:bidi w:val="0"/>
        <w:spacing w:line="360" w:lineRule="auto"/>
        <w:ind w:left="0" w:leftChars="0" w:firstLine="0" w:firstLineChars="0"/>
        <w:rPr>
          <w:rFonts w:hint="eastAsia" w:ascii="仿宋" w:hAnsi="仿宋" w:eastAsia="仿宋" w:cs="仿宋"/>
          <w:b/>
          <w:color w:val="auto"/>
          <w:sz w:val="24"/>
          <w:szCs w:val="24"/>
        </w:rPr>
      </w:pPr>
    </w:p>
    <w:p w14:paraId="048C55CA">
      <w:pPr>
        <w:pStyle w:val="34"/>
        <w:pageBreakBefore w:val="0"/>
        <w:bidi w:val="0"/>
        <w:spacing w:line="360" w:lineRule="auto"/>
        <w:ind w:left="0" w:leftChars="0" w:firstLine="0" w:firstLineChars="0"/>
        <w:rPr>
          <w:rFonts w:hint="eastAsia" w:ascii="仿宋" w:hAnsi="仿宋" w:eastAsia="仿宋" w:cs="仿宋"/>
          <w:b/>
          <w:color w:val="auto"/>
          <w:sz w:val="24"/>
          <w:szCs w:val="24"/>
        </w:rPr>
      </w:pPr>
    </w:p>
    <w:p w14:paraId="67BFE169">
      <w:pPr>
        <w:pageBreakBefore w:val="0"/>
        <w:autoSpaceDN w:val="0"/>
        <w:bidi w:val="0"/>
        <w:spacing w:before="100" w:beforeAutospacing="1" w:after="100" w:afterAutospacing="1" w:line="360" w:lineRule="auto"/>
        <w:rPr>
          <w:rFonts w:hint="eastAsia" w:ascii="仿宋" w:hAnsi="仿宋" w:eastAsia="仿宋" w:cs="仿宋"/>
          <w:b/>
          <w:sz w:val="24"/>
          <w:szCs w:val="24"/>
        </w:rPr>
      </w:pPr>
    </w:p>
    <w:p w14:paraId="43043703">
      <w:pPr>
        <w:pageBreakBefore w:val="0"/>
        <w:autoSpaceDN w:val="0"/>
        <w:bidi w:val="0"/>
        <w:spacing w:before="100" w:beforeAutospacing="1" w:after="100" w:afterAutospacing="1"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eastAsia="zh-CN"/>
        </w:rPr>
        <w:t>伊犁哈萨克自治州友谊医院</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6174439E">
      <w:pPr>
        <w:pageBreakBefore w:val="0"/>
        <w:autoSpaceDN w:val="0"/>
        <w:bidi w:val="0"/>
        <w:spacing w:before="100" w:beforeAutospacing="1" w:after="100" w:afterAutospacing="1" w:line="360" w:lineRule="auto"/>
        <w:ind w:firstLine="643" w:firstLineChars="200"/>
        <w:jc w:val="center"/>
        <w:rPr>
          <w:rFonts w:hint="eastAsia" w:ascii="仿宋" w:hAnsi="仿宋" w:eastAsia="仿宋" w:cs="仿宋"/>
          <w:b/>
          <w:sz w:val="32"/>
          <w:szCs w:val="32"/>
        </w:rPr>
      </w:pPr>
    </w:p>
    <w:p w14:paraId="6AC692D7">
      <w:pPr>
        <w:pageBreakBefore w:val="0"/>
        <w:autoSpaceDN w:val="0"/>
        <w:bidi w:val="0"/>
        <w:spacing w:before="100" w:beforeAutospacing="1" w:after="100" w:afterAutospacing="1" w:line="360" w:lineRule="auto"/>
        <w:ind w:firstLine="643" w:firstLineChars="200"/>
        <w:jc w:val="both"/>
        <w:rPr>
          <w:rFonts w:hint="eastAsia" w:ascii="仿宋" w:hAnsi="仿宋" w:eastAsia="仿宋" w:cs="仿宋"/>
          <w:b/>
          <w:sz w:val="32"/>
          <w:szCs w:val="32"/>
          <w:u w:val="thick"/>
        </w:rPr>
      </w:pPr>
      <w:r>
        <w:rPr>
          <w:rFonts w:hint="eastAsia" w:ascii="仿宋" w:hAnsi="仿宋" w:eastAsia="仿宋" w:cs="仿宋"/>
          <w:b/>
          <w:sz w:val="32"/>
          <w:szCs w:val="32"/>
        </w:rPr>
        <w:t>采购代理机构:</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新疆金斌工程项目管理有限公司</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w:t>
      </w:r>
      <w:r>
        <w:rPr>
          <w:rFonts w:hint="eastAsia" w:ascii="仿宋" w:hAnsi="仿宋" w:eastAsia="仿宋" w:cs="仿宋"/>
          <w:b/>
          <w:sz w:val="32"/>
          <w:szCs w:val="32"/>
        </w:rPr>
        <w:t>盖章）</w:t>
      </w:r>
    </w:p>
    <w:p w14:paraId="443AC1F2">
      <w:pPr>
        <w:pStyle w:val="6"/>
        <w:pageBreakBefore w:val="0"/>
        <w:bidi w:val="0"/>
        <w:spacing w:line="360" w:lineRule="auto"/>
        <w:rPr>
          <w:rFonts w:hint="eastAsia" w:ascii="仿宋" w:hAnsi="仿宋" w:eastAsia="仿宋" w:cs="仿宋"/>
          <w:sz w:val="24"/>
          <w:szCs w:val="24"/>
        </w:rPr>
      </w:pPr>
    </w:p>
    <w:p w14:paraId="06CDA725">
      <w:pPr>
        <w:pStyle w:val="16"/>
        <w:pageBreakBefore w:val="0"/>
        <w:bidi w:val="0"/>
        <w:spacing w:line="360" w:lineRule="auto"/>
        <w:jc w:val="center"/>
        <w:rPr>
          <w:rFonts w:hint="default" w:ascii="仿宋" w:hAnsi="仿宋" w:eastAsia="仿宋" w:cs="仿宋"/>
          <w:bCs/>
          <w:sz w:val="36"/>
          <w:szCs w:val="36"/>
          <w:lang w:val="en-US"/>
        </w:rPr>
        <w:sectPr>
          <w:headerReference r:id="rId3" w:type="default"/>
          <w:footerReference r:id="rId4" w:type="default"/>
          <w:type w:val="continuous"/>
          <w:pgSz w:w="11905" w:h="16838"/>
          <w:pgMar w:top="1531" w:right="1531" w:bottom="1531" w:left="1531" w:header="1134" w:footer="1134" w:gutter="0"/>
          <w:pgNumType w:fmt="decimal" w:start="1"/>
          <w:cols w:space="0" w:num="1"/>
          <w:rtlGutter w:val="0"/>
          <w:docGrid w:linePitch="46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eastAsia="zh-CN"/>
        </w:rPr>
        <w:t>年</w:t>
      </w:r>
      <w:r>
        <w:rPr>
          <w:rFonts w:hint="eastAsia" w:ascii="仿宋" w:hAnsi="仿宋" w:eastAsia="仿宋" w:cs="仿宋"/>
          <w:b/>
          <w:sz w:val="36"/>
          <w:szCs w:val="36"/>
          <w:lang w:val="en-US" w:eastAsia="zh-CN"/>
        </w:rPr>
        <w:t>04月</w:t>
      </w:r>
    </w:p>
    <w:p w14:paraId="13E2108C">
      <w:pPr>
        <w:pStyle w:val="59"/>
        <w:pageBreakBefore w:val="0"/>
        <w:kinsoku/>
        <w:wordWrap/>
        <w:overflowPunct/>
        <w:topLinePunct w:val="0"/>
        <w:autoSpaceDE/>
        <w:autoSpaceDN/>
        <w:bidi w:val="0"/>
        <w:adjustRightInd w:val="0"/>
        <w:snapToGrid w:val="0"/>
        <w:spacing w:line="41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44"/>
          <w:szCs w:val="44"/>
          <w:highlight w:val="none"/>
          <w:lang w:val="zh-CN"/>
        </w:rPr>
        <w:t>目  录</w:t>
      </w:r>
    </w:p>
    <w:p w14:paraId="6E8CC77A">
      <w:pPr>
        <w:keepNext w:val="0"/>
        <w:keepLines w:val="0"/>
        <w:pageBreakBefore w:val="0"/>
        <w:widowControl w:val="0"/>
        <w:kinsoku/>
        <w:wordWrap/>
        <w:overflowPunct/>
        <w:topLinePunct w:val="0"/>
        <w:autoSpaceDE/>
        <w:autoSpaceDN/>
        <w:bidi w:val="0"/>
        <w:snapToGrid/>
        <w:spacing w:line="410" w:lineRule="exact"/>
        <w:ind w:right="17"/>
        <w:jc w:val="left"/>
        <w:rPr>
          <w:rFonts w:hint="eastAsia" w:ascii="仿宋" w:hAnsi="仿宋" w:eastAsia="仿宋" w:cs="仿宋"/>
          <w:sz w:val="28"/>
          <w:szCs w:val="28"/>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_Toc20454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kern w:val="2"/>
          <w:sz w:val="28"/>
          <w:szCs w:val="28"/>
          <w:highlight w:val="none"/>
          <w:lang w:val="zh-CN" w:eastAsia="zh-CN" w:bidi="ar-SA"/>
        </w:rPr>
        <w:t>2026年中央医疗服务与保障能力提升(医疗卫生机构能力建设)补助资金(肿瘤重点专科医疗设备)项目</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公告</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p>
    <w:p w14:paraId="74567F81">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_Toc22786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投标须知前附表</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color w:val="auto"/>
          <w:sz w:val="28"/>
          <w:szCs w:val="28"/>
          <w:highlight w:val="none"/>
        </w:rPr>
        <w:fldChar w:fldCharType="end"/>
      </w:r>
    </w:p>
    <w:p w14:paraId="11002B61">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_Toc3096 </w:instrText>
      </w:r>
      <w:r>
        <w:rPr>
          <w:rFonts w:hint="eastAsia" w:ascii="仿宋" w:hAnsi="仿宋" w:eastAsia="仿宋" w:cs="仿宋"/>
          <w:sz w:val="28"/>
          <w:szCs w:val="28"/>
          <w:highlight w:val="none"/>
        </w:rPr>
        <w:fldChar w:fldCharType="separate"/>
      </w:r>
      <w:r>
        <w:rPr>
          <w:rFonts w:hint="eastAsia" w:ascii="仿宋" w:hAnsi="仿宋" w:eastAsia="仿宋" w:cs="仿宋"/>
          <w:kern w:val="44"/>
          <w:sz w:val="28"/>
          <w:szCs w:val="28"/>
          <w:highlight w:val="none"/>
        </w:rPr>
        <w:t>第三章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28828A6D">
      <w:pPr>
        <w:pStyle w:val="21"/>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_Toc26890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一、说明</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3174D813">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_Toc2890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 </w:t>
      </w:r>
      <w:r>
        <w:rPr>
          <w:rFonts w:hint="eastAsia" w:ascii="仿宋" w:hAnsi="仿宋" w:eastAsia="仿宋" w:cs="仿宋"/>
          <w:bCs/>
          <w:kern w:val="44"/>
          <w:sz w:val="28"/>
          <w:szCs w:val="28"/>
          <w:highlight w:val="none"/>
        </w:rPr>
        <w:t>说明：本</w:t>
      </w:r>
      <w:r>
        <w:rPr>
          <w:rFonts w:hint="eastAsia" w:ascii="仿宋" w:hAnsi="仿宋" w:eastAsia="仿宋" w:cs="仿宋"/>
          <w:bCs/>
          <w:kern w:val="44"/>
          <w:sz w:val="28"/>
          <w:szCs w:val="28"/>
          <w:highlight w:val="none"/>
          <w:lang w:eastAsia="zh-CN"/>
        </w:rPr>
        <w:t>招标文件</w:t>
      </w:r>
      <w:r>
        <w:rPr>
          <w:rFonts w:hint="eastAsia" w:ascii="仿宋" w:hAnsi="仿宋" w:eastAsia="仿宋" w:cs="仿宋"/>
          <w:bCs/>
          <w:kern w:val="44"/>
          <w:sz w:val="28"/>
          <w:szCs w:val="28"/>
          <w:highlight w:val="none"/>
        </w:rPr>
        <w:t>使用的词语有如下定义</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29D359A5">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_Toc26165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 </w:t>
      </w:r>
      <w:r>
        <w:rPr>
          <w:rFonts w:hint="eastAsia" w:ascii="仿宋" w:hAnsi="仿宋" w:eastAsia="仿宋" w:cs="仿宋"/>
          <w:bCs/>
          <w:kern w:val="44"/>
          <w:sz w:val="28"/>
          <w:szCs w:val="28"/>
          <w:highlight w:val="none"/>
        </w:rPr>
        <w:t>合格的投标人</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765D45FD">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_Toc2463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rPr>
        <w:t xml:space="preserve">3. </w:t>
      </w:r>
      <w:r>
        <w:rPr>
          <w:rFonts w:hint="eastAsia" w:ascii="仿宋" w:hAnsi="仿宋" w:eastAsia="仿宋" w:cs="仿宋"/>
          <w:bCs/>
          <w:sz w:val="28"/>
          <w:szCs w:val="28"/>
          <w:highlight w:val="none"/>
        </w:rPr>
        <w:t>投标费用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47E8C5A6">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_Toc22355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 xml:space="preserve">4. </w:t>
      </w:r>
      <w:r>
        <w:rPr>
          <w:rFonts w:hint="eastAsia" w:ascii="仿宋" w:hAnsi="仿宋" w:eastAsia="仿宋" w:cs="仿宋"/>
          <w:bCs w:val="0"/>
          <w:sz w:val="28"/>
          <w:szCs w:val="28"/>
          <w:highlight w:val="none"/>
        </w:rPr>
        <w:t>现场考察或者召开开标前答疑会</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4CDACC15">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_Toc2323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5. </w:t>
      </w:r>
      <w:r>
        <w:rPr>
          <w:rFonts w:hint="eastAsia" w:ascii="仿宋" w:hAnsi="仿宋" w:eastAsia="仿宋" w:cs="仿宋"/>
          <w:bCs/>
          <w:kern w:val="44"/>
          <w:sz w:val="28"/>
          <w:szCs w:val="28"/>
          <w:highlight w:val="none"/>
        </w:rPr>
        <w:t>开标的资质要求、时间及地点</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0B20E6DC">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_Toc6954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6. </w:t>
      </w:r>
      <w:r>
        <w:rPr>
          <w:rFonts w:hint="eastAsia" w:ascii="仿宋" w:hAnsi="仿宋" w:eastAsia="仿宋" w:cs="仿宋"/>
          <w:bCs/>
          <w:kern w:val="44"/>
          <w:sz w:val="28"/>
          <w:szCs w:val="28"/>
          <w:highlight w:val="none"/>
        </w:rPr>
        <w:t>纪律与保密事项</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5823D0CB">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_Toc18189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7. </w:t>
      </w:r>
      <w:r>
        <w:rPr>
          <w:rFonts w:hint="eastAsia" w:ascii="仿宋" w:hAnsi="仿宋" w:eastAsia="仿宋" w:cs="仿宋"/>
          <w:bCs/>
          <w:kern w:val="44"/>
          <w:sz w:val="28"/>
          <w:szCs w:val="28"/>
          <w:highlight w:val="none"/>
        </w:rPr>
        <w:t>保证</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36E884E6">
      <w:pPr>
        <w:pStyle w:val="21"/>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_Toc21599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二、</w:t>
      </w:r>
      <w:r>
        <w:rPr>
          <w:rFonts w:hint="eastAsia" w:ascii="仿宋" w:hAnsi="仿宋" w:eastAsia="仿宋" w:cs="仿宋"/>
          <w:bCs/>
          <w:smallCaps w:val="0"/>
          <w:kern w:val="44"/>
          <w:sz w:val="28"/>
          <w:szCs w:val="28"/>
          <w:highlight w:val="none"/>
          <w:lang w:val="en-US" w:eastAsia="zh-CN" w:bidi="ar-SA"/>
        </w:rPr>
        <w:t>招标文件</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2BE8310D">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_Toc4904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8. </w:t>
      </w:r>
      <w:r>
        <w:rPr>
          <w:rFonts w:hint="eastAsia" w:ascii="仿宋" w:hAnsi="仿宋" w:eastAsia="仿宋" w:cs="仿宋"/>
          <w:bCs/>
          <w:kern w:val="44"/>
          <w:sz w:val="28"/>
          <w:szCs w:val="28"/>
          <w:highlight w:val="none"/>
        </w:rPr>
        <w:t>招标文件的编制依据与构成</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5D53F064">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_Toc5501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9. </w:t>
      </w:r>
      <w:r>
        <w:rPr>
          <w:rFonts w:hint="eastAsia" w:ascii="仿宋" w:hAnsi="仿宋" w:eastAsia="仿宋" w:cs="仿宋"/>
          <w:kern w:val="44"/>
          <w:sz w:val="28"/>
          <w:szCs w:val="28"/>
          <w:highlight w:val="none"/>
        </w:rPr>
        <w:t>招标文件的澄清或修改</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14:paraId="22D78F69">
      <w:pPr>
        <w:pStyle w:val="21"/>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_Toc14750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三、投标文件的编制</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14:paraId="019C7E21">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_Toc22093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rPr>
        <w:t xml:space="preserve">10. </w:t>
      </w:r>
      <w:r>
        <w:rPr>
          <w:rFonts w:hint="eastAsia" w:ascii="仿宋" w:hAnsi="仿宋" w:eastAsia="仿宋" w:cs="仿宋"/>
          <w:bCs/>
          <w:sz w:val="28"/>
          <w:szCs w:val="28"/>
          <w:highlight w:val="none"/>
        </w:rPr>
        <w:t>投标的语言</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603B949B">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_Toc1469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11. </w:t>
      </w:r>
      <w:r>
        <w:rPr>
          <w:rFonts w:hint="eastAsia" w:ascii="仿宋" w:hAnsi="仿宋" w:eastAsia="仿宋" w:cs="仿宋"/>
          <w:bCs/>
          <w:kern w:val="44"/>
          <w:sz w:val="28"/>
          <w:szCs w:val="28"/>
          <w:highlight w:val="none"/>
        </w:rPr>
        <w:t>投标文件的构成</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3E1A0058">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_Toc17632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12. </w:t>
      </w:r>
      <w:r>
        <w:rPr>
          <w:rFonts w:hint="eastAsia" w:ascii="仿宋" w:hAnsi="仿宋" w:eastAsia="仿宋" w:cs="仿宋"/>
          <w:bCs/>
          <w:kern w:val="44"/>
          <w:sz w:val="28"/>
          <w:szCs w:val="28"/>
          <w:highlight w:val="none"/>
        </w:rPr>
        <w:t>投标文件电子文档</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560355FD">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_Toc17740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13. </w:t>
      </w:r>
      <w:r>
        <w:rPr>
          <w:rFonts w:hint="eastAsia" w:ascii="仿宋" w:hAnsi="仿宋" w:eastAsia="仿宋" w:cs="仿宋"/>
          <w:bCs/>
          <w:kern w:val="44"/>
          <w:sz w:val="28"/>
          <w:szCs w:val="28"/>
          <w:highlight w:val="none"/>
        </w:rPr>
        <w:t>投标文件的编写</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43355C8B">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_Toc22522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14. </w:t>
      </w:r>
      <w:r>
        <w:rPr>
          <w:rFonts w:hint="eastAsia" w:ascii="仿宋" w:hAnsi="仿宋" w:eastAsia="仿宋" w:cs="仿宋"/>
          <w:bCs/>
          <w:kern w:val="44"/>
          <w:sz w:val="28"/>
          <w:szCs w:val="28"/>
          <w:highlight w:val="none"/>
        </w:rPr>
        <w:t>投标报价</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1306B5F3">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_Toc15306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15. </w:t>
      </w:r>
      <w:r>
        <w:rPr>
          <w:rFonts w:hint="eastAsia" w:ascii="仿宋" w:hAnsi="仿宋" w:eastAsia="仿宋" w:cs="仿宋"/>
          <w:bCs/>
          <w:kern w:val="44"/>
          <w:sz w:val="28"/>
          <w:szCs w:val="28"/>
          <w:highlight w:val="none"/>
        </w:rPr>
        <w:t>投标保证金</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3051B1EE">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_Toc30142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16. </w:t>
      </w:r>
      <w:r>
        <w:rPr>
          <w:rFonts w:hint="eastAsia" w:ascii="仿宋" w:hAnsi="仿宋" w:eastAsia="仿宋" w:cs="仿宋"/>
          <w:bCs/>
          <w:kern w:val="44"/>
          <w:sz w:val="28"/>
          <w:szCs w:val="28"/>
          <w:highlight w:val="none"/>
        </w:rPr>
        <w:t>投标有效期</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350AAC33">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_Toc11497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17. </w:t>
      </w:r>
      <w:r>
        <w:rPr>
          <w:rFonts w:hint="eastAsia" w:ascii="仿宋" w:hAnsi="仿宋" w:eastAsia="仿宋" w:cs="仿宋"/>
          <w:bCs/>
          <w:kern w:val="44"/>
          <w:sz w:val="28"/>
          <w:szCs w:val="28"/>
          <w:highlight w:val="none"/>
        </w:rPr>
        <w:t>投标文件的式样和签署、密封</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19451AB0">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_Toc22727 </w:instrText>
      </w:r>
      <w:r>
        <w:rPr>
          <w:rFonts w:hint="eastAsia" w:ascii="仿宋" w:hAnsi="仿宋" w:eastAsia="仿宋" w:cs="仿宋"/>
          <w:sz w:val="28"/>
          <w:szCs w:val="28"/>
          <w:highlight w:val="none"/>
        </w:rPr>
        <w:fldChar w:fldCharType="separate"/>
      </w:r>
      <w:r>
        <w:rPr>
          <w:rFonts w:hint="eastAsia" w:ascii="仿宋" w:hAnsi="仿宋" w:eastAsia="仿宋" w:cs="仿宋"/>
          <w:bCs/>
          <w:smallCaps/>
          <w:kern w:val="2"/>
          <w:sz w:val="28"/>
          <w:szCs w:val="28"/>
          <w:highlight w:val="none"/>
          <w:lang w:val="en-US" w:eastAsia="zh-CN" w:bidi="ar-SA"/>
        </w:rPr>
        <w:t>四、投标文件的递交</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5BCA092C">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_Toc8124 </w:instrText>
      </w:r>
      <w:r>
        <w:rPr>
          <w:rFonts w:hint="eastAsia" w:ascii="仿宋" w:hAnsi="仿宋" w:eastAsia="仿宋" w:cs="仿宋"/>
          <w:sz w:val="28"/>
          <w:szCs w:val="28"/>
          <w:highlight w:val="none"/>
        </w:rPr>
        <w:fldChar w:fldCharType="separate"/>
      </w:r>
      <w:r>
        <w:rPr>
          <w:rFonts w:hint="eastAsia" w:ascii="仿宋" w:hAnsi="仿宋" w:eastAsia="仿宋" w:cs="仿宋"/>
          <w:kern w:val="44"/>
          <w:sz w:val="28"/>
          <w:szCs w:val="28"/>
        </w:rPr>
        <w:t xml:space="preserve">18. </w:t>
      </w:r>
      <w:r>
        <w:rPr>
          <w:rFonts w:hint="eastAsia" w:ascii="仿宋" w:hAnsi="仿宋" w:eastAsia="仿宋" w:cs="仿宋"/>
          <w:kern w:val="44"/>
          <w:sz w:val="28"/>
          <w:szCs w:val="28"/>
          <w:highlight w:val="none"/>
        </w:rPr>
        <w:t>投标文件递交</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722688CE">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_Toc28446 </w:instrText>
      </w:r>
      <w:r>
        <w:rPr>
          <w:rFonts w:hint="eastAsia" w:ascii="仿宋" w:hAnsi="仿宋" w:eastAsia="仿宋" w:cs="仿宋"/>
          <w:sz w:val="28"/>
          <w:szCs w:val="28"/>
          <w:highlight w:val="none"/>
        </w:rPr>
        <w:fldChar w:fldCharType="separate"/>
      </w:r>
      <w:r>
        <w:rPr>
          <w:rFonts w:hint="eastAsia" w:ascii="仿宋" w:hAnsi="仿宋" w:eastAsia="仿宋" w:cs="仿宋"/>
          <w:kern w:val="44"/>
          <w:sz w:val="28"/>
          <w:szCs w:val="28"/>
        </w:rPr>
        <w:t xml:space="preserve">19. </w:t>
      </w:r>
      <w:r>
        <w:rPr>
          <w:rFonts w:hint="eastAsia" w:ascii="仿宋" w:hAnsi="仿宋" w:eastAsia="仿宋" w:cs="仿宋"/>
          <w:kern w:val="44"/>
          <w:sz w:val="28"/>
          <w:szCs w:val="28"/>
          <w:highlight w:val="none"/>
        </w:rPr>
        <w:t>投标截止时间</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5AC597BA">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_Toc18539 </w:instrText>
      </w:r>
      <w:r>
        <w:rPr>
          <w:rFonts w:hint="eastAsia" w:ascii="仿宋" w:hAnsi="仿宋" w:eastAsia="仿宋" w:cs="仿宋"/>
          <w:sz w:val="28"/>
          <w:szCs w:val="28"/>
          <w:highlight w:val="none"/>
        </w:rPr>
        <w:fldChar w:fldCharType="separate"/>
      </w:r>
      <w:r>
        <w:rPr>
          <w:rFonts w:hint="eastAsia" w:ascii="仿宋" w:hAnsi="仿宋" w:eastAsia="仿宋" w:cs="仿宋"/>
          <w:kern w:val="44"/>
          <w:sz w:val="28"/>
          <w:szCs w:val="28"/>
        </w:rPr>
        <w:t xml:space="preserve">19.1 </w:t>
      </w:r>
      <w:r>
        <w:rPr>
          <w:rFonts w:hint="eastAsia" w:ascii="仿宋" w:hAnsi="仿宋" w:eastAsia="仿宋" w:cs="仿宋"/>
          <w:kern w:val="44"/>
          <w:sz w:val="28"/>
          <w:szCs w:val="28"/>
          <w:highlight w:val="none"/>
        </w:rPr>
        <w:t>本次招标的投标截止时间见第二章《投标须知前附表》的规定。</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3EA4DAC6">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_Toc2461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20. </w:t>
      </w:r>
      <w:r>
        <w:rPr>
          <w:rFonts w:hint="eastAsia" w:ascii="仿宋" w:hAnsi="仿宋" w:eastAsia="仿宋" w:cs="仿宋"/>
          <w:kern w:val="44"/>
          <w:sz w:val="28"/>
          <w:szCs w:val="28"/>
          <w:highlight w:val="none"/>
        </w:rPr>
        <w:t>迟交的投标文件</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2245360E">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_Toc13418 </w:instrText>
      </w:r>
      <w:r>
        <w:rPr>
          <w:rFonts w:hint="eastAsia" w:ascii="仿宋" w:hAnsi="仿宋" w:eastAsia="仿宋" w:cs="仿宋"/>
          <w:sz w:val="28"/>
          <w:szCs w:val="28"/>
          <w:highlight w:val="none"/>
        </w:rPr>
        <w:fldChar w:fldCharType="separate"/>
      </w:r>
      <w:r>
        <w:rPr>
          <w:rFonts w:hint="eastAsia" w:ascii="仿宋" w:hAnsi="仿宋" w:eastAsia="仿宋" w:cs="仿宋"/>
          <w:kern w:val="44"/>
          <w:sz w:val="28"/>
          <w:szCs w:val="28"/>
        </w:rPr>
        <w:t xml:space="preserve">20.1 </w:t>
      </w:r>
      <w:r>
        <w:rPr>
          <w:rFonts w:hint="eastAsia" w:ascii="仿宋" w:hAnsi="仿宋" w:eastAsia="仿宋" w:cs="仿宋"/>
          <w:kern w:val="44"/>
          <w:sz w:val="28"/>
          <w:szCs w:val="28"/>
          <w:highlight w:val="none"/>
        </w:rPr>
        <w:t>采购代理机构将拒绝并原封退回在其规定的投标截止时刻后收到的任何投标文件（包括相关的原件资料）。</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05378799">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_Toc10185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21. </w:t>
      </w:r>
      <w:r>
        <w:rPr>
          <w:rFonts w:hint="eastAsia" w:ascii="仿宋" w:hAnsi="仿宋" w:eastAsia="仿宋" w:cs="仿宋"/>
          <w:bCs/>
          <w:kern w:val="44"/>
          <w:sz w:val="28"/>
          <w:szCs w:val="28"/>
          <w:highlight w:val="none"/>
        </w:rPr>
        <w:t>投标文件的修改和撤回、撤销</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088C9AD4">
      <w:pPr>
        <w:pStyle w:val="21"/>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_Toc30087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五、开标与评标</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6B21754C">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_Toc19246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22. </w:t>
      </w:r>
      <w:r>
        <w:rPr>
          <w:rFonts w:hint="eastAsia" w:ascii="仿宋" w:hAnsi="仿宋" w:eastAsia="仿宋" w:cs="仿宋"/>
          <w:bCs/>
          <w:kern w:val="44"/>
          <w:sz w:val="28"/>
          <w:szCs w:val="28"/>
          <w:highlight w:val="none"/>
        </w:rPr>
        <w:t>开标</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765D834A">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_Toc10826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23. </w:t>
      </w:r>
      <w:r>
        <w:rPr>
          <w:rFonts w:hint="eastAsia" w:ascii="仿宋" w:hAnsi="仿宋" w:eastAsia="仿宋" w:cs="仿宋"/>
          <w:kern w:val="44"/>
          <w:sz w:val="28"/>
          <w:szCs w:val="28"/>
          <w:highlight w:val="none"/>
        </w:rPr>
        <w:t>公开招标失败后的处理</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0C9D7D2C">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_Toc22191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24. </w:t>
      </w:r>
      <w:r>
        <w:rPr>
          <w:rFonts w:hint="eastAsia" w:ascii="仿宋" w:hAnsi="仿宋" w:eastAsia="仿宋" w:cs="仿宋"/>
          <w:bCs/>
          <w:kern w:val="44"/>
          <w:sz w:val="28"/>
          <w:szCs w:val="28"/>
          <w:highlight w:val="none"/>
        </w:rPr>
        <w:t>评标小组</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6F3F45F8">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_Toc30337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25. </w:t>
      </w:r>
      <w:r>
        <w:rPr>
          <w:rFonts w:hint="eastAsia" w:ascii="仿宋" w:hAnsi="仿宋" w:eastAsia="仿宋" w:cs="仿宋"/>
          <w:kern w:val="44"/>
          <w:sz w:val="28"/>
          <w:szCs w:val="28"/>
          <w:highlight w:val="none"/>
        </w:rPr>
        <w:t>评标原则及评标方法</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14:paraId="77D6F7EB">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_Toc24957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26. </w:t>
      </w:r>
      <w:r>
        <w:rPr>
          <w:rFonts w:hint="eastAsia" w:ascii="仿宋" w:hAnsi="仿宋" w:eastAsia="仿宋" w:cs="仿宋"/>
          <w:kern w:val="44"/>
          <w:sz w:val="28"/>
          <w:szCs w:val="28"/>
          <w:highlight w:val="none"/>
        </w:rPr>
        <w:t>初步评审</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4810AC1D">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_Toc21733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27. </w:t>
      </w:r>
      <w:r>
        <w:rPr>
          <w:rFonts w:hint="eastAsia" w:ascii="仿宋" w:hAnsi="仿宋" w:eastAsia="仿宋" w:cs="仿宋"/>
          <w:bCs/>
          <w:kern w:val="44"/>
          <w:sz w:val="28"/>
          <w:szCs w:val="28"/>
          <w:highlight w:val="none"/>
        </w:rPr>
        <w:t>详细评审</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49544984">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_Toc25223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28. </w:t>
      </w:r>
      <w:r>
        <w:rPr>
          <w:rFonts w:hint="eastAsia" w:ascii="仿宋" w:hAnsi="仿宋" w:eastAsia="仿宋" w:cs="仿宋"/>
          <w:kern w:val="44"/>
          <w:sz w:val="28"/>
          <w:szCs w:val="28"/>
          <w:highlight w:val="none"/>
        </w:rPr>
        <w:t>投标文件的修正和澄清</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175399A9">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_Toc13122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29. </w:t>
      </w:r>
      <w:r>
        <w:rPr>
          <w:rFonts w:hint="eastAsia" w:ascii="仿宋" w:hAnsi="仿宋" w:eastAsia="仿宋" w:cs="仿宋"/>
          <w:bCs/>
          <w:kern w:val="44"/>
          <w:sz w:val="28"/>
          <w:szCs w:val="28"/>
          <w:highlight w:val="none"/>
        </w:rPr>
        <w:t>评标总得分统计及推荐</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4895A34B">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_Toc160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30. </w:t>
      </w:r>
      <w:r>
        <w:rPr>
          <w:rFonts w:hint="eastAsia" w:ascii="仿宋" w:hAnsi="仿宋" w:eastAsia="仿宋" w:cs="仿宋"/>
          <w:kern w:val="44"/>
          <w:sz w:val="28"/>
          <w:szCs w:val="28"/>
          <w:highlight w:val="none"/>
        </w:rPr>
        <w:t>定标</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400C2964">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_Toc5256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31. </w:t>
      </w:r>
      <w:r>
        <w:rPr>
          <w:rFonts w:hint="eastAsia" w:ascii="仿宋" w:hAnsi="仿宋" w:eastAsia="仿宋" w:cs="仿宋"/>
          <w:bCs/>
          <w:kern w:val="44"/>
          <w:sz w:val="28"/>
          <w:szCs w:val="28"/>
          <w:highlight w:val="none"/>
        </w:rPr>
        <w:t>特别说明</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373F0A92">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_Toc29878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32. </w:t>
      </w:r>
      <w:r>
        <w:rPr>
          <w:rFonts w:hint="eastAsia" w:ascii="仿宋" w:hAnsi="仿宋" w:eastAsia="仿宋" w:cs="仿宋"/>
          <w:bCs/>
          <w:kern w:val="44"/>
          <w:sz w:val="28"/>
          <w:szCs w:val="28"/>
          <w:highlight w:val="none"/>
        </w:rPr>
        <w:t>与采购代理机构和采购人的接触</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2087BF3A">
      <w:pPr>
        <w:pStyle w:val="21"/>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_Toc4267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六、质疑与投诉</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41A83BFA">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_Toc5828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33. </w:t>
      </w:r>
      <w:r>
        <w:rPr>
          <w:rFonts w:hint="eastAsia" w:ascii="仿宋" w:hAnsi="仿宋" w:eastAsia="仿宋" w:cs="仿宋"/>
          <w:bCs/>
          <w:kern w:val="44"/>
          <w:sz w:val="28"/>
          <w:szCs w:val="28"/>
          <w:highlight w:val="none"/>
        </w:rPr>
        <w:t>询问</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6BF61549">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_Toc2109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34. </w:t>
      </w:r>
      <w:r>
        <w:rPr>
          <w:rFonts w:hint="eastAsia" w:ascii="仿宋" w:hAnsi="仿宋" w:eastAsia="仿宋" w:cs="仿宋"/>
          <w:bCs/>
          <w:kern w:val="44"/>
          <w:sz w:val="28"/>
          <w:szCs w:val="28"/>
          <w:highlight w:val="none"/>
        </w:rPr>
        <w:t>质疑</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14:paraId="3FD32DE1">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_Toc13170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35. </w:t>
      </w:r>
      <w:r>
        <w:rPr>
          <w:rFonts w:hint="eastAsia" w:ascii="仿宋" w:hAnsi="仿宋" w:eastAsia="仿宋" w:cs="仿宋"/>
          <w:bCs/>
          <w:kern w:val="44"/>
          <w:sz w:val="28"/>
          <w:szCs w:val="28"/>
          <w:highlight w:val="none"/>
        </w:rPr>
        <w:t>投诉</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34B085AC">
      <w:pPr>
        <w:pStyle w:val="21"/>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_Toc21033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七、授予合同</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1ED6E439">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_Toc30579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36. </w:t>
      </w:r>
      <w:r>
        <w:rPr>
          <w:rFonts w:hint="eastAsia" w:ascii="仿宋" w:hAnsi="仿宋" w:eastAsia="仿宋" w:cs="仿宋"/>
          <w:bCs/>
          <w:kern w:val="44"/>
          <w:sz w:val="28"/>
          <w:szCs w:val="28"/>
          <w:highlight w:val="none"/>
        </w:rPr>
        <w:t>确定中标人</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03A81320">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_Toc7161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37. </w:t>
      </w:r>
      <w:r>
        <w:rPr>
          <w:rFonts w:hint="eastAsia" w:ascii="仿宋" w:hAnsi="仿宋" w:eastAsia="仿宋" w:cs="仿宋"/>
          <w:bCs/>
          <w:kern w:val="44"/>
          <w:sz w:val="28"/>
          <w:szCs w:val="28"/>
          <w:highlight w:val="none"/>
        </w:rPr>
        <w:t>接受和拒绝任何或所有投标的权力</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6211AAED">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_Toc26407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38. </w:t>
      </w:r>
      <w:r>
        <w:rPr>
          <w:rFonts w:hint="eastAsia" w:ascii="仿宋" w:hAnsi="仿宋" w:eastAsia="仿宋" w:cs="仿宋"/>
          <w:bCs/>
          <w:kern w:val="44"/>
          <w:sz w:val="28"/>
          <w:szCs w:val="28"/>
          <w:highlight w:val="none"/>
          <w:lang w:val="en-US" w:eastAsia="zh-CN"/>
        </w:rPr>
        <w:t>成交</w:t>
      </w:r>
      <w:r>
        <w:rPr>
          <w:rFonts w:hint="eastAsia" w:ascii="仿宋" w:hAnsi="仿宋" w:eastAsia="仿宋" w:cs="仿宋"/>
          <w:bCs/>
          <w:kern w:val="44"/>
          <w:sz w:val="28"/>
          <w:szCs w:val="28"/>
          <w:highlight w:val="none"/>
        </w:rPr>
        <w:t>通知书</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7FB5C910">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_Toc14729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39. </w:t>
      </w:r>
      <w:r>
        <w:rPr>
          <w:rFonts w:hint="eastAsia" w:ascii="仿宋" w:hAnsi="仿宋" w:eastAsia="仿宋" w:cs="仿宋"/>
          <w:bCs/>
          <w:kern w:val="44"/>
          <w:sz w:val="28"/>
          <w:szCs w:val="28"/>
          <w:highlight w:val="none"/>
        </w:rPr>
        <w:t>合同的订立</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290EE866">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_Toc19474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40. </w:t>
      </w:r>
      <w:r>
        <w:rPr>
          <w:rFonts w:hint="eastAsia" w:ascii="仿宋" w:hAnsi="仿宋" w:eastAsia="仿宋" w:cs="仿宋"/>
          <w:bCs/>
          <w:kern w:val="44"/>
          <w:sz w:val="28"/>
          <w:szCs w:val="28"/>
          <w:highlight w:val="none"/>
        </w:rPr>
        <w:t>合同的履行</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6BE6D79C">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_Toc18199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41. </w:t>
      </w:r>
      <w:r>
        <w:rPr>
          <w:rFonts w:hint="eastAsia" w:ascii="仿宋" w:hAnsi="仿宋" w:eastAsia="仿宋" w:cs="仿宋"/>
          <w:bCs/>
          <w:kern w:val="44"/>
          <w:sz w:val="28"/>
          <w:szCs w:val="28"/>
          <w:highlight w:val="none"/>
        </w:rPr>
        <w:t>采购代理服务费</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61FA9171">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_Toc3865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42. </w:t>
      </w:r>
      <w:r>
        <w:rPr>
          <w:rFonts w:hint="eastAsia" w:ascii="仿宋" w:hAnsi="仿宋" w:eastAsia="仿宋" w:cs="仿宋"/>
          <w:bCs/>
          <w:kern w:val="44"/>
          <w:sz w:val="28"/>
          <w:szCs w:val="28"/>
          <w:highlight w:val="none"/>
        </w:rPr>
        <w:t>适用法律</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41BDAC24">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_Toc22798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rPr>
        <w:t xml:space="preserve">43. </w:t>
      </w:r>
      <w:r>
        <w:rPr>
          <w:rFonts w:hint="eastAsia" w:ascii="仿宋" w:hAnsi="仿宋" w:eastAsia="仿宋" w:cs="仿宋"/>
          <w:bCs/>
          <w:kern w:val="44"/>
          <w:sz w:val="28"/>
          <w:szCs w:val="28"/>
          <w:highlight w:val="none"/>
        </w:rPr>
        <w:t>政府采购政策</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2DB6AAC9">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_Toc28078 </w:instrText>
      </w:r>
      <w:r>
        <w:rPr>
          <w:rFonts w:hint="eastAsia" w:ascii="仿宋" w:hAnsi="仿宋" w:eastAsia="仿宋" w:cs="仿宋"/>
          <w:sz w:val="28"/>
          <w:szCs w:val="28"/>
          <w:highlight w:val="none"/>
        </w:rPr>
        <w:fldChar w:fldCharType="separate"/>
      </w:r>
      <w:r>
        <w:rPr>
          <w:rFonts w:hint="eastAsia" w:ascii="仿宋" w:hAnsi="仿宋" w:eastAsia="仿宋" w:cs="仿宋"/>
          <w:bCs/>
          <w:kern w:val="44"/>
          <w:sz w:val="28"/>
          <w:szCs w:val="28"/>
          <w:highlight w:val="none"/>
        </w:rPr>
        <w:t>第四章 合同格式</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221D3805">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_Toc3845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采购项目清单及参数要求</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391607DE">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_Toc10572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投标文件部分格式</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7E01A89B">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_Toc24440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附表1 </w:t>
      </w:r>
      <w:r>
        <w:rPr>
          <w:rFonts w:hint="eastAsia" w:ascii="仿宋" w:hAnsi="仿宋" w:eastAsia="仿宋" w:cs="仿宋"/>
          <w:sz w:val="28"/>
          <w:szCs w:val="28"/>
          <w:highlight w:val="none"/>
          <w:lang w:val="en-US" w:eastAsia="zh-CN"/>
        </w:rPr>
        <w:t xml:space="preserve">   资格审查</w:t>
      </w:r>
      <w:r>
        <w:rPr>
          <w:rFonts w:hint="eastAsia" w:ascii="仿宋" w:hAnsi="仿宋" w:eastAsia="仿宋" w:cs="仿宋"/>
          <w:sz w:val="28"/>
          <w:szCs w:val="28"/>
          <w:highlight w:val="none"/>
        </w:rPr>
        <w:t>标准表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13</w:t>
      </w:r>
    </w:p>
    <w:p w14:paraId="5116FA4A">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_Toc9700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附表2    </w:t>
      </w:r>
      <w:r>
        <w:rPr>
          <w:rFonts w:hint="eastAsia" w:ascii="仿宋" w:hAnsi="仿宋" w:eastAsia="仿宋" w:cs="仿宋"/>
          <w:bCs w:val="0"/>
          <w:sz w:val="28"/>
          <w:szCs w:val="28"/>
          <w:highlight w:val="none"/>
          <w:lang w:val="en-US" w:eastAsia="zh-CN"/>
        </w:rPr>
        <w:t>符合性审查标准表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15</w:t>
      </w:r>
    </w:p>
    <w:p w14:paraId="3E43DA5A">
      <w:pPr>
        <w:pStyle w:val="19"/>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lang w:val="en-US"/>
        </w:rPr>
        <w:sectPr>
          <w:headerReference r:id="rId5" w:type="default"/>
          <w:footerReference r:id="rId6" w:type="default"/>
          <w:type w:val="continuous"/>
          <w:pgSz w:w="11905" w:h="16838"/>
          <w:pgMar w:top="1531" w:right="1531" w:bottom="1531" w:left="1531" w:header="850" w:footer="850" w:gutter="0"/>
          <w:pgNumType w:fmt="decimal" w:start="1"/>
          <w:cols w:space="0" w:num="1"/>
          <w:rtlGutter w:val="0"/>
          <w:docGrid w:linePitch="462" w:charSpace="0"/>
        </w:sect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_Toc9700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附表</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    </w:t>
      </w:r>
      <w:r>
        <w:rPr>
          <w:rFonts w:hint="eastAsia" w:ascii="仿宋" w:hAnsi="仿宋" w:eastAsia="仿宋" w:cs="仿宋"/>
          <w:bCs w:val="0"/>
          <w:sz w:val="28"/>
          <w:szCs w:val="28"/>
          <w:highlight w:val="none"/>
        </w:rPr>
        <w:t>评 分 细 则</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17</w:t>
      </w:r>
    </w:p>
    <w:p w14:paraId="2907F80A">
      <w:pPr>
        <w:pageBreakBefore w:val="0"/>
        <w:kinsoku/>
        <w:wordWrap/>
        <w:overflowPunct/>
        <w:topLinePunct w:val="0"/>
        <w:autoSpaceDE/>
        <w:autoSpaceDN/>
        <w:bidi w:val="0"/>
        <w:spacing w:line="410" w:lineRule="exact"/>
        <w:rPr>
          <w:rFonts w:hint="eastAsia" w:ascii="仿宋" w:hAnsi="仿宋" w:eastAsia="仿宋" w:cs="仿宋"/>
          <w:sz w:val="24"/>
          <w:szCs w:val="24"/>
        </w:rPr>
      </w:pPr>
    </w:p>
    <w:p w14:paraId="4F1B5612">
      <w:pPr>
        <w:pStyle w:val="20"/>
        <w:keepNext w:val="0"/>
        <w:keepLines w:val="0"/>
        <w:pageBreakBefore w:val="0"/>
        <w:kinsoku/>
        <w:wordWrap/>
        <w:overflowPunct/>
        <w:topLinePunct w:val="0"/>
        <w:autoSpaceDE/>
        <w:autoSpaceDN/>
        <w:bidi w:val="0"/>
        <w:adjustRightInd/>
        <w:spacing w:line="360" w:lineRule="auto"/>
        <w:jc w:val="center"/>
        <w:textAlignment w:val="auto"/>
        <w:rPr>
          <w:rFonts w:hint="eastAsia" w:ascii="方正小标宋_GBK" w:hAnsi="方正小标宋_GBK" w:eastAsia="方正小标宋_GBK" w:cs="方正小标宋_GBK"/>
          <w:b w:val="0"/>
          <w:bCs w:val="0"/>
          <w:kern w:val="2"/>
          <w:sz w:val="32"/>
          <w:szCs w:val="32"/>
          <w:lang w:val="en-US" w:eastAsia="zh-CN" w:bidi="ar-SA"/>
        </w:rPr>
      </w:pPr>
      <w:r>
        <w:rPr>
          <w:rFonts w:hint="eastAsia" w:ascii="仿宋" w:hAnsi="仿宋" w:eastAsia="仿宋" w:cs="仿宋"/>
          <w:color w:val="auto"/>
          <w:sz w:val="24"/>
          <w:szCs w:val="24"/>
          <w:highlight w:val="none"/>
        </w:rPr>
        <w:fldChar w:fldCharType="end"/>
      </w:r>
      <w:bookmarkStart w:id="2" w:name="_Toc20454"/>
      <w:r>
        <w:rPr>
          <w:rFonts w:hint="eastAsia" w:ascii="方正小标宋_GBK" w:hAnsi="方正小标宋_GBK" w:eastAsia="方正小标宋_GBK" w:cs="方正小标宋_GBK"/>
          <w:b w:val="0"/>
          <w:bCs w:val="0"/>
          <w:kern w:val="2"/>
          <w:sz w:val="32"/>
          <w:szCs w:val="32"/>
          <w:lang w:val="en-US" w:eastAsia="zh-CN" w:bidi="ar-SA"/>
        </w:rPr>
        <w:t>第一章   招标公告</w:t>
      </w:r>
    </w:p>
    <w:bookmarkEnd w:id="2"/>
    <w:tbl>
      <w:tblPr>
        <w:tblStyle w:val="2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45A0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tcPr>
          <w:p w14:paraId="28802B0D">
            <w:pPr>
              <w:pStyle w:val="24"/>
              <w:shd w:val="clear" w:color="auto" w:fill="FFFFFF"/>
              <w:spacing w:before="0" w:beforeAutospacing="0" w:after="0" w:afterAutospacing="0" w:line="336" w:lineRule="auto"/>
              <w:rPr>
                <w:rFonts w:hint="eastAsia" w:ascii="仿宋_GB2312" w:hAnsi="仿宋_GB2312" w:eastAsia="仿宋_GB2312" w:cs="仿宋_GB2312"/>
                <w:i w:val="0"/>
                <w:iCs w:val="0"/>
                <w:caps w:val="0"/>
                <w:spacing w:val="0"/>
                <w:sz w:val="32"/>
                <w:szCs w:val="32"/>
                <w:shd w:val="clear" w:fill="FFFFFF"/>
                <w:lang w:val="en-US" w:eastAsia="zh-CN"/>
              </w:rPr>
            </w:pPr>
            <w:bookmarkStart w:id="3" w:name="_Toc22786"/>
            <w:r>
              <w:rPr>
                <w:rFonts w:hint="eastAsia" w:ascii="仿宋_GB2312" w:hAnsi="仿宋_GB2312" w:eastAsia="仿宋_GB2312" w:cs="仿宋_GB2312"/>
                <w:i w:val="0"/>
                <w:iCs w:val="0"/>
                <w:caps w:val="0"/>
                <w:spacing w:val="0"/>
                <w:sz w:val="32"/>
                <w:szCs w:val="32"/>
                <w:shd w:val="clear" w:fill="FFFFFF"/>
                <w:lang w:val="en-US" w:eastAsia="zh-CN"/>
              </w:rPr>
              <w:t>项目概况</w:t>
            </w:r>
          </w:p>
          <w:p w14:paraId="774C13BB">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shd w:val="clear" w:fill="FFFFFF"/>
                <w:lang w:val="en-US" w:eastAsia="zh-CN"/>
              </w:rPr>
              <w:t>2026年中央医疗服务与保障能力提升(医疗卫生机构能力建设)补助资金(肿瘤重点专科医疗设备)项目（二次）的潜在投标人应在政采云平台线上获取招标文件，并于2026年04月30日 11:00（北京时间）前递交投标文件。</w:t>
            </w:r>
          </w:p>
        </w:tc>
      </w:tr>
    </w:tbl>
    <w:p w14:paraId="5CE5CD08">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rPr>
      </w:pPr>
      <w:r>
        <w:rPr>
          <w:rStyle w:val="31"/>
          <w:rFonts w:hint="eastAsia" w:ascii="仿宋_GB2312" w:hAnsi="仿宋_GB2312" w:eastAsia="仿宋_GB2312" w:cs="仿宋_GB2312"/>
          <w:color w:val="auto"/>
          <w:sz w:val="32"/>
          <w:szCs w:val="32"/>
          <w:highlight w:val="none"/>
          <w:shd w:val="clear" w:color="auto" w:fill="FFFFFF"/>
          <w:lang w:val="en-US" w:eastAsia="zh-CN"/>
        </w:rPr>
        <w:t>一、</w:t>
      </w:r>
      <w:r>
        <w:rPr>
          <w:rStyle w:val="31"/>
          <w:rFonts w:hint="eastAsia" w:ascii="仿宋_GB2312" w:hAnsi="仿宋_GB2312" w:eastAsia="仿宋_GB2312" w:cs="仿宋_GB2312"/>
          <w:color w:val="auto"/>
          <w:sz w:val="32"/>
          <w:szCs w:val="32"/>
          <w:highlight w:val="none"/>
          <w:shd w:val="clear" w:color="auto" w:fill="FFFFFF"/>
        </w:rPr>
        <w:t>项目基本情况</w:t>
      </w:r>
    </w:p>
    <w:p w14:paraId="65FC71C4">
      <w:pPr>
        <w:pStyle w:val="24"/>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项目编号：XJJB-2026-024/025</w:t>
      </w:r>
    </w:p>
    <w:p w14:paraId="42558744">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项目名称：2026年中央医疗服务与保障能力提升(医疗卫生机构能力建设)补助资金(肿瘤重点专科医疗设备)项目（二次）</w:t>
      </w:r>
    </w:p>
    <w:p w14:paraId="18B1597D">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采购方式：公开招标</w:t>
      </w:r>
    </w:p>
    <w:p w14:paraId="0AC8D05D">
      <w:pPr>
        <w:pStyle w:val="24"/>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预算金额（元）：1020000</w:t>
      </w:r>
    </w:p>
    <w:p w14:paraId="55471BA6">
      <w:pPr>
        <w:pStyle w:val="24"/>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最高限价（元）：630000，390000</w:t>
      </w:r>
    </w:p>
    <w:p w14:paraId="2E757C72">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采购需求：</w:t>
      </w:r>
    </w:p>
    <w:p w14:paraId="4A213225">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标项一</w:t>
      </w:r>
    </w:p>
    <w:p w14:paraId="12F92E9A">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标项名称：</w:t>
      </w:r>
      <w:bookmarkStart w:id="4" w:name="OLE_LINK13"/>
      <w:r>
        <w:rPr>
          <w:rFonts w:hint="eastAsia" w:ascii="仿宋_GB2312" w:hAnsi="仿宋_GB2312" w:eastAsia="仿宋_GB2312" w:cs="仿宋_GB2312"/>
          <w:i w:val="0"/>
          <w:iCs w:val="0"/>
          <w:caps w:val="0"/>
          <w:color w:val="auto"/>
          <w:spacing w:val="0"/>
          <w:sz w:val="32"/>
          <w:szCs w:val="32"/>
          <w:shd w:val="clear" w:fill="FFFFFF"/>
          <w:lang w:val="en-US" w:eastAsia="zh-CN"/>
        </w:rPr>
        <w:t>2026年中央医疗服务与保障能力提升(医疗卫生机构能力建设)补助资金(肿瘤重点专科医疗设备)项目（一标段）</w:t>
      </w:r>
      <w:bookmarkEnd w:id="4"/>
    </w:p>
    <w:p w14:paraId="01D99877">
      <w:pPr>
        <w:pStyle w:val="24"/>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数量：16</w:t>
      </w:r>
    </w:p>
    <w:p w14:paraId="016EDD3E">
      <w:pPr>
        <w:pStyle w:val="24"/>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预算金额（元）：630000</w:t>
      </w:r>
    </w:p>
    <w:p w14:paraId="448729A6">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单位：台</w:t>
      </w:r>
    </w:p>
    <w:p w14:paraId="62C6B94F">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简要规格描述：</w:t>
      </w:r>
      <w:bookmarkStart w:id="5" w:name="OLE_LINK4"/>
      <w:r>
        <w:rPr>
          <w:rFonts w:hint="eastAsia" w:ascii="仿宋_GB2312" w:hAnsi="仿宋_GB2312" w:eastAsia="仿宋_GB2312" w:cs="仿宋_GB2312"/>
          <w:i w:val="0"/>
          <w:iCs w:val="0"/>
          <w:caps w:val="0"/>
          <w:color w:val="auto"/>
          <w:spacing w:val="0"/>
          <w:sz w:val="32"/>
          <w:szCs w:val="32"/>
          <w:shd w:val="clear" w:fill="FFFFFF"/>
          <w:lang w:val="en-US" w:eastAsia="zh-CN"/>
        </w:rPr>
        <w:t>采购X、r辐射检测仪3台、输液泵6台、红外线2台、光子治疗仪1台、308nm紫外线光疗仪1台、A2生物安全柜3台。</w:t>
      </w:r>
    </w:p>
    <w:bookmarkEnd w:id="5"/>
    <w:p w14:paraId="40FEB5E6">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备注：</w:t>
      </w:r>
    </w:p>
    <w:p w14:paraId="6CEF9556">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p>
    <w:p w14:paraId="2F2410B3">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标项二</w:t>
      </w:r>
    </w:p>
    <w:p w14:paraId="6FEC2888">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标项名称：2026年中央医疗服务与保障能力提升(医疗卫生机构能力建设)补助资金(肿瘤重点专科医疗设备)项目（二标段）</w:t>
      </w:r>
    </w:p>
    <w:p w14:paraId="2CA0F0AF">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数量：3</w:t>
      </w:r>
    </w:p>
    <w:p w14:paraId="7A19F5AD">
      <w:pPr>
        <w:pStyle w:val="24"/>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预算金额（元）：390000</w:t>
      </w:r>
    </w:p>
    <w:p w14:paraId="74DC7C39">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单位：台</w:t>
      </w:r>
    </w:p>
    <w:p w14:paraId="5110024D">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简要规格描述：采购电子肛肠镜1台、尿道膀胱镜2台。</w:t>
      </w:r>
    </w:p>
    <w:p w14:paraId="30B1CC87">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备注：</w:t>
      </w:r>
    </w:p>
    <w:p w14:paraId="42A9028D">
      <w:pPr>
        <w:pStyle w:val="24"/>
        <w:wordWrap w:val="0"/>
        <w:spacing w:before="0" w:beforeAutospacing="0" w:after="0" w:afterAutospacing="0" w:line="336" w:lineRule="auto"/>
        <w:ind w:firstLine="640"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合同履约期限：</w:t>
      </w:r>
      <w:bookmarkStart w:id="6" w:name="OLE_LINK3"/>
      <w:r>
        <w:rPr>
          <w:rFonts w:hint="eastAsia" w:ascii="仿宋_GB2312" w:hAnsi="仿宋_GB2312" w:eastAsia="仿宋_GB2312" w:cs="仿宋_GB2312"/>
          <w:i w:val="0"/>
          <w:iCs w:val="0"/>
          <w:caps w:val="0"/>
          <w:color w:val="auto"/>
          <w:spacing w:val="0"/>
          <w:sz w:val="32"/>
          <w:szCs w:val="32"/>
          <w:shd w:val="clear" w:fill="FFFFFF"/>
          <w:lang w:val="en-US" w:eastAsia="zh-CN"/>
        </w:rPr>
        <w:t>标项1、2：国产设备自合同签订之日起30个日历日内，完成本次采购内容的所有安装调试等工作，并能够投付使用。</w:t>
      </w:r>
    </w:p>
    <w:bookmarkEnd w:id="6"/>
    <w:p w14:paraId="5D5C1362">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本项目（否）接受联合体投标。</w:t>
      </w:r>
      <w:r>
        <w:rPr>
          <w:rFonts w:hint="eastAsia" w:ascii="仿宋_GB2312" w:hAnsi="仿宋_GB2312" w:eastAsia="仿宋_GB2312" w:cs="仿宋_GB2312"/>
          <w:color w:val="auto"/>
          <w:kern w:val="2"/>
          <w:sz w:val="32"/>
          <w:szCs w:val="32"/>
          <w:lang w:val="en-US" w:eastAsia="zh-CN" w:bidi="ar-SA"/>
        </w:rPr>
        <w:t>  </w:t>
      </w:r>
    </w:p>
    <w:p w14:paraId="16FF3498">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lang w:val="en-US" w:eastAsia="zh-CN"/>
        </w:rPr>
      </w:pPr>
      <w:r>
        <w:rPr>
          <w:rStyle w:val="31"/>
          <w:rFonts w:hint="eastAsia" w:ascii="仿宋_GB2312" w:hAnsi="仿宋_GB2312" w:eastAsia="仿宋_GB2312" w:cs="仿宋_GB2312"/>
          <w:color w:val="auto"/>
          <w:sz w:val="32"/>
          <w:szCs w:val="32"/>
          <w:highlight w:val="none"/>
          <w:shd w:val="clear" w:color="auto" w:fill="FFFFFF"/>
          <w:lang w:val="en-US" w:eastAsia="zh-CN"/>
        </w:rPr>
        <w:t>二、申请人的资格要求：</w:t>
      </w:r>
    </w:p>
    <w:p w14:paraId="2FD5186D">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1.满足《中华人民共和国政府采购法》第二十二条规定；</w:t>
      </w:r>
    </w:p>
    <w:p w14:paraId="78DA48DC">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2.需落实政府采购政策：标项1、2：专门面向中小微企业。</w:t>
      </w:r>
    </w:p>
    <w:p w14:paraId="5E4ADD77">
      <w:pPr>
        <w:pStyle w:val="24"/>
        <w:shd w:val="clear" w:color="auto" w:fill="FFFFFF"/>
        <w:spacing w:before="0" w:beforeAutospacing="0" w:after="0" w:afterAutospacing="0" w:line="336" w:lineRule="auto"/>
        <w:ind w:firstLine="320" w:firstLineChars="10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3.本项目的特定资格要求：【标项1、</w:t>
      </w:r>
      <w:r>
        <w:rPr>
          <w:rFonts w:hint="eastAsia" w:ascii="仿宋_GB2312" w:hAnsi="仿宋_GB2312" w:eastAsia="仿宋_GB2312" w:cs="仿宋_GB2312"/>
          <w:i w:val="0"/>
          <w:iCs w:val="0"/>
          <w:caps w:val="0"/>
          <w:spacing w:val="0"/>
          <w:sz w:val="32"/>
          <w:szCs w:val="32"/>
          <w:shd w:val="clear" w:fill="FFFFFF"/>
          <w:lang w:val="en-US" w:eastAsia="zh-CN"/>
        </w:rPr>
        <w:t>2】：</w:t>
      </w:r>
      <w:bookmarkStart w:id="7" w:name="OLE_LINK5"/>
      <w:r>
        <w:rPr>
          <w:rFonts w:hint="eastAsia" w:ascii="仿宋_GB2312" w:hAnsi="仿宋_GB2312" w:eastAsia="仿宋_GB2312" w:cs="仿宋_GB2312"/>
          <w:i w:val="0"/>
          <w:iCs w:val="0"/>
          <w:caps w:val="0"/>
          <w:spacing w:val="0"/>
          <w:sz w:val="32"/>
          <w:szCs w:val="32"/>
          <w:shd w:val="clear" w:fill="FFFFFF"/>
          <w:lang w:val="en-US" w:eastAsia="zh-CN"/>
        </w:rPr>
        <w:t>（1）法定代表人身份证或法定代表人授权委托书和委托代理人的身份证，法定代表人授权委托书应当与响应文件中所提供的相一致；</w:t>
      </w:r>
    </w:p>
    <w:p w14:paraId="685A9329">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2）投标人为制造商的须提供《医疗器械生产许可证》；投标人为经销商的须提供《医疗器械经营许可证》或者《医疗器械经营备案凭证》；投标人须提供所投产品的《医疗器械注册证》(含注册登记表)和《医疗器械生产许可证》，证件应在有效期内。（不属于医疗器械范畴或国家另有规定的除外）</w:t>
      </w:r>
    </w:p>
    <w:bookmarkEnd w:id="7"/>
    <w:p w14:paraId="14D65906">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lang w:val="en-US" w:eastAsia="zh-CN"/>
        </w:rPr>
      </w:pPr>
      <w:r>
        <w:rPr>
          <w:rStyle w:val="31"/>
          <w:rFonts w:hint="eastAsia" w:ascii="仿宋_GB2312" w:hAnsi="仿宋_GB2312" w:eastAsia="仿宋_GB2312" w:cs="仿宋_GB2312"/>
          <w:color w:val="auto"/>
          <w:sz w:val="32"/>
          <w:szCs w:val="32"/>
          <w:highlight w:val="none"/>
          <w:shd w:val="clear" w:color="auto" w:fill="FFFFFF"/>
          <w:lang w:val="en-US" w:eastAsia="zh-CN"/>
        </w:rPr>
        <w:t>三、获取招标文件</w:t>
      </w:r>
    </w:p>
    <w:p w14:paraId="770990DA">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时间</w:t>
      </w:r>
      <w:r>
        <w:rPr>
          <w:rFonts w:hint="eastAsia" w:ascii="仿宋_GB2312" w:hAnsi="仿宋_GB2312" w:eastAsia="仿宋_GB2312" w:cs="仿宋_GB2312"/>
          <w:i w:val="0"/>
          <w:iCs w:val="0"/>
          <w:caps w:val="0"/>
          <w:color w:val="auto"/>
          <w:spacing w:val="0"/>
          <w:sz w:val="32"/>
          <w:szCs w:val="32"/>
          <w:shd w:val="clear" w:fill="FFFFFF"/>
          <w:lang w:val="en-US" w:eastAsia="zh-CN"/>
        </w:rPr>
        <w:t>：2026年04月10日至 2026年04月17日，每天上午10:00至14:00，下午15:30至19:30（法定节假日除外）</w:t>
      </w:r>
    </w:p>
    <w:p w14:paraId="0BBC3920">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地点：政采云平台线上获取</w:t>
      </w:r>
    </w:p>
    <w:p w14:paraId="15C990DE">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方式：供应商登录政采云平台https://www.zcygov.cn/在线申请获取采购文件（进入“项目采购”应用，在获取采购文件菜单中选择项目，申请获取采购文件）</w:t>
      </w:r>
    </w:p>
    <w:p w14:paraId="5D9B77D7">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售价（元）：0</w:t>
      </w:r>
    </w:p>
    <w:p w14:paraId="2BD938C6">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lang w:val="en-US" w:eastAsia="zh-CN"/>
        </w:rPr>
      </w:pPr>
      <w:r>
        <w:rPr>
          <w:rStyle w:val="31"/>
          <w:rFonts w:hint="eastAsia" w:ascii="仿宋_GB2312" w:hAnsi="仿宋_GB2312" w:eastAsia="仿宋_GB2312" w:cs="仿宋_GB2312"/>
          <w:color w:val="auto"/>
          <w:sz w:val="32"/>
          <w:szCs w:val="32"/>
          <w:highlight w:val="none"/>
          <w:shd w:val="clear" w:color="auto" w:fill="FFFFFF"/>
          <w:lang w:val="en-US" w:eastAsia="zh-CN"/>
        </w:rPr>
        <w:t>四、提交投标文件截止时间、开标时间和地点</w:t>
      </w:r>
    </w:p>
    <w:p w14:paraId="53981856">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提交投标文件截止时间：2026年04月30日 11:00（北京时间）</w:t>
      </w:r>
    </w:p>
    <w:p w14:paraId="6BB5AA40">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投标地点：请登录政采云投标客户端投标</w:t>
      </w:r>
    </w:p>
    <w:p w14:paraId="5EA883BA">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开标时间：2026年04月30日 11:00</w:t>
      </w:r>
    </w:p>
    <w:p w14:paraId="4DAD7870">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开标地点：</w:t>
      </w:r>
      <w:bookmarkStart w:id="8" w:name="OLE_LINK6"/>
      <w:r>
        <w:rPr>
          <w:rFonts w:hint="eastAsia" w:ascii="仿宋_GB2312" w:hAnsi="仿宋_GB2312" w:eastAsia="仿宋_GB2312" w:cs="仿宋_GB2312"/>
          <w:i w:val="0"/>
          <w:iCs w:val="0"/>
          <w:caps w:val="0"/>
          <w:color w:val="auto"/>
          <w:spacing w:val="0"/>
          <w:sz w:val="32"/>
          <w:szCs w:val="32"/>
          <w:shd w:val="clear" w:fill="FFFFFF"/>
          <w:lang w:val="en-US" w:eastAsia="zh-CN"/>
        </w:rPr>
        <w:t>政采云平台（http://www.ccgp-xinjiang.gov.cn/home.html） </w:t>
      </w:r>
    </w:p>
    <w:bookmarkEnd w:id="8"/>
    <w:p w14:paraId="4B013207">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lang w:val="en-US" w:eastAsia="zh-CN"/>
        </w:rPr>
      </w:pPr>
      <w:r>
        <w:rPr>
          <w:rStyle w:val="31"/>
          <w:rFonts w:hint="eastAsia" w:ascii="仿宋_GB2312" w:hAnsi="仿宋_GB2312" w:eastAsia="仿宋_GB2312" w:cs="仿宋_GB2312"/>
          <w:color w:val="auto"/>
          <w:sz w:val="32"/>
          <w:szCs w:val="32"/>
          <w:highlight w:val="none"/>
          <w:shd w:val="clear" w:color="auto" w:fill="FFFFFF"/>
          <w:lang w:val="en-US" w:eastAsia="zh-CN"/>
        </w:rPr>
        <w:t>五、公告期限 </w:t>
      </w:r>
    </w:p>
    <w:p w14:paraId="2C80CC35">
      <w:pPr>
        <w:pStyle w:val="24"/>
        <w:keepNext w:val="0"/>
        <w:keepLines w:val="0"/>
        <w:pageBreakBefore w:val="0"/>
        <w:shd w:val="clear" w:color="auto" w:fill="FFFFFF"/>
        <w:kinsoku/>
        <w:overflowPunct/>
        <w:topLinePunct w:val="0"/>
        <w:autoSpaceDE/>
        <w:autoSpaceDN/>
        <w:bidi w:val="0"/>
        <w:adjustRightInd/>
        <w:spacing w:before="0" w:beforeAutospacing="0" w:after="0" w:afterAutospacing="0" w:line="460" w:lineRule="exact"/>
        <w:ind w:left="315" w:lef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自本公告发布之日起5个工作日。</w:t>
      </w:r>
    </w:p>
    <w:p w14:paraId="224585A6">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lang w:val="en-US" w:eastAsia="zh-CN"/>
        </w:rPr>
      </w:pPr>
      <w:r>
        <w:rPr>
          <w:rStyle w:val="31"/>
          <w:rFonts w:hint="eastAsia" w:ascii="仿宋_GB2312" w:hAnsi="仿宋_GB2312" w:eastAsia="仿宋_GB2312" w:cs="仿宋_GB2312"/>
          <w:color w:val="auto"/>
          <w:sz w:val="32"/>
          <w:szCs w:val="32"/>
          <w:highlight w:val="none"/>
          <w:shd w:val="clear" w:color="auto" w:fill="FFFFFF"/>
          <w:lang w:val="en-US" w:eastAsia="zh-CN"/>
        </w:rPr>
        <w:t>六、其他补充事宜 </w:t>
      </w:r>
    </w:p>
    <w:p w14:paraId="7C7C0C60">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1E3B24FE">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ab/>
      </w:r>
      <w:r>
        <w:rPr>
          <w:rFonts w:hint="eastAsia" w:ascii="仿宋_GB2312" w:hAnsi="仿宋_GB2312" w:eastAsia="仿宋_GB2312" w:cs="仿宋_GB2312"/>
          <w:i w:val="0"/>
          <w:iCs w:val="0"/>
          <w:caps w:val="0"/>
          <w:spacing w:val="0"/>
          <w:sz w:val="32"/>
          <w:szCs w:val="32"/>
          <w:shd w:val="clear" w:fill="FFFFFF"/>
          <w:lang w:val="en-US" w:eastAsia="zh-CN"/>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1C803E2C">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ab/>
      </w:r>
      <w:r>
        <w:rPr>
          <w:rFonts w:hint="eastAsia" w:ascii="仿宋_GB2312" w:hAnsi="仿宋_GB2312" w:eastAsia="仿宋_GB2312" w:cs="仿宋_GB2312"/>
          <w:i w:val="0"/>
          <w:iCs w:val="0"/>
          <w:caps w:val="0"/>
          <w:spacing w:val="0"/>
          <w:sz w:val="32"/>
          <w:szCs w:val="32"/>
          <w:shd w:val="clear" w:fill="FFFFFF"/>
          <w:lang w:val="en-US" w:eastAsia="zh-CN"/>
        </w:rPr>
        <w:t>3、供应商应当在投标截止时间前，将“电子招投标供应商客户端”生成的“电子加密投标文件”上传电子交易平台。</w:t>
      </w:r>
    </w:p>
    <w:p w14:paraId="5AB0E435">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ab/>
      </w:r>
      <w:r>
        <w:rPr>
          <w:rFonts w:hint="eastAsia" w:ascii="仿宋_GB2312" w:hAnsi="仿宋_GB2312" w:eastAsia="仿宋_GB2312" w:cs="仿宋_GB2312"/>
          <w:i w:val="0"/>
          <w:iCs w:val="0"/>
          <w:caps w:val="0"/>
          <w:spacing w:val="0"/>
          <w:sz w:val="32"/>
          <w:szCs w:val="32"/>
          <w:shd w:val="clear" w:fill="FFFFFF"/>
          <w:lang w:val="en-US" w:eastAsia="zh-CN"/>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12F77CE3">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特别提示：</w:t>
      </w:r>
    </w:p>
    <w:p w14:paraId="4C5EC14A">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11BCF7DD">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DAFBCD6">
      <w:pPr>
        <w:pStyle w:val="24"/>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17AE5934">
      <w:pPr>
        <w:pStyle w:val="24"/>
        <w:shd w:val="clear" w:color="auto" w:fill="FFFFFF"/>
        <w:spacing w:before="0" w:beforeAutospacing="0" w:after="0" w:afterAutospacing="0" w:line="336" w:lineRule="auto"/>
        <w:jc w:val="both"/>
        <w:rPr>
          <w:rStyle w:val="31"/>
          <w:rFonts w:hint="eastAsia" w:ascii="仿宋_GB2312" w:hAnsi="仿宋_GB2312" w:eastAsia="仿宋_GB2312" w:cs="仿宋_GB2312"/>
          <w:color w:val="auto"/>
          <w:sz w:val="32"/>
          <w:szCs w:val="32"/>
          <w:highlight w:val="none"/>
          <w:shd w:val="clear" w:color="auto" w:fill="FFFFFF"/>
          <w:lang w:val="en-US" w:eastAsia="zh-CN"/>
        </w:rPr>
      </w:pPr>
      <w:r>
        <w:rPr>
          <w:rStyle w:val="31"/>
          <w:rFonts w:hint="eastAsia" w:ascii="仿宋_GB2312" w:hAnsi="仿宋_GB2312" w:eastAsia="仿宋_GB2312" w:cs="仿宋_GB2312"/>
          <w:color w:val="auto"/>
          <w:sz w:val="32"/>
          <w:szCs w:val="32"/>
          <w:highlight w:val="none"/>
          <w:shd w:val="clear" w:color="auto" w:fill="FFFFFF"/>
          <w:lang w:val="en-US" w:eastAsia="zh-CN"/>
        </w:rPr>
        <w:t>七、凡对本次招标提出询问，请按以下方式联系</w:t>
      </w:r>
    </w:p>
    <w:p w14:paraId="77B89C24">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1.采购人信息</w:t>
      </w:r>
    </w:p>
    <w:p w14:paraId="63533CF9">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名 称：</w:t>
      </w:r>
      <w:r>
        <w:rPr>
          <w:rFonts w:hint="eastAsia" w:ascii="仿宋_GB2312" w:hAnsi="仿宋_GB2312" w:eastAsia="仿宋_GB2312" w:cs="仿宋_GB2312"/>
          <w:color w:val="000000" w:themeColor="text1"/>
          <w:sz w:val="32"/>
          <w:szCs w:val="32"/>
          <w:highlight w:val="none"/>
          <w:shd w:val="clear" w:color="auto" w:fill="FFFFFF"/>
          <w:lang w:val="zh-CN" w:eastAsia="zh-CN"/>
          <w14:textFill>
            <w14:solidFill>
              <w14:schemeClr w14:val="tx1"/>
            </w14:solidFill>
          </w14:textFill>
        </w:rPr>
        <w:t>伊犁哈萨克自治州友谊医院</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w:t>
      </w:r>
    </w:p>
    <w:p w14:paraId="6331BB2B">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地址：</w:t>
      </w:r>
      <w:r>
        <w:rPr>
          <w:rFonts w:hint="eastAsia" w:ascii="仿宋_GB2312" w:hAnsi="仿宋_GB2312" w:eastAsia="仿宋_GB2312" w:cs="仿宋_GB2312"/>
          <w:color w:val="000000" w:themeColor="text1"/>
          <w:sz w:val="32"/>
          <w:szCs w:val="32"/>
          <w:highlight w:val="none"/>
          <w:shd w:val="clear" w:color="auto" w:fill="FFFFFF"/>
          <w:lang w:val="zh-CN" w:eastAsia="zh-CN"/>
          <w14:textFill>
            <w14:solidFill>
              <w14:schemeClr w14:val="tx1"/>
            </w14:solidFill>
          </w14:textFill>
        </w:rPr>
        <w:t>伊宁市斯大林街92号、重庆路58号　　　</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w:t>
      </w:r>
    </w:p>
    <w:p w14:paraId="47AAE0C3">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联系方式：</w:t>
      </w:r>
      <w:r>
        <w:rPr>
          <w:rFonts w:hint="eastAsia" w:ascii="仿宋_GB2312" w:hAnsi="仿宋_GB2312" w:eastAsia="仿宋_GB2312" w:cs="仿宋_GB2312"/>
          <w:color w:val="000000" w:themeColor="text1"/>
          <w:sz w:val="32"/>
          <w:szCs w:val="32"/>
          <w:highlight w:val="none"/>
          <w:shd w:val="clear" w:color="auto" w:fill="FFFFFF"/>
          <w:lang w:val="zh-CN" w:eastAsia="zh-CN"/>
          <w14:textFill>
            <w14:solidFill>
              <w14:schemeClr w14:val="tx1"/>
            </w14:solidFill>
          </w14:textFill>
        </w:rPr>
        <w:t>0999-8096866　</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　　　　　　　　 </w:t>
      </w:r>
      <w:bookmarkStart w:id="9" w:name="_Toc28359009"/>
      <w:bookmarkStart w:id="10" w:name="_Toc28359086"/>
    </w:p>
    <w:p w14:paraId="2AA330F8">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2.采购代理机构信息</w:t>
      </w:r>
      <w:bookmarkEnd w:id="9"/>
      <w:bookmarkEnd w:id="10"/>
    </w:p>
    <w:p w14:paraId="791929F1">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名 称：新疆金斌工程项目管理有限公司　　　　　　　　　　　　</w:t>
      </w:r>
    </w:p>
    <w:p w14:paraId="4BBB26EE">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地　址：伊宁市福安国际1号商业楼413室　　　　　　　　　　　　</w:t>
      </w:r>
    </w:p>
    <w:p w14:paraId="38E3AA36">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联系方式：</w:t>
      </w:r>
      <w:bookmarkStart w:id="11" w:name="_Toc28359087"/>
      <w:bookmarkStart w:id="12" w:name="_Toc28359010"/>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13201118511　　　　　　　　　　　　</w:t>
      </w:r>
    </w:p>
    <w:p w14:paraId="4BA477B9">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3.项目联系方式</w:t>
      </w:r>
      <w:bookmarkEnd w:id="11"/>
      <w:bookmarkEnd w:id="12"/>
    </w:p>
    <w:p w14:paraId="0BFB7367">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项目联系人：黄新新</w:t>
      </w:r>
    </w:p>
    <w:p w14:paraId="6FA34962">
      <w:pPr>
        <w:pStyle w:val="24"/>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电　话：13201118511　</w:t>
      </w:r>
    </w:p>
    <w:p w14:paraId="58957B7A">
      <w:pPr>
        <w:rPr>
          <w:rFonts w:hint="eastAsia" w:ascii="仿宋" w:hAnsi="仿宋" w:eastAsia="仿宋" w:cs="仿宋"/>
          <w:b/>
          <w:snapToGrid w:val="0"/>
          <w:color w:val="auto"/>
          <w:kern w:val="2"/>
          <w:sz w:val="44"/>
          <w:szCs w:val="44"/>
          <w:highlight w:val="none"/>
          <w:lang w:val="en-US" w:eastAsia="zh-CN" w:bidi="ar-SA"/>
        </w:rPr>
      </w:pPr>
    </w:p>
    <w:p w14:paraId="625F44CE">
      <w:pPr>
        <w:pStyle w:val="25"/>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p>
    <w:p w14:paraId="36FA697F">
      <w:pPr>
        <w:rPr>
          <w:rFonts w:hint="eastAsia" w:ascii="方正小标宋_GBK" w:hAnsi="方正小标宋_GBK" w:eastAsia="方正小标宋_GBK" w:cs="方正小标宋_GBK"/>
          <w:b w:val="0"/>
          <w:bCs w:val="0"/>
          <w:snapToGrid/>
          <w:kern w:val="2"/>
          <w:sz w:val="32"/>
          <w:szCs w:val="32"/>
          <w:lang w:val="en-US" w:eastAsia="zh-CN" w:bidi="ar-SA"/>
        </w:rPr>
      </w:pPr>
    </w:p>
    <w:p w14:paraId="7FB6133D">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026BF101">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14667913">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4CE88BB7">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1B8D0E58">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4D2AB6C4">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79897AB6">
      <w:pPr>
        <w:pStyle w:val="25"/>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r>
        <w:rPr>
          <w:rFonts w:hint="eastAsia" w:ascii="方正小标宋_GBK" w:hAnsi="方正小标宋_GBK" w:eastAsia="方正小标宋_GBK" w:cs="方正小标宋_GBK"/>
          <w:b w:val="0"/>
          <w:bCs w:val="0"/>
          <w:snapToGrid/>
          <w:kern w:val="2"/>
          <w:sz w:val="32"/>
          <w:szCs w:val="32"/>
          <w:lang w:val="en-US" w:eastAsia="zh-CN" w:bidi="ar-SA"/>
        </w:rPr>
        <w:t xml:space="preserve">第二章 </w:t>
      </w:r>
      <w:bookmarkStart w:id="13" w:name="_Toc5345_WPSOffice_Level1"/>
      <w:r>
        <w:rPr>
          <w:rFonts w:hint="eastAsia" w:ascii="方正小标宋_GBK" w:hAnsi="方正小标宋_GBK" w:eastAsia="方正小标宋_GBK" w:cs="方正小标宋_GBK"/>
          <w:b w:val="0"/>
          <w:bCs w:val="0"/>
          <w:snapToGrid/>
          <w:kern w:val="2"/>
          <w:sz w:val="32"/>
          <w:szCs w:val="32"/>
          <w:lang w:val="en-US" w:eastAsia="zh-CN" w:bidi="ar-SA"/>
        </w:rPr>
        <w:t>投标须知前附表</w:t>
      </w:r>
      <w:bookmarkEnd w:id="3"/>
      <w:bookmarkEnd w:id="13"/>
    </w:p>
    <w:tbl>
      <w:tblPr>
        <w:tblStyle w:val="28"/>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5786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05" w:hRule="atLeast"/>
        </w:trPr>
        <w:tc>
          <w:tcPr>
            <w:tcW w:w="746" w:type="dxa"/>
            <w:vAlign w:val="center"/>
          </w:tcPr>
          <w:p w14:paraId="4E6B43D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序号</w:t>
            </w:r>
          </w:p>
        </w:tc>
        <w:tc>
          <w:tcPr>
            <w:tcW w:w="1937" w:type="dxa"/>
            <w:vAlign w:val="center"/>
          </w:tcPr>
          <w:p w14:paraId="2CA0EE8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条款名称</w:t>
            </w:r>
          </w:p>
        </w:tc>
        <w:tc>
          <w:tcPr>
            <w:tcW w:w="7850" w:type="dxa"/>
            <w:gridSpan w:val="4"/>
            <w:tcBorders>
              <w:bottom w:val="single" w:color="auto" w:sz="4" w:space="0"/>
            </w:tcBorders>
            <w:vAlign w:val="center"/>
          </w:tcPr>
          <w:p w14:paraId="55390DF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内容</w:t>
            </w:r>
          </w:p>
        </w:tc>
      </w:tr>
      <w:tr w14:paraId="56E3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vAlign w:val="center"/>
          </w:tcPr>
          <w:p w14:paraId="1E9DB97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w:t>
            </w:r>
          </w:p>
        </w:tc>
        <w:tc>
          <w:tcPr>
            <w:tcW w:w="1937" w:type="dxa"/>
            <w:vMerge w:val="restart"/>
            <w:vAlign w:val="center"/>
          </w:tcPr>
          <w:p w14:paraId="67BC853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项目名称</w:t>
            </w:r>
          </w:p>
        </w:tc>
        <w:tc>
          <w:tcPr>
            <w:tcW w:w="1281" w:type="dxa"/>
            <w:tcBorders>
              <w:top w:val="single" w:color="auto" w:sz="4" w:space="0"/>
              <w:bottom w:val="single" w:color="auto" w:sz="4" w:space="0"/>
              <w:right w:val="single" w:color="auto" w:sz="4" w:space="0"/>
            </w:tcBorders>
            <w:vAlign w:val="center"/>
          </w:tcPr>
          <w:p w14:paraId="5278ACF0">
            <w:pPr>
              <w:keepNext w:val="0"/>
              <w:keepLines w:val="0"/>
              <w:pageBreakBefore w:val="0"/>
              <w:kinsoku/>
              <w:topLinePunct w:val="0"/>
              <w:autoSpaceDE w:val="0"/>
              <w:autoSpaceDN w:val="0"/>
              <w:bidi w:val="0"/>
              <w:adjustRightInd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名称</w:t>
            </w:r>
          </w:p>
        </w:tc>
        <w:tc>
          <w:tcPr>
            <w:tcW w:w="6569" w:type="dxa"/>
            <w:gridSpan w:val="3"/>
            <w:tcBorders>
              <w:top w:val="single" w:color="auto" w:sz="4" w:space="0"/>
              <w:left w:val="single" w:color="auto" w:sz="4" w:space="0"/>
              <w:bottom w:val="single" w:color="auto" w:sz="4" w:space="0"/>
            </w:tcBorders>
            <w:vAlign w:val="center"/>
          </w:tcPr>
          <w:p w14:paraId="373B49B2">
            <w:pPr>
              <w:keepNext w:val="0"/>
              <w:keepLines w:val="0"/>
              <w:pageBreakBefore w:val="0"/>
              <w:kinsoku/>
              <w:topLinePunct w:val="0"/>
              <w:autoSpaceDE w:val="0"/>
              <w:autoSpaceDN w:val="0"/>
              <w:bidi w:val="0"/>
              <w:adjustRightInd w:val="0"/>
              <w:spacing w:line="500" w:lineRule="exact"/>
              <w:jc w:val="left"/>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lang w:eastAsia="zh-CN"/>
              </w:rPr>
              <w:t>2026年中央医疗服务与保障能力提升(医疗卫生机构能力建设)补助资金(肿瘤重点专科医疗设备)项目</w:t>
            </w:r>
          </w:p>
        </w:tc>
      </w:tr>
      <w:tr w14:paraId="4C849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vAlign w:val="center"/>
          </w:tcPr>
          <w:p w14:paraId="30C78A1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529C2F3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right w:val="single" w:color="auto" w:sz="4" w:space="0"/>
            </w:tcBorders>
            <w:vAlign w:val="center"/>
          </w:tcPr>
          <w:p w14:paraId="6AB27127">
            <w:pPr>
              <w:keepNext w:val="0"/>
              <w:keepLines w:val="0"/>
              <w:pageBreakBefore w:val="0"/>
              <w:kinsoku/>
              <w:topLinePunct w:val="0"/>
              <w:autoSpaceDE w:val="0"/>
              <w:autoSpaceDN w:val="0"/>
              <w:bidi w:val="0"/>
              <w:adjustRightInd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编号</w:t>
            </w:r>
          </w:p>
        </w:tc>
        <w:tc>
          <w:tcPr>
            <w:tcW w:w="6569" w:type="dxa"/>
            <w:gridSpan w:val="3"/>
            <w:tcBorders>
              <w:top w:val="single" w:color="auto" w:sz="4" w:space="0"/>
              <w:left w:val="single" w:color="auto" w:sz="4" w:space="0"/>
            </w:tcBorders>
            <w:vAlign w:val="center"/>
          </w:tcPr>
          <w:p w14:paraId="31EB83CA">
            <w:pPr>
              <w:pageBreakBefore w:val="0"/>
              <w:autoSpaceDE w:val="0"/>
              <w:autoSpaceDN w:val="0"/>
              <w:bidi w:val="0"/>
              <w:adjustRightInd w:val="0"/>
              <w:spacing w:line="360" w:lineRule="auto"/>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XJJB-2026-024/025</w:t>
            </w:r>
          </w:p>
        </w:tc>
      </w:tr>
      <w:tr w14:paraId="7BA25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vAlign w:val="center"/>
          </w:tcPr>
          <w:p w14:paraId="43E2DD0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2</w:t>
            </w:r>
          </w:p>
        </w:tc>
        <w:tc>
          <w:tcPr>
            <w:tcW w:w="1937" w:type="dxa"/>
            <w:vMerge w:val="restart"/>
            <w:vAlign w:val="center"/>
          </w:tcPr>
          <w:p w14:paraId="56547D83">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采购人</w:t>
            </w:r>
          </w:p>
        </w:tc>
        <w:tc>
          <w:tcPr>
            <w:tcW w:w="1281" w:type="dxa"/>
            <w:tcBorders>
              <w:bottom w:val="single" w:color="auto" w:sz="4" w:space="0"/>
              <w:right w:val="single" w:color="auto" w:sz="4" w:space="0"/>
            </w:tcBorders>
            <w:vAlign w:val="center"/>
          </w:tcPr>
          <w:p w14:paraId="08B2F37A">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名称</w:t>
            </w:r>
          </w:p>
        </w:tc>
        <w:tc>
          <w:tcPr>
            <w:tcW w:w="6569" w:type="dxa"/>
            <w:gridSpan w:val="3"/>
            <w:tcBorders>
              <w:left w:val="single" w:color="auto" w:sz="4" w:space="0"/>
              <w:bottom w:val="single" w:color="auto" w:sz="4" w:space="0"/>
            </w:tcBorders>
            <w:vAlign w:val="center"/>
          </w:tcPr>
          <w:p w14:paraId="1282B1B8">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zh-CN"/>
              </w:rPr>
              <w:t>伊犁哈萨克自治州友谊医院</w:t>
            </w:r>
          </w:p>
        </w:tc>
      </w:tr>
      <w:tr w14:paraId="6FF6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vAlign w:val="center"/>
          </w:tcPr>
          <w:p w14:paraId="76B8CE8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20F999B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bottom w:val="single" w:color="auto" w:sz="4" w:space="0"/>
              <w:right w:val="single" w:color="auto" w:sz="4" w:space="0"/>
            </w:tcBorders>
            <w:vAlign w:val="center"/>
          </w:tcPr>
          <w:p w14:paraId="447EB908">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联系人</w:t>
            </w:r>
          </w:p>
        </w:tc>
        <w:tc>
          <w:tcPr>
            <w:tcW w:w="2183" w:type="dxa"/>
            <w:tcBorders>
              <w:top w:val="single" w:color="auto" w:sz="4" w:space="0"/>
              <w:left w:val="single" w:color="auto" w:sz="4" w:space="0"/>
              <w:bottom w:val="single" w:color="auto" w:sz="4" w:space="0"/>
              <w:right w:val="single" w:color="auto" w:sz="4" w:space="0"/>
            </w:tcBorders>
            <w:vAlign w:val="center"/>
          </w:tcPr>
          <w:p w14:paraId="6A28F3B4">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lang w:val="en-US" w:eastAsia="zh-CN"/>
              </w:rPr>
            </w:pPr>
            <w:bookmarkStart w:id="14" w:name="OLE_LINK8"/>
            <w:r>
              <w:rPr>
                <w:rFonts w:hint="eastAsia" w:ascii="仿宋_GB2312" w:hAnsi="仿宋_GB2312" w:eastAsia="仿宋_GB2312" w:cs="仿宋_GB2312"/>
                <w:color w:val="auto"/>
                <w:sz w:val="32"/>
                <w:szCs w:val="32"/>
                <w:lang w:val="en-US" w:eastAsia="zh-CN"/>
              </w:rPr>
              <w:t>王颖意</w:t>
            </w:r>
            <w:bookmarkEnd w:id="14"/>
          </w:p>
        </w:tc>
        <w:tc>
          <w:tcPr>
            <w:tcW w:w="1889" w:type="dxa"/>
            <w:tcBorders>
              <w:top w:val="single" w:color="auto" w:sz="4" w:space="0"/>
              <w:left w:val="single" w:color="auto" w:sz="4" w:space="0"/>
              <w:bottom w:val="single" w:color="auto" w:sz="4" w:space="0"/>
              <w:right w:val="single" w:color="auto" w:sz="4" w:space="0"/>
            </w:tcBorders>
            <w:vAlign w:val="center"/>
          </w:tcPr>
          <w:p w14:paraId="1E2EA494">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vAlign w:val="center"/>
          </w:tcPr>
          <w:p w14:paraId="2222083A">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0999-8096866</w:t>
            </w:r>
          </w:p>
        </w:tc>
      </w:tr>
      <w:tr w14:paraId="2E656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vAlign w:val="center"/>
          </w:tcPr>
          <w:p w14:paraId="7B1F786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6C22FE9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right w:val="single" w:color="auto" w:sz="4" w:space="0"/>
            </w:tcBorders>
            <w:vAlign w:val="center"/>
          </w:tcPr>
          <w:p w14:paraId="737C1352">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地址</w:t>
            </w:r>
          </w:p>
        </w:tc>
        <w:tc>
          <w:tcPr>
            <w:tcW w:w="6569" w:type="dxa"/>
            <w:gridSpan w:val="3"/>
            <w:tcBorders>
              <w:top w:val="single" w:color="auto" w:sz="4" w:space="0"/>
              <w:left w:val="single" w:color="auto" w:sz="4" w:space="0"/>
            </w:tcBorders>
            <w:vAlign w:val="center"/>
          </w:tcPr>
          <w:p w14:paraId="05C31C87">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u w:val="none"/>
                <w:lang w:val="zh-CN" w:eastAsia="zh-CN"/>
              </w:rPr>
              <w:t>伊宁市斯大林街92号、重庆路58号　</w:t>
            </w:r>
          </w:p>
        </w:tc>
      </w:tr>
      <w:tr w14:paraId="33B2F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vAlign w:val="center"/>
          </w:tcPr>
          <w:p w14:paraId="31D955A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3</w:t>
            </w:r>
          </w:p>
        </w:tc>
        <w:tc>
          <w:tcPr>
            <w:tcW w:w="1937" w:type="dxa"/>
            <w:vMerge w:val="restart"/>
            <w:vAlign w:val="center"/>
          </w:tcPr>
          <w:p w14:paraId="0C909EC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采购代理</w:t>
            </w:r>
          </w:p>
          <w:p w14:paraId="0EBAB0D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机构</w:t>
            </w:r>
          </w:p>
        </w:tc>
        <w:tc>
          <w:tcPr>
            <w:tcW w:w="1281" w:type="dxa"/>
            <w:tcBorders>
              <w:bottom w:val="single" w:color="auto" w:sz="4" w:space="0"/>
              <w:right w:val="single" w:color="auto" w:sz="4" w:space="0"/>
            </w:tcBorders>
            <w:vAlign w:val="center"/>
          </w:tcPr>
          <w:p w14:paraId="0792616F">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名称</w:t>
            </w:r>
          </w:p>
        </w:tc>
        <w:tc>
          <w:tcPr>
            <w:tcW w:w="6569" w:type="dxa"/>
            <w:gridSpan w:val="3"/>
            <w:tcBorders>
              <w:left w:val="single" w:color="auto" w:sz="4" w:space="0"/>
              <w:bottom w:val="single" w:color="auto" w:sz="4" w:space="0"/>
            </w:tcBorders>
            <w:vAlign w:val="center"/>
          </w:tcPr>
          <w:p w14:paraId="73CDA8E7">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u w:val="none"/>
                <w:lang w:val="zh-CN" w:eastAsia="zh-CN"/>
              </w:rPr>
              <w:t>新疆金斌工程项目管理有限公司</w:t>
            </w:r>
          </w:p>
        </w:tc>
      </w:tr>
      <w:tr w14:paraId="47CA2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vAlign w:val="center"/>
          </w:tcPr>
          <w:p w14:paraId="03CCB11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5460284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bottom w:val="single" w:color="auto" w:sz="4" w:space="0"/>
              <w:right w:val="single" w:color="auto" w:sz="4" w:space="0"/>
            </w:tcBorders>
            <w:vAlign w:val="center"/>
          </w:tcPr>
          <w:p w14:paraId="0DC6B534">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联系人</w:t>
            </w:r>
          </w:p>
        </w:tc>
        <w:tc>
          <w:tcPr>
            <w:tcW w:w="2183" w:type="dxa"/>
            <w:tcBorders>
              <w:top w:val="single" w:color="auto" w:sz="4" w:space="0"/>
              <w:left w:val="single" w:color="auto" w:sz="4" w:space="0"/>
              <w:bottom w:val="single" w:color="auto" w:sz="4" w:space="0"/>
              <w:right w:val="single" w:color="auto" w:sz="4" w:space="0"/>
            </w:tcBorders>
            <w:vAlign w:val="center"/>
          </w:tcPr>
          <w:p w14:paraId="1874A85F">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黄新新</w:t>
            </w:r>
          </w:p>
        </w:tc>
        <w:tc>
          <w:tcPr>
            <w:tcW w:w="1889" w:type="dxa"/>
            <w:tcBorders>
              <w:top w:val="single" w:color="auto" w:sz="4" w:space="0"/>
              <w:left w:val="single" w:color="auto" w:sz="4" w:space="0"/>
              <w:bottom w:val="single" w:color="auto" w:sz="4" w:space="0"/>
              <w:right w:val="single" w:color="auto" w:sz="4" w:space="0"/>
            </w:tcBorders>
            <w:vAlign w:val="center"/>
          </w:tcPr>
          <w:p w14:paraId="219238BD">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2497" w:type="dxa"/>
            <w:tcBorders>
              <w:top w:val="single" w:color="auto" w:sz="4" w:space="0"/>
              <w:left w:val="single" w:color="auto" w:sz="4" w:space="0"/>
              <w:bottom w:val="single" w:color="auto" w:sz="4" w:space="0"/>
            </w:tcBorders>
            <w:vAlign w:val="center"/>
          </w:tcPr>
          <w:p w14:paraId="0069C63C">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13201118511</w:t>
            </w:r>
          </w:p>
        </w:tc>
      </w:tr>
      <w:tr w14:paraId="221B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vAlign w:val="center"/>
          </w:tcPr>
          <w:p w14:paraId="00B2031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26373F8D">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right w:val="single" w:color="auto" w:sz="4" w:space="0"/>
            </w:tcBorders>
            <w:vAlign w:val="center"/>
          </w:tcPr>
          <w:p w14:paraId="3FD1C580">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地址</w:t>
            </w:r>
          </w:p>
        </w:tc>
        <w:tc>
          <w:tcPr>
            <w:tcW w:w="6569" w:type="dxa"/>
            <w:gridSpan w:val="3"/>
            <w:tcBorders>
              <w:top w:val="single" w:color="auto" w:sz="4" w:space="0"/>
              <w:left w:val="single" w:color="auto" w:sz="4" w:space="0"/>
            </w:tcBorders>
            <w:vAlign w:val="center"/>
          </w:tcPr>
          <w:p w14:paraId="75152AB3">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bookmarkStart w:id="15" w:name="OLE_LINK9"/>
            <w:r>
              <w:rPr>
                <w:rFonts w:hint="eastAsia" w:ascii="仿宋_GB2312" w:hAnsi="仿宋_GB2312" w:eastAsia="仿宋_GB2312" w:cs="仿宋_GB2312"/>
                <w:color w:val="auto"/>
                <w:sz w:val="32"/>
                <w:szCs w:val="32"/>
                <w:u w:val="none"/>
                <w:lang w:val="en-US" w:eastAsia="zh-CN"/>
              </w:rPr>
              <w:t>伊宁市福安国际1号商业楼413室</w:t>
            </w:r>
            <w:bookmarkEnd w:id="15"/>
          </w:p>
        </w:tc>
      </w:tr>
      <w:tr w14:paraId="3DCF7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Align w:val="center"/>
          </w:tcPr>
          <w:p w14:paraId="00881CE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4</w:t>
            </w:r>
          </w:p>
        </w:tc>
        <w:tc>
          <w:tcPr>
            <w:tcW w:w="1937" w:type="dxa"/>
            <w:vAlign w:val="center"/>
          </w:tcPr>
          <w:p w14:paraId="33B0303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采购内容</w:t>
            </w:r>
          </w:p>
        </w:tc>
        <w:tc>
          <w:tcPr>
            <w:tcW w:w="7850" w:type="dxa"/>
            <w:gridSpan w:val="4"/>
            <w:vAlign w:val="center"/>
          </w:tcPr>
          <w:p w14:paraId="01AB7938">
            <w:pPr>
              <w:pStyle w:val="24"/>
              <w:shd w:val="clear" w:color="auto" w:fill="FFFFFF"/>
              <w:spacing w:before="0" w:beforeAutospacing="0" w:after="0" w:afterAutospacing="0" w:line="336" w:lineRule="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b/>
                <w:bCs/>
                <w:color w:val="auto"/>
                <w:kern w:val="2"/>
                <w:sz w:val="32"/>
                <w:szCs w:val="32"/>
                <w:lang w:val="en-US" w:eastAsia="zh-CN" w:bidi="ar-SA"/>
              </w:rPr>
              <w:t>标段一</w:t>
            </w:r>
            <w:r>
              <w:rPr>
                <w:rFonts w:hint="eastAsia" w:ascii="仿宋_GB2312" w:hAnsi="仿宋_GB2312" w:eastAsia="仿宋_GB2312" w:cs="仿宋_GB2312"/>
                <w:color w:val="auto"/>
                <w:kern w:val="2"/>
                <w:sz w:val="32"/>
                <w:szCs w:val="32"/>
                <w:lang w:val="en-US" w:eastAsia="zh-CN" w:bidi="ar-SA"/>
              </w:rPr>
              <w:t>（项目编号：XJJB-2026-024）：</w:t>
            </w:r>
            <w:r>
              <w:rPr>
                <w:rFonts w:hint="eastAsia" w:ascii="仿宋_GB2312" w:hAnsi="仿宋_GB2312" w:eastAsia="仿宋_GB2312" w:cs="仿宋_GB2312"/>
                <w:i w:val="0"/>
                <w:iCs w:val="0"/>
                <w:caps w:val="0"/>
                <w:spacing w:val="0"/>
                <w:sz w:val="32"/>
                <w:szCs w:val="32"/>
                <w:shd w:val="clear" w:fill="FFFFFF"/>
                <w:lang w:val="en-US" w:eastAsia="zh-CN"/>
              </w:rPr>
              <w:t>采购X、r辐射检测仪3台、输液泵6台、红外线2台、光子治疗仪1台、308nm紫外线光疗仪1台、A2生物安全柜3台。</w:t>
            </w:r>
          </w:p>
          <w:p w14:paraId="4A691C3E">
            <w:pPr>
              <w:pStyle w:val="24"/>
              <w:shd w:val="clear" w:color="auto" w:fill="FFFFFF"/>
              <w:spacing w:before="0" w:beforeAutospacing="0" w:after="0" w:afterAutospacing="0" w:line="336" w:lineRule="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标段二</w:t>
            </w:r>
            <w:r>
              <w:rPr>
                <w:rFonts w:hint="eastAsia" w:ascii="仿宋_GB2312" w:hAnsi="仿宋_GB2312" w:eastAsia="仿宋_GB2312" w:cs="仿宋_GB2312"/>
                <w:color w:val="auto"/>
                <w:kern w:val="2"/>
                <w:sz w:val="32"/>
                <w:szCs w:val="32"/>
                <w:lang w:val="en-US" w:eastAsia="zh-CN" w:bidi="ar-SA"/>
              </w:rPr>
              <w:t>（项目编号：XJJB-2026-025）：</w:t>
            </w:r>
            <w:r>
              <w:rPr>
                <w:rFonts w:hint="eastAsia" w:ascii="仿宋_GB2312" w:hAnsi="仿宋_GB2312" w:eastAsia="仿宋_GB2312" w:cs="仿宋_GB2312"/>
                <w:i w:val="0"/>
                <w:iCs w:val="0"/>
                <w:caps w:val="0"/>
                <w:spacing w:val="0"/>
                <w:sz w:val="32"/>
                <w:szCs w:val="32"/>
                <w:shd w:val="clear" w:fill="FFFFFF"/>
                <w:lang w:val="en-US" w:eastAsia="zh-CN"/>
              </w:rPr>
              <w:t>采购电子肛肠镜1台、尿道膀胱镜2台。</w:t>
            </w:r>
          </w:p>
        </w:tc>
      </w:tr>
      <w:tr w14:paraId="525F1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vAlign w:val="center"/>
          </w:tcPr>
          <w:p w14:paraId="7CD8923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5</w:t>
            </w:r>
          </w:p>
        </w:tc>
        <w:tc>
          <w:tcPr>
            <w:tcW w:w="1937" w:type="dxa"/>
            <w:vMerge w:val="restart"/>
            <w:vAlign w:val="center"/>
          </w:tcPr>
          <w:p w14:paraId="64C8E05E">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采购预算</w:t>
            </w:r>
          </w:p>
          <w:p w14:paraId="3C276704">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金额</w:t>
            </w:r>
          </w:p>
        </w:tc>
        <w:tc>
          <w:tcPr>
            <w:tcW w:w="7850" w:type="dxa"/>
            <w:gridSpan w:val="4"/>
            <w:tcBorders>
              <w:bottom w:val="single" w:color="auto" w:sz="4" w:space="0"/>
            </w:tcBorders>
            <w:vAlign w:val="center"/>
          </w:tcPr>
          <w:p w14:paraId="34F7D8DA">
            <w:pPr>
              <w:pStyle w:val="24"/>
              <w:shd w:val="clear" w:color="auto" w:fill="FFFFFF"/>
              <w:spacing w:before="0" w:beforeAutospacing="0" w:after="0" w:afterAutospacing="0" w:line="336" w:lineRule="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标段一：小写（元）：630000.00   大写：陆拾叁万元整</w:t>
            </w:r>
          </w:p>
          <w:p w14:paraId="58F1CCF2">
            <w:pPr>
              <w:pStyle w:val="24"/>
              <w:shd w:val="clear" w:color="auto" w:fill="FFFFFF"/>
              <w:spacing w:before="0" w:beforeAutospacing="0" w:after="0" w:afterAutospacing="0" w:line="336" w:lineRule="auto"/>
              <w:rPr>
                <w:rFonts w:hint="default" w:ascii="仿宋_GB2312" w:hAnsi="仿宋_GB2312" w:eastAsia="仿宋_GB2312" w:cs="仿宋_GB2312"/>
                <w:b w:val="0"/>
                <w:bCs w:val="0"/>
                <w:i w:val="0"/>
                <w:iCs w:val="0"/>
                <w:caps w:val="0"/>
                <w:spacing w:val="0"/>
                <w:sz w:val="32"/>
                <w:szCs w:val="32"/>
                <w:shd w:val="clear" w:fill="FFFFFF"/>
                <w:lang w:val="en-US" w:eastAsia="zh-CN"/>
              </w:rPr>
            </w:pPr>
            <w:r>
              <w:rPr>
                <w:rFonts w:hint="eastAsia" w:ascii="仿宋_GB2312" w:hAnsi="仿宋_GB2312" w:eastAsia="仿宋_GB2312" w:cs="仿宋_GB2312"/>
                <w:b w:val="0"/>
                <w:bCs w:val="0"/>
                <w:color w:val="auto"/>
                <w:kern w:val="2"/>
                <w:sz w:val="32"/>
                <w:szCs w:val="32"/>
                <w:lang w:val="en-US" w:eastAsia="zh-CN" w:bidi="ar-SA"/>
              </w:rPr>
              <w:t>其中：</w:t>
            </w:r>
            <w:r>
              <w:rPr>
                <w:rFonts w:hint="eastAsia" w:ascii="仿宋_GB2312" w:hAnsi="仿宋_GB2312" w:eastAsia="仿宋_GB2312" w:cs="仿宋_GB2312"/>
                <w:b w:val="0"/>
                <w:bCs w:val="0"/>
                <w:i w:val="0"/>
                <w:iCs w:val="0"/>
                <w:caps w:val="0"/>
                <w:spacing w:val="0"/>
                <w:sz w:val="32"/>
                <w:szCs w:val="32"/>
                <w:shd w:val="clear" w:fill="FFFFFF"/>
                <w:lang w:val="en-US" w:eastAsia="zh-CN"/>
              </w:rPr>
              <w:t>X、r辐射检测仪单价：60000元/台</w:t>
            </w:r>
          </w:p>
          <w:p w14:paraId="59F2BA4B">
            <w:pPr>
              <w:pStyle w:val="24"/>
              <w:shd w:val="clear" w:color="auto" w:fill="FFFFFF"/>
              <w:spacing w:before="0" w:beforeAutospacing="0" w:after="0" w:afterAutospacing="0" w:line="336" w:lineRule="auto"/>
              <w:ind w:firstLine="960" w:firstLineChars="300"/>
              <w:rPr>
                <w:rFonts w:hint="default" w:ascii="仿宋_GB2312" w:hAnsi="仿宋_GB2312" w:eastAsia="仿宋_GB2312" w:cs="仿宋_GB2312"/>
                <w:b w:val="0"/>
                <w:bCs w:val="0"/>
                <w:i w:val="0"/>
                <w:iCs w:val="0"/>
                <w:caps w:val="0"/>
                <w:spacing w:val="0"/>
                <w:sz w:val="32"/>
                <w:szCs w:val="32"/>
                <w:shd w:val="clear" w:fill="FFFFFF"/>
                <w:lang w:val="en-US" w:eastAsia="zh-CN"/>
              </w:rPr>
            </w:pPr>
            <w:r>
              <w:rPr>
                <w:rFonts w:hint="eastAsia" w:ascii="仿宋_GB2312" w:hAnsi="仿宋_GB2312" w:eastAsia="仿宋_GB2312" w:cs="仿宋_GB2312"/>
                <w:b w:val="0"/>
                <w:bCs w:val="0"/>
                <w:i w:val="0"/>
                <w:iCs w:val="0"/>
                <w:caps w:val="0"/>
                <w:spacing w:val="0"/>
                <w:sz w:val="32"/>
                <w:szCs w:val="32"/>
                <w:shd w:val="clear" w:fill="FFFFFF"/>
                <w:lang w:val="en-US" w:eastAsia="zh-CN"/>
              </w:rPr>
              <w:t>输液泵单价：4000元/台</w:t>
            </w:r>
          </w:p>
          <w:p w14:paraId="24F7F094">
            <w:pPr>
              <w:pStyle w:val="24"/>
              <w:shd w:val="clear" w:color="auto" w:fill="FFFFFF"/>
              <w:spacing w:before="0" w:beforeAutospacing="0" w:after="0" w:afterAutospacing="0" w:line="336" w:lineRule="auto"/>
              <w:ind w:firstLine="960" w:firstLineChars="300"/>
              <w:rPr>
                <w:rFonts w:hint="eastAsia" w:ascii="仿宋_GB2312" w:hAnsi="仿宋_GB2312" w:eastAsia="仿宋_GB2312" w:cs="仿宋_GB2312"/>
                <w:b w:val="0"/>
                <w:bCs w:val="0"/>
                <w:i w:val="0"/>
                <w:iCs w:val="0"/>
                <w:caps w:val="0"/>
                <w:spacing w:val="0"/>
                <w:sz w:val="32"/>
                <w:szCs w:val="32"/>
                <w:shd w:val="clear" w:fill="FFFFFF"/>
                <w:lang w:val="en-US" w:eastAsia="zh-CN"/>
              </w:rPr>
            </w:pPr>
            <w:r>
              <w:rPr>
                <w:rFonts w:hint="eastAsia" w:ascii="仿宋_GB2312" w:hAnsi="仿宋_GB2312" w:eastAsia="仿宋_GB2312" w:cs="仿宋_GB2312"/>
                <w:b w:val="0"/>
                <w:bCs w:val="0"/>
                <w:i w:val="0"/>
                <w:iCs w:val="0"/>
                <w:caps w:val="0"/>
                <w:spacing w:val="0"/>
                <w:sz w:val="32"/>
                <w:szCs w:val="32"/>
                <w:shd w:val="clear" w:fill="FFFFFF"/>
                <w:lang w:val="en-US" w:eastAsia="zh-CN"/>
              </w:rPr>
              <w:t>红外线单价：500元/台</w:t>
            </w:r>
          </w:p>
          <w:p w14:paraId="5BA5740D">
            <w:pPr>
              <w:pStyle w:val="24"/>
              <w:shd w:val="clear" w:color="auto" w:fill="FFFFFF"/>
              <w:spacing w:before="0" w:beforeAutospacing="0" w:after="0" w:afterAutospacing="0" w:line="336" w:lineRule="auto"/>
              <w:ind w:firstLine="960" w:firstLineChars="3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光子治疗仪单价：100000元/台</w:t>
            </w:r>
          </w:p>
          <w:p w14:paraId="5EDF212B">
            <w:pPr>
              <w:pStyle w:val="24"/>
              <w:shd w:val="clear" w:color="auto" w:fill="FFFFFF"/>
              <w:spacing w:before="0" w:beforeAutospacing="0" w:after="0" w:afterAutospacing="0" w:line="336" w:lineRule="auto"/>
              <w:ind w:firstLine="960" w:firstLineChars="3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fill="FFFFFF"/>
                <w:lang w:val="en-US" w:eastAsia="zh-CN"/>
              </w:rPr>
              <w:t>308nm紫外线光疗仪</w:t>
            </w:r>
            <w:r>
              <w:rPr>
                <w:rFonts w:hint="eastAsia" w:ascii="仿宋_GB2312" w:hAnsi="仿宋_GB2312" w:eastAsia="仿宋_GB2312" w:cs="仿宋_GB2312"/>
                <w:b w:val="0"/>
                <w:bCs w:val="0"/>
                <w:color w:val="auto"/>
                <w:kern w:val="2"/>
                <w:sz w:val="32"/>
                <w:szCs w:val="32"/>
                <w:lang w:val="en-US" w:eastAsia="zh-CN" w:bidi="ar-SA"/>
              </w:rPr>
              <w:t>单价：220000元/台</w:t>
            </w:r>
          </w:p>
          <w:p w14:paraId="2EA2C9A5">
            <w:pPr>
              <w:pStyle w:val="24"/>
              <w:shd w:val="clear" w:color="auto" w:fill="FFFFFF"/>
              <w:spacing w:before="0" w:beforeAutospacing="0" w:after="0" w:afterAutospacing="0" w:line="336" w:lineRule="auto"/>
              <w:ind w:firstLine="960" w:firstLineChars="300"/>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fill="FFFFFF"/>
                <w:lang w:val="en-US" w:eastAsia="zh-CN"/>
              </w:rPr>
              <w:t>A2生物安全柜</w:t>
            </w:r>
            <w:r>
              <w:rPr>
                <w:rFonts w:hint="eastAsia" w:ascii="仿宋_GB2312" w:hAnsi="仿宋_GB2312" w:eastAsia="仿宋_GB2312" w:cs="仿宋_GB2312"/>
                <w:b w:val="0"/>
                <w:bCs w:val="0"/>
                <w:color w:val="auto"/>
                <w:kern w:val="2"/>
                <w:sz w:val="32"/>
                <w:szCs w:val="32"/>
                <w:lang w:val="en-US" w:eastAsia="zh-CN" w:bidi="ar-SA"/>
              </w:rPr>
              <w:t>单价：35000元/台</w:t>
            </w:r>
          </w:p>
        </w:tc>
      </w:tr>
      <w:tr w14:paraId="1061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vAlign w:val="center"/>
          </w:tcPr>
          <w:p w14:paraId="47E1F46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40502F43">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bottom w:val="single" w:color="auto" w:sz="4" w:space="0"/>
            </w:tcBorders>
            <w:vAlign w:val="center"/>
          </w:tcPr>
          <w:p w14:paraId="5DEB40AB">
            <w:pPr>
              <w:pStyle w:val="24"/>
              <w:shd w:val="clear" w:color="auto" w:fill="FFFFFF"/>
              <w:spacing w:before="0" w:beforeAutospacing="0" w:after="0" w:afterAutospacing="0" w:line="336" w:lineRule="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标段二：小写（元）：390000.00   大写：叁拾玖万元整</w:t>
            </w:r>
          </w:p>
          <w:p w14:paraId="39374E40">
            <w:pPr>
              <w:pStyle w:val="24"/>
              <w:shd w:val="clear" w:color="auto" w:fill="FFFFFF"/>
              <w:spacing w:before="0" w:beforeAutospacing="0" w:after="0" w:afterAutospacing="0" w:line="336" w:lineRule="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其中：电子肛肠镜单价：230000元/台</w:t>
            </w:r>
          </w:p>
          <w:p w14:paraId="51C1062C">
            <w:pPr>
              <w:pStyle w:val="24"/>
              <w:shd w:val="clear" w:color="auto" w:fill="FFFFFF"/>
              <w:spacing w:before="0" w:beforeAutospacing="0" w:after="0" w:afterAutospacing="0" w:line="336" w:lineRule="auto"/>
              <w:ind w:firstLine="960" w:firstLineChars="300"/>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尿道膀胱镜单价：80000元/台</w:t>
            </w:r>
          </w:p>
        </w:tc>
      </w:tr>
      <w:tr w14:paraId="4BA9A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vAlign w:val="center"/>
          </w:tcPr>
          <w:p w14:paraId="72272753">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6DBCDF7E">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tcBorders>
            <w:vAlign w:val="center"/>
          </w:tcPr>
          <w:p w14:paraId="7722C2B6">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i w:val="0"/>
                <w:iCs w:val="0"/>
                <w:caps w:val="0"/>
                <w:spacing w:val="0"/>
                <w:sz w:val="32"/>
                <w:szCs w:val="32"/>
                <w:shd w:val="clear" w:fill="FFFFFF"/>
                <w:lang w:val="zh-TW" w:eastAsia="zh-CN"/>
              </w:rPr>
            </w:pPr>
            <w:r>
              <w:rPr>
                <w:rFonts w:hint="eastAsia" w:ascii="仿宋_GB2312" w:hAnsi="仿宋_GB2312" w:eastAsia="仿宋_GB2312" w:cs="仿宋_GB2312"/>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zh-TW" w:eastAsia="zh-CN"/>
              </w:rPr>
              <w:t>各投标人的投标总报价不得高于采购预算</w:t>
            </w:r>
            <w:r>
              <w:rPr>
                <w:rFonts w:hint="eastAsia" w:ascii="仿宋_GB2312" w:hAnsi="仿宋_GB2312" w:eastAsia="仿宋_GB2312" w:cs="仿宋_GB2312"/>
                <w:i w:val="0"/>
                <w:iCs w:val="0"/>
                <w:caps w:val="0"/>
                <w:spacing w:val="0"/>
                <w:sz w:val="32"/>
                <w:szCs w:val="32"/>
                <w:shd w:val="clear" w:fill="FFFFFF"/>
                <w:lang w:val="en-US" w:eastAsia="zh-CN"/>
              </w:rPr>
              <w:t>总金额</w:t>
            </w:r>
            <w:r>
              <w:rPr>
                <w:rFonts w:hint="eastAsia" w:ascii="仿宋_GB2312" w:hAnsi="仿宋_GB2312" w:eastAsia="仿宋_GB2312" w:cs="仿宋_GB2312"/>
                <w:i w:val="0"/>
                <w:iCs w:val="0"/>
                <w:caps w:val="0"/>
                <w:spacing w:val="0"/>
                <w:sz w:val="32"/>
                <w:szCs w:val="32"/>
                <w:shd w:val="clear" w:fill="FFFFFF"/>
                <w:lang w:val="zh-TW" w:eastAsia="zh-CN"/>
              </w:rPr>
              <w:t>，</w:t>
            </w:r>
            <w:r>
              <w:rPr>
                <w:rFonts w:hint="eastAsia" w:ascii="仿宋_GB2312" w:hAnsi="仿宋_GB2312" w:eastAsia="仿宋_GB2312" w:cs="仿宋_GB2312"/>
                <w:i w:val="0"/>
                <w:iCs w:val="0"/>
                <w:caps w:val="0"/>
                <w:spacing w:val="0"/>
                <w:sz w:val="32"/>
                <w:szCs w:val="32"/>
                <w:shd w:val="clear" w:fill="FFFFFF"/>
                <w:lang w:val="en-US" w:eastAsia="zh-CN"/>
              </w:rPr>
              <w:t>同时也不得超过分项报价的单价</w:t>
            </w:r>
            <w:r>
              <w:rPr>
                <w:rFonts w:hint="eastAsia" w:ascii="仿宋_GB2312" w:hAnsi="仿宋_GB2312" w:eastAsia="仿宋_GB2312" w:cs="仿宋_GB2312"/>
                <w:i w:val="0"/>
                <w:iCs w:val="0"/>
                <w:caps w:val="0"/>
                <w:spacing w:val="0"/>
                <w:sz w:val="32"/>
                <w:szCs w:val="32"/>
                <w:shd w:val="clear" w:fill="FFFFFF"/>
                <w:lang w:val="zh-TW" w:eastAsia="zh-CN"/>
              </w:rPr>
              <w:t>，否则将否决其投标。</w:t>
            </w:r>
          </w:p>
          <w:p w14:paraId="266E745B">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i w:val="0"/>
                <w:iCs w:val="0"/>
                <w:caps w:val="0"/>
                <w:spacing w:val="0"/>
                <w:sz w:val="32"/>
                <w:szCs w:val="32"/>
                <w:shd w:val="clear" w:fill="FFFFFF"/>
                <w:lang w:val="zh-TW" w:eastAsia="zh-CN"/>
              </w:rPr>
            </w:pPr>
            <w:r>
              <w:rPr>
                <w:rFonts w:hint="eastAsia" w:ascii="仿宋_GB2312" w:hAnsi="仿宋_GB2312" w:eastAsia="仿宋_GB2312" w:cs="仿宋_GB2312"/>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zh-TW" w:eastAsia="zh-CN"/>
              </w:rPr>
              <w:t xml:space="preserve">投标报价为“招标范围”内的总报价。 </w:t>
            </w:r>
          </w:p>
          <w:p w14:paraId="318AC56E">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zh-TW" w:eastAsia="zh-CN"/>
              </w:rPr>
              <w:t>投标人的报价应为所确定的招标范围内的全部工作内容的价格体现，所有费用，且在合同执行过程中，不因任何因素予以调整。</w:t>
            </w:r>
          </w:p>
        </w:tc>
      </w:tr>
      <w:tr w14:paraId="74E2E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55DE957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6</w:t>
            </w:r>
          </w:p>
        </w:tc>
        <w:tc>
          <w:tcPr>
            <w:tcW w:w="1937" w:type="dxa"/>
            <w:vAlign w:val="center"/>
          </w:tcPr>
          <w:p w14:paraId="2CF42B6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shd w:val="clear" w:color="auto" w:fill="FFFFFF"/>
                <w:lang w:val="en-US" w:eastAsia="zh-CN"/>
              </w:rPr>
            </w:pPr>
            <w:r>
              <w:rPr>
                <w:rFonts w:hint="eastAsia" w:ascii="仿宋_GB2312" w:hAnsi="仿宋_GB2312" w:eastAsia="仿宋_GB2312" w:cs="仿宋_GB2312"/>
                <w:b/>
                <w:color w:val="auto"/>
                <w:kern w:val="0"/>
                <w:sz w:val="32"/>
                <w:szCs w:val="32"/>
                <w:highlight w:val="none"/>
                <w:shd w:val="clear" w:color="auto" w:fill="FFFFFF"/>
                <w:lang w:val="en-US" w:eastAsia="zh-CN"/>
              </w:rPr>
              <w:t>招标范围</w:t>
            </w:r>
          </w:p>
        </w:tc>
        <w:tc>
          <w:tcPr>
            <w:tcW w:w="7850" w:type="dxa"/>
            <w:gridSpan w:val="4"/>
            <w:vAlign w:val="center"/>
          </w:tcPr>
          <w:p w14:paraId="556EFFE7">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shd w:val="clear" w:fill="FFFFFF"/>
                <w:lang w:val="zh-TW" w:eastAsia="zh-CN"/>
              </w:rPr>
              <w:t>设备清单中包含的设备的供货、运输、安装、调试、培训、售后服务等。</w:t>
            </w:r>
          </w:p>
        </w:tc>
      </w:tr>
      <w:tr w14:paraId="53C43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432992B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7</w:t>
            </w:r>
          </w:p>
        </w:tc>
        <w:tc>
          <w:tcPr>
            <w:tcW w:w="1937" w:type="dxa"/>
            <w:vAlign w:val="center"/>
          </w:tcPr>
          <w:p w14:paraId="475DD63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采购方式</w:t>
            </w:r>
          </w:p>
        </w:tc>
        <w:tc>
          <w:tcPr>
            <w:tcW w:w="7850" w:type="dxa"/>
            <w:gridSpan w:val="4"/>
            <w:vAlign w:val="center"/>
          </w:tcPr>
          <w:p w14:paraId="0389FC21">
            <w:pPr>
              <w:keepNext w:val="0"/>
              <w:keepLines w:val="0"/>
              <w:pageBreakBefore w:val="0"/>
              <w:tabs>
                <w:tab w:val="left" w:pos="4980"/>
                <w:tab w:val="right" w:pos="9000"/>
              </w:tabs>
              <w:kinsoku/>
              <w:topLinePunct w:val="0"/>
              <w:bidi w:val="0"/>
              <w:spacing w:line="500" w:lineRule="exact"/>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公开招标</w:t>
            </w:r>
          </w:p>
        </w:tc>
      </w:tr>
      <w:tr w14:paraId="2D18C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35370EF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8</w:t>
            </w:r>
          </w:p>
        </w:tc>
        <w:tc>
          <w:tcPr>
            <w:tcW w:w="1937" w:type="dxa"/>
            <w:vAlign w:val="center"/>
          </w:tcPr>
          <w:p w14:paraId="51B88EE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供货期</w:t>
            </w:r>
          </w:p>
        </w:tc>
        <w:tc>
          <w:tcPr>
            <w:tcW w:w="7850" w:type="dxa"/>
            <w:gridSpan w:val="4"/>
            <w:vAlign w:val="center"/>
          </w:tcPr>
          <w:p w14:paraId="7F81E81E">
            <w:pPr>
              <w:pStyle w:val="24"/>
              <w:wordWrap w:val="0"/>
              <w:spacing w:before="0" w:beforeAutospacing="0" w:after="0" w:afterAutospacing="0" w:line="336" w:lineRule="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标项1、2供货期：</w:t>
            </w:r>
            <w:r>
              <w:rPr>
                <w:rFonts w:hint="eastAsia" w:ascii="仿宋_GB2312" w:hAnsi="仿宋_GB2312" w:eastAsia="仿宋_GB2312" w:cs="仿宋_GB2312"/>
                <w:i w:val="0"/>
                <w:iCs w:val="0"/>
                <w:caps w:val="0"/>
                <w:color w:val="auto"/>
                <w:spacing w:val="0"/>
                <w:sz w:val="32"/>
                <w:szCs w:val="32"/>
                <w:shd w:val="clear" w:fill="FFFFFF"/>
                <w:lang w:val="en-US" w:eastAsia="zh-CN"/>
              </w:rPr>
              <w:t>国产设备自合同签订之日起30个日历日内，完成本次采购内容的所有安装调试等工作，并能够投付使用。</w:t>
            </w:r>
          </w:p>
        </w:tc>
      </w:tr>
      <w:tr w14:paraId="31882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1994157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9</w:t>
            </w:r>
          </w:p>
        </w:tc>
        <w:tc>
          <w:tcPr>
            <w:tcW w:w="1937" w:type="dxa"/>
            <w:vAlign w:val="center"/>
          </w:tcPr>
          <w:p w14:paraId="4686CA2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val="en-US" w:eastAsia="zh-CN"/>
              </w:rPr>
              <w:t>供货</w:t>
            </w:r>
            <w:r>
              <w:rPr>
                <w:rFonts w:hint="eastAsia" w:ascii="仿宋_GB2312" w:hAnsi="仿宋_GB2312" w:eastAsia="仿宋_GB2312" w:cs="仿宋_GB2312"/>
                <w:b/>
                <w:color w:val="auto"/>
                <w:kern w:val="0"/>
                <w:sz w:val="32"/>
                <w:szCs w:val="32"/>
                <w:highlight w:val="none"/>
              </w:rPr>
              <w:t>地点</w:t>
            </w:r>
          </w:p>
        </w:tc>
        <w:tc>
          <w:tcPr>
            <w:tcW w:w="7850" w:type="dxa"/>
            <w:gridSpan w:val="4"/>
            <w:vAlign w:val="center"/>
          </w:tcPr>
          <w:p w14:paraId="660858FF">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按甲方需求</w:t>
            </w:r>
          </w:p>
        </w:tc>
      </w:tr>
      <w:tr w14:paraId="31832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vAlign w:val="center"/>
          </w:tcPr>
          <w:p w14:paraId="5956E24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10</w:t>
            </w:r>
          </w:p>
        </w:tc>
        <w:tc>
          <w:tcPr>
            <w:tcW w:w="1937" w:type="dxa"/>
            <w:vAlign w:val="center"/>
          </w:tcPr>
          <w:p w14:paraId="062CDBD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付款方式</w:t>
            </w:r>
          </w:p>
        </w:tc>
        <w:tc>
          <w:tcPr>
            <w:tcW w:w="7850" w:type="dxa"/>
            <w:gridSpan w:val="4"/>
            <w:vAlign w:val="center"/>
          </w:tcPr>
          <w:p w14:paraId="6CA7DCB9">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标项1、2付款方式</w:t>
            </w:r>
            <w:r>
              <w:rPr>
                <w:rFonts w:hint="eastAsia" w:ascii="仿宋_GB2312" w:hAnsi="仿宋_GB2312" w:eastAsia="仿宋_GB2312" w:cs="仿宋_GB2312"/>
                <w:color w:val="auto"/>
                <w:sz w:val="32"/>
                <w:szCs w:val="32"/>
                <w:highlight w:val="none"/>
                <w:shd w:val="clear" w:color="auto" w:fill="FFFFFF"/>
                <w:lang w:val="en-US" w:eastAsia="zh-CN"/>
              </w:rPr>
              <w:t>：</w:t>
            </w:r>
            <w:bookmarkStart w:id="439" w:name="_GoBack"/>
            <w:r>
              <w:rPr>
                <w:rFonts w:hint="eastAsia" w:ascii="仿宋_GB2312" w:hAnsi="仿宋_GB2312" w:eastAsia="仿宋_GB2312" w:cs="仿宋_GB2312"/>
                <w:i w:val="0"/>
                <w:iCs w:val="0"/>
                <w:caps w:val="0"/>
                <w:color w:val="auto"/>
                <w:spacing w:val="0"/>
                <w:sz w:val="32"/>
                <w:szCs w:val="32"/>
                <w:shd w:val="clear" w:fill="FFFFFF"/>
                <w:lang w:val="en-US" w:eastAsia="zh-CN"/>
              </w:rPr>
              <w:t>合同签订后支付合同总额60%的预付款，货物到货、安装、调试、验收后付合同总额的30%，货物验收正常使用12个月付合同总额的10%。需缴纳10%的履约保证金。</w:t>
            </w:r>
            <w:bookmarkEnd w:id="439"/>
          </w:p>
        </w:tc>
      </w:tr>
      <w:tr w14:paraId="2DE09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vAlign w:val="center"/>
          </w:tcPr>
          <w:p w14:paraId="237C3BD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11</w:t>
            </w:r>
          </w:p>
        </w:tc>
        <w:tc>
          <w:tcPr>
            <w:tcW w:w="1937" w:type="dxa"/>
            <w:vAlign w:val="center"/>
          </w:tcPr>
          <w:p w14:paraId="2B9AB9D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rPr>
            </w:pPr>
            <w:r>
              <w:rPr>
                <w:rFonts w:hint="eastAsia" w:ascii="仿宋_GB2312" w:hAnsi="仿宋_GB2312" w:eastAsia="仿宋_GB2312" w:cs="仿宋_GB2312"/>
                <w:b/>
                <w:bCs w:val="0"/>
                <w:color w:val="auto"/>
                <w:kern w:val="0"/>
                <w:sz w:val="32"/>
                <w:szCs w:val="32"/>
                <w:highlight w:val="none"/>
                <w:lang w:val="en-US" w:eastAsia="zh-CN"/>
              </w:rPr>
              <w:t>质量</w:t>
            </w:r>
            <w:r>
              <w:rPr>
                <w:rFonts w:hint="eastAsia" w:ascii="仿宋_GB2312" w:hAnsi="仿宋_GB2312" w:eastAsia="仿宋_GB2312" w:cs="仿宋_GB2312"/>
                <w:b/>
                <w:bCs w:val="0"/>
                <w:color w:val="auto"/>
                <w:kern w:val="0"/>
                <w:sz w:val="32"/>
                <w:szCs w:val="32"/>
                <w:highlight w:val="none"/>
              </w:rPr>
              <w:t>要求</w:t>
            </w:r>
          </w:p>
        </w:tc>
        <w:tc>
          <w:tcPr>
            <w:tcW w:w="7850" w:type="dxa"/>
            <w:gridSpan w:val="4"/>
            <w:vAlign w:val="center"/>
          </w:tcPr>
          <w:p w14:paraId="332726A2">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具体详见第五章采购项目清单及参数要求</w:t>
            </w:r>
          </w:p>
        </w:tc>
      </w:tr>
      <w:tr w14:paraId="69531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5EDA810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12</w:t>
            </w:r>
          </w:p>
        </w:tc>
        <w:tc>
          <w:tcPr>
            <w:tcW w:w="1937" w:type="dxa"/>
            <w:vAlign w:val="center"/>
          </w:tcPr>
          <w:p w14:paraId="67B325C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履约保证金</w:t>
            </w:r>
          </w:p>
        </w:tc>
        <w:tc>
          <w:tcPr>
            <w:tcW w:w="7850" w:type="dxa"/>
            <w:gridSpan w:val="4"/>
            <w:vAlign w:val="center"/>
          </w:tcPr>
          <w:p w14:paraId="29E468AB">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zh-CN" w:eastAsia="zh-CN"/>
              </w:rPr>
              <w:t>履约保证金的金额：</w:t>
            </w:r>
            <w:r>
              <w:rPr>
                <w:rFonts w:hint="eastAsia" w:ascii="仿宋_GB2312" w:hAnsi="仿宋_GB2312" w:eastAsia="仿宋_GB2312" w:cs="仿宋_GB2312"/>
                <w:color w:val="auto"/>
                <w:sz w:val="32"/>
                <w:szCs w:val="32"/>
                <w:highlight w:val="none"/>
                <w:shd w:val="clear" w:color="auto" w:fill="FFFFFF"/>
                <w:lang w:val="en-US" w:eastAsia="zh-CN"/>
              </w:rPr>
              <w:t>合同总价10%</w:t>
            </w:r>
          </w:p>
          <w:p w14:paraId="27EFF1AC">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zh-CN" w:eastAsia="zh-CN"/>
              </w:rPr>
              <w:t>履约保证金的形式：</w:t>
            </w:r>
            <w:r>
              <w:rPr>
                <w:rFonts w:hint="eastAsia" w:ascii="仿宋_GB2312" w:hAnsi="仿宋_GB2312" w:eastAsia="仿宋_GB2312" w:cs="仿宋_GB2312"/>
                <w:color w:val="auto"/>
                <w:sz w:val="32"/>
                <w:szCs w:val="32"/>
                <w:highlight w:val="none"/>
                <w:shd w:val="clear" w:color="auto" w:fill="FFFFFF"/>
                <w:lang w:val="en-US" w:eastAsia="zh-CN"/>
              </w:rPr>
              <w:t>中标供应商在收到成交通知书后，需向采购人提供合同总价10%的履约保证金,在中标供应商与采购人签订合同时递交,中标供应商以支票、汇票、本票或金融机构、担保机构出具的保函等非现金形式提交。</w:t>
            </w:r>
          </w:p>
          <w:p w14:paraId="4948172F">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履约保证金的退还：履约保证金按合同约定的方式、时间退还。</w:t>
            </w:r>
          </w:p>
        </w:tc>
      </w:tr>
      <w:tr w14:paraId="1347D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vAlign w:val="center"/>
          </w:tcPr>
          <w:p w14:paraId="3DE902A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3</w:t>
            </w:r>
          </w:p>
        </w:tc>
        <w:tc>
          <w:tcPr>
            <w:tcW w:w="1937" w:type="dxa"/>
            <w:vAlign w:val="center"/>
          </w:tcPr>
          <w:p w14:paraId="3E8739A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投标人</w:t>
            </w:r>
            <w:r>
              <w:rPr>
                <w:rFonts w:hint="eastAsia" w:ascii="仿宋_GB2312" w:hAnsi="仿宋_GB2312" w:eastAsia="仿宋_GB2312" w:cs="仿宋_GB2312"/>
                <w:b/>
                <w:color w:val="auto"/>
                <w:kern w:val="0"/>
                <w:sz w:val="32"/>
                <w:szCs w:val="32"/>
                <w:highlight w:val="none"/>
              </w:rPr>
              <w:t>资格</w:t>
            </w:r>
          </w:p>
        </w:tc>
        <w:tc>
          <w:tcPr>
            <w:tcW w:w="7850" w:type="dxa"/>
            <w:gridSpan w:val="4"/>
            <w:vAlign w:val="center"/>
          </w:tcPr>
          <w:p w14:paraId="0E0587FF">
            <w:pPr>
              <w:pStyle w:val="24"/>
              <w:keepNext w:val="0"/>
              <w:keepLines w:val="0"/>
              <w:pageBreakBefore w:val="0"/>
              <w:numPr>
                <w:ilvl w:val="0"/>
                <w:numId w:val="1"/>
              </w:numPr>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满足《中华人民共和国政府采购法》第二十二条规定；</w:t>
            </w:r>
          </w:p>
          <w:p w14:paraId="49DDD344">
            <w:pPr>
              <w:pStyle w:val="24"/>
              <w:keepNext w:val="0"/>
              <w:keepLines w:val="0"/>
              <w:pageBreakBefore w:val="0"/>
              <w:numPr>
                <w:ilvl w:val="0"/>
                <w:numId w:val="0"/>
              </w:numPr>
              <w:kinsoku/>
              <w:topLinePunct w:val="0"/>
              <w:bidi w:val="0"/>
              <w:spacing w:before="0" w:beforeAutospacing="0" w:after="0" w:afterAutospacing="0" w:line="500" w:lineRule="exac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2.需落实政府采购政策：</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标项1、2：专门面向中小微企业。 </w:t>
            </w:r>
          </w:p>
          <w:p w14:paraId="131F7F5A">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3.本项目的特定资格要求：【标项1、2】：（1）法定代表人身份证或法定代表人授权委托书和委托代理人的身份证，法定代表人授权委托书应当与响应文件中所提供的相一致；</w:t>
            </w:r>
          </w:p>
          <w:p w14:paraId="1E588FAC">
            <w:pPr>
              <w:pStyle w:val="24"/>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2）投标人为制造商的须提供《医疗器械生产许可证》；投标人为经销商的须提供《医疗器械经营许可证》或者《医疗器械经营备案凭证》；投标人须提供所投产品的《医疗器械注册证》(含注册登记表)和《医疗器械生产许可证》，证件应在有效期内。（不属于医疗器械范畴或国家另有规定的除外）</w:t>
            </w:r>
          </w:p>
        </w:tc>
      </w:tr>
      <w:tr w14:paraId="16F40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vAlign w:val="center"/>
          </w:tcPr>
          <w:p w14:paraId="0A158F0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4</w:t>
            </w:r>
          </w:p>
        </w:tc>
        <w:tc>
          <w:tcPr>
            <w:tcW w:w="1937" w:type="dxa"/>
            <w:vMerge w:val="restart"/>
            <w:vAlign w:val="center"/>
          </w:tcPr>
          <w:p w14:paraId="1D9498F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缴纳投标</w:t>
            </w:r>
          </w:p>
          <w:p w14:paraId="6137249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保证金</w:t>
            </w:r>
          </w:p>
        </w:tc>
        <w:tc>
          <w:tcPr>
            <w:tcW w:w="7850" w:type="dxa"/>
            <w:gridSpan w:val="4"/>
            <w:tcBorders>
              <w:bottom w:val="single" w:color="auto" w:sz="4" w:space="0"/>
            </w:tcBorders>
            <w:vAlign w:val="center"/>
          </w:tcPr>
          <w:p w14:paraId="3BD89AFB">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投标保证金的缴纳形式：</w:t>
            </w:r>
            <w:r>
              <w:rPr>
                <w:rFonts w:hint="eastAsia" w:ascii="仿宋_GB2312" w:hAnsi="仿宋_GB2312" w:eastAsia="仿宋_GB2312" w:cs="仿宋_GB2312"/>
                <w:color w:val="auto"/>
                <w:sz w:val="32"/>
                <w:szCs w:val="32"/>
                <w:highlight w:val="none"/>
                <w:lang w:eastAsia="zh-CN"/>
              </w:rPr>
              <w:t>投标人必须以支票、汇票、本票或者金融机构、担保机构出具的保函等非现金形式提交（不得为个人账户）</w:t>
            </w:r>
            <w:r>
              <w:rPr>
                <w:rFonts w:hint="eastAsia" w:ascii="仿宋_GB2312" w:hAnsi="仿宋_GB2312" w:eastAsia="仿宋_GB2312" w:cs="仿宋_GB2312"/>
                <w:color w:val="auto"/>
                <w:sz w:val="32"/>
                <w:szCs w:val="32"/>
                <w:highlight w:val="none"/>
              </w:rPr>
              <w:t>。投标保证金必须以</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名义缴纳。</w:t>
            </w:r>
          </w:p>
          <w:p w14:paraId="4A6B94D3">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标项1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投标保证金的金额：</w:t>
            </w:r>
            <w:r>
              <w:rPr>
                <w:rFonts w:hint="eastAsia" w:ascii="仿宋_GB2312" w:hAnsi="仿宋_GB2312" w:eastAsia="仿宋_GB2312" w:cs="仿宋_GB2312"/>
                <w:b/>
                <w:color w:val="auto"/>
                <w:sz w:val="32"/>
                <w:szCs w:val="32"/>
                <w:highlight w:val="none"/>
                <w:u w:val="single"/>
                <w:lang w:val="en-US" w:eastAsia="zh-CN"/>
              </w:rPr>
              <w:t>10000</w:t>
            </w:r>
            <w:r>
              <w:rPr>
                <w:rFonts w:hint="eastAsia" w:ascii="仿宋_GB2312" w:hAnsi="仿宋_GB2312" w:eastAsia="仿宋_GB2312" w:cs="仿宋_GB2312"/>
                <w:b/>
                <w:color w:val="auto"/>
                <w:sz w:val="32"/>
                <w:szCs w:val="32"/>
                <w:highlight w:val="none"/>
                <w:u w:val="single"/>
              </w:rPr>
              <w:t>.00</w:t>
            </w:r>
            <w:r>
              <w:rPr>
                <w:rFonts w:hint="eastAsia" w:ascii="仿宋_GB2312" w:hAnsi="仿宋_GB2312" w:eastAsia="仿宋_GB2312" w:cs="仿宋_GB2312"/>
                <w:color w:val="auto"/>
                <w:sz w:val="32"/>
                <w:szCs w:val="32"/>
                <w:highlight w:val="none"/>
              </w:rPr>
              <w:t>元人民币（</w:t>
            </w:r>
            <w:r>
              <w:rPr>
                <w:rFonts w:hint="eastAsia" w:ascii="仿宋_GB2312" w:hAnsi="仿宋_GB2312" w:eastAsia="仿宋_GB2312" w:cs="仿宋_GB2312"/>
                <w:color w:val="auto"/>
                <w:sz w:val="32"/>
                <w:szCs w:val="32"/>
                <w:highlight w:val="none"/>
                <w:lang w:val="en-US" w:eastAsia="zh-CN"/>
              </w:rPr>
              <w:t>壹万元整</w:t>
            </w:r>
            <w:r>
              <w:rPr>
                <w:rFonts w:hint="eastAsia" w:ascii="仿宋_GB2312" w:hAnsi="仿宋_GB2312" w:eastAsia="仿宋_GB2312" w:cs="仿宋_GB2312"/>
                <w:color w:val="auto"/>
                <w:sz w:val="32"/>
                <w:szCs w:val="32"/>
                <w:highlight w:val="none"/>
              </w:rPr>
              <w:t>）</w:t>
            </w:r>
          </w:p>
          <w:p w14:paraId="2AC90E15">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标项2：</w:t>
            </w:r>
            <w:r>
              <w:rPr>
                <w:rFonts w:hint="eastAsia" w:ascii="仿宋_GB2312" w:hAnsi="仿宋_GB2312" w:eastAsia="仿宋_GB2312" w:cs="仿宋_GB2312"/>
                <w:color w:val="auto"/>
                <w:sz w:val="32"/>
                <w:szCs w:val="32"/>
                <w:highlight w:val="none"/>
              </w:rPr>
              <w:t>投标保证金的金额：</w:t>
            </w:r>
            <w:r>
              <w:rPr>
                <w:rFonts w:hint="eastAsia" w:ascii="仿宋_GB2312" w:hAnsi="仿宋_GB2312" w:eastAsia="仿宋_GB2312" w:cs="仿宋_GB2312"/>
                <w:b/>
                <w:color w:val="auto"/>
                <w:sz w:val="32"/>
                <w:szCs w:val="32"/>
                <w:highlight w:val="none"/>
                <w:u w:val="single"/>
                <w:lang w:val="en-US" w:eastAsia="zh-CN"/>
              </w:rPr>
              <w:t>6000.00</w:t>
            </w:r>
            <w:r>
              <w:rPr>
                <w:rFonts w:hint="eastAsia" w:ascii="仿宋_GB2312" w:hAnsi="仿宋_GB2312" w:eastAsia="仿宋_GB2312" w:cs="仿宋_GB2312"/>
                <w:color w:val="auto"/>
                <w:sz w:val="32"/>
                <w:szCs w:val="32"/>
                <w:highlight w:val="none"/>
              </w:rPr>
              <w:t>元人民币</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陆仟元整</w:t>
            </w:r>
            <w:r>
              <w:rPr>
                <w:rFonts w:hint="eastAsia" w:ascii="仿宋_GB2312" w:hAnsi="仿宋_GB2312" w:eastAsia="仿宋_GB2312" w:cs="仿宋_GB2312"/>
                <w:color w:val="auto"/>
                <w:sz w:val="32"/>
                <w:szCs w:val="32"/>
                <w:highlight w:val="none"/>
              </w:rPr>
              <w:t>）</w:t>
            </w:r>
          </w:p>
        </w:tc>
      </w:tr>
      <w:tr w14:paraId="268B0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vAlign w:val="center"/>
          </w:tcPr>
          <w:p w14:paraId="0B6FDAF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403445B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tcBorders>
            <w:vAlign w:val="center"/>
          </w:tcPr>
          <w:p w14:paraId="1EA48230">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缴纳方式：以支票、汇票、本票或者金融机构、担保机构出具的保函等非现金形式提交。</w:t>
            </w:r>
          </w:p>
          <w:p w14:paraId="29AE8079">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账户名称：新疆金斌工程项目管理有限公司</w:t>
            </w:r>
          </w:p>
          <w:p w14:paraId="456BC3AF">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开户行：</w:t>
            </w:r>
            <w:bookmarkStart w:id="16" w:name="OLE_LINK7"/>
            <w:r>
              <w:rPr>
                <w:rFonts w:hint="eastAsia" w:ascii="仿宋_GB2312" w:hAnsi="仿宋_GB2312" w:eastAsia="仿宋_GB2312" w:cs="仿宋_GB2312"/>
                <w:color w:val="auto"/>
                <w:sz w:val="32"/>
                <w:szCs w:val="32"/>
                <w:highlight w:val="none"/>
                <w:lang w:val="en-US" w:eastAsia="zh-CN"/>
              </w:rPr>
              <w:t>交通银行伊犁州分行营业部</w:t>
            </w:r>
            <w:bookmarkEnd w:id="16"/>
          </w:p>
          <w:p w14:paraId="29E9122E">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账号：6556 5510 1013 0000 76094</w:t>
            </w:r>
          </w:p>
          <w:p w14:paraId="5CAC979A">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行号：3018 9800 1011 </w:t>
            </w:r>
          </w:p>
          <w:p w14:paraId="5D84B290">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7BBB4A9B">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友情提示：1、新疆政府采购电子保函操作流程：登录新疆政府采购网,进入“政采贷/电子保函”模块，即可在线完成电子保函的申请。若有任何问题，可以联系政采云金融服务专属客服，电话：400-903-9583。</w:t>
            </w:r>
          </w:p>
          <w:p w14:paraId="04D5900E">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2、潜在供应商可以自主选择以上任一种递交方式提交投标保证金。</w:t>
            </w:r>
          </w:p>
          <w:p w14:paraId="7ECAE01C">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3、银行法定节假日不办理公对公账户电汇业务，请提前办理。投标保证金是否在规定截止时间前到户的风险由投标单位承担，投标保证金在银行的划转需要一定时间，望投标单位尽早缴纳！</w:t>
            </w:r>
          </w:p>
          <w:p w14:paraId="11FC192A">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4、若投标人未按照上述规定缴纳投标保证金,响应性文件将被拒绝评审。</w:t>
            </w:r>
          </w:p>
        </w:tc>
      </w:tr>
      <w:tr w14:paraId="5EF40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vAlign w:val="center"/>
          </w:tcPr>
          <w:p w14:paraId="38438AA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5</w:t>
            </w:r>
          </w:p>
        </w:tc>
        <w:tc>
          <w:tcPr>
            <w:tcW w:w="1937" w:type="dxa"/>
            <w:vAlign w:val="center"/>
          </w:tcPr>
          <w:p w14:paraId="5CE639F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投标保证金</w:t>
            </w:r>
          </w:p>
          <w:p w14:paraId="3F9047A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退付</w:t>
            </w:r>
          </w:p>
        </w:tc>
        <w:tc>
          <w:tcPr>
            <w:tcW w:w="7850" w:type="dxa"/>
            <w:gridSpan w:val="4"/>
            <w:tcBorders>
              <w:top w:val="single" w:color="auto" w:sz="4" w:space="0"/>
            </w:tcBorders>
            <w:vAlign w:val="center"/>
          </w:tcPr>
          <w:p w14:paraId="2D8232EB">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1.未中标</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在中标（成交）通知书发出后5个工作日退还；</w:t>
            </w:r>
          </w:p>
          <w:p w14:paraId="16A2AA9F">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2.中标</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在合同签订后5个工作日退还</w:t>
            </w:r>
            <w:r>
              <w:rPr>
                <w:rFonts w:hint="eastAsia" w:ascii="仿宋_GB2312" w:hAnsi="仿宋_GB2312" w:eastAsia="仿宋_GB2312" w:cs="仿宋_GB2312"/>
                <w:color w:val="auto"/>
                <w:sz w:val="32"/>
                <w:szCs w:val="32"/>
                <w:highlight w:val="none"/>
                <w:lang w:eastAsia="zh-CN"/>
              </w:rPr>
              <w:t>；</w:t>
            </w:r>
          </w:p>
          <w:p w14:paraId="2EEE9A75">
            <w:pPr>
              <w:keepNext w:val="0"/>
              <w:keepLines w:val="0"/>
              <w:pageBreakBefore w:val="0"/>
              <w:kinsoku/>
              <w:topLinePunct w:val="0"/>
              <w:bidi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3.投标人</w:t>
            </w:r>
            <w:r>
              <w:rPr>
                <w:rFonts w:hint="eastAsia" w:ascii="仿宋_GB2312" w:hAnsi="仿宋_GB2312" w:eastAsia="仿宋_GB2312" w:cs="仿宋_GB2312"/>
                <w:sz w:val="32"/>
                <w:szCs w:val="32"/>
              </w:rPr>
              <w:t>须向</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提供投标保证金退款收据1份，邮寄至</w:t>
            </w:r>
            <w:r>
              <w:rPr>
                <w:rFonts w:hint="eastAsia" w:ascii="仿宋_GB2312" w:hAnsi="仿宋_GB2312" w:eastAsia="仿宋_GB2312" w:cs="仿宋_GB2312"/>
                <w:color w:val="000000"/>
                <w:kern w:val="2"/>
                <w:sz w:val="32"/>
                <w:szCs w:val="32"/>
                <w:lang w:val="en-US" w:eastAsia="zh-CN" w:bidi="ar-SA"/>
              </w:rPr>
              <w:t>伊宁市福安国际1号商业楼413室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黄新新</w:t>
            </w:r>
            <w:r>
              <w:rPr>
                <w:rFonts w:hint="eastAsia" w:ascii="仿宋_GB2312" w:hAnsi="仿宋_GB2312" w:eastAsia="仿宋_GB2312" w:cs="仿宋_GB2312"/>
                <w:sz w:val="32"/>
                <w:szCs w:val="32"/>
              </w:rPr>
              <w:t>（收），联系电话：</w:t>
            </w:r>
            <w:r>
              <w:rPr>
                <w:rFonts w:hint="eastAsia" w:ascii="仿宋_GB2312" w:hAnsi="仿宋_GB2312" w:eastAsia="仿宋_GB2312" w:cs="仿宋_GB2312"/>
                <w:sz w:val="32"/>
                <w:szCs w:val="32"/>
                <w:lang w:val="en-US" w:eastAsia="zh-CN"/>
              </w:rPr>
              <w:t>13201118511</w:t>
            </w:r>
            <w:r>
              <w:rPr>
                <w:rFonts w:hint="eastAsia" w:ascii="仿宋_GB2312" w:hAnsi="仿宋_GB2312" w:eastAsia="仿宋_GB2312" w:cs="仿宋_GB2312"/>
                <w:sz w:val="32"/>
                <w:szCs w:val="32"/>
              </w:rPr>
              <w:t>。</w:t>
            </w:r>
          </w:p>
          <w:p w14:paraId="7DE5EC95">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收据格式要求：(正规横线条收据)</w:t>
            </w:r>
          </w:p>
          <w:p w14:paraId="17D120F8">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付款方：</w:t>
            </w:r>
            <w:r>
              <w:rPr>
                <w:rFonts w:hint="eastAsia" w:ascii="仿宋_GB2312" w:hAnsi="仿宋_GB2312" w:eastAsia="仿宋_GB2312" w:cs="仿宋_GB2312"/>
                <w:sz w:val="32"/>
                <w:szCs w:val="32"/>
                <w:lang w:eastAsia="zh-CN"/>
              </w:rPr>
              <w:t>新疆金斌工程项目管理有限公司</w:t>
            </w:r>
          </w:p>
          <w:p w14:paraId="7CAF5D1A">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付款方式：转账</w:t>
            </w:r>
          </w:p>
          <w:p w14:paraId="044760B5">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日期：填写收据当日即可</w:t>
            </w:r>
          </w:p>
          <w:p w14:paraId="3ADDEE9C">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事由：退××××××××××××项目投标保证金</w:t>
            </w:r>
          </w:p>
          <w:p w14:paraId="0CB5CEBF">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z w:val="32"/>
                <w:szCs w:val="32"/>
              </w:rPr>
              <w:t>要求字迹清晰，工整，不能涂改。</w:t>
            </w:r>
          </w:p>
        </w:tc>
      </w:tr>
      <w:tr w14:paraId="51111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Align w:val="center"/>
          </w:tcPr>
          <w:p w14:paraId="030AEE5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6</w:t>
            </w:r>
          </w:p>
        </w:tc>
        <w:tc>
          <w:tcPr>
            <w:tcW w:w="1937" w:type="dxa"/>
            <w:vAlign w:val="center"/>
          </w:tcPr>
          <w:p w14:paraId="4441B59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投标有</w:t>
            </w:r>
          </w:p>
          <w:p w14:paraId="5894732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效期</w:t>
            </w:r>
          </w:p>
        </w:tc>
        <w:tc>
          <w:tcPr>
            <w:tcW w:w="7850" w:type="dxa"/>
            <w:gridSpan w:val="4"/>
            <w:vAlign w:val="center"/>
          </w:tcPr>
          <w:p w14:paraId="4934B666">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90日历日（自投标截止时间起开始计算）</w:t>
            </w:r>
          </w:p>
        </w:tc>
      </w:tr>
      <w:tr w14:paraId="7A2E6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Align w:val="center"/>
          </w:tcPr>
          <w:p w14:paraId="636E2A5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7</w:t>
            </w:r>
          </w:p>
        </w:tc>
        <w:tc>
          <w:tcPr>
            <w:tcW w:w="1937" w:type="dxa"/>
            <w:vAlign w:val="center"/>
          </w:tcPr>
          <w:p w14:paraId="29AA9B3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评标办法</w:t>
            </w:r>
          </w:p>
        </w:tc>
        <w:tc>
          <w:tcPr>
            <w:tcW w:w="7850" w:type="dxa"/>
            <w:gridSpan w:val="4"/>
            <w:vAlign w:val="center"/>
          </w:tcPr>
          <w:p w14:paraId="33D19D52">
            <w:pPr>
              <w:keepNext w:val="0"/>
              <w:keepLines w:val="0"/>
              <w:pageBreakBefore w:val="0"/>
              <w:kinsoku/>
              <w:topLinePunct w:val="0"/>
              <w:autoSpaceDE w:val="0"/>
              <w:autoSpaceDN w:val="0"/>
              <w:bidi w:val="0"/>
              <w:adjustRightInd w:val="0"/>
              <w:snapToGrid w:val="0"/>
              <w:spacing w:line="50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综合评分法</w:t>
            </w:r>
          </w:p>
        </w:tc>
      </w:tr>
      <w:tr w14:paraId="3993E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vAlign w:val="center"/>
          </w:tcPr>
          <w:p w14:paraId="56C4B84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8</w:t>
            </w:r>
          </w:p>
        </w:tc>
        <w:tc>
          <w:tcPr>
            <w:tcW w:w="1937" w:type="dxa"/>
            <w:vAlign w:val="center"/>
          </w:tcPr>
          <w:p w14:paraId="24DF5E7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val="en-US" w:eastAsia="zh-CN"/>
              </w:rPr>
              <w:t>响应</w:t>
            </w:r>
            <w:r>
              <w:rPr>
                <w:rFonts w:hint="eastAsia" w:ascii="仿宋_GB2312" w:hAnsi="仿宋_GB2312" w:eastAsia="仿宋_GB2312" w:cs="仿宋_GB2312"/>
                <w:b/>
                <w:color w:val="auto"/>
                <w:kern w:val="0"/>
                <w:sz w:val="32"/>
                <w:szCs w:val="32"/>
                <w:highlight w:val="none"/>
              </w:rPr>
              <w:t>文件份数</w:t>
            </w:r>
          </w:p>
        </w:tc>
        <w:tc>
          <w:tcPr>
            <w:tcW w:w="7850" w:type="dxa"/>
            <w:gridSpan w:val="4"/>
            <w:vAlign w:val="center"/>
          </w:tcPr>
          <w:p w14:paraId="4350B0CB">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sz w:val="32"/>
                <w:szCs w:val="32"/>
              </w:rPr>
              <w:t>加密的电子投标文件壹份(.jmbs格式)在</w:t>
            </w:r>
            <w:r>
              <w:rPr>
                <w:rFonts w:hint="eastAsia" w:ascii="仿宋_GB2312" w:hAnsi="仿宋_GB2312" w:eastAsia="仿宋_GB2312" w:cs="仿宋_GB2312"/>
                <w:bCs/>
                <w:sz w:val="32"/>
                <w:szCs w:val="32"/>
                <w:lang w:val="en-US" w:eastAsia="zh-CN"/>
              </w:rPr>
              <w:t>新疆政府</w:t>
            </w:r>
            <w:r>
              <w:rPr>
                <w:rFonts w:hint="eastAsia" w:ascii="仿宋_GB2312" w:hAnsi="仿宋_GB2312" w:eastAsia="仿宋_GB2312" w:cs="仿宋_GB2312"/>
                <w:bCs/>
                <w:sz w:val="32"/>
                <w:szCs w:val="32"/>
              </w:rPr>
              <w:t>采购网指定位置上传</w:t>
            </w:r>
            <w:r>
              <w:rPr>
                <w:rFonts w:hint="eastAsia" w:ascii="仿宋_GB2312" w:hAnsi="仿宋_GB2312" w:eastAsia="仿宋_GB2312" w:cs="仿宋_GB2312"/>
                <w:bCs/>
                <w:sz w:val="32"/>
                <w:szCs w:val="32"/>
                <w:lang w:eastAsia="zh-CN"/>
              </w:rPr>
              <w:t>。</w:t>
            </w:r>
          </w:p>
        </w:tc>
      </w:tr>
      <w:tr w14:paraId="2282F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vAlign w:val="center"/>
          </w:tcPr>
          <w:p w14:paraId="0B3AD8A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9</w:t>
            </w:r>
          </w:p>
        </w:tc>
        <w:tc>
          <w:tcPr>
            <w:tcW w:w="1937" w:type="dxa"/>
            <w:vAlign w:val="center"/>
          </w:tcPr>
          <w:p w14:paraId="52B195C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0"/>
                <w:sz w:val="32"/>
                <w:szCs w:val="32"/>
                <w:highlight w:val="none"/>
              </w:rPr>
              <w:t>政府采购政策</w:t>
            </w:r>
          </w:p>
        </w:tc>
        <w:tc>
          <w:tcPr>
            <w:tcW w:w="7850" w:type="dxa"/>
            <w:gridSpan w:val="4"/>
            <w:vAlign w:val="center"/>
          </w:tcPr>
          <w:p w14:paraId="5430F977">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执行促进中小型（监狱、残疾人福利）企业发展相关政策（</w:t>
            </w:r>
            <w:r>
              <w:rPr>
                <w:rFonts w:hint="eastAsia" w:ascii="仿宋_GB2312" w:hAnsi="仿宋_GB2312" w:eastAsia="仿宋_GB2312" w:cs="仿宋_GB2312"/>
                <w:sz w:val="32"/>
                <w:szCs w:val="32"/>
              </w:rPr>
              <w:sym w:font="Wingdings" w:char="F0FE"/>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sym w:font="Wingdings" w:char="F06F"/>
            </w:r>
            <w:r>
              <w:rPr>
                <w:rFonts w:hint="eastAsia" w:ascii="仿宋_GB2312" w:hAnsi="仿宋_GB2312" w:eastAsia="仿宋_GB2312" w:cs="仿宋_GB2312"/>
                <w:sz w:val="32"/>
                <w:szCs w:val="32"/>
              </w:rPr>
              <w:t>否）</w:t>
            </w:r>
            <w:r>
              <w:rPr>
                <w:rFonts w:hint="eastAsia" w:ascii="仿宋_GB2312" w:hAnsi="仿宋_GB2312" w:eastAsia="仿宋_GB2312" w:cs="仿宋_GB2312"/>
                <w:sz w:val="32"/>
                <w:szCs w:val="32"/>
                <w:lang w:eastAsia="zh-CN"/>
              </w:rPr>
              <w:t>，投标价格给予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%的折扣；</w:t>
            </w:r>
          </w:p>
          <w:p w14:paraId="0DF695F1">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2、《国务院办公厅关于建立政府强制采购节能产品制度的通知》（国办发〔2007〕51号）；</w:t>
            </w:r>
          </w:p>
          <w:p w14:paraId="4D261593">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3、《财政部、国家环保总局关于环境标志产品政府采购实施的意见》（财库[2006]90号）。</w:t>
            </w:r>
          </w:p>
          <w:p w14:paraId="64F25AEA">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4、采购标的对应的中小微企业划分标准所属行业为：</w:t>
            </w:r>
            <w:r>
              <w:rPr>
                <w:rFonts w:hint="eastAsia" w:ascii="仿宋_GB2312" w:hAnsi="仿宋_GB2312" w:eastAsia="仿宋_GB2312" w:cs="仿宋_GB2312"/>
                <w:b/>
                <w:bCs/>
                <w:sz w:val="32"/>
                <w:szCs w:val="32"/>
                <w:lang w:val="en-US" w:eastAsia="zh-CN"/>
              </w:rPr>
              <w:t>标项1、2所属行业为：工业</w:t>
            </w:r>
          </w:p>
          <w:p w14:paraId="33898C33">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397E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Align w:val="center"/>
          </w:tcPr>
          <w:p w14:paraId="2EB4860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20</w:t>
            </w:r>
          </w:p>
        </w:tc>
        <w:tc>
          <w:tcPr>
            <w:tcW w:w="1937" w:type="dxa"/>
            <w:vAlign w:val="center"/>
          </w:tcPr>
          <w:p w14:paraId="7A4BAB9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评标小组</w:t>
            </w:r>
          </w:p>
          <w:p w14:paraId="4250142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组成</w:t>
            </w:r>
          </w:p>
        </w:tc>
        <w:tc>
          <w:tcPr>
            <w:tcW w:w="7850" w:type="dxa"/>
            <w:gridSpan w:val="4"/>
            <w:vAlign w:val="center"/>
          </w:tcPr>
          <w:p w14:paraId="0B3CB691">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小组成员由</w:t>
            </w:r>
            <w:r>
              <w:rPr>
                <w:rFonts w:hint="eastAsia" w:ascii="仿宋_GB2312" w:hAnsi="仿宋_GB2312" w:eastAsia="仿宋_GB2312" w:cs="仿宋_GB2312"/>
                <w:b/>
                <w:color w:val="auto"/>
                <w:kern w:val="0"/>
                <w:sz w:val="32"/>
                <w:szCs w:val="32"/>
                <w:highlight w:val="none"/>
                <w:u w:val="single"/>
              </w:rPr>
              <w:t xml:space="preserve"> 5  </w:t>
            </w:r>
            <w:r>
              <w:rPr>
                <w:rFonts w:hint="eastAsia" w:ascii="仿宋_GB2312" w:hAnsi="仿宋_GB2312" w:eastAsia="仿宋_GB2312" w:cs="仿宋_GB2312"/>
                <w:color w:val="auto"/>
                <w:kern w:val="0"/>
                <w:sz w:val="32"/>
                <w:szCs w:val="32"/>
                <w:highlight w:val="none"/>
              </w:rPr>
              <w:t>人组成，其中采购方代表</w:t>
            </w:r>
            <w:r>
              <w:rPr>
                <w:rFonts w:hint="eastAsia" w:ascii="仿宋_GB2312" w:hAnsi="仿宋_GB2312" w:eastAsia="仿宋_GB2312" w:cs="仿宋_GB2312"/>
                <w:b/>
                <w:color w:val="auto"/>
                <w:kern w:val="0"/>
                <w:sz w:val="32"/>
                <w:szCs w:val="32"/>
                <w:highlight w:val="none"/>
                <w:u w:val="single"/>
              </w:rPr>
              <w:t xml:space="preserve">  1 </w:t>
            </w:r>
            <w:r>
              <w:rPr>
                <w:rFonts w:hint="eastAsia" w:ascii="仿宋_GB2312" w:hAnsi="仿宋_GB2312" w:eastAsia="仿宋_GB2312" w:cs="仿宋_GB2312"/>
                <w:color w:val="auto"/>
                <w:kern w:val="0"/>
                <w:sz w:val="32"/>
                <w:szCs w:val="32"/>
                <w:highlight w:val="none"/>
              </w:rPr>
              <w:t>人，从</w:t>
            </w:r>
            <w:r>
              <w:rPr>
                <w:rFonts w:hint="eastAsia" w:ascii="仿宋_GB2312" w:hAnsi="仿宋_GB2312" w:eastAsia="仿宋_GB2312" w:cs="仿宋_GB2312"/>
                <w:color w:val="auto"/>
                <w:kern w:val="0"/>
                <w:sz w:val="32"/>
                <w:szCs w:val="32"/>
                <w:highlight w:val="none"/>
                <w:lang w:eastAsia="zh-CN"/>
              </w:rPr>
              <w:t>新疆政采云</w:t>
            </w:r>
            <w:r>
              <w:rPr>
                <w:rFonts w:hint="eastAsia" w:ascii="仿宋_GB2312" w:hAnsi="仿宋_GB2312" w:eastAsia="仿宋_GB2312" w:cs="仿宋_GB2312"/>
                <w:color w:val="auto"/>
                <w:kern w:val="0"/>
                <w:sz w:val="32"/>
                <w:szCs w:val="32"/>
                <w:highlight w:val="none"/>
              </w:rPr>
              <w:t>专家库中随机抽取的方式确定</w:t>
            </w:r>
            <w:r>
              <w:rPr>
                <w:rFonts w:hint="eastAsia" w:ascii="仿宋_GB2312" w:hAnsi="仿宋_GB2312" w:eastAsia="仿宋_GB2312" w:cs="仿宋_GB2312"/>
                <w:b/>
                <w:color w:val="auto"/>
                <w:kern w:val="0"/>
                <w:sz w:val="32"/>
                <w:szCs w:val="32"/>
                <w:highlight w:val="none"/>
                <w:u w:val="single"/>
              </w:rPr>
              <w:t xml:space="preserve">  4  </w:t>
            </w:r>
            <w:r>
              <w:rPr>
                <w:rFonts w:hint="eastAsia" w:ascii="仿宋_GB2312" w:hAnsi="仿宋_GB2312" w:eastAsia="仿宋_GB2312" w:cs="仿宋_GB2312"/>
                <w:color w:val="auto"/>
                <w:kern w:val="0"/>
                <w:sz w:val="32"/>
                <w:szCs w:val="32"/>
                <w:highlight w:val="none"/>
              </w:rPr>
              <w:t>人</w:t>
            </w:r>
          </w:p>
        </w:tc>
      </w:tr>
      <w:tr w14:paraId="646F5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vAlign w:val="center"/>
          </w:tcPr>
          <w:p w14:paraId="27A41AC3">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1</w:t>
            </w:r>
          </w:p>
        </w:tc>
        <w:tc>
          <w:tcPr>
            <w:tcW w:w="1937" w:type="dxa"/>
            <w:vMerge w:val="restart"/>
            <w:tcBorders>
              <w:right w:val="single" w:color="auto" w:sz="4" w:space="0"/>
            </w:tcBorders>
            <w:vAlign w:val="center"/>
          </w:tcPr>
          <w:p w14:paraId="121B72AD">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投标截止（开标）时间及地点</w:t>
            </w:r>
          </w:p>
        </w:tc>
        <w:tc>
          <w:tcPr>
            <w:tcW w:w="7850" w:type="dxa"/>
            <w:gridSpan w:val="4"/>
            <w:tcBorders>
              <w:left w:val="single" w:color="auto" w:sz="4" w:space="0"/>
              <w:bottom w:val="single" w:color="auto" w:sz="4" w:space="0"/>
            </w:tcBorders>
            <w:vAlign w:val="center"/>
          </w:tcPr>
          <w:p w14:paraId="2BD8608C">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rPr>
              <w:t>投标截止（开标）时间：</w:t>
            </w:r>
            <w:r>
              <w:rPr>
                <w:rFonts w:hint="eastAsia" w:ascii="仿宋_GB2312" w:hAnsi="仿宋_GB2312" w:eastAsia="仿宋_GB2312" w:cs="仿宋_GB2312"/>
                <w:b w:val="0"/>
                <w:bCs/>
                <w:color w:val="auto"/>
                <w:kern w:val="0"/>
                <w:sz w:val="32"/>
                <w:szCs w:val="32"/>
                <w:highlight w:val="none"/>
                <w:u w:val="none"/>
                <w:lang w:val="en-US" w:eastAsia="zh-CN"/>
              </w:rPr>
              <w:t>2026</w:t>
            </w:r>
            <w:r>
              <w:rPr>
                <w:rFonts w:hint="eastAsia" w:ascii="仿宋_GB2312" w:hAnsi="仿宋_GB2312" w:eastAsia="仿宋_GB2312" w:cs="仿宋_GB2312"/>
                <w:b w:val="0"/>
                <w:bCs/>
                <w:color w:val="auto"/>
                <w:kern w:val="0"/>
                <w:sz w:val="32"/>
                <w:szCs w:val="32"/>
                <w:highlight w:val="none"/>
                <w:u w:val="none"/>
              </w:rPr>
              <w:t>年</w:t>
            </w:r>
            <w:r>
              <w:rPr>
                <w:rFonts w:hint="eastAsia" w:ascii="仿宋_GB2312" w:hAnsi="仿宋_GB2312" w:eastAsia="仿宋_GB2312" w:cs="仿宋_GB2312"/>
                <w:b w:val="0"/>
                <w:bCs/>
                <w:color w:val="auto"/>
                <w:kern w:val="0"/>
                <w:sz w:val="32"/>
                <w:szCs w:val="32"/>
                <w:highlight w:val="none"/>
                <w:u w:val="none"/>
                <w:lang w:val="en-US" w:eastAsia="zh-CN"/>
              </w:rPr>
              <w:t>04</w:t>
            </w:r>
            <w:r>
              <w:rPr>
                <w:rFonts w:hint="eastAsia" w:ascii="仿宋_GB2312" w:hAnsi="仿宋_GB2312" w:eastAsia="仿宋_GB2312" w:cs="仿宋_GB2312"/>
                <w:b w:val="0"/>
                <w:bCs/>
                <w:color w:val="auto"/>
                <w:kern w:val="0"/>
                <w:sz w:val="32"/>
                <w:szCs w:val="32"/>
                <w:highlight w:val="none"/>
                <w:u w:val="none"/>
              </w:rPr>
              <w:t>月</w:t>
            </w:r>
            <w:r>
              <w:rPr>
                <w:rFonts w:hint="eastAsia" w:ascii="仿宋_GB2312" w:hAnsi="仿宋_GB2312" w:eastAsia="仿宋_GB2312" w:cs="仿宋_GB2312"/>
                <w:b w:val="0"/>
                <w:bCs/>
                <w:color w:val="auto"/>
                <w:kern w:val="0"/>
                <w:sz w:val="32"/>
                <w:szCs w:val="32"/>
                <w:highlight w:val="none"/>
                <w:u w:val="none"/>
                <w:lang w:val="en-US" w:eastAsia="zh-CN"/>
              </w:rPr>
              <w:t>30</w:t>
            </w:r>
            <w:r>
              <w:rPr>
                <w:rFonts w:hint="eastAsia" w:ascii="仿宋_GB2312" w:hAnsi="仿宋_GB2312" w:eastAsia="仿宋_GB2312" w:cs="仿宋_GB2312"/>
                <w:b w:val="0"/>
                <w:bCs/>
                <w:color w:val="auto"/>
                <w:kern w:val="0"/>
                <w:sz w:val="32"/>
                <w:szCs w:val="32"/>
                <w:highlight w:val="none"/>
                <w:u w:val="none"/>
              </w:rPr>
              <w:t>日</w:t>
            </w:r>
            <w:r>
              <w:rPr>
                <w:rFonts w:hint="eastAsia" w:ascii="仿宋_GB2312" w:hAnsi="仿宋_GB2312" w:eastAsia="仿宋_GB2312" w:cs="仿宋_GB2312"/>
                <w:b w:val="0"/>
                <w:bCs/>
                <w:color w:val="auto"/>
                <w:kern w:val="0"/>
                <w:sz w:val="32"/>
                <w:szCs w:val="32"/>
                <w:highlight w:val="none"/>
                <w:u w:val="none"/>
                <w:lang w:val="en-US" w:eastAsia="zh-CN"/>
              </w:rPr>
              <w:t>11:00</w:t>
            </w:r>
          </w:p>
        </w:tc>
      </w:tr>
      <w:tr w14:paraId="78811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vAlign w:val="center"/>
          </w:tcPr>
          <w:p w14:paraId="0D1E99D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tcBorders>
              <w:right w:val="single" w:color="auto" w:sz="4" w:space="0"/>
            </w:tcBorders>
            <w:vAlign w:val="center"/>
          </w:tcPr>
          <w:p w14:paraId="4D547A2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left w:val="single" w:color="auto" w:sz="4" w:space="0"/>
            </w:tcBorders>
            <w:vAlign w:val="center"/>
          </w:tcPr>
          <w:p w14:paraId="34645C25">
            <w:pPr>
              <w:keepNext w:val="0"/>
              <w:keepLines w:val="0"/>
              <w:pageBreakBefore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地点:</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09340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vAlign w:val="center"/>
          </w:tcPr>
          <w:p w14:paraId="0E1E030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2</w:t>
            </w:r>
          </w:p>
        </w:tc>
        <w:tc>
          <w:tcPr>
            <w:tcW w:w="1937" w:type="dxa"/>
            <w:tcBorders>
              <w:right w:val="single" w:color="auto" w:sz="4" w:space="0"/>
            </w:tcBorders>
            <w:vAlign w:val="center"/>
          </w:tcPr>
          <w:p w14:paraId="58289D3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成交原则</w:t>
            </w:r>
          </w:p>
        </w:tc>
        <w:tc>
          <w:tcPr>
            <w:tcW w:w="7850" w:type="dxa"/>
            <w:gridSpan w:val="4"/>
            <w:tcBorders>
              <w:left w:val="single" w:color="auto" w:sz="4" w:space="0"/>
            </w:tcBorders>
            <w:vAlign w:val="center"/>
          </w:tcPr>
          <w:p w14:paraId="6CB69B48">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最大程度满足</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文件规定的各项综合评价标准即综合得分最高为成交候选投标人。</w:t>
            </w:r>
          </w:p>
        </w:tc>
      </w:tr>
      <w:tr w14:paraId="1A14A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vAlign w:val="center"/>
          </w:tcPr>
          <w:p w14:paraId="17B1E5D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3</w:t>
            </w:r>
          </w:p>
        </w:tc>
        <w:tc>
          <w:tcPr>
            <w:tcW w:w="1937" w:type="dxa"/>
            <w:vMerge w:val="restart"/>
            <w:tcBorders>
              <w:right w:val="single" w:color="auto" w:sz="4" w:space="0"/>
            </w:tcBorders>
            <w:vAlign w:val="center"/>
          </w:tcPr>
          <w:p w14:paraId="223ED9D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公告及成交公示发布媒介</w:t>
            </w:r>
          </w:p>
        </w:tc>
        <w:tc>
          <w:tcPr>
            <w:tcW w:w="7850" w:type="dxa"/>
            <w:gridSpan w:val="4"/>
            <w:tcBorders>
              <w:left w:val="single" w:color="auto" w:sz="4" w:space="0"/>
              <w:bottom w:val="single" w:color="auto" w:sz="4" w:space="0"/>
            </w:tcBorders>
            <w:vAlign w:val="center"/>
          </w:tcPr>
          <w:p w14:paraId="3F4880B2">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新疆政府采购网http://www.ccgp-xinjiang.gov.cn/</w:t>
            </w:r>
          </w:p>
          <w:p w14:paraId="25071B08">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lang w:val="en-US" w:eastAsia="zh-CN"/>
              </w:rPr>
              <w:t>伊犁州公共资源交易平台</w:t>
            </w:r>
            <w:r>
              <w:rPr>
                <w:rFonts w:hint="eastAsia" w:ascii="仿宋_GB2312" w:hAnsi="仿宋_GB2312" w:eastAsia="仿宋_GB2312" w:cs="仿宋_GB2312"/>
                <w:b/>
                <w:color w:val="auto"/>
                <w:kern w:val="0"/>
                <w:sz w:val="32"/>
                <w:szCs w:val="32"/>
                <w:highlight w:val="none"/>
              </w:rPr>
              <w:t>http://ggzy.xjyl.gov.cn/</w:t>
            </w:r>
          </w:p>
        </w:tc>
      </w:tr>
      <w:tr w14:paraId="5A822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vAlign w:val="center"/>
          </w:tcPr>
          <w:p w14:paraId="41D7212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tcBorders>
              <w:right w:val="single" w:color="auto" w:sz="4" w:space="0"/>
            </w:tcBorders>
            <w:vAlign w:val="center"/>
          </w:tcPr>
          <w:p w14:paraId="5C95E6C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left w:val="single" w:color="auto" w:sz="4" w:space="0"/>
            </w:tcBorders>
            <w:vAlign w:val="center"/>
          </w:tcPr>
          <w:p w14:paraId="01CFF4A0">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公示期不少于1工作日，公示期内无异议将向第一中标候选人发出成交通知书。</w:t>
            </w:r>
          </w:p>
        </w:tc>
      </w:tr>
      <w:tr w14:paraId="50AB3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vAlign w:val="center"/>
          </w:tcPr>
          <w:p w14:paraId="1AAD9B9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4</w:t>
            </w:r>
          </w:p>
        </w:tc>
        <w:tc>
          <w:tcPr>
            <w:tcW w:w="1937" w:type="dxa"/>
            <w:vAlign w:val="center"/>
          </w:tcPr>
          <w:p w14:paraId="3591A66C">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中标</w:t>
            </w:r>
          </w:p>
          <w:p w14:paraId="0F3A22B7">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通知书</w:t>
            </w:r>
          </w:p>
        </w:tc>
        <w:tc>
          <w:tcPr>
            <w:tcW w:w="7850" w:type="dxa"/>
            <w:gridSpan w:val="4"/>
            <w:vAlign w:val="center"/>
          </w:tcPr>
          <w:p w14:paraId="5C7B649E">
            <w:pPr>
              <w:keepNext w:val="0"/>
              <w:keepLines w:val="0"/>
              <w:pageBreakBefore w:val="0"/>
              <w:widowControl/>
              <w:kinsoku/>
              <w:topLinePunct w:val="0"/>
              <w:bidi w:val="0"/>
              <w:spacing w:line="500" w:lineRule="exact"/>
              <w:ind w:left="50" w:leftChars="-45" w:hanging="144" w:hangingChars="4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中标公示</w:t>
            </w:r>
            <w:r>
              <w:rPr>
                <w:rFonts w:hint="eastAsia" w:ascii="仿宋_GB2312" w:hAnsi="仿宋_GB2312" w:eastAsia="仿宋_GB2312" w:cs="仿宋_GB2312"/>
                <w:b/>
                <w:color w:val="auto"/>
                <w:sz w:val="32"/>
                <w:szCs w:val="32"/>
                <w:highlight w:val="none"/>
              </w:rPr>
              <w:t>1</w:t>
            </w:r>
            <w:r>
              <w:rPr>
                <w:rFonts w:hint="eastAsia" w:ascii="仿宋_GB2312" w:hAnsi="仿宋_GB2312" w:eastAsia="仿宋_GB2312" w:cs="仿宋_GB2312"/>
                <w:color w:val="auto"/>
                <w:sz w:val="32"/>
                <w:szCs w:val="32"/>
                <w:highlight w:val="none"/>
              </w:rPr>
              <w:t>工作日无异议后发放</w:t>
            </w:r>
          </w:p>
        </w:tc>
      </w:tr>
      <w:tr w14:paraId="3CAC2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vAlign w:val="center"/>
          </w:tcPr>
          <w:p w14:paraId="240CE80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5</w:t>
            </w:r>
          </w:p>
        </w:tc>
        <w:tc>
          <w:tcPr>
            <w:tcW w:w="1937" w:type="dxa"/>
            <w:vAlign w:val="center"/>
          </w:tcPr>
          <w:p w14:paraId="4D1F6B73">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合同签订</w:t>
            </w:r>
            <w:r>
              <w:rPr>
                <w:rFonts w:hint="eastAsia" w:ascii="仿宋_GB2312" w:hAnsi="仿宋_GB2312" w:eastAsia="仿宋_GB2312" w:cs="仿宋_GB2312"/>
                <w:b/>
                <w:color w:val="auto"/>
                <w:sz w:val="32"/>
                <w:szCs w:val="32"/>
                <w:highlight w:val="none"/>
                <w:lang w:val="en-US" w:eastAsia="zh-CN"/>
              </w:rPr>
              <w:t>有效期</w:t>
            </w:r>
          </w:p>
        </w:tc>
        <w:tc>
          <w:tcPr>
            <w:tcW w:w="7850" w:type="dxa"/>
            <w:gridSpan w:val="4"/>
            <w:vAlign w:val="center"/>
          </w:tcPr>
          <w:p w14:paraId="29F7D82C">
            <w:pPr>
              <w:keepNext w:val="0"/>
              <w:keepLines w:val="0"/>
              <w:pageBreakBefore w:val="0"/>
              <w:widowControl/>
              <w:kinsoku/>
              <w:topLinePunct w:val="0"/>
              <w:bidi w:val="0"/>
              <w:spacing w:line="500" w:lineRule="exact"/>
              <w:ind w:left="50" w:leftChars="-45" w:hanging="144" w:hangingChars="4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通知书发出之日起30日内与采购人签订采购合同。</w:t>
            </w:r>
          </w:p>
          <w:p w14:paraId="5BF38B31">
            <w:pPr>
              <w:keepNext w:val="0"/>
              <w:keepLines w:val="0"/>
              <w:pageBreakBefore w:val="0"/>
              <w:widowControl/>
              <w:kinsoku/>
              <w:topLinePunct w:val="0"/>
              <w:bidi w:val="0"/>
              <w:spacing w:line="500" w:lineRule="exact"/>
              <w:ind w:left="50" w:leftChars="-45" w:hanging="144" w:hangingChars="4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中标人在法定期限内无正当理由拒签合同的，按违约处理。同时，采购代理机构和采购人可依据评标排序重新确定中标人，并协调双方签订采购合同，或重新组织采购活动，并上报卫健委做不良信用处理。 </w:t>
            </w:r>
          </w:p>
        </w:tc>
      </w:tr>
      <w:tr w14:paraId="0E88D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Align w:val="center"/>
          </w:tcPr>
          <w:p w14:paraId="3F1EB68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6</w:t>
            </w:r>
          </w:p>
        </w:tc>
        <w:tc>
          <w:tcPr>
            <w:tcW w:w="1937" w:type="dxa"/>
            <w:vAlign w:val="center"/>
          </w:tcPr>
          <w:p w14:paraId="4C4A0B2F">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代理服务费</w:t>
            </w:r>
          </w:p>
        </w:tc>
        <w:tc>
          <w:tcPr>
            <w:tcW w:w="7850" w:type="dxa"/>
            <w:gridSpan w:val="4"/>
            <w:vAlign w:val="center"/>
          </w:tcPr>
          <w:p w14:paraId="376B29D9">
            <w:pPr>
              <w:keepNext w:val="0"/>
              <w:keepLines w:val="0"/>
              <w:pageBreakBefore w:val="0"/>
              <w:kinsoku/>
              <w:topLinePunct w:val="0"/>
              <w:bidi w:val="0"/>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招标代理服务费：中标人应按本招标文件的规定，在《</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通知书》核发时至核发后 3 天内，向采购代理机构支付中标服务费。其计算标准和方法按照下列表格差额定率累进法计算后下浮30%。</w:t>
            </w:r>
            <w:r>
              <w:rPr>
                <w:rFonts w:hint="eastAsia" w:ascii="仿宋_GB2312" w:hAnsi="仿宋_GB2312" w:eastAsia="仿宋_GB2312" w:cs="仿宋_GB2312"/>
                <w:sz w:val="32"/>
                <w:szCs w:val="32"/>
                <w:lang w:val="en-US" w:eastAsia="zh-CN"/>
              </w:rPr>
              <w:t>标段一</w:t>
            </w:r>
            <w:r>
              <w:rPr>
                <w:rFonts w:hint="eastAsia" w:ascii="仿宋_GB2312" w:hAnsi="仿宋_GB2312" w:eastAsia="仿宋_GB2312" w:cs="仿宋_GB2312"/>
                <w:sz w:val="32"/>
                <w:szCs w:val="32"/>
              </w:rPr>
              <w:t>代理服务费约为</w:t>
            </w:r>
            <w:r>
              <w:rPr>
                <w:rFonts w:hint="eastAsia" w:ascii="仿宋_GB2312" w:hAnsi="仿宋_GB2312" w:eastAsia="仿宋_GB2312" w:cs="仿宋_GB2312"/>
                <w:sz w:val="32"/>
                <w:szCs w:val="32"/>
                <w:lang w:val="en-US" w:eastAsia="zh-CN"/>
              </w:rPr>
              <w:t>6615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标段二</w:t>
            </w:r>
            <w:r>
              <w:rPr>
                <w:rFonts w:hint="eastAsia" w:ascii="仿宋_GB2312" w:hAnsi="仿宋_GB2312" w:eastAsia="仿宋_GB2312" w:cs="仿宋_GB2312"/>
                <w:sz w:val="32"/>
                <w:szCs w:val="32"/>
              </w:rPr>
              <w:t>代理服务费约为</w:t>
            </w:r>
            <w:r>
              <w:rPr>
                <w:rFonts w:hint="eastAsia" w:ascii="仿宋_GB2312" w:hAnsi="仿宋_GB2312" w:eastAsia="仿宋_GB2312" w:cs="仿宋_GB2312"/>
                <w:sz w:val="32"/>
                <w:szCs w:val="32"/>
                <w:lang w:val="en-US" w:eastAsia="zh-CN"/>
              </w:rPr>
              <w:t>4095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最终中标服务费金额按中标金额为基数计取。</w:t>
            </w:r>
          </w:p>
          <w:tbl>
            <w:tblPr>
              <w:tblStyle w:val="29"/>
              <w:tblW w:w="7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5170358D">
              <w:tblPrEx>
                <w:tblCellMar>
                  <w:top w:w="0" w:type="dxa"/>
                  <w:left w:w="108" w:type="dxa"/>
                  <w:bottom w:w="0" w:type="dxa"/>
                  <w:right w:w="108" w:type="dxa"/>
                </w:tblCellMar>
              </w:tblPrEx>
              <w:trPr>
                <w:trHeight w:val="1362" w:hRule="atLeast"/>
              </w:trPr>
              <w:tc>
                <w:tcPr>
                  <w:tcW w:w="3790" w:type="dxa"/>
                </w:tcPr>
                <w:p w14:paraId="53FA35CF">
                  <w:pPr>
                    <w:keepNext w:val="0"/>
                    <w:keepLines w:val="0"/>
                    <w:pageBreakBefore w:val="0"/>
                    <w:widowControl w:val="0"/>
                    <w:kinsoku/>
                    <w:bidi w:val="0"/>
                    <w:spacing w:before="24" w:line="440" w:lineRule="exact"/>
                    <w:ind w:firstLine="2240" w:firstLine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403475" cy="835025"/>
                            <wp:effectExtent l="1270" t="4445" r="14605" b="17780"/>
                            <wp:wrapNone/>
                            <wp:docPr id="2" name="直接连接符 2"/>
                            <wp:cNvGraphicFramePr/>
                            <a:graphic xmlns:a="http://schemas.openxmlformats.org/drawingml/2006/main">
                              <a:graphicData uri="http://schemas.microsoft.com/office/word/2010/wordprocessingShape">
                                <wps:wsp>
                                  <wps:cNvCnPr/>
                                  <wps:spPr>
                                    <a:xfrm>
                                      <a:off x="1472565" y="7124065"/>
                                      <a:ext cx="2403475" cy="835025"/>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65.75pt;width:189.25pt;z-index:251662336;mso-width-relative:page;mso-height-relative:page;" filled="f" stroked="t" coordsize="21600,21600" o:gfxdata="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1d&#10;vNcAAAAHAQAADwAAAAAAAAABACAAAAAiAAAAZHJzL2Rvd25yZXYueG1sUEsBAhQAFAAAAAgAh07i&#10;QB2E5v/qAQAAtgMAAA4AAAAAAAAAAQAgAAAAJgEAAGRycy9lMm9Eb2MueG1sUEsFBgAAAAAGAAYA&#10;WQEAAIIFA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50D5235F">
                  <w:pPr>
                    <w:keepNext w:val="0"/>
                    <w:keepLines w:val="0"/>
                    <w:pageBreakBefore w:val="0"/>
                    <w:widowControl w:val="0"/>
                    <w:kinsoku/>
                    <w:bidi w:val="0"/>
                    <w:spacing w:before="24" w:line="440" w:lineRule="exact"/>
                    <w:jc w:val="both"/>
                    <w:rPr>
                      <w:rFonts w:hint="eastAsia" w:ascii="仿宋_GB2312" w:hAnsi="仿宋_GB2312" w:eastAsia="仿宋_GB2312" w:cs="仿宋_GB2312"/>
                      <w:sz w:val="32"/>
                      <w:szCs w:val="32"/>
                    </w:rPr>
                  </w:pPr>
                </w:p>
                <w:p w14:paraId="0BC806BF">
                  <w:pPr>
                    <w:keepNext w:val="0"/>
                    <w:keepLines w:val="0"/>
                    <w:pageBreakBefore w:val="0"/>
                    <w:widowControl w:val="0"/>
                    <w:kinsoku/>
                    <w:bidi w:val="0"/>
                    <w:spacing w:before="24"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3790" w:type="dxa"/>
                  <w:vAlign w:val="center"/>
                </w:tcPr>
                <w:p w14:paraId="586ADF6D">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招标费率</w:t>
                  </w:r>
                </w:p>
              </w:tc>
            </w:tr>
            <w:tr w14:paraId="7FAF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tcPr>
                <w:p w14:paraId="525B9F02">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 以下部分</w:t>
                  </w:r>
                </w:p>
              </w:tc>
              <w:tc>
                <w:tcPr>
                  <w:tcW w:w="3790" w:type="dxa"/>
                </w:tcPr>
                <w:p w14:paraId="302AB470">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r>
            <w:tr w14:paraId="0CE8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tcPr>
                <w:p w14:paraId="1DC687B4">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100-500 部分</w:t>
                  </w:r>
                </w:p>
              </w:tc>
              <w:tc>
                <w:tcPr>
                  <w:tcW w:w="3790" w:type="dxa"/>
                </w:tcPr>
                <w:p w14:paraId="365C68D4">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p>
              </w:tc>
            </w:tr>
            <w:tr w14:paraId="6D18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tcPr>
                <w:p w14:paraId="7DFC3D4A">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部分</w:t>
                  </w:r>
                </w:p>
              </w:tc>
              <w:tc>
                <w:tcPr>
                  <w:tcW w:w="3790" w:type="dxa"/>
                </w:tcPr>
                <w:p w14:paraId="61074782">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p>
              </w:tc>
            </w:tr>
            <w:tr w14:paraId="491F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tcPr>
                <w:p w14:paraId="2784E0D3">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-500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部分</w:t>
                  </w:r>
                </w:p>
              </w:tc>
              <w:tc>
                <w:tcPr>
                  <w:tcW w:w="3790" w:type="dxa"/>
                </w:tcPr>
                <w:p w14:paraId="58808B26">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p>
              </w:tc>
            </w:tr>
            <w:tr w14:paraId="3F03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tcPr>
                <w:p w14:paraId="37D1825E">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 xml:space="preserve"> 部分</w:t>
                  </w:r>
                </w:p>
              </w:tc>
              <w:tc>
                <w:tcPr>
                  <w:tcW w:w="3790" w:type="dxa"/>
                </w:tcPr>
                <w:p w14:paraId="44BE6E36">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tc>
            </w:tr>
            <w:tr w14:paraId="4E19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vAlign w:val="top"/>
                </w:tcPr>
                <w:p w14:paraId="35DE33A1">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100000</w:t>
                  </w:r>
                  <w:r>
                    <w:rPr>
                      <w:rFonts w:hint="eastAsia" w:ascii="仿宋_GB2312" w:hAnsi="仿宋_GB2312" w:eastAsia="仿宋_GB2312" w:cs="仿宋_GB2312"/>
                      <w:sz w:val="32"/>
                      <w:szCs w:val="32"/>
                    </w:rPr>
                    <w:t xml:space="preserve"> 部分</w:t>
                  </w:r>
                </w:p>
              </w:tc>
              <w:tc>
                <w:tcPr>
                  <w:tcW w:w="3790" w:type="dxa"/>
                  <w:vAlign w:val="top"/>
                </w:tcPr>
                <w:p w14:paraId="1B313D81">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p>
              </w:tc>
            </w:tr>
            <w:tr w14:paraId="7F11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vAlign w:val="top"/>
                </w:tcPr>
                <w:p w14:paraId="7D609605">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1000000以上</w:t>
                  </w:r>
                </w:p>
              </w:tc>
              <w:tc>
                <w:tcPr>
                  <w:tcW w:w="3790" w:type="dxa"/>
                  <w:vAlign w:val="top"/>
                </w:tcPr>
                <w:p w14:paraId="323E3017">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p>
              </w:tc>
            </w:tr>
          </w:tbl>
          <w:p w14:paraId="749DBC41">
            <w:pPr>
              <w:keepNext w:val="0"/>
              <w:keepLines w:val="0"/>
              <w:pageBreakBefore w:val="0"/>
              <w:kinsoku/>
              <w:topLinePunct w:val="0"/>
              <w:bidi w:val="0"/>
              <w:spacing w:before="24"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支付形式：对公转账</w:t>
            </w:r>
          </w:p>
          <w:p w14:paraId="2E47A6CB">
            <w:pPr>
              <w:keepNext w:val="0"/>
              <w:keepLines w:val="0"/>
              <w:pageBreakBefore w:val="0"/>
              <w:numPr>
                <w:ilvl w:val="0"/>
                <w:numId w:val="0"/>
              </w:numPr>
              <w:kinsoku/>
              <w:topLinePunct w:val="0"/>
              <w:bidi w:val="0"/>
              <w:spacing w:line="500" w:lineRule="exact"/>
              <w:ind w:left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pacing w:val="8"/>
                <w:sz w:val="32"/>
                <w:szCs w:val="32"/>
              </w:rPr>
              <w:t>支付时间：领取</w:t>
            </w:r>
            <w:r>
              <w:rPr>
                <w:rFonts w:hint="eastAsia" w:ascii="仿宋_GB2312" w:hAnsi="仿宋_GB2312" w:eastAsia="仿宋_GB2312" w:cs="仿宋_GB2312"/>
                <w:spacing w:val="8"/>
                <w:sz w:val="32"/>
                <w:szCs w:val="32"/>
                <w:lang w:val="en-US" w:eastAsia="zh-CN"/>
              </w:rPr>
              <w:t>成交</w:t>
            </w:r>
            <w:r>
              <w:rPr>
                <w:rFonts w:hint="eastAsia" w:ascii="仿宋_GB2312" w:hAnsi="仿宋_GB2312" w:eastAsia="仿宋_GB2312" w:cs="仿宋_GB2312"/>
                <w:spacing w:val="8"/>
                <w:sz w:val="32"/>
                <w:szCs w:val="32"/>
              </w:rPr>
              <w:t>通知书时由中标方一次性支付</w:t>
            </w:r>
          </w:p>
        </w:tc>
      </w:tr>
      <w:tr w14:paraId="6DA89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vAlign w:val="center"/>
          </w:tcPr>
          <w:p w14:paraId="442A5DB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27</w:t>
            </w:r>
          </w:p>
        </w:tc>
        <w:tc>
          <w:tcPr>
            <w:tcW w:w="1937" w:type="dxa"/>
            <w:vAlign w:val="center"/>
          </w:tcPr>
          <w:p w14:paraId="6AA7C38C">
            <w:pPr>
              <w:pStyle w:val="16"/>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2"/>
                <w:sz w:val="32"/>
                <w:szCs w:val="32"/>
                <w:highlight w:val="none"/>
                <w:lang w:val="en-US" w:eastAsia="zh-CN" w:bidi="ar-SA"/>
              </w:rPr>
              <w:t>招标文件的澄清或修改</w:t>
            </w:r>
          </w:p>
        </w:tc>
        <w:tc>
          <w:tcPr>
            <w:tcW w:w="7850" w:type="dxa"/>
            <w:gridSpan w:val="4"/>
            <w:vAlign w:val="center"/>
          </w:tcPr>
          <w:p w14:paraId="1B6C6405">
            <w:pPr>
              <w:pStyle w:val="16"/>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应当在知道或应当知道（即收到采购文件之日或者采购文件公告期限届满之日）其权益受到损害之日起</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个工作日内书面提出。</w:t>
            </w:r>
          </w:p>
        </w:tc>
      </w:tr>
      <w:tr w14:paraId="74C6E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vAlign w:val="center"/>
          </w:tcPr>
          <w:p w14:paraId="7B8FCD2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8</w:t>
            </w:r>
          </w:p>
        </w:tc>
        <w:tc>
          <w:tcPr>
            <w:tcW w:w="1937" w:type="dxa"/>
            <w:vAlign w:val="center"/>
          </w:tcPr>
          <w:p w14:paraId="335C14B1">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文件解释权</w:t>
            </w:r>
          </w:p>
        </w:tc>
        <w:tc>
          <w:tcPr>
            <w:tcW w:w="7850" w:type="dxa"/>
            <w:gridSpan w:val="4"/>
            <w:vAlign w:val="center"/>
          </w:tcPr>
          <w:p w14:paraId="7983F836">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的解释权归</w:t>
            </w:r>
            <w:r>
              <w:rPr>
                <w:rFonts w:hint="eastAsia" w:ascii="仿宋_GB2312" w:hAnsi="仿宋_GB2312" w:eastAsia="仿宋_GB2312" w:cs="仿宋_GB2312"/>
                <w:b/>
                <w:bCs/>
                <w:color w:val="000000"/>
                <w:sz w:val="32"/>
                <w:szCs w:val="32"/>
                <w:lang w:val="zh-CN"/>
              </w:rPr>
              <w:t>伊犁哈萨克自治州友谊医院</w:t>
            </w:r>
          </w:p>
        </w:tc>
      </w:tr>
      <w:tr w14:paraId="698A5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vAlign w:val="center"/>
          </w:tcPr>
          <w:p w14:paraId="61CDD5E6">
            <w:pPr>
              <w:keepNext w:val="0"/>
              <w:keepLines w:val="0"/>
              <w:pageBreakBefore w:val="0"/>
              <w:kinsoku/>
              <w:wordWrap/>
              <w:topLinePunct w:val="0"/>
              <w:autoSpaceDE w:val="0"/>
              <w:autoSpaceDN w:val="0"/>
              <w:bidi w:val="0"/>
              <w:adjustRightInd w:val="0"/>
              <w:snapToGrid w:val="0"/>
              <w:spacing w:line="460" w:lineRule="exact"/>
              <w:jc w:val="center"/>
              <w:textAlignment w:val="auto"/>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9</w:t>
            </w:r>
          </w:p>
        </w:tc>
        <w:tc>
          <w:tcPr>
            <w:tcW w:w="1937" w:type="dxa"/>
            <w:vAlign w:val="center"/>
          </w:tcPr>
          <w:p w14:paraId="3373B510">
            <w:pPr>
              <w:keepNext w:val="0"/>
              <w:keepLines w:val="0"/>
              <w:pageBreakBefore w:val="0"/>
              <w:kinsoku/>
              <w:wordWrap/>
              <w:overflowPunct w:val="0"/>
              <w:topLinePunct w:val="0"/>
              <w:bidi w:val="0"/>
              <w:spacing w:line="460" w:lineRule="exact"/>
              <w:jc w:val="center"/>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补充说明</w:t>
            </w:r>
          </w:p>
        </w:tc>
        <w:tc>
          <w:tcPr>
            <w:tcW w:w="7850" w:type="dxa"/>
            <w:gridSpan w:val="4"/>
            <w:vAlign w:val="center"/>
          </w:tcPr>
          <w:p w14:paraId="6BA983C1">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本项目采用电子招标投标：</w:t>
            </w:r>
            <w:r>
              <w:rPr>
                <w:rFonts w:hint="eastAsia" w:ascii="仿宋_GB2312" w:hAnsi="仿宋_GB2312" w:eastAsia="仿宋_GB2312" w:cs="仿宋_GB2312"/>
                <w:sz w:val="32"/>
                <w:szCs w:val="32"/>
                <w:lang w:val="en-US" w:eastAsia="zh-CN"/>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5320577D">
            <w:pPr>
              <w:keepNext w:val="0"/>
              <w:keepLines w:val="0"/>
              <w:pageBreakBefore w:val="0"/>
              <w:numPr>
                <w:ilvl w:val="0"/>
                <w:numId w:val="2"/>
              </w:numPr>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供应商报价CA签字确认：报价文件开启后将开启签字时段，供应商须在30分钟内用CA证书对报价进行签字确认。</w:t>
            </w:r>
          </w:p>
          <w:p w14:paraId="7E01337E">
            <w:pPr>
              <w:keepNext w:val="0"/>
              <w:keepLines w:val="0"/>
              <w:pageBreakBefore w:val="0"/>
              <w:numPr>
                <w:ilvl w:val="0"/>
                <w:numId w:val="0"/>
              </w:numPr>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备注：</w:t>
            </w:r>
            <w:r>
              <w:rPr>
                <w:rFonts w:hint="eastAsia" w:ascii="仿宋_GB2312" w:hAnsi="仿宋_GB2312" w:eastAsia="仿宋_GB2312" w:cs="仿宋_GB2312"/>
                <w:sz w:val="32"/>
                <w:szCs w:val="32"/>
              </w:rPr>
              <w:t>1、本次采购采用电子交易方式，电子交易平台为“</w:t>
            </w:r>
            <w:r>
              <w:rPr>
                <w:rFonts w:hint="eastAsia" w:ascii="仿宋_GB2312" w:hAnsi="仿宋_GB2312" w:eastAsia="仿宋_GB2312" w:cs="仿宋_GB2312"/>
                <w:color w:val="000000"/>
                <w:kern w:val="2"/>
                <w:sz w:val="32"/>
                <w:szCs w:val="32"/>
                <w:lang w:val="en-US" w:eastAsia="zh-CN" w:bidi="ar-SA"/>
              </w:rPr>
              <w:t>政府采购云平台（www.zcygov.cn）</w:t>
            </w:r>
            <w:r>
              <w:rPr>
                <w:rFonts w:hint="eastAsia" w:ascii="仿宋_GB2312" w:hAnsi="仿宋_GB2312" w:eastAsia="仿宋_GB2312" w:cs="仿宋_GB2312"/>
                <w:sz w:val="32"/>
                <w:szCs w:val="32"/>
              </w:rPr>
              <w:t>”。供应商参与本项目电子交易活动前，应注册成为</w:t>
            </w:r>
            <w:r>
              <w:rPr>
                <w:rFonts w:hint="eastAsia" w:ascii="仿宋_GB2312" w:hAnsi="仿宋_GB2312" w:eastAsia="仿宋_GB2312" w:cs="仿宋_GB2312"/>
                <w:color w:val="000000"/>
                <w:kern w:val="2"/>
                <w:sz w:val="32"/>
                <w:szCs w:val="32"/>
                <w:lang w:val="en-US" w:eastAsia="zh-CN" w:bidi="ar-SA"/>
              </w:rPr>
              <w:t>政府采购云平台供应商</w:t>
            </w:r>
            <w:r>
              <w:rPr>
                <w:rFonts w:hint="eastAsia" w:ascii="仿宋_GB2312" w:hAnsi="仿宋_GB2312" w:eastAsia="仿宋_GB2312" w:cs="仿宋_GB2312"/>
                <w:sz w:val="32"/>
                <w:szCs w:val="32"/>
              </w:rPr>
              <w:t>。编制电子投标文件前还需申领CA证书并绑定帐号。供应商应充分考虑完成平台注册、申领CA证书等所需的时间。因未注册入库、未办理CA数字证书等原因造成无法投标或投标失败等后果由供应商自行承担。</w:t>
            </w:r>
          </w:p>
          <w:p w14:paraId="05B1041C">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分钟，如因供应商自身原因导致无法正常解密，后果由供应商自行承担。</w:t>
            </w:r>
          </w:p>
          <w:p w14:paraId="489A3E86">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lang w:val="en-US" w:eastAsia="zh-CN" w:bidi="ar-SA"/>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仿宋_GB2312" w:hAnsi="仿宋_GB2312" w:eastAsia="仿宋_GB2312" w:cs="仿宋_GB2312"/>
                <w:color w:val="000000"/>
                <w:kern w:val="2"/>
                <w:sz w:val="32"/>
                <w:szCs w:val="32"/>
                <w:lang w:val="en-US" w:eastAsia="zh-CN" w:bidi="ar-SA"/>
              </w:rPr>
              <w:t>95763</w:t>
            </w:r>
            <w:r>
              <w:rPr>
                <w:rFonts w:hint="eastAsia" w:ascii="仿宋_GB2312" w:hAnsi="仿宋_GB2312" w:eastAsia="仿宋_GB2312" w:cs="仿宋_GB2312"/>
                <w:kern w:val="2"/>
                <w:sz w:val="32"/>
                <w:szCs w:val="32"/>
                <w:lang w:val="en-US" w:eastAsia="zh-CN" w:bidi="ar-SA"/>
              </w:rPr>
              <w:t>（工作时间：工作日08:00~20：00）   。</w:t>
            </w:r>
          </w:p>
          <w:p w14:paraId="47A7231C">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、按评标办法提供材料。</w:t>
            </w:r>
          </w:p>
          <w:p w14:paraId="0EEA791C">
            <w:pPr>
              <w:keepNext w:val="0"/>
              <w:keepLines w:val="0"/>
              <w:pageBreakBefore w:val="0"/>
              <w:widowControl/>
              <w:kinsoku/>
              <w:wordWrap/>
              <w:topLinePunct w:val="0"/>
              <w:bidi w:val="0"/>
              <w:spacing w:line="4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须知前附表与正文描述不一致时，以须知前附表中为主。</w:t>
            </w:r>
          </w:p>
        </w:tc>
      </w:tr>
      <w:tr w14:paraId="32972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vAlign w:val="center"/>
          </w:tcPr>
          <w:p w14:paraId="6E57F6AA">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特别说明：</w:t>
            </w:r>
          </w:p>
          <w:p w14:paraId="50501618">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399E8F32">
            <w:pPr>
              <w:keepNext w:val="0"/>
              <w:keepLines w:val="0"/>
              <w:pageBreakBefore w:val="0"/>
              <w:widowControl/>
              <w:kinsoku/>
              <w:wordWrap/>
              <w:topLinePunct w:val="0"/>
              <w:bidi w:val="0"/>
              <w:spacing w:line="4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招标</w:t>
            </w:r>
            <w:r>
              <w:rPr>
                <w:rFonts w:hint="eastAsia" w:ascii="仿宋_GB2312" w:hAnsi="仿宋_GB2312" w:eastAsia="仿宋_GB2312" w:cs="仿宋_GB2312"/>
                <w:b/>
                <w:sz w:val="32"/>
                <w:szCs w:val="32"/>
              </w:rPr>
              <w:t>文件中部分加“</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”、加粗、加下划线、废标、无效标、投标被拒绝字样的条款，为招标的实质性要求和条件，着重提醒各投标人注意，并认真查看</w:t>
            </w:r>
            <w:r>
              <w:rPr>
                <w:rFonts w:hint="eastAsia" w:ascii="仿宋_GB2312" w:hAnsi="仿宋_GB2312" w:eastAsia="仿宋_GB2312" w:cs="仿宋_GB2312"/>
                <w:b/>
                <w:sz w:val="32"/>
                <w:szCs w:val="32"/>
                <w:lang w:val="en-US" w:eastAsia="zh-CN"/>
              </w:rPr>
              <w:t>招标</w:t>
            </w:r>
            <w:r>
              <w:rPr>
                <w:rFonts w:hint="eastAsia" w:ascii="仿宋_GB2312" w:hAnsi="仿宋_GB2312" w:eastAsia="仿宋_GB2312" w:cs="仿宋_GB2312"/>
                <w:b/>
                <w:sz w:val="32"/>
                <w:szCs w:val="32"/>
              </w:rPr>
              <w:t>文件中的每一个条款及要求，因误读</w:t>
            </w:r>
            <w:r>
              <w:rPr>
                <w:rFonts w:hint="eastAsia" w:ascii="仿宋_GB2312" w:hAnsi="仿宋_GB2312" w:eastAsia="仿宋_GB2312" w:cs="仿宋_GB2312"/>
                <w:b/>
                <w:sz w:val="32"/>
                <w:szCs w:val="32"/>
                <w:lang w:val="en-US" w:eastAsia="zh-CN"/>
              </w:rPr>
              <w:t>招标</w:t>
            </w:r>
            <w:r>
              <w:rPr>
                <w:rFonts w:hint="eastAsia" w:ascii="仿宋_GB2312" w:hAnsi="仿宋_GB2312" w:eastAsia="仿宋_GB2312" w:cs="仿宋_GB2312"/>
                <w:b/>
                <w:sz w:val="32"/>
                <w:szCs w:val="32"/>
              </w:rPr>
              <w:t>文件而造成的后果，招标人及代理机构概不负责</w:t>
            </w:r>
            <w:r>
              <w:rPr>
                <w:rFonts w:hint="eastAsia" w:ascii="仿宋_GB2312" w:hAnsi="仿宋_GB2312" w:eastAsia="仿宋_GB2312" w:cs="仿宋_GB2312"/>
                <w:b/>
                <w:sz w:val="32"/>
                <w:szCs w:val="32"/>
                <w:lang w:eastAsia="zh-CN"/>
              </w:rPr>
              <w:t>！</w:t>
            </w:r>
          </w:p>
        </w:tc>
      </w:tr>
    </w:tbl>
    <w:p w14:paraId="43B45C6D">
      <w:pPr>
        <w:pStyle w:val="2"/>
        <w:pageBreakBefore w:val="0"/>
        <w:bidi w:val="0"/>
        <w:spacing w:line="360" w:lineRule="auto"/>
        <w:ind w:left="0" w:leftChars="0" w:firstLine="0" w:firstLineChars="0"/>
        <w:rPr>
          <w:rFonts w:hint="eastAsia" w:ascii="仿宋" w:hAnsi="仿宋" w:eastAsia="仿宋" w:cs="仿宋"/>
          <w:b/>
          <w:color w:val="auto"/>
          <w:kern w:val="44"/>
          <w:sz w:val="24"/>
          <w:szCs w:val="24"/>
          <w:highlight w:val="none"/>
        </w:rPr>
      </w:pPr>
      <w:bookmarkStart w:id="17" w:name="_Toc3096"/>
    </w:p>
    <w:p w14:paraId="40CF1A58">
      <w:pPr>
        <w:pStyle w:val="25"/>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p>
    <w:p w14:paraId="6785ED03">
      <w:pPr>
        <w:pStyle w:val="25"/>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p>
    <w:p w14:paraId="25F893C4">
      <w:pPr>
        <w:rPr>
          <w:rFonts w:hint="eastAsia" w:ascii="方正小标宋_GBK" w:hAnsi="方正小标宋_GBK" w:eastAsia="方正小标宋_GBK" w:cs="方正小标宋_GBK"/>
          <w:b w:val="0"/>
          <w:bCs w:val="0"/>
          <w:snapToGrid/>
          <w:kern w:val="2"/>
          <w:sz w:val="32"/>
          <w:szCs w:val="32"/>
          <w:lang w:val="en-US" w:eastAsia="zh-CN" w:bidi="ar-SA"/>
        </w:rPr>
      </w:pPr>
    </w:p>
    <w:p w14:paraId="537C24A0">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47B905C2">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012C9C8A">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271D2A7A">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0D54B599">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70D4E41B">
      <w:pPr>
        <w:pStyle w:val="2"/>
        <w:rPr>
          <w:rFonts w:hint="eastAsia" w:ascii="方正小标宋_GBK" w:hAnsi="方正小标宋_GBK" w:eastAsia="方正小标宋_GBK" w:cs="方正小标宋_GBK"/>
          <w:b w:val="0"/>
          <w:bCs w:val="0"/>
          <w:snapToGrid/>
          <w:kern w:val="2"/>
          <w:sz w:val="32"/>
          <w:szCs w:val="32"/>
          <w:lang w:val="en-US" w:eastAsia="zh-CN" w:bidi="ar-SA"/>
        </w:rPr>
      </w:pPr>
    </w:p>
    <w:p w14:paraId="49C1EE5A">
      <w:pPr>
        <w:rPr>
          <w:rFonts w:hint="eastAsia" w:ascii="方正小标宋_GBK" w:hAnsi="方正小标宋_GBK" w:eastAsia="方正小标宋_GBK" w:cs="方正小标宋_GBK"/>
          <w:b w:val="0"/>
          <w:bCs w:val="0"/>
          <w:snapToGrid/>
          <w:kern w:val="2"/>
          <w:sz w:val="32"/>
          <w:szCs w:val="32"/>
          <w:lang w:val="en-US" w:eastAsia="zh-CN" w:bidi="ar-SA"/>
        </w:rPr>
      </w:pPr>
    </w:p>
    <w:p w14:paraId="15EB72A7">
      <w:pPr>
        <w:pStyle w:val="2"/>
        <w:rPr>
          <w:rFonts w:hint="eastAsia"/>
          <w:lang w:val="en-US" w:eastAsia="zh-CN"/>
        </w:rPr>
      </w:pPr>
    </w:p>
    <w:p w14:paraId="1705454B">
      <w:pPr>
        <w:pStyle w:val="25"/>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r>
        <w:rPr>
          <w:rFonts w:hint="eastAsia" w:ascii="方正小标宋_GBK" w:hAnsi="方正小标宋_GBK" w:eastAsia="方正小标宋_GBK" w:cs="方正小标宋_GBK"/>
          <w:b w:val="0"/>
          <w:bCs w:val="0"/>
          <w:snapToGrid/>
          <w:kern w:val="2"/>
          <w:sz w:val="32"/>
          <w:szCs w:val="32"/>
          <w:lang w:val="en-US" w:eastAsia="zh-CN" w:bidi="ar-SA"/>
        </w:rPr>
        <w:t>第三章　投标人须知</w:t>
      </w:r>
      <w:bookmarkEnd w:id="17"/>
    </w:p>
    <w:p w14:paraId="299E08F1">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18" w:name="_Toc18475"/>
      <w:bookmarkStart w:id="19" w:name="_Toc26890"/>
      <w:bookmarkStart w:id="20" w:name="_Toc737"/>
      <w:r>
        <w:rPr>
          <w:rFonts w:hint="eastAsia" w:ascii="Times New Roman" w:hAnsi="Times New Roman" w:eastAsia="黑体" w:cs="Times New Roman"/>
          <w:b w:val="0"/>
          <w:bCs w:val="0"/>
          <w:kern w:val="2"/>
          <w:sz w:val="32"/>
          <w:szCs w:val="32"/>
          <w:lang w:val="zh-CN" w:eastAsia="zh-CN" w:bidi="ar-SA"/>
        </w:rPr>
        <w:t>一、说明</w:t>
      </w:r>
      <w:bookmarkEnd w:id="18"/>
      <w:bookmarkEnd w:id="19"/>
      <w:bookmarkEnd w:id="20"/>
    </w:p>
    <w:p w14:paraId="371BC17C">
      <w:pPr>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 xml:space="preserve">   </w:t>
      </w:r>
      <w:bookmarkStart w:id="21" w:name="_Toc28947"/>
      <w:bookmarkStart w:id="22" w:name="_Toc2890"/>
      <w:bookmarkStart w:id="23" w:name="_Toc19092"/>
      <w:bookmarkStart w:id="24" w:name="_Toc32718"/>
      <w:bookmarkStart w:id="25" w:name="_Toc11143"/>
      <w:r>
        <w:rPr>
          <w:rFonts w:hint="eastAsia" w:ascii="仿宋_GB2312" w:hAnsi="仿宋_GB2312" w:eastAsia="仿宋_GB2312" w:cs="仿宋_GB2312"/>
          <w:b/>
          <w:bCs/>
          <w:color w:val="auto"/>
          <w:kern w:val="44"/>
          <w:sz w:val="32"/>
          <w:szCs w:val="32"/>
          <w:highlight w:val="none"/>
        </w:rPr>
        <w:t>说明：本</w:t>
      </w:r>
      <w:r>
        <w:rPr>
          <w:rFonts w:hint="eastAsia" w:ascii="仿宋_GB2312" w:hAnsi="仿宋_GB2312" w:eastAsia="仿宋_GB2312" w:cs="仿宋_GB2312"/>
          <w:b/>
          <w:bCs/>
          <w:color w:val="auto"/>
          <w:kern w:val="44"/>
          <w:sz w:val="32"/>
          <w:szCs w:val="32"/>
          <w:highlight w:val="none"/>
          <w:lang w:eastAsia="zh-CN"/>
        </w:rPr>
        <w:t>招标文件</w:t>
      </w:r>
      <w:r>
        <w:rPr>
          <w:rFonts w:hint="eastAsia" w:ascii="仿宋_GB2312" w:hAnsi="仿宋_GB2312" w:eastAsia="仿宋_GB2312" w:cs="仿宋_GB2312"/>
          <w:b/>
          <w:bCs/>
          <w:color w:val="auto"/>
          <w:kern w:val="44"/>
          <w:sz w:val="32"/>
          <w:szCs w:val="32"/>
          <w:highlight w:val="none"/>
        </w:rPr>
        <w:t>使用的词语有如下定义</w:t>
      </w:r>
      <w:bookmarkEnd w:id="21"/>
      <w:bookmarkEnd w:id="22"/>
      <w:bookmarkEnd w:id="23"/>
      <w:bookmarkEnd w:id="24"/>
      <w:bookmarkEnd w:id="25"/>
    </w:p>
    <w:p w14:paraId="0E157773">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u w:val="single"/>
          <w:lang w:val="zh-CN"/>
        </w:rPr>
      </w:pPr>
      <w:r>
        <w:rPr>
          <w:rFonts w:hint="eastAsia" w:ascii="仿宋_GB2312" w:hAnsi="仿宋_GB2312" w:eastAsia="仿宋_GB2312" w:cs="仿宋_GB2312"/>
          <w:color w:val="auto"/>
          <w:sz w:val="32"/>
          <w:szCs w:val="32"/>
          <w:highlight w:val="none"/>
          <w:lang w:val="zh-CN"/>
        </w:rPr>
        <w:t>“采购人”系指依法进行政府采购的国家机关、事业单位、团体组织。系指：</w:t>
      </w:r>
      <w:r>
        <w:rPr>
          <w:rFonts w:hint="eastAsia" w:ascii="仿宋_GB2312" w:hAnsi="仿宋_GB2312" w:eastAsia="仿宋_GB2312" w:cs="仿宋_GB2312"/>
          <w:color w:val="auto"/>
          <w:sz w:val="32"/>
          <w:szCs w:val="32"/>
          <w:highlight w:val="none"/>
          <w:u w:val="single"/>
          <w:lang w:val="zh-CN"/>
        </w:rPr>
        <w:t xml:space="preserve"> 伊犁哈萨克自治州友谊医院 。</w:t>
      </w:r>
    </w:p>
    <w:p w14:paraId="3A87D0E6">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 xml:space="preserve">“采购代理机构”系指： </w:t>
      </w:r>
      <w:r>
        <w:rPr>
          <w:rFonts w:hint="eastAsia" w:ascii="仿宋_GB2312" w:hAnsi="仿宋_GB2312" w:eastAsia="仿宋_GB2312" w:cs="仿宋_GB2312"/>
          <w:color w:val="auto"/>
          <w:sz w:val="32"/>
          <w:szCs w:val="32"/>
          <w:highlight w:val="none"/>
          <w:u w:val="single"/>
          <w:lang w:val="zh-CN"/>
        </w:rPr>
        <w:t>新疆金斌工程项目管理有限公司</w:t>
      </w:r>
      <w:r>
        <w:rPr>
          <w:rFonts w:hint="eastAsia" w:ascii="仿宋_GB2312" w:hAnsi="仿宋_GB2312" w:eastAsia="仿宋_GB2312" w:cs="仿宋_GB2312"/>
          <w:color w:val="auto"/>
          <w:sz w:val="32"/>
          <w:szCs w:val="32"/>
          <w:highlight w:val="none"/>
          <w:lang w:val="zh-CN"/>
        </w:rPr>
        <w:t>。</w:t>
      </w:r>
    </w:p>
    <w:p w14:paraId="42DB1AF9">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“投标人”系指响应采购、参加投标竞争的当事人。</w:t>
      </w:r>
    </w:p>
    <w:p w14:paraId="3D0050EE">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“成交人”系指由评标小组评审推荐，经法定程序确定获得本项目中标资格的投标人。</w:t>
      </w:r>
    </w:p>
    <w:p w14:paraId="75A4A708">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“评标小组” 系指依法组建，负责本次采购的评标工作机构。</w:t>
      </w:r>
    </w:p>
    <w:p w14:paraId="58E72862">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“甲方”系指在合同条款中指明的采购人。</w:t>
      </w:r>
    </w:p>
    <w:p w14:paraId="5319E377">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“乙方”系指在合同条款中指明的本合同项下提供</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lang w:val="zh-CN"/>
        </w:rPr>
        <w:t>的公司或实体。</w:t>
      </w:r>
    </w:p>
    <w:p w14:paraId="106447D5">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“招标文件”系指由采购代理机构发出的本招标文件，包括全部章节和附件。</w:t>
      </w:r>
    </w:p>
    <w:p w14:paraId="6BF6A79E">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“投标文件”系指投标人根据本招标文件向采购代理机构提交的全部文件。</w:t>
      </w:r>
    </w:p>
    <w:p w14:paraId="5ECBC865">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“书面函件” 系指手写、打字或印刷的函件，包括电传、电报和传真。</w:t>
      </w:r>
    </w:p>
    <w:p w14:paraId="54B36D6F">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“合同” 系指由本次采购所产生的合同或合约文件。</w:t>
      </w:r>
    </w:p>
    <w:p w14:paraId="205C30FA">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“日期”系指公历日。</w:t>
      </w:r>
    </w:p>
    <w:p w14:paraId="3739D577">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“时间”系指北京时间。</w:t>
      </w:r>
    </w:p>
    <w:p w14:paraId="29897559">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“货物”系指投标人须向采购人提供的符合招标文件要求的货。</w:t>
      </w:r>
    </w:p>
    <w:p w14:paraId="73940A30">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“服务”系指投标人须向采购人提供的符合招标文件要求的服务。</w:t>
      </w:r>
    </w:p>
    <w:p w14:paraId="79C321C2">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“实质性响应”系指符合招标文件的所有要求、条款、条件和规定，且没有不利于项目实施质量效果和服务保障的重大偏离或保留。</w:t>
      </w:r>
    </w:p>
    <w:p w14:paraId="0DF40892">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“重大偏离或保留”系指影响到招标文件规定的范围、质量和性能或限制了采购人的权力和投标人义务的规定，而纠正这些偏离将影响到其它投标人的公平竞争地位。</w:t>
      </w:r>
    </w:p>
    <w:p w14:paraId="698F3ED1">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盖章：一般情况指盖投标人的法定</w:t>
      </w:r>
      <w:r>
        <w:rPr>
          <w:rFonts w:hint="eastAsia" w:ascii="仿宋_GB2312" w:hAnsi="仿宋_GB2312" w:eastAsia="仿宋_GB2312"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lang w:val="zh-CN"/>
        </w:rPr>
        <w:t>公章，除招标文件特别说明外，使用财务专用章、合同章、投标专用章等非公章的盖章，均作无效盖章处理。</w:t>
      </w:r>
    </w:p>
    <w:p w14:paraId="60828E61">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签署：一般情况指亲笔签字或使用盖</w:t>
      </w:r>
      <w:r>
        <w:rPr>
          <w:rFonts w:hint="eastAsia" w:ascii="仿宋_GB2312" w:hAnsi="仿宋_GB2312" w:eastAsia="仿宋_GB2312"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lang w:val="zh-CN"/>
        </w:rPr>
        <w:t>私章方式，除招标文件特别说明外，其他方式均作无效签署处理。</w:t>
      </w:r>
    </w:p>
    <w:p w14:paraId="6C12DEEF">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6" w:name="_Toc55778675"/>
      <w:r>
        <w:rPr>
          <w:rFonts w:hint="eastAsia" w:ascii="仿宋_GB2312" w:hAnsi="仿宋_GB2312" w:eastAsia="仿宋_GB2312" w:cs="仿宋_GB2312"/>
          <w:b/>
          <w:bCs/>
          <w:color w:val="auto"/>
          <w:kern w:val="44"/>
          <w:sz w:val="32"/>
          <w:szCs w:val="32"/>
          <w:highlight w:val="none"/>
        </w:rPr>
        <w:t xml:space="preserve">    </w:t>
      </w:r>
      <w:bookmarkStart w:id="27" w:name="_Toc19223"/>
      <w:bookmarkStart w:id="28" w:name="_Toc10541"/>
      <w:bookmarkStart w:id="29" w:name="_Toc2235"/>
      <w:bookmarkStart w:id="30" w:name="_Toc26165"/>
      <w:bookmarkStart w:id="31" w:name="_Toc30404"/>
      <w:r>
        <w:rPr>
          <w:rFonts w:hint="eastAsia" w:ascii="仿宋_GB2312" w:hAnsi="仿宋_GB2312" w:eastAsia="仿宋_GB2312" w:cs="仿宋_GB2312"/>
          <w:b/>
          <w:bCs/>
          <w:color w:val="auto"/>
          <w:kern w:val="44"/>
          <w:sz w:val="32"/>
          <w:szCs w:val="32"/>
          <w:highlight w:val="none"/>
        </w:rPr>
        <w:t>合格的投标人</w:t>
      </w:r>
      <w:bookmarkEnd w:id="26"/>
      <w:bookmarkEnd w:id="27"/>
      <w:bookmarkEnd w:id="28"/>
      <w:bookmarkEnd w:id="29"/>
      <w:bookmarkEnd w:id="30"/>
      <w:bookmarkEnd w:id="31"/>
    </w:p>
    <w:p w14:paraId="741A977B">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除非另有规定，凡是在中华人民共和国境内注册且为人民币流通区域内的供货人均可投标。</w:t>
      </w:r>
    </w:p>
    <w:p w14:paraId="5C3DED44">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投标人符合《中华人民共和国政府采购法》第22条和《中华人民共和国政府采购法实施条例》第17条规定的条件。</w:t>
      </w:r>
    </w:p>
    <w:p w14:paraId="20AEB753">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C423D04">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与采购人存在利害关系可能影响公正性的法人或其他组织或自然人不得参加投标。</w:t>
      </w:r>
    </w:p>
    <w:p w14:paraId="2A08CBBE">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招标文件要求的其他条件。</w:t>
      </w:r>
    </w:p>
    <w:p w14:paraId="41F18D57">
      <w:pPr>
        <w:pStyle w:val="4"/>
        <w:pageBreakBefore w:val="0"/>
        <w:numPr>
          <w:ilvl w:val="0"/>
          <w:numId w:val="3"/>
        </w:numPr>
        <w:tabs>
          <w:tab w:val="left" w:pos="900"/>
          <w:tab w:val="clear" w:pos="425"/>
        </w:tabs>
        <w:kinsoku/>
        <w:overflowPunct/>
        <w:topLinePunct w:val="0"/>
        <w:bidi w:val="0"/>
        <w:spacing w:before="0" w:after="0" w:line="500" w:lineRule="exact"/>
        <w:ind w:left="924" w:hanging="924"/>
        <w:textAlignment w:val="auto"/>
        <w:rPr>
          <w:rStyle w:val="54"/>
          <w:rFonts w:hint="eastAsia" w:ascii="仿宋_GB2312" w:hAnsi="仿宋_GB2312" w:eastAsia="仿宋_GB2312" w:cs="仿宋_GB2312"/>
          <w:bCs/>
          <w:color w:val="auto"/>
          <w:sz w:val="32"/>
          <w:szCs w:val="32"/>
          <w:highlight w:val="none"/>
        </w:rPr>
      </w:pPr>
      <w:bookmarkStart w:id="32" w:name="_Toc2653"/>
      <w:bookmarkStart w:id="33" w:name="_Toc20782"/>
      <w:bookmarkStart w:id="34" w:name="_Toc25107"/>
      <w:bookmarkStart w:id="35" w:name="_Toc15216"/>
      <w:bookmarkStart w:id="36" w:name="_Toc55778677"/>
      <w:bookmarkStart w:id="37" w:name="_Toc28554"/>
      <w:bookmarkStart w:id="38" w:name="_Toc2463"/>
      <w:r>
        <w:rPr>
          <w:rStyle w:val="54"/>
          <w:rFonts w:hint="eastAsia" w:ascii="仿宋_GB2312" w:hAnsi="仿宋_GB2312" w:eastAsia="仿宋_GB2312" w:cs="仿宋_GB2312"/>
          <w:bCs/>
          <w:color w:val="auto"/>
          <w:sz w:val="32"/>
          <w:szCs w:val="32"/>
          <w:highlight w:val="none"/>
        </w:rPr>
        <w:t>投标费用</w:t>
      </w:r>
      <w:bookmarkEnd w:id="32"/>
      <w:bookmarkEnd w:id="33"/>
      <w:bookmarkEnd w:id="34"/>
      <w:bookmarkEnd w:id="35"/>
      <w:bookmarkEnd w:id="36"/>
      <w:bookmarkEnd w:id="37"/>
      <w:bookmarkEnd w:id="38"/>
    </w:p>
    <w:p w14:paraId="5F5B67BE">
      <w:pPr>
        <w:pStyle w:val="57"/>
        <w:pageBreakBefore w:val="0"/>
        <w:numPr>
          <w:ilvl w:val="0"/>
          <w:numId w:val="6"/>
        </w:numPr>
        <w:kinsoku/>
        <w:overflowPunct/>
        <w:topLinePunct w:val="0"/>
        <w:bidi w:val="0"/>
        <w:spacing w:line="500" w:lineRule="exact"/>
        <w:ind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投标人应承担所有与准备和参加投标有关的费用。不论投标的结果如何，采购代理机构和采购人均无义务和责任承担这些费用。</w:t>
      </w:r>
    </w:p>
    <w:p w14:paraId="3F10EA5D">
      <w:pPr>
        <w:pStyle w:val="4"/>
        <w:pageBreakBefore w:val="0"/>
        <w:numPr>
          <w:ilvl w:val="0"/>
          <w:numId w:val="3"/>
        </w:numPr>
        <w:tabs>
          <w:tab w:val="left" w:pos="900"/>
          <w:tab w:val="clear" w:pos="425"/>
        </w:tabs>
        <w:kinsoku/>
        <w:overflowPunct/>
        <w:topLinePunct w:val="0"/>
        <w:bidi w:val="0"/>
        <w:spacing w:before="0" w:after="0" w:line="500" w:lineRule="exact"/>
        <w:ind w:left="924" w:hanging="924"/>
        <w:textAlignment w:val="auto"/>
        <w:rPr>
          <w:rFonts w:hint="eastAsia" w:ascii="仿宋_GB2312" w:hAnsi="仿宋_GB2312" w:eastAsia="仿宋_GB2312" w:cs="仿宋_GB2312"/>
          <w:color w:val="auto"/>
          <w:sz w:val="32"/>
          <w:szCs w:val="32"/>
          <w:highlight w:val="none"/>
        </w:rPr>
      </w:pPr>
      <w:bookmarkStart w:id="39" w:name="_Toc14265"/>
      <w:bookmarkStart w:id="40" w:name="_Toc2722"/>
      <w:bookmarkStart w:id="41" w:name="_Toc19746"/>
      <w:bookmarkStart w:id="42" w:name="_Toc9407"/>
      <w:bookmarkStart w:id="43" w:name="_Toc22355"/>
      <w:bookmarkStart w:id="44" w:name="_Toc55778678"/>
      <w:r>
        <w:rPr>
          <w:rStyle w:val="54"/>
          <w:rFonts w:hint="eastAsia" w:ascii="仿宋_GB2312" w:hAnsi="仿宋_GB2312" w:eastAsia="仿宋_GB2312" w:cs="仿宋_GB2312"/>
          <w:bCs w:val="0"/>
          <w:color w:val="auto"/>
          <w:sz w:val="32"/>
          <w:szCs w:val="32"/>
          <w:highlight w:val="none"/>
        </w:rPr>
        <w:t>现场考察或者召开开标前答疑会</w:t>
      </w:r>
      <w:bookmarkEnd w:id="39"/>
      <w:bookmarkEnd w:id="40"/>
      <w:bookmarkEnd w:id="41"/>
      <w:bookmarkEnd w:id="42"/>
      <w:bookmarkEnd w:id="43"/>
      <w:bookmarkEnd w:id="44"/>
    </w:p>
    <w:p w14:paraId="23C1AE33">
      <w:pPr>
        <w:pageBreakBefore w:val="0"/>
        <w:numPr>
          <w:ilvl w:val="1"/>
          <w:numId w:val="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45" w:name="_Ref179620557"/>
      <w:r>
        <w:rPr>
          <w:rFonts w:hint="eastAsia" w:ascii="仿宋_GB2312" w:hAnsi="仿宋_GB2312" w:eastAsia="仿宋_GB2312" w:cs="仿宋_GB2312"/>
          <w:color w:val="auto"/>
          <w:sz w:val="32"/>
          <w:szCs w:val="32"/>
          <w:highlight w:val="none"/>
        </w:rPr>
        <w:t>除非另有规定，不举行项目现场考察或者召开开标前答疑会，如举行现场考察或者召开开标前答疑会的，则按以下规定</w:t>
      </w:r>
      <w:bookmarkEnd w:id="45"/>
      <w:r>
        <w:rPr>
          <w:rFonts w:hint="eastAsia" w:ascii="仿宋_GB2312" w:hAnsi="仿宋_GB2312" w:eastAsia="仿宋_GB2312" w:cs="仿宋_GB2312"/>
          <w:color w:val="auto"/>
          <w:sz w:val="32"/>
          <w:szCs w:val="32"/>
          <w:highlight w:val="none"/>
        </w:rPr>
        <w:t>：</w:t>
      </w:r>
    </w:p>
    <w:p w14:paraId="03E39D95">
      <w:pPr>
        <w:pageBreakBefore w:val="0"/>
        <w:numPr>
          <w:ilvl w:val="0"/>
          <w:numId w:val="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72AEBC37">
      <w:pPr>
        <w:pageBreakBefore w:val="0"/>
        <w:numPr>
          <w:ilvl w:val="0"/>
          <w:numId w:val="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对本项目提出的疑问，可在现场考察或者召开开标前答疑会召开日前至少一个工作日将问题清单以书面形式（加盖公章）提交至采购代理机构。</w:t>
      </w:r>
    </w:p>
    <w:p w14:paraId="0EA75F3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46" w:name="_Toc55778679"/>
      <w:r>
        <w:rPr>
          <w:rFonts w:hint="eastAsia" w:ascii="仿宋_GB2312" w:hAnsi="仿宋_GB2312" w:eastAsia="仿宋_GB2312" w:cs="仿宋_GB2312"/>
          <w:b/>
          <w:bCs/>
          <w:color w:val="auto"/>
          <w:kern w:val="44"/>
          <w:sz w:val="32"/>
          <w:szCs w:val="32"/>
          <w:highlight w:val="none"/>
        </w:rPr>
        <w:t xml:space="preserve">    </w:t>
      </w:r>
      <w:bookmarkStart w:id="47" w:name="_Toc15619"/>
      <w:bookmarkStart w:id="48" w:name="_Toc2323"/>
      <w:bookmarkStart w:id="49" w:name="_Toc16839"/>
      <w:bookmarkStart w:id="50" w:name="_Toc10763"/>
      <w:bookmarkStart w:id="51" w:name="_Toc27748"/>
      <w:r>
        <w:rPr>
          <w:rFonts w:hint="eastAsia" w:ascii="仿宋_GB2312" w:hAnsi="仿宋_GB2312" w:eastAsia="仿宋_GB2312" w:cs="仿宋_GB2312"/>
          <w:b/>
          <w:bCs/>
          <w:color w:val="auto"/>
          <w:kern w:val="44"/>
          <w:sz w:val="32"/>
          <w:szCs w:val="32"/>
          <w:highlight w:val="none"/>
        </w:rPr>
        <w:t>开标的资质要求、时间及地点</w:t>
      </w:r>
      <w:bookmarkEnd w:id="46"/>
      <w:bookmarkEnd w:id="47"/>
      <w:bookmarkEnd w:id="48"/>
      <w:bookmarkEnd w:id="49"/>
      <w:bookmarkEnd w:id="50"/>
      <w:bookmarkEnd w:id="51"/>
    </w:p>
    <w:p w14:paraId="5F642253">
      <w:pPr>
        <w:pageBreakBefore w:val="0"/>
        <w:numPr>
          <w:ilvl w:val="1"/>
          <w:numId w:val="3"/>
        </w:numPr>
        <w:tabs>
          <w:tab w:val="left" w:pos="907"/>
          <w:tab w:val="clear" w:pos="992"/>
        </w:tabs>
        <w:kinsoku/>
        <w:overflowPunct/>
        <w:topLinePunct w:val="0"/>
        <w:bidi w:val="0"/>
        <w:spacing w:line="500" w:lineRule="exact"/>
        <w:ind w:left="992" w:leftChars="0" w:hanging="567"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本项目开标的时间、地点已在第二章《投标须知前附表》列清。</w:t>
      </w:r>
    </w:p>
    <w:p w14:paraId="69AD4164">
      <w:pPr>
        <w:pageBreakBefore w:val="0"/>
        <w:numPr>
          <w:ilvl w:val="1"/>
          <w:numId w:val="3"/>
        </w:numPr>
        <w:tabs>
          <w:tab w:val="left" w:pos="907"/>
          <w:tab w:val="clear" w:pos="992"/>
        </w:tabs>
        <w:kinsoku/>
        <w:overflowPunct/>
        <w:topLinePunct w:val="0"/>
        <w:bidi w:val="0"/>
        <w:spacing w:line="500" w:lineRule="exact"/>
        <w:ind w:left="992" w:leftChars="0" w:hanging="567"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58087282">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52" w:name="_Toc55778680"/>
      <w:r>
        <w:rPr>
          <w:rFonts w:hint="eastAsia" w:ascii="仿宋_GB2312" w:hAnsi="仿宋_GB2312" w:eastAsia="仿宋_GB2312" w:cs="仿宋_GB2312"/>
          <w:b/>
          <w:bCs/>
          <w:color w:val="auto"/>
          <w:kern w:val="44"/>
          <w:sz w:val="32"/>
          <w:szCs w:val="32"/>
          <w:highlight w:val="none"/>
        </w:rPr>
        <w:t xml:space="preserve">   </w:t>
      </w:r>
      <w:bookmarkStart w:id="53" w:name="_Toc23617"/>
      <w:bookmarkStart w:id="54" w:name="_Toc18733"/>
      <w:bookmarkStart w:id="55" w:name="_Toc12859"/>
      <w:bookmarkStart w:id="56" w:name="_Toc2052"/>
      <w:bookmarkStart w:id="57" w:name="_Toc6954"/>
      <w:r>
        <w:rPr>
          <w:rFonts w:hint="eastAsia" w:ascii="仿宋_GB2312" w:hAnsi="仿宋_GB2312" w:eastAsia="仿宋_GB2312" w:cs="仿宋_GB2312"/>
          <w:b/>
          <w:bCs/>
          <w:color w:val="auto"/>
          <w:kern w:val="44"/>
          <w:sz w:val="32"/>
          <w:szCs w:val="32"/>
          <w:highlight w:val="none"/>
        </w:rPr>
        <w:t>纪律与保密事项</w:t>
      </w:r>
      <w:bookmarkEnd w:id="52"/>
      <w:bookmarkEnd w:id="53"/>
      <w:bookmarkEnd w:id="54"/>
      <w:bookmarkEnd w:id="55"/>
      <w:bookmarkEnd w:id="56"/>
      <w:bookmarkEnd w:id="57"/>
    </w:p>
    <w:p w14:paraId="1E18B832">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凡参与招标工作的有关人员均应自觉接受有关主管部门的监督，不得向他人透露已获得招标文件的潜在投标人的名称、数量以及可能影响公平竞争的有关招标投标的其他情况。</w:t>
      </w:r>
    </w:p>
    <w:p w14:paraId="5C705399">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开标后，直至向中标的投标人发出《</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通知书》时止，凡与审查、澄清、评价和比较投标的有关资料以及授标意见等，均不得向投标人及与评标无关的其他人透露。</w:t>
      </w:r>
    </w:p>
    <w:p w14:paraId="1F35C7CF">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除投标人被要求对投标文件进行澄清外，从开标至签订合同期间，投标人不得就与其投标文件有关的事项主动与评标小组、采购代理机构以及采购人联系。</w:t>
      </w:r>
    </w:p>
    <w:p w14:paraId="38635605">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从开标至签订合同期间，投标人试图在投标文件审查、澄清、比较和评价时对评标小组和招标机构施加任何影响或对采购人的比较及授予合同的决定进行影响，都可能导致其投标文件被拒绝。</w:t>
      </w:r>
    </w:p>
    <w:p w14:paraId="0689B2F1">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投标人不得串通作弊，以不正当的手段妨碍、排挤其他投标人，扰乱招标市场，破坏公平竞争原则。</w:t>
      </w:r>
    </w:p>
    <w:p w14:paraId="5DAA9C0A">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获得本招标文件者，应对文件进行保密，不得用作本次投标以外的任何用途。若有要求，开标后，投标人应归还招标文件中的保密的文件和资料。</w:t>
      </w:r>
    </w:p>
    <w:p w14:paraId="71101ECC">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58" w:name="_Toc55778681"/>
      <w:r>
        <w:rPr>
          <w:rFonts w:hint="eastAsia" w:ascii="仿宋_GB2312" w:hAnsi="仿宋_GB2312" w:eastAsia="仿宋_GB2312" w:cs="仿宋_GB2312"/>
          <w:b/>
          <w:bCs/>
          <w:color w:val="auto"/>
          <w:kern w:val="44"/>
          <w:sz w:val="32"/>
          <w:szCs w:val="32"/>
          <w:highlight w:val="none"/>
        </w:rPr>
        <w:t xml:space="preserve">    </w:t>
      </w:r>
      <w:bookmarkStart w:id="59" w:name="_Toc20462"/>
      <w:bookmarkStart w:id="60" w:name="_Toc5873"/>
      <w:bookmarkStart w:id="61" w:name="_Toc18189"/>
      <w:bookmarkStart w:id="62" w:name="_Toc17472"/>
      <w:bookmarkStart w:id="63" w:name="_Toc20913"/>
      <w:r>
        <w:rPr>
          <w:rFonts w:hint="eastAsia" w:ascii="仿宋_GB2312" w:hAnsi="仿宋_GB2312" w:eastAsia="仿宋_GB2312" w:cs="仿宋_GB2312"/>
          <w:b/>
          <w:bCs/>
          <w:color w:val="auto"/>
          <w:kern w:val="44"/>
          <w:sz w:val="32"/>
          <w:szCs w:val="32"/>
          <w:highlight w:val="none"/>
        </w:rPr>
        <w:t>保证</w:t>
      </w:r>
      <w:bookmarkEnd w:id="58"/>
      <w:bookmarkEnd w:id="59"/>
      <w:bookmarkEnd w:id="60"/>
      <w:bookmarkEnd w:id="61"/>
      <w:bookmarkEnd w:id="62"/>
      <w:bookmarkEnd w:id="63"/>
    </w:p>
    <w:p w14:paraId="104E88A4">
      <w:pPr>
        <w:pageBreakBefore w:val="0"/>
        <w:numPr>
          <w:ilvl w:val="1"/>
          <w:numId w:val="1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投标人必须保证所提交给采购代理机构、采购人的资料和数据是真实的，并承担相应的法律责任。</w:t>
      </w:r>
    </w:p>
    <w:p w14:paraId="200C6F13">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64" w:name="_Toc30778"/>
      <w:bookmarkStart w:id="65" w:name="_Toc21599"/>
      <w:bookmarkStart w:id="66" w:name="_Toc55778682"/>
      <w:r>
        <w:rPr>
          <w:rFonts w:hint="eastAsia" w:ascii="Times New Roman" w:hAnsi="Times New Roman" w:eastAsia="黑体" w:cs="Times New Roman"/>
          <w:b w:val="0"/>
          <w:bCs w:val="0"/>
          <w:kern w:val="2"/>
          <w:sz w:val="32"/>
          <w:szCs w:val="32"/>
          <w:lang w:val="zh-CN" w:eastAsia="zh-CN" w:bidi="ar-SA"/>
        </w:rPr>
        <w:t>二、招标文件</w:t>
      </w:r>
      <w:bookmarkEnd w:id="64"/>
      <w:bookmarkEnd w:id="65"/>
      <w:bookmarkEnd w:id="66"/>
    </w:p>
    <w:p w14:paraId="0E39E9C0">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67" w:name="_Toc55778683"/>
      <w:bookmarkStart w:id="68" w:name="_Toc25851"/>
      <w:r>
        <w:rPr>
          <w:rFonts w:hint="eastAsia" w:ascii="仿宋_GB2312" w:hAnsi="仿宋_GB2312" w:eastAsia="仿宋_GB2312" w:cs="仿宋_GB2312"/>
          <w:b/>
          <w:bCs/>
          <w:color w:val="auto"/>
          <w:kern w:val="44"/>
          <w:sz w:val="32"/>
          <w:szCs w:val="32"/>
          <w:highlight w:val="none"/>
        </w:rPr>
        <w:t xml:space="preserve">   </w:t>
      </w:r>
      <w:bookmarkStart w:id="69" w:name="_Toc4904"/>
      <w:bookmarkStart w:id="70" w:name="_Toc6842"/>
      <w:bookmarkStart w:id="71" w:name="_Toc7611"/>
      <w:bookmarkStart w:id="72" w:name="_Toc5513"/>
      <w:bookmarkStart w:id="73" w:name="_Toc6970"/>
      <w:r>
        <w:rPr>
          <w:rFonts w:hint="eastAsia" w:ascii="仿宋_GB2312" w:hAnsi="仿宋_GB2312" w:eastAsia="仿宋_GB2312" w:cs="仿宋_GB2312"/>
          <w:b/>
          <w:bCs/>
          <w:color w:val="auto"/>
          <w:kern w:val="44"/>
          <w:sz w:val="32"/>
          <w:szCs w:val="32"/>
          <w:highlight w:val="none"/>
        </w:rPr>
        <w:t>招标文件的编制依据与构成</w:t>
      </w:r>
      <w:bookmarkEnd w:id="67"/>
      <w:bookmarkEnd w:id="68"/>
      <w:bookmarkEnd w:id="69"/>
      <w:bookmarkEnd w:id="70"/>
      <w:bookmarkEnd w:id="71"/>
      <w:bookmarkEnd w:id="72"/>
      <w:bookmarkEnd w:id="73"/>
    </w:p>
    <w:p w14:paraId="6830887E">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8.1   本招标文件的编制依据是《中华人民共和国政府采购法》、《中华人民共和国政府采购法实施条例》、《政府采购货物和服务招标投标管理办法》及其配套的法规、规章、政策等。</w:t>
      </w:r>
    </w:p>
    <w:p w14:paraId="4E7A5A16">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8.2   招标文件以中文文字编写。招标文件共六章。招标文件由下列文件以及在招标过程中发出的澄清、修改和补充文件组成，内容如下：</w:t>
      </w:r>
    </w:p>
    <w:p w14:paraId="3D5CF894">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第一章 </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rPr>
        <w:t>公告</w:t>
      </w:r>
    </w:p>
    <w:p w14:paraId="0D3900ED">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第二章 投标须知前附表</w:t>
      </w:r>
    </w:p>
    <w:p w14:paraId="2626AEEB">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第三章 投标人须知</w:t>
      </w:r>
    </w:p>
    <w:p w14:paraId="3DBF04E1">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第四章 合同格式</w:t>
      </w:r>
    </w:p>
    <w:p w14:paraId="497240C1">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 xml:space="preserve">第五章 </w:t>
      </w:r>
      <w:r>
        <w:rPr>
          <w:rFonts w:hint="eastAsia" w:ascii="仿宋_GB2312" w:hAnsi="仿宋_GB2312" w:eastAsia="仿宋_GB2312" w:cs="仿宋_GB2312"/>
          <w:color w:val="auto"/>
          <w:sz w:val="32"/>
          <w:szCs w:val="32"/>
          <w:highlight w:val="none"/>
          <w:lang w:val="en-US" w:eastAsia="zh-CN"/>
        </w:rPr>
        <w:t>采购项目清单及参数要求</w:t>
      </w:r>
    </w:p>
    <w:p w14:paraId="10E0EF3F">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第六章 投标文件格式</w:t>
      </w:r>
    </w:p>
    <w:p w14:paraId="28CBD7B5">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政采云平台查看答疑文件或澄清文件。投标人应及时注意</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政采云发布的澄清或修改通知并下载，因投标人原因未及时获知澄清、修改或补充内容而导致的任何后果将由投标人自行承担。</w:t>
      </w:r>
    </w:p>
    <w:p w14:paraId="0DD9170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sz w:val="32"/>
          <w:szCs w:val="32"/>
        </w:rPr>
      </w:pPr>
      <w:bookmarkStart w:id="74" w:name="_Toc55778684"/>
      <w:r>
        <w:rPr>
          <w:rFonts w:hint="eastAsia" w:ascii="仿宋_GB2312" w:hAnsi="仿宋_GB2312" w:eastAsia="仿宋_GB2312" w:cs="仿宋_GB2312"/>
          <w:b/>
          <w:color w:val="auto"/>
          <w:kern w:val="44"/>
          <w:sz w:val="32"/>
          <w:szCs w:val="32"/>
          <w:highlight w:val="none"/>
        </w:rPr>
        <w:t xml:space="preserve">   </w:t>
      </w:r>
      <w:bookmarkStart w:id="75" w:name="_Toc18515"/>
      <w:bookmarkStart w:id="76" w:name="_Toc5501"/>
      <w:bookmarkStart w:id="77" w:name="_Toc28706"/>
      <w:bookmarkStart w:id="78" w:name="_Toc24522"/>
      <w:bookmarkStart w:id="79" w:name="_Toc22484"/>
      <w:r>
        <w:rPr>
          <w:rFonts w:hint="eastAsia" w:ascii="仿宋_GB2312" w:hAnsi="仿宋_GB2312" w:eastAsia="仿宋_GB2312" w:cs="仿宋_GB2312"/>
          <w:b/>
          <w:color w:val="auto"/>
          <w:kern w:val="44"/>
          <w:sz w:val="32"/>
          <w:szCs w:val="32"/>
          <w:highlight w:val="none"/>
        </w:rPr>
        <w:t>招标文件的澄清或修改</w:t>
      </w:r>
      <w:bookmarkEnd w:id="74"/>
      <w:bookmarkEnd w:id="75"/>
      <w:bookmarkEnd w:id="76"/>
      <w:bookmarkEnd w:id="77"/>
      <w:bookmarkEnd w:id="78"/>
      <w:bookmarkEnd w:id="79"/>
    </w:p>
    <w:p w14:paraId="1C9BE497">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.1　投标人应仔细阅读和检查招标文件的全部内容。投标人若对招标文件有任何疑问，应按照招标文件第二章“投标人须知前附表”第2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项规定向采购代理机构提出。提出后，请投标人及时通过</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政采云平台查看答疑文件或澄清文件。必要时，采购代理机构将组织相关专家召开答疑会，如召开，答疑会安排另行通知。并在</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政采云平台发布更正公告。</w:t>
      </w:r>
      <w:r>
        <w:rPr>
          <w:rFonts w:hint="eastAsia" w:ascii="仿宋_GB2312" w:hAnsi="仿宋_GB2312" w:eastAsia="仿宋_GB2312" w:cs="仿宋_GB2312"/>
          <w:color w:val="auto"/>
          <w:sz w:val="32"/>
          <w:szCs w:val="32"/>
          <w:highlight w:val="none"/>
          <w:lang w:val="en-US" w:eastAsia="zh-CN"/>
        </w:rPr>
        <w:t>投标人在规定的时间内未对招标文件提出疑问或要求澄清的，采购代理机构将视其为同意，对在“答疑接受时间”后就招标文件内容提出的疑问及澄清要求将不予受理。</w:t>
      </w:r>
    </w:p>
    <w:p w14:paraId="28B08D63">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9.2　如果澄清或者修改时间距本章投标人须知前附表规定的投标截止时间不足15日，将相应顺延提交投标文件的截止时间，澄清或者修改时间具体见投标人须知前附表。</w:t>
      </w:r>
    </w:p>
    <w:p w14:paraId="491EC510">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9.3　澄清或者修改内容为招标文件的组成部分，对所有领取了招标文件的潜在投标人均具有约束力。</w:t>
      </w:r>
    </w:p>
    <w:p w14:paraId="1AF0E2F8">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9.4  投标人应注意及时新疆政采云发布的澄清或修改通知并下载，因投标人原因未及时获知澄清、修改或补充内容而导致的任何后果将由投标人自行承担。</w:t>
      </w:r>
    </w:p>
    <w:p w14:paraId="65C67CAA">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p>
    <w:p w14:paraId="2301B619">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80" w:name="_Toc14750"/>
      <w:bookmarkStart w:id="81" w:name="_Toc55778685"/>
      <w:r>
        <w:rPr>
          <w:rFonts w:hint="eastAsia" w:ascii="Times New Roman" w:hAnsi="Times New Roman" w:eastAsia="黑体" w:cs="Times New Roman"/>
          <w:b w:val="0"/>
          <w:bCs w:val="0"/>
          <w:kern w:val="2"/>
          <w:sz w:val="32"/>
          <w:szCs w:val="32"/>
          <w:lang w:val="zh-CN" w:eastAsia="zh-CN" w:bidi="ar-SA"/>
        </w:rPr>
        <w:t>三、投标文件的编制</w:t>
      </w:r>
      <w:bookmarkEnd w:id="80"/>
      <w:bookmarkEnd w:id="81"/>
    </w:p>
    <w:p w14:paraId="6A5E36B9">
      <w:pPr>
        <w:pStyle w:val="4"/>
        <w:pageBreakBefore w:val="0"/>
        <w:numPr>
          <w:ilvl w:val="0"/>
          <w:numId w:val="3"/>
        </w:numPr>
        <w:tabs>
          <w:tab w:val="left" w:pos="900"/>
          <w:tab w:val="clear" w:pos="425"/>
        </w:tabs>
        <w:kinsoku/>
        <w:overflowPunct/>
        <w:topLinePunct w:val="0"/>
        <w:bidi w:val="0"/>
        <w:spacing w:before="0" w:after="0" w:line="500" w:lineRule="exact"/>
        <w:ind w:left="924" w:hanging="924"/>
        <w:textAlignment w:val="auto"/>
        <w:rPr>
          <w:rStyle w:val="54"/>
          <w:rFonts w:hint="eastAsia" w:ascii="仿宋_GB2312" w:hAnsi="仿宋_GB2312" w:eastAsia="仿宋_GB2312" w:cs="仿宋_GB2312"/>
          <w:bCs/>
          <w:color w:val="auto"/>
          <w:sz w:val="32"/>
          <w:szCs w:val="32"/>
          <w:highlight w:val="none"/>
        </w:rPr>
      </w:pPr>
      <w:bookmarkStart w:id="82" w:name="_Toc55778686"/>
      <w:bookmarkStart w:id="83" w:name="_Toc22093"/>
      <w:bookmarkStart w:id="84" w:name="_Toc887"/>
      <w:bookmarkStart w:id="85" w:name="_Toc4795"/>
      <w:bookmarkStart w:id="86" w:name="_Toc19464"/>
      <w:bookmarkStart w:id="87" w:name="_Toc25330"/>
      <w:r>
        <w:rPr>
          <w:rStyle w:val="54"/>
          <w:rFonts w:hint="eastAsia" w:ascii="仿宋_GB2312" w:hAnsi="仿宋_GB2312" w:eastAsia="仿宋_GB2312" w:cs="仿宋_GB2312"/>
          <w:bCs/>
          <w:color w:val="auto"/>
          <w:sz w:val="32"/>
          <w:szCs w:val="32"/>
          <w:highlight w:val="none"/>
        </w:rPr>
        <w:t>投标的语言</w:t>
      </w:r>
      <w:bookmarkEnd w:id="82"/>
      <w:bookmarkEnd w:id="83"/>
      <w:bookmarkEnd w:id="84"/>
      <w:bookmarkEnd w:id="85"/>
      <w:bookmarkEnd w:id="86"/>
      <w:bookmarkEnd w:id="87"/>
    </w:p>
    <w:p w14:paraId="1FCDA0CB">
      <w:pPr>
        <w:pageBreakBefore w:val="0"/>
        <w:numPr>
          <w:ilvl w:val="1"/>
          <w:numId w:val="1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88" w:name="_Ref179620571"/>
      <w:r>
        <w:rPr>
          <w:rFonts w:hint="eastAsia" w:ascii="仿宋_GB2312" w:hAnsi="仿宋_GB2312" w:eastAsia="仿宋_GB2312" w:cs="仿宋_GB2312"/>
          <w:color w:val="auto"/>
          <w:sz w:val="32"/>
          <w:szCs w:val="32"/>
          <w:highlight w:val="none"/>
        </w:rPr>
        <w:t>投标人提交的投标文件以及投标人与采购代理机构和采购人就有关投标的所有来往函电均应使用</w:t>
      </w:r>
      <w:r>
        <w:rPr>
          <w:rFonts w:hint="eastAsia" w:ascii="仿宋_GB2312" w:hAnsi="仿宋_GB2312" w:eastAsia="仿宋_GB2312" w:cs="仿宋_GB2312"/>
          <w:bCs/>
          <w:color w:val="auto"/>
          <w:sz w:val="32"/>
          <w:szCs w:val="32"/>
          <w:highlight w:val="none"/>
        </w:rPr>
        <w:t>中文书写。投标人提交的支持文件或印刷的资料可以用另一种语言，但相应内容应附有中文翻译本</w:t>
      </w:r>
      <w:r>
        <w:rPr>
          <w:rFonts w:hint="eastAsia" w:ascii="仿宋_GB2312" w:hAnsi="仿宋_GB2312" w:eastAsia="仿宋_GB2312" w:cs="仿宋_GB2312"/>
          <w:color w:val="auto"/>
          <w:sz w:val="32"/>
          <w:szCs w:val="32"/>
          <w:highlight w:val="none"/>
        </w:rPr>
        <w:t>，在解释投标文件时以翻译本为准。</w:t>
      </w:r>
      <w:bookmarkEnd w:id="88"/>
    </w:p>
    <w:p w14:paraId="0BD21C1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89" w:name="_Toc55778688"/>
      <w:bookmarkStart w:id="90" w:name="_Toc15173"/>
      <w:r>
        <w:rPr>
          <w:rFonts w:hint="eastAsia" w:ascii="仿宋_GB2312" w:hAnsi="仿宋_GB2312" w:eastAsia="仿宋_GB2312" w:cs="仿宋_GB2312"/>
          <w:b/>
          <w:bCs/>
          <w:color w:val="auto"/>
          <w:kern w:val="44"/>
          <w:sz w:val="32"/>
          <w:szCs w:val="32"/>
          <w:highlight w:val="none"/>
        </w:rPr>
        <w:t xml:space="preserve">    </w:t>
      </w:r>
      <w:bookmarkStart w:id="91" w:name="_Toc21704"/>
      <w:bookmarkStart w:id="92" w:name="_Toc2079"/>
      <w:bookmarkStart w:id="93" w:name="_Toc1469"/>
      <w:bookmarkStart w:id="94" w:name="_Toc23086"/>
      <w:r>
        <w:rPr>
          <w:rFonts w:hint="eastAsia" w:ascii="仿宋_GB2312" w:hAnsi="仿宋_GB2312" w:eastAsia="仿宋_GB2312" w:cs="仿宋_GB2312"/>
          <w:b/>
          <w:bCs/>
          <w:color w:val="auto"/>
          <w:kern w:val="44"/>
          <w:sz w:val="32"/>
          <w:szCs w:val="32"/>
          <w:highlight w:val="none"/>
        </w:rPr>
        <w:t>投标文件的构成</w:t>
      </w:r>
      <w:bookmarkEnd w:id="89"/>
      <w:bookmarkEnd w:id="90"/>
      <w:bookmarkEnd w:id="91"/>
      <w:bookmarkEnd w:id="92"/>
      <w:bookmarkEnd w:id="93"/>
      <w:bookmarkEnd w:id="94"/>
    </w:p>
    <w:p w14:paraId="1B85D2BF">
      <w:pPr>
        <w:pStyle w:val="61"/>
        <w:keepNext w:val="0"/>
        <w:keepLines w:val="0"/>
        <w:pageBreakBefore w:val="0"/>
        <w:widowControl w:val="0"/>
        <w:kinsoku/>
        <w:wordWrap/>
        <w:overflowPunct/>
        <w:topLinePunct w:val="0"/>
        <w:bidi w:val="0"/>
        <w:spacing w:line="500" w:lineRule="exact"/>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bookmarkStart w:id="95" w:name="_Toc55778689"/>
      <w:bookmarkStart w:id="96" w:name="_Toc30134"/>
      <w:r>
        <w:rPr>
          <w:rFonts w:hint="eastAsia" w:ascii="仿宋_GB2312" w:hAnsi="仿宋_GB2312" w:eastAsia="仿宋_GB2312" w:cs="仿宋_GB2312"/>
          <w:color w:val="auto"/>
          <w:kern w:val="2"/>
          <w:sz w:val="32"/>
          <w:szCs w:val="32"/>
          <w:highlight w:val="none"/>
          <w:lang w:val="en-US" w:eastAsia="zh-CN" w:bidi="ar-SA"/>
        </w:rPr>
        <w:t>（1）投标承诺书</w:t>
      </w:r>
    </w:p>
    <w:p w14:paraId="0D06E086">
      <w:pPr>
        <w:pStyle w:val="61"/>
        <w:keepNext w:val="0"/>
        <w:keepLines w:val="0"/>
        <w:pageBreakBefore w:val="0"/>
        <w:widowControl w:val="0"/>
        <w:kinsoku/>
        <w:wordWrap/>
        <w:overflowPunct/>
        <w:topLinePunct w:val="0"/>
        <w:bidi w:val="0"/>
        <w:spacing w:line="500" w:lineRule="exact"/>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（2）报价一览表</w:t>
      </w:r>
    </w:p>
    <w:p w14:paraId="08073891">
      <w:pPr>
        <w:pStyle w:val="61"/>
        <w:keepNext w:val="0"/>
        <w:keepLines w:val="0"/>
        <w:pageBreakBefore w:val="0"/>
        <w:widowControl w:val="0"/>
        <w:kinsoku/>
        <w:wordWrap/>
        <w:overflowPunct/>
        <w:topLinePunct w:val="0"/>
        <w:bidi w:val="0"/>
        <w:spacing w:line="500" w:lineRule="exact"/>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报价一览明细表</w:t>
      </w:r>
    </w:p>
    <w:p w14:paraId="4818160C">
      <w:pPr>
        <w:pStyle w:val="61"/>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）法定代表人身份证明</w:t>
      </w:r>
    </w:p>
    <w:p w14:paraId="36958604">
      <w:pPr>
        <w:pStyle w:val="61"/>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）法定代表人授权委托书</w:t>
      </w:r>
    </w:p>
    <w:p w14:paraId="4872561F">
      <w:pPr>
        <w:pStyle w:val="61"/>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）投标保证金打款凭证或投标保函</w:t>
      </w:r>
    </w:p>
    <w:p w14:paraId="6DF926ED">
      <w:pPr>
        <w:pStyle w:val="61"/>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en-US" w:eastAsia="zh-CN" w:bidi="ar-SA"/>
        </w:rPr>
        <w:t>）技术条件响应/偏离表</w:t>
      </w:r>
    </w:p>
    <w:p w14:paraId="69819CD6">
      <w:pPr>
        <w:pStyle w:val="20"/>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（8）商务条件响应/偏离表</w:t>
      </w:r>
    </w:p>
    <w:p w14:paraId="630BB0A5">
      <w:pPr>
        <w:pStyle w:val="20"/>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（9）相应的资格证明文件以及商务因素、技术因素、服务因素所需证明资料（包括不限于企业简介、企业相关证件等）（格式自拟）</w:t>
      </w:r>
    </w:p>
    <w:p w14:paraId="4500F7D5">
      <w:pPr>
        <w:pStyle w:val="20"/>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（10）投标人近三年（2023年04月01日至今）类似项目业绩（附类似项目业绩中标通知书和合同）</w:t>
      </w:r>
    </w:p>
    <w:p w14:paraId="5EFF73AD">
      <w:pPr>
        <w:pStyle w:val="61"/>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）技术部分包括但不限于以下内容：项目实施方案、售后服务方案</w:t>
      </w:r>
      <w:r>
        <w:rPr>
          <w:rFonts w:hint="eastAsia"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培训方案、安装调试方案、验收方案等内容（格式自拟）</w:t>
      </w:r>
    </w:p>
    <w:p w14:paraId="21F7DC9A">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）投标人基本情况说明</w:t>
      </w:r>
    </w:p>
    <w:p w14:paraId="7DF6B437">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）项目人员配置情况表</w:t>
      </w:r>
    </w:p>
    <w:p w14:paraId="1F36C405">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）投标企业关联企业情况说明</w:t>
      </w:r>
    </w:p>
    <w:p w14:paraId="0F27C15F">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）不参与围标串标承诺书</w:t>
      </w:r>
    </w:p>
    <w:p w14:paraId="74482240">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）投标人认为需要提供的其他材料说明</w:t>
      </w:r>
    </w:p>
    <w:p w14:paraId="5D21D79D">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附件1、在经营活动中没有重大违法记录的书面声明</w:t>
      </w:r>
    </w:p>
    <w:p w14:paraId="493F849F">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附件2、中小企业声明函（如有）</w:t>
      </w:r>
    </w:p>
    <w:p w14:paraId="6EC7760B">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附件3、残疾人福利性单位声明函（如有）</w:t>
      </w:r>
    </w:p>
    <w:p w14:paraId="4DF1A9DA">
      <w:pPr>
        <w:pStyle w:val="61"/>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附件4、省级以上监狱管理局、戒毒管理局（含新疆生产建设兵团）出具的属于监狱企业证明文件（格式自拟）（如有）</w:t>
      </w:r>
    </w:p>
    <w:p w14:paraId="75153DF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 xml:space="preserve">    </w:t>
      </w:r>
      <w:bookmarkStart w:id="97" w:name="_Toc24925"/>
      <w:bookmarkStart w:id="98" w:name="_Toc23426"/>
      <w:bookmarkStart w:id="99" w:name="_Toc24782"/>
      <w:bookmarkStart w:id="100" w:name="_Toc17632"/>
      <w:r>
        <w:rPr>
          <w:rFonts w:hint="eastAsia" w:ascii="仿宋_GB2312" w:hAnsi="仿宋_GB2312" w:eastAsia="仿宋_GB2312" w:cs="仿宋_GB2312"/>
          <w:b/>
          <w:bCs/>
          <w:color w:val="auto"/>
          <w:kern w:val="44"/>
          <w:sz w:val="32"/>
          <w:szCs w:val="32"/>
          <w:highlight w:val="none"/>
        </w:rPr>
        <w:t>投标文件电子文档</w:t>
      </w:r>
      <w:bookmarkEnd w:id="95"/>
      <w:bookmarkEnd w:id="96"/>
      <w:bookmarkEnd w:id="97"/>
      <w:bookmarkEnd w:id="98"/>
      <w:bookmarkEnd w:id="99"/>
      <w:bookmarkEnd w:id="100"/>
    </w:p>
    <w:p w14:paraId="2769777D">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101" w:name="_Toc55778690"/>
      <w:bookmarkStart w:id="102" w:name="_Toc22266"/>
    </w:p>
    <w:p w14:paraId="470B1F34">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77EE5116">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17413A5C">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2E40F943">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28E0F297">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投标人应完整地填写招标文件中提供的《</w:t>
      </w:r>
      <w:r>
        <w:rPr>
          <w:rFonts w:hint="eastAsia" w:ascii="仿宋_GB2312" w:hAnsi="仿宋_GB2312" w:eastAsia="仿宋_GB2312" w:cs="仿宋_GB2312"/>
          <w:kern w:val="0"/>
          <w:sz w:val="32"/>
          <w:szCs w:val="32"/>
          <w:lang w:val="en-US" w:eastAsia="zh-CN"/>
        </w:rPr>
        <w:t>投标承诺书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报价</w:t>
      </w:r>
      <w:r>
        <w:rPr>
          <w:rFonts w:hint="eastAsia" w:ascii="仿宋_GB2312" w:hAnsi="仿宋_GB2312" w:eastAsia="仿宋_GB2312" w:cs="仿宋_GB2312"/>
          <w:kern w:val="0"/>
          <w:sz w:val="32"/>
          <w:szCs w:val="32"/>
        </w:rPr>
        <w:t xml:space="preserve">一览表》等招标文件中规定的所有内容。 </w:t>
      </w:r>
    </w:p>
    <w:p w14:paraId="25471997">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40648BB3">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 xml:space="preserve">    </w:t>
      </w:r>
      <w:bookmarkStart w:id="103" w:name="_Toc30931"/>
      <w:bookmarkStart w:id="104" w:name="_Toc17013"/>
      <w:bookmarkStart w:id="105" w:name="_Toc16689"/>
      <w:bookmarkStart w:id="106" w:name="_Toc17740"/>
      <w:r>
        <w:rPr>
          <w:rFonts w:hint="eastAsia" w:ascii="仿宋_GB2312" w:hAnsi="仿宋_GB2312" w:eastAsia="仿宋_GB2312" w:cs="仿宋_GB2312"/>
          <w:b/>
          <w:bCs/>
          <w:color w:val="auto"/>
          <w:kern w:val="44"/>
          <w:sz w:val="32"/>
          <w:szCs w:val="32"/>
          <w:highlight w:val="none"/>
        </w:rPr>
        <w:t>投标文件的编写</w:t>
      </w:r>
      <w:bookmarkEnd w:id="101"/>
      <w:bookmarkEnd w:id="102"/>
      <w:bookmarkEnd w:id="103"/>
      <w:bookmarkEnd w:id="104"/>
      <w:bookmarkEnd w:id="105"/>
      <w:bookmarkEnd w:id="106"/>
    </w:p>
    <w:p w14:paraId="10374EA5">
      <w:pPr>
        <w:pageBreakBefore w:val="0"/>
        <w:numPr>
          <w:ilvl w:val="1"/>
          <w:numId w:val="1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投标人应按招标文件的规定，及附件要求的内容和格式完整地填写和提供资料，并保证所提供的全部资料的真实性。</w:t>
      </w:r>
    </w:p>
    <w:p w14:paraId="53CC5852">
      <w:pPr>
        <w:pageBreakBefore w:val="0"/>
        <w:numPr>
          <w:ilvl w:val="1"/>
          <w:numId w:val="1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投标人应当按照招标文件要求编制投标文件，并根据自已的商务能力、技术水平等对招标文件提出的要求和条件作出真实的响应。</w:t>
      </w:r>
    </w:p>
    <w:p w14:paraId="407FBEE7">
      <w:pPr>
        <w:pageBreakBefore w:val="0"/>
        <w:numPr>
          <w:ilvl w:val="1"/>
          <w:numId w:val="1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本项目只允许投标人提供一个投标方案，否则，其投标将被拒绝。</w:t>
      </w:r>
    </w:p>
    <w:p w14:paraId="15946EFD">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07" w:name="_Toc55778691"/>
      <w:bookmarkStart w:id="108" w:name="_Toc11544"/>
      <w:r>
        <w:rPr>
          <w:rFonts w:hint="eastAsia" w:ascii="仿宋_GB2312" w:hAnsi="仿宋_GB2312" w:eastAsia="仿宋_GB2312" w:cs="仿宋_GB2312"/>
          <w:b/>
          <w:bCs/>
          <w:color w:val="auto"/>
          <w:kern w:val="44"/>
          <w:sz w:val="32"/>
          <w:szCs w:val="32"/>
          <w:highlight w:val="none"/>
        </w:rPr>
        <w:t xml:space="preserve">    </w:t>
      </w:r>
      <w:bookmarkStart w:id="109" w:name="_Toc22427"/>
      <w:bookmarkStart w:id="110" w:name="_Toc3854"/>
      <w:bookmarkStart w:id="111" w:name="_Toc22522"/>
      <w:bookmarkStart w:id="112" w:name="_Toc15231"/>
      <w:r>
        <w:rPr>
          <w:rFonts w:hint="eastAsia" w:ascii="仿宋_GB2312" w:hAnsi="仿宋_GB2312" w:eastAsia="仿宋_GB2312" w:cs="仿宋_GB2312"/>
          <w:b/>
          <w:bCs/>
          <w:color w:val="auto"/>
          <w:kern w:val="44"/>
          <w:sz w:val="32"/>
          <w:szCs w:val="32"/>
          <w:highlight w:val="none"/>
        </w:rPr>
        <w:t>投标报价</w:t>
      </w:r>
      <w:bookmarkEnd w:id="107"/>
      <w:bookmarkEnd w:id="108"/>
      <w:bookmarkEnd w:id="109"/>
      <w:bookmarkEnd w:id="110"/>
      <w:bookmarkEnd w:id="111"/>
      <w:bookmarkEnd w:id="112"/>
    </w:p>
    <w:p w14:paraId="176B8B4F">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投标人的投标报价应符合《中华人民共和国价格法》的有关规定。</w:t>
      </w:r>
    </w:p>
    <w:p w14:paraId="3ECD24C7">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13" w:name="_Ref179619251"/>
      <w:r>
        <w:rPr>
          <w:rFonts w:hint="eastAsia" w:ascii="仿宋_GB2312" w:hAnsi="仿宋_GB2312" w:eastAsia="仿宋_GB2312" w:cs="仿宋_GB2312"/>
          <w:color w:val="auto"/>
          <w:sz w:val="32"/>
          <w:szCs w:val="32"/>
          <w:highlight w:val="none"/>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1EA764E5">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投标明细报价表内容应包含：</w:t>
      </w:r>
    </w:p>
    <w:p w14:paraId="659F2769">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按招标文件的要求全部</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内容所需的所有费用；</w:t>
      </w:r>
    </w:p>
    <w:p w14:paraId="68EB1DFF">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对于报价免费的内容须标明“免费”；</w:t>
      </w:r>
    </w:p>
    <w:p w14:paraId="0558324D">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投标报价均应包含所有的税费；</w:t>
      </w:r>
    </w:p>
    <w:p w14:paraId="757D1B9C">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其他一切隐含及不可预见的费用。</w:t>
      </w:r>
    </w:p>
    <w:p w14:paraId="0EE27FB3">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b/>
          <w:bCs/>
          <w:color w:val="auto"/>
          <w:sz w:val="32"/>
          <w:szCs w:val="32"/>
          <w:highlight w:val="none"/>
        </w:rPr>
        <w:t>招标文件</w:t>
      </w:r>
      <w:r>
        <w:rPr>
          <w:rFonts w:hint="eastAsia" w:ascii="仿宋_GB2312" w:hAnsi="仿宋_GB2312" w:eastAsia="仿宋_GB2312" w:cs="仿宋_GB2312"/>
          <w:color w:val="auto"/>
          <w:sz w:val="32"/>
          <w:szCs w:val="32"/>
          <w:highlight w:val="none"/>
        </w:rPr>
        <w:t>另有规定，投标人所报的投标价在合同执行过程中是固定不变的，不得以任何理由予以变更。任何包含价格调整要求的投标被认为是非实质性响应投标而予以拒绝。</w:t>
      </w:r>
    </w:p>
    <w:p w14:paraId="40B53884">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投标文件中的总价金额与单价计算出的结果不一致的，以单价金额为准修正总价，但单价金额小数点有明显错误的除外。</w:t>
      </w:r>
    </w:p>
    <w:bookmarkEnd w:id="113"/>
    <w:p w14:paraId="6CD8DD19">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14" w:name="_Ref179620595"/>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b/>
          <w:bCs/>
          <w:color w:val="auto"/>
          <w:sz w:val="32"/>
          <w:szCs w:val="32"/>
          <w:highlight w:val="none"/>
        </w:rPr>
        <w:t>招标文件</w:t>
      </w:r>
      <w:r>
        <w:rPr>
          <w:rFonts w:hint="eastAsia" w:ascii="仿宋_GB2312" w:hAnsi="仿宋_GB2312" w:eastAsia="仿宋_GB2312" w:cs="仿宋_GB2312"/>
          <w:color w:val="auto"/>
          <w:sz w:val="32"/>
          <w:szCs w:val="32"/>
          <w:highlight w:val="none"/>
        </w:rPr>
        <w:t>允许有备选方案外，本次招标不接受选择性报价，否则将被视为无效投标。</w:t>
      </w:r>
      <w:bookmarkEnd w:id="114"/>
    </w:p>
    <w:p w14:paraId="7781C92B">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b/>
          <w:bCs/>
          <w:color w:val="auto"/>
          <w:sz w:val="32"/>
          <w:szCs w:val="32"/>
          <w:highlight w:val="none"/>
        </w:rPr>
        <w:t>招标文件</w:t>
      </w:r>
      <w:r>
        <w:rPr>
          <w:rFonts w:hint="eastAsia" w:ascii="仿宋_GB2312" w:hAnsi="仿宋_GB2312" w:eastAsia="仿宋_GB2312" w:cs="仿宋_GB2312"/>
          <w:color w:val="auto"/>
          <w:sz w:val="32"/>
          <w:szCs w:val="32"/>
          <w:highlight w:val="none"/>
        </w:rPr>
        <w:t xml:space="preserve">另有规定外，本次招标不接受具有附加条件的报价，否则将被视为无效投标。 </w:t>
      </w:r>
    </w:p>
    <w:p w14:paraId="4332DC82">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投标人应以人民币为单位进行报价。</w:t>
      </w:r>
    </w:p>
    <w:p w14:paraId="4893BB0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15" w:name="_Toc24908"/>
      <w:bookmarkStart w:id="116" w:name="_Toc55778694"/>
      <w:r>
        <w:rPr>
          <w:rFonts w:hint="eastAsia" w:ascii="仿宋_GB2312" w:hAnsi="仿宋_GB2312" w:eastAsia="仿宋_GB2312" w:cs="仿宋_GB2312"/>
          <w:b/>
          <w:bCs/>
          <w:color w:val="auto"/>
          <w:kern w:val="44"/>
          <w:sz w:val="32"/>
          <w:szCs w:val="32"/>
          <w:highlight w:val="none"/>
        </w:rPr>
        <w:t xml:space="preserve">    </w:t>
      </w:r>
      <w:bookmarkStart w:id="117" w:name="_Toc15306"/>
      <w:bookmarkStart w:id="118" w:name="_Toc10724"/>
      <w:bookmarkStart w:id="119" w:name="_Toc14790"/>
      <w:bookmarkStart w:id="120" w:name="_Toc22983"/>
      <w:r>
        <w:rPr>
          <w:rFonts w:hint="eastAsia" w:ascii="仿宋_GB2312" w:hAnsi="仿宋_GB2312" w:eastAsia="仿宋_GB2312" w:cs="仿宋_GB2312"/>
          <w:b/>
          <w:bCs/>
          <w:color w:val="auto"/>
          <w:kern w:val="44"/>
          <w:sz w:val="32"/>
          <w:szCs w:val="32"/>
          <w:highlight w:val="none"/>
        </w:rPr>
        <w:t>投标保证金</w:t>
      </w:r>
      <w:bookmarkEnd w:id="115"/>
      <w:bookmarkEnd w:id="116"/>
      <w:bookmarkEnd w:id="117"/>
      <w:bookmarkEnd w:id="118"/>
      <w:bookmarkEnd w:id="119"/>
      <w:bookmarkEnd w:id="120"/>
    </w:p>
    <w:p w14:paraId="47CFA00C">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21" w:name="_Ref179619405"/>
      <w:r>
        <w:rPr>
          <w:rFonts w:hint="eastAsia" w:ascii="仿宋_GB2312" w:hAnsi="仿宋_GB2312" w:eastAsia="仿宋_GB2312" w:cs="仿宋_GB2312"/>
          <w:color w:val="auto"/>
          <w:sz w:val="32"/>
          <w:szCs w:val="32"/>
          <w:highlight w:val="none"/>
        </w:rPr>
        <w:t>投标人必须按招标文件的规定缴纳投标保证金，并作为其投标文件的组成部分。</w:t>
      </w:r>
      <w:bookmarkEnd w:id="121"/>
    </w:p>
    <w:p w14:paraId="6DF81E01">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投标保证金是为了保护采购代理机构和采购人免遭因投标人的行为而蒙受损失。采购代理机构和采购人在因投标人的行为受到损害时可根据本须知的规定没收投标人的投标保证金。</w:t>
      </w:r>
    </w:p>
    <w:p w14:paraId="5AA02D8B">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投标保证金必须以投标人名义汇出，采用银行转账形式提交，同时满足下列规定：</w:t>
      </w:r>
    </w:p>
    <w:p w14:paraId="1618044B">
      <w:pPr>
        <w:pageBreakBefore w:val="0"/>
        <w:kinsoku/>
        <w:overflowPunct/>
        <w:topLinePunct w:val="0"/>
        <w:bidi w:val="0"/>
        <w:spacing w:line="500" w:lineRule="exact"/>
        <w:ind w:left="840" w:leftChars="4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为保证本采购工作的顺利进行，各投标人应向采购人缴纳不少于</w:t>
      </w:r>
      <w:r>
        <w:rPr>
          <w:rFonts w:hint="eastAsia" w:ascii="仿宋_GB2312" w:hAnsi="仿宋_GB2312" w:eastAsia="仿宋_GB2312" w:cs="仿宋_GB2312"/>
          <w:b/>
          <w:bCs/>
          <w:color w:val="auto"/>
          <w:sz w:val="32"/>
          <w:szCs w:val="32"/>
          <w:highlight w:val="none"/>
        </w:rPr>
        <w:t>第二章《投标须知前附表》</w:t>
      </w:r>
      <w:r>
        <w:rPr>
          <w:rFonts w:hint="eastAsia" w:ascii="仿宋_GB2312" w:hAnsi="仿宋_GB2312" w:eastAsia="仿宋_GB2312" w:cs="仿宋_GB2312"/>
          <w:b/>
          <w:color w:val="auto"/>
          <w:sz w:val="32"/>
          <w:szCs w:val="32"/>
          <w:highlight w:val="none"/>
        </w:rPr>
        <w:t>规定数额的保证金，保证金金额及缴纳方式详见</w:t>
      </w:r>
      <w:r>
        <w:rPr>
          <w:rFonts w:hint="eastAsia" w:ascii="仿宋_GB2312" w:hAnsi="仿宋_GB2312" w:eastAsia="仿宋_GB2312" w:cs="仿宋_GB2312"/>
          <w:b/>
          <w:bCs/>
          <w:color w:val="auto"/>
          <w:sz w:val="32"/>
          <w:szCs w:val="32"/>
          <w:highlight w:val="none"/>
        </w:rPr>
        <w:t>第二章《投标须知前附表》</w:t>
      </w:r>
      <w:r>
        <w:rPr>
          <w:rFonts w:hint="eastAsia" w:ascii="仿宋_GB2312" w:hAnsi="仿宋_GB2312" w:eastAsia="仿宋_GB2312" w:cs="仿宋_GB2312"/>
          <w:b/>
          <w:color w:val="auto"/>
          <w:sz w:val="32"/>
          <w:szCs w:val="32"/>
          <w:highlight w:val="none"/>
        </w:rPr>
        <w:t>序号13（缴纳投标保证金）</w:t>
      </w:r>
    </w:p>
    <w:p w14:paraId="57F598AE">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凡没有按照招标文件要求提交有效的投标保证金的投标，将视为非响应性投标予以拒绝。</w:t>
      </w:r>
    </w:p>
    <w:p w14:paraId="5D37121A">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凡投标人在投标截止时间前撤回已提交的投标文件的，自收到投标人书面撤回通知之日起5个工作日内，退还已收取的投标保证金，但因投标人自身原因导致无法及时退还的除外。</w:t>
      </w:r>
    </w:p>
    <w:p w14:paraId="25EAA338">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通知书发出之日起5个工作日内退还未中标人的投标保证金，但因投标人自身原因导致无法及时退还的除外。</w:t>
      </w:r>
    </w:p>
    <w:p w14:paraId="5B74A0DB">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中标人的投标保证金的退还必须同时满足以下要求（但因中标人自身原因导致无法及时退还的除外）：</w:t>
      </w:r>
    </w:p>
    <w:p w14:paraId="0A2FF4B4">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中标人按</w:t>
      </w:r>
      <w:bookmarkStart w:id="122" w:name="_Hlt507937599"/>
      <w:bookmarkEnd w:id="122"/>
      <w:r>
        <w:rPr>
          <w:rFonts w:hint="eastAsia" w:ascii="仿宋_GB2312" w:hAnsi="仿宋_GB2312" w:eastAsia="仿宋_GB2312" w:cs="仿宋_GB2312"/>
          <w:color w:val="auto"/>
          <w:sz w:val="32"/>
          <w:szCs w:val="32"/>
          <w:highlight w:val="none"/>
        </w:rPr>
        <w:t>《投标人须知前附表》规定签订合同的，自合同上传自</w:t>
      </w:r>
      <w:r>
        <w:rPr>
          <w:rFonts w:hint="eastAsia" w:ascii="仿宋_GB2312" w:hAnsi="仿宋_GB2312" w:eastAsia="仿宋_GB2312" w:cs="仿宋_GB2312"/>
          <w:b/>
          <w:color w:val="auto"/>
          <w:sz w:val="32"/>
          <w:szCs w:val="32"/>
          <w:highlight w:val="none"/>
          <w:u w:val="single"/>
        </w:rPr>
        <w:t>新疆政府采购网http://www.ccgp-xinjiang.gov.cn</w:t>
      </w:r>
      <w:r>
        <w:rPr>
          <w:rFonts w:hint="eastAsia" w:ascii="仿宋_GB2312" w:hAnsi="仿宋_GB2312" w:eastAsia="仿宋_GB2312" w:cs="仿宋_GB2312"/>
          <w:color w:val="auto"/>
          <w:sz w:val="32"/>
          <w:szCs w:val="32"/>
          <w:highlight w:val="none"/>
        </w:rPr>
        <w:t>起5个工作日内退还</w:t>
      </w:r>
    </w:p>
    <w:p w14:paraId="6D9E8EEE">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23" w:name="_Ref179619371"/>
      <w:r>
        <w:rPr>
          <w:rFonts w:hint="eastAsia" w:ascii="仿宋_GB2312" w:hAnsi="仿宋_GB2312" w:eastAsia="仿宋_GB2312" w:cs="仿宋_GB2312"/>
          <w:color w:val="auto"/>
          <w:sz w:val="32"/>
          <w:szCs w:val="32"/>
          <w:highlight w:val="none"/>
        </w:rPr>
        <w:t>下列任何情况发生时，投标保证金将被没收：</w:t>
      </w:r>
      <w:bookmarkEnd w:id="123"/>
    </w:p>
    <w:p w14:paraId="0D74EA7D">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投标人在招标文件中规定的投标有效期内撤销其投标文件；</w:t>
      </w:r>
    </w:p>
    <w:p w14:paraId="46ED0205">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中标后无正当理由放弃中标或中标人拒绝与采购人签订合同；</w:t>
      </w:r>
    </w:p>
    <w:p w14:paraId="459853F8">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中标人在规定期限内未能根据本须知规定签订合同；</w:t>
      </w:r>
    </w:p>
    <w:p w14:paraId="6DC65EBA">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依法取消中标资格；</w:t>
      </w:r>
    </w:p>
    <w:p w14:paraId="4A343A0D">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法律法规规定的其它情况；</w:t>
      </w:r>
    </w:p>
    <w:p w14:paraId="58724007">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24" w:name="_Toc55778695"/>
      <w:bookmarkStart w:id="125" w:name="_Toc10359"/>
      <w:r>
        <w:rPr>
          <w:rFonts w:hint="eastAsia" w:ascii="仿宋_GB2312" w:hAnsi="仿宋_GB2312" w:eastAsia="仿宋_GB2312" w:cs="仿宋_GB2312"/>
          <w:b/>
          <w:bCs/>
          <w:color w:val="auto"/>
          <w:kern w:val="44"/>
          <w:sz w:val="32"/>
          <w:szCs w:val="32"/>
          <w:highlight w:val="none"/>
        </w:rPr>
        <w:t xml:space="preserve">    </w:t>
      </w:r>
      <w:bookmarkStart w:id="126" w:name="_Toc32410"/>
      <w:bookmarkStart w:id="127" w:name="_Toc2453"/>
      <w:bookmarkStart w:id="128" w:name="_Toc1720"/>
      <w:bookmarkStart w:id="129" w:name="_Toc30142"/>
      <w:r>
        <w:rPr>
          <w:rFonts w:hint="eastAsia" w:ascii="仿宋_GB2312" w:hAnsi="仿宋_GB2312" w:eastAsia="仿宋_GB2312" w:cs="仿宋_GB2312"/>
          <w:b/>
          <w:bCs/>
          <w:color w:val="auto"/>
          <w:kern w:val="44"/>
          <w:sz w:val="32"/>
          <w:szCs w:val="32"/>
          <w:highlight w:val="none"/>
        </w:rPr>
        <w:t>投标有效期</w:t>
      </w:r>
      <w:bookmarkEnd w:id="124"/>
      <w:bookmarkEnd w:id="125"/>
      <w:bookmarkEnd w:id="126"/>
      <w:bookmarkEnd w:id="127"/>
      <w:bookmarkEnd w:id="128"/>
      <w:bookmarkEnd w:id="129"/>
    </w:p>
    <w:p w14:paraId="1B047276">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30" w:name="_Ref179620893"/>
      <w:r>
        <w:rPr>
          <w:rFonts w:hint="eastAsia" w:ascii="仿宋_GB2312" w:hAnsi="仿宋_GB2312" w:eastAsia="仿宋_GB2312" w:cs="仿宋_GB2312"/>
          <w:b/>
          <w:bCs/>
          <w:color w:val="auto"/>
          <w:sz w:val="32"/>
          <w:szCs w:val="32"/>
          <w:highlight w:val="none"/>
        </w:rPr>
        <w:t>投标文件应在投标截止日后90日历天内保持有效。</w:t>
      </w:r>
    </w:p>
    <w:p w14:paraId="701976AD">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中标人投标有效期则顺延至项目完成验收之日，在此有效期内未经采购人同意，投标文件的一切内容和补充承诺均为持续有效且不予改变。</w:t>
      </w:r>
      <w:bookmarkEnd w:id="130"/>
    </w:p>
    <w:p w14:paraId="557E8228">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投标有效期从提交投标文件的截止之日起算</w:t>
      </w:r>
      <w:r>
        <w:rPr>
          <w:rFonts w:hint="eastAsia" w:ascii="仿宋_GB2312" w:hAnsi="仿宋_GB2312" w:eastAsia="仿宋_GB2312" w:cs="仿宋_GB2312"/>
          <w:color w:val="auto"/>
          <w:sz w:val="32"/>
          <w:szCs w:val="32"/>
          <w:highlight w:val="none"/>
        </w:rPr>
        <w:t>。投标文件中承诺的投标有效期应当不少于招标文件中载明的投标有效期。投标有效期不足的投标将被视为非实质性响应，视为无效投标。</w:t>
      </w:r>
    </w:p>
    <w:p w14:paraId="2D97B87A">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1ED8A62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31" w:name="_Toc55778696"/>
      <w:r>
        <w:rPr>
          <w:rFonts w:hint="eastAsia" w:ascii="仿宋_GB2312" w:hAnsi="仿宋_GB2312" w:eastAsia="仿宋_GB2312" w:cs="仿宋_GB2312"/>
          <w:b/>
          <w:bCs/>
          <w:color w:val="auto"/>
          <w:kern w:val="44"/>
          <w:sz w:val="32"/>
          <w:szCs w:val="32"/>
          <w:highlight w:val="none"/>
        </w:rPr>
        <w:t xml:space="preserve">    </w:t>
      </w:r>
      <w:bookmarkStart w:id="132" w:name="_Toc8626"/>
      <w:bookmarkStart w:id="133" w:name="_Toc11497"/>
      <w:bookmarkStart w:id="134" w:name="_Toc30820"/>
      <w:bookmarkStart w:id="135" w:name="_Toc32144"/>
      <w:r>
        <w:rPr>
          <w:rFonts w:hint="eastAsia" w:ascii="仿宋_GB2312" w:hAnsi="仿宋_GB2312" w:eastAsia="仿宋_GB2312" w:cs="仿宋_GB2312"/>
          <w:b/>
          <w:bCs/>
          <w:color w:val="auto"/>
          <w:kern w:val="44"/>
          <w:sz w:val="32"/>
          <w:szCs w:val="32"/>
          <w:highlight w:val="none"/>
        </w:rPr>
        <w:t>投标文件的式样和签署、密封</w:t>
      </w:r>
      <w:bookmarkEnd w:id="131"/>
      <w:bookmarkEnd w:id="132"/>
      <w:bookmarkEnd w:id="133"/>
      <w:bookmarkEnd w:id="134"/>
      <w:bookmarkEnd w:id="135"/>
    </w:p>
    <w:p w14:paraId="401C8A7A">
      <w:pPr>
        <w:pageBreakBefore w:val="0"/>
        <w:numPr>
          <w:ilvl w:val="1"/>
          <w:numId w:val="17"/>
        </w:numPr>
        <w:kinsoku/>
        <w:overflowPunct/>
        <w:topLinePunct w:val="0"/>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6BCC2EF5">
      <w:pPr>
        <w:pageBreakBefore w:val="0"/>
        <w:numPr>
          <w:ilvl w:val="1"/>
          <w:numId w:val="17"/>
        </w:numPr>
        <w:kinsoku/>
        <w:overflowPunct/>
        <w:topLinePunct w:val="0"/>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3474236D">
      <w:pPr>
        <w:pageBreakBefore w:val="0"/>
        <w:numPr>
          <w:ilvl w:val="1"/>
          <w:numId w:val="17"/>
        </w:numPr>
        <w:kinsoku/>
        <w:overflowPunct/>
        <w:topLinePunct w:val="0"/>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24219226">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136" w:name="_Toc22727"/>
      <w:r>
        <w:rPr>
          <w:rFonts w:hint="eastAsia" w:ascii="Times New Roman" w:hAnsi="Times New Roman" w:eastAsia="黑体" w:cs="Times New Roman"/>
          <w:b w:val="0"/>
          <w:bCs w:val="0"/>
          <w:kern w:val="2"/>
          <w:sz w:val="32"/>
          <w:szCs w:val="32"/>
          <w:lang w:val="zh-CN" w:eastAsia="zh-CN" w:bidi="ar-SA"/>
        </w:rPr>
        <w:t>四、投标文件的递交</w:t>
      </w:r>
      <w:bookmarkEnd w:id="136"/>
    </w:p>
    <w:p w14:paraId="04819F1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color w:val="auto"/>
          <w:kern w:val="44"/>
          <w:sz w:val="32"/>
          <w:szCs w:val="32"/>
          <w:highlight w:val="none"/>
        </w:rPr>
      </w:pPr>
      <w:bookmarkStart w:id="137" w:name="_Toc55778697"/>
      <w:r>
        <w:rPr>
          <w:rFonts w:hint="eastAsia" w:ascii="仿宋_GB2312" w:hAnsi="仿宋_GB2312" w:eastAsia="仿宋_GB2312" w:cs="仿宋_GB2312"/>
          <w:b/>
          <w:color w:val="auto"/>
          <w:kern w:val="44"/>
          <w:sz w:val="32"/>
          <w:szCs w:val="32"/>
          <w:highlight w:val="none"/>
        </w:rPr>
        <w:t xml:space="preserve">    </w:t>
      </w:r>
      <w:bookmarkStart w:id="138" w:name="_Toc24917"/>
      <w:bookmarkStart w:id="139" w:name="_Toc2542"/>
      <w:bookmarkStart w:id="140" w:name="_Toc5633"/>
      <w:bookmarkStart w:id="141" w:name="_Toc8124"/>
      <w:r>
        <w:rPr>
          <w:rFonts w:hint="eastAsia" w:ascii="仿宋_GB2312" w:hAnsi="仿宋_GB2312" w:eastAsia="仿宋_GB2312" w:cs="仿宋_GB2312"/>
          <w:b/>
          <w:color w:val="auto"/>
          <w:kern w:val="44"/>
          <w:sz w:val="32"/>
          <w:szCs w:val="32"/>
          <w:highlight w:val="none"/>
        </w:rPr>
        <w:t>投标文件递交</w:t>
      </w:r>
      <w:bookmarkEnd w:id="137"/>
      <w:bookmarkEnd w:id="138"/>
      <w:bookmarkEnd w:id="139"/>
      <w:bookmarkEnd w:id="140"/>
      <w:bookmarkEnd w:id="141"/>
    </w:p>
    <w:p w14:paraId="24C69F08">
      <w:pPr>
        <w:pageBreakBefore w:val="0"/>
        <w:numPr>
          <w:ilvl w:val="1"/>
          <w:numId w:val="1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本项目采用不见面开标、投标人需要递交电子响应文件，加密的电子响应文件，在投标截止时间前通过政采云平台上传到指定位置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无需递交纸质文件。</w:t>
      </w:r>
    </w:p>
    <w:p w14:paraId="205DF294">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color w:val="auto"/>
          <w:kern w:val="44"/>
          <w:sz w:val="32"/>
          <w:szCs w:val="32"/>
          <w:highlight w:val="none"/>
        </w:rPr>
      </w:pPr>
      <w:bookmarkStart w:id="142" w:name="_Toc55778698"/>
      <w:bookmarkStart w:id="143" w:name="_Toc20929"/>
      <w:r>
        <w:rPr>
          <w:rFonts w:hint="eastAsia" w:ascii="仿宋_GB2312" w:hAnsi="仿宋_GB2312" w:eastAsia="仿宋_GB2312" w:cs="仿宋_GB2312"/>
          <w:b/>
          <w:color w:val="auto"/>
          <w:kern w:val="44"/>
          <w:sz w:val="32"/>
          <w:szCs w:val="32"/>
          <w:highlight w:val="none"/>
        </w:rPr>
        <w:t xml:space="preserve">    </w:t>
      </w:r>
      <w:bookmarkStart w:id="144" w:name="_Toc12495"/>
      <w:bookmarkStart w:id="145" w:name="_Toc4909"/>
      <w:bookmarkStart w:id="146" w:name="_Toc28446"/>
      <w:bookmarkStart w:id="147" w:name="_Toc20702"/>
      <w:r>
        <w:rPr>
          <w:rFonts w:hint="eastAsia" w:ascii="仿宋_GB2312" w:hAnsi="仿宋_GB2312" w:eastAsia="仿宋_GB2312" w:cs="仿宋_GB2312"/>
          <w:b/>
          <w:color w:val="auto"/>
          <w:kern w:val="44"/>
          <w:sz w:val="32"/>
          <w:szCs w:val="32"/>
          <w:highlight w:val="none"/>
        </w:rPr>
        <w:t>投标截止时间</w:t>
      </w:r>
      <w:bookmarkEnd w:id="142"/>
      <w:bookmarkEnd w:id="144"/>
      <w:bookmarkEnd w:id="145"/>
      <w:bookmarkEnd w:id="146"/>
      <w:bookmarkEnd w:id="147"/>
    </w:p>
    <w:p w14:paraId="52396B35">
      <w:pPr>
        <w:keepNext/>
        <w:keepLines/>
        <w:pageBreakBefore w:val="0"/>
        <w:numPr>
          <w:ilvl w:val="0"/>
          <w:numId w:val="19"/>
        </w:numPr>
        <w:tabs>
          <w:tab w:val="left" w:pos="900"/>
          <w:tab w:val="clear" w:pos="907"/>
        </w:tabs>
        <w:kinsoku/>
        <w:overflowPunct/>
        <w:topLinePunct w:val="0"/>
        <w:bidi w:val="0"/>
        <w:spacing w:line="500" w:lineRule="exact"/>
        <w:textAlignment w:val="auto"/>
        <w:outlineLvl w:val="0"/>
        <w:rPr>
          <w:rFonts w:hint="eastAsia" w:ascii="仿宋_GB2312" w:hAnsi="仿宋_GB2312" w:eastAsia="仿宋_GB2312" w:cs="仿宋_GB2312"/>
          <w:color w:val="auto"/>
          <w:kern w:val="44"/>
          <w:sz w:val="32"/>
          <w:szCs w:val="32"/>
          <w:highlight w:val="none"/>
        </w:rPr>
      </w:pPr>
      <w:bookmarkStart w:id="148" w:name="_Toc18539"/>
      <w:bookmarkStart w:id="149" w:name="_Toc30090"/>
      <w:bookmarkStart w:id="150" w:name="_Toc55778699"/>
      <w:bookmarkStart w:id="151" w:name="_Toc10314"/>
      <w:bookmarkStart w:id="152" w:name="_Toc5154"/>
      <w:r>
        <w:rPr>
          <w:rFonts w:hint="eastAsia" w:ascii="仿宋_GB2312" w:hAnsi="仿宋_GB2312" w:eastAsia="仿宋_GB2312" w:cs="仿宋_GB2312"/>
          <w:color w:val="auto"/>
          <w:kern w:val="44"/>
          <w:sz w:val="32"/>
          <w:szCs w:val="32"/>
          <w:highlight w:val="none"/>
        </w:rPr>
        <w:t>本次招标的投标截止时间见第二章《投标须知前附表》的规定。</w:t>
      </w:r>
      <w:bookmarkEnd w:id="148"/>
      <w:bookmarkEnd w:id="149"/>
      <w:bookmarkEnd w:id="150"/>
      <w:bookmarkEnd w:id="151"/>
      <w:bookmarkEnd w:id="152"/>
    </w:p>
    <w:p w14:paraId="6754472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53" w:name="_Toc55778700"/>
      <w:r>
        <w:rPr>
          <w:rFonts w:hint="eastAsia" w:ascii="仿宋_GB2312" w:hAnsi="仿宋_GB2312" w:eastAsia="仿宋_GB2312" w:cs="仿宋_GB2312"/>
          <w:b/>
          <w:color w:val="auto"/>
          <w:kern w:val="44"/>
          <w:sz w:val="32"/>
          <w:szCs w:val="32"/>
          <w:highlight w:val="none"/>
        </w:rPr>
        <w:t xml:space="preserve">    </w:t>
      </w:r>
      <w:bookmarkStart w:id="154" w:name="_Toc28929"/>
      <w:bookmarkStart w:id="155" w:name="_Toc1876"/>
      <w:bookmarkStart w:id="156" w:name="_Toc2461"/>
      <w:bookmarkStart w:id="157" w:name="_Toc9155"/>
      <w:r>
        <w:rPr>
          <w:rFonts w:hint="eastAsia" w:ascii="仿宋_GB2312" w:hAnsi="仿宋_GB2312" w:eastAsia="仿宋_GB2312" w:cs="仿宋_GB2312"/>
          <w:b/>
          <w:color w:val="auto"/>
          <w:kern w:val="44"/>
          <w:sz w:val="32"/>
          <w:szCs w:val="32"/>
          <w:highlight w:val="none"/>
        </w:rPr>
        <w:t>迟交的投标文件</w:t>
      </w:r>
      <w:bookmarkEnd w:id="153"/>
      <w:bookmarkEnd w:id="154"/>
      <w:bookmarkEnd w:id="155"/>
      <w:bookmarkEnd w:id="156"/>
      <w:bookmarkEnd w:id="157"/>
    </w:p>
    <w:p w14:paraId="1EBE3087">
      <w:pPr>
        <w:keepNext/>
        <w:keepLines/>
        <w:pageBreakBefore w:val="0"/>
        <w:numPr>
          <w:ilvl w:val="0"/>
          <w:numId w:val="20"/>
        </w:numPr>
        <w:tabs>
          <w:tab w:val="left" w:pos="900"/>
          <w:tab w:val="clear" w:pos="907"/>
        </w:tabs>
        <w:kinsoku/>
        <w:overflowPunct/>
        <w:topLinePunct w:val="0"/>
        <w:bidi w:val="0"/>
        <w:spacing w:line="500" w:lineRule="exact"/>
        <w:textAlignment w:val="auto"/>
        <w:outlineLvl w:val="0"/>
        <w:rPr>
          <w:rFonts w:hint="eastAsia" w:ascii="仿宋_GB2312" w:hAnsi="仿宋_GB2312" w:eastAsia="仿宋_GB2312" w:cs="仿宋_GB2312"/>
          <w:color w:val="auto"/>
          <w:kern w:val="44"/>
          <w:sz w:val="32"/>
          <w:szCs w:val="32"/>
          <w:highlight w:val="none"/>
        </w:rPr>
      </w:pPr>
      <w:bookmarkStart w:id="158" w:name="_Toc13418"/>
      <w:bookmarkStart w:id="159" w:name="_Toc55778701"/>
      <w:bookmarkStart w:id="160" w:name="_Toc7900"/>
      <w:bookmarkStart w:id="161" w:name="_Toc94"/>
      <w:bookmarkStart w:id="162" w:name="_Toc24301"/>
      <w:r>
        <w:rPr>
          <w:rFonts w:hint="eastAsia" w:ascii="仿宋_GB2312" w:hAnsi="仿宋_GB2312" w:eastAsia="仿宋_GB2312" w:cs="仿宋_GB2312"/>
          <w:color w:val="auto"/>
          <w:kern w:val="44"/>
          <w:sz w:val="32"/>
          <w:szCs w:val="32"/>
          <w:highlight w:val="none"/>
        </w:rPr>
        <w:t>采购代理机构将拒绝并原封退回在其规定的投标截止时刻后收到的任何投标文件。</w:t>
      </w:r>
      <w:bookmarkEnd w:id="158"/>
      <w:bookmarkEnd w:id="159"/>
      <w:bookmarkEnd w:id="160"/>
      <w:bookmarkEnd w:id="161"/>
      <w:bookmarkEnd w:id="162"/>
    </w:p>
    <w:p w14:paraId="56F0D5B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63" w:name="_Toc55778702"/>
      <w:r>
        <w:rPr>
          <w:rFonts w:hint="eastAsia" w:ascii="仿宋_GB2312" w:hAnsi="仿宋_GB2312" w:eastAsia="仿宋_GB2312" w:cs="仿宋_GB2312"/>
          <w:b/>
          <w:bCs/>
          <w:color w:val="auto"/>
          <w:kern w:val="44"/>
          <w:sz w:val="32"/>
          <w:szCs w:val="32"/>
          <w:highlight w:val="none"/>
        </w:rPr>
        <w:t xml:space="preserve">    </w:t>
      </w:r>
      <w:bookmarkStart w:id="164" w:name="_Toc27265"/>
      <w:bookmarkStart w:id="165" w:name="_Toc19255"/>
      <w:bookmarkStart w:id="166" w:name="_Toc21101"/>
      <w:bookmarkStart w:id="167" w:name="_Toc10185"/>
      <w:r>
        <w:rPr>
          <w:rFonts w:hint="eastAsia" w:ascii="仿宋_GB2312" w:hAnsi="仿宋_GB2312" w:eastAsia="仿宋_GB2312" w:cs="仿宋_GB2312"/>
          <w:b/>
          <w:bCs/>
          <w:color w:val="auto"/>
          <w:kern w:val="44"/>
          <w:sz w:val="32"/>
          <w:szCs w:val="32"/>
          <w:highlight w:val="none"/>
        </w:rPr>
        <w:t>投</w:t>
      </w:r>
      <w:bookmarkEnd w:id="143"/>
      <w:r>
        <w:rPr>
          <w:rFonts w:hint="eastAsia" w:ascii="仿宋_GB2312" w:hAnsi="仿宋_GB2312" w:eastAsia="仿宋_GB2312" w:cs="仿宋_GB2312"/>
          <w:b/>
          <w:bCs/>
          <w:color w:val="auto"/>
          <w:kern w:val="44"/>
          <w:sz w:val="32"/>
          <w:szCs w:val="32"/>
          <w:highlight w:val="none"/>
        </w:rPr>
        <w:t>标文件的修改和撤回、撤销</w:t>
      </w:r>
      <w:bookmarkEnd w:id="163"/>
      <w:bookmarkEnd w:id="164"/>
      <w:bookmarkEnd w:id="165"/>
      <w:bookmarkEnd w:id="166"/>
      <w:bookmarkEnd w:id="167"/>
    </w:p>
    <w:p w14:paraId="15BB7E76">
      <w:pPr>
        <w:pageBreakBefore w:val="0"/>
        <w:numPr>
          <w:ilvl w:val="1"/>
          <w:numId w:val="2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34A6F12A">
      <w:pPr>
        <w:pageBreakBefore w:val="0"/>
        <w:numPr>
          <w:ilvl w:val="1"/>
          <w:numId w:val="2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除非招标文件另有规定或说明，投标人所提交的投标文件在评标结束后，无论中标与否都不退还。</w:t>
      </w:r>
    </w:p>
    <w:p w14:paraId="1D248CA8">
      <w:pPr>
        <w:pageBreakBefore w:val="0"/>
        <w:numPr>
          <w:ilvl w:val="1"/>
          <w:numId w:val="2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投标截止后，投标人不得撤销其投标，否则其投标保证金将按照本须知规定被没收。</w:t>
      </w:r>
    </w:p>
    <w:p w14:paraId="1541E7DE">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168" w:name="_Toc30087"/>
      <w:bookmarkStart w:id="169" w:name="_Toc14523"/>
      <w:bookmarkStart w:id="170" w:name="_Toc55778703"/>
      <w:r>
        <w:rPr>
          <w:rFonts w:hint="eastAsia" w:ascii="Times New Roman" w:hAnsi="Times New Roman" w:eastAsia="黑体" w:cs="Times New Roman"/>
          <w:b w:val="0"/>
          <w:bCs w:val="0"/>
          <w:kern w:val="2"/>
          <w:sz w:val="32"/>
          <w:szCs w:val="32"/>
          <w:lang w:val="zh-CN" w:eastAsia="zh-CN" w:bidi="ar-SA"/>
        </w:rPr>
        <w:t>五、开标与评标</w:t>
      </w:r>
      <w:bookmarkEnd w:id="168"/>
      <w:bookmarkEnd w:id="169"/>
      <w:bookmarkEnd w:id="170"/>
    </w:p>
    <w:p w14:paraId="7445621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71" w:name="_Toc21732"/>
      <w:bookmarkStart w:id="172" w:name="_Toc55778704"/>
      <w:r>
        <w:rPr>
          <w:rFonts w:hint="eastAsia" w:ascii="仿宋_GB2312" w:hAnsi="仿宋_GB2312" w:eastAsia="仿宋_GB2312" w:cs="仿宋_GB2312"/>
          <w:b/>
          <w:bCs/>
          <w:color w:val="auto"/>
          <w:kern w:val="44"/>
          <w:sz w:val="32"/>
          <w:szCs w:val="32"/>
          <w:highlight w:val="none"/>
        </w:rPr>
        <w:t xml:space="preserve">    </w:t>
      </w:r>
      <w:bookmarkStart w:id="173" w:name="_Toc26238"/>
      <w:bookmarkStart w:id="174" w:name="_Toc4602"/>
      <w:bookmarkStart w:id="175" w:name="_Toc19246"/>
      <w:bookmarkStart w:id="176" w:name="_Toc930"/>
      <w:r>
        <w:rPr>
          <w:rFonts w:hint="eastAsia" w:ascii="仿宋_GB2312" w:hAnsi="仿宋_GB2312" w:eastAsia="仿宋_GB2312" w:cs="仿宋_GB2312"/>
          <w:b/>
          <w:bCs/>
          <w:color w:val="auto"/>
          <w:kern w:val="44"/>
          <w:sz w:val="32"/>
          <w:szCs w:val="32"/>
          <w:highlight w:val="none"/>
        </w:rPr>
        <w:t>开标</w:t>
      </w:r>
      <w:bookmarkEnd w:id="171"/>
      <w:bookmarkEnd w:id="172"/>
      <w:bookmarkEnd w:id="173"/>
      <w:bookmarkEnd w:id="174"/>
      <w:bookmarkEnd w:id="175"/>
      <w:bookmarkEnd w:id="176"/>
    </w:p>
    <w:p w14:paraId="4FBADB40">
      <w:pPr>
        <w:pageBreakBefore w:val="0"/>
        <w:numPr>
          <w:ilvl w:val="0"/>
          <w:numId w:val="22"/>
        </w:numPr>
        <w:kinsoku/>
        <w:overflowPunct/>
        <w:topLinePunct w:val="0"/>
        <w:bidi w:val="0"/>
        <w:spacing w:line="500" w:lineRule="exact"/>
        <w:textAlignment w:val="auto"/>
        <w:rPr>
          <w:rFonts w:hint="eastAsia" w:ascii="仿宋_GB2312" w:hAnsi="仿宋_GB2312" w:eastAsia="仿宋_GB2312" w:cs="仿宋_GB2312"/>
          <w:vanish/>
          <w:color w:val="auto"/>
          <w:sz w:val="32"/>
          <w:szCs w:val="32"/>
          <w:highlight w:val="none"/>
        </w:rPr>
      </w:pPr>
    </w:p>
    <w:p w14:paraId="2B66D255">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采购人或采购代理机构在投标人须知前附表规定的开标时间和开标地点组织公开开标，邀请投标人参加。评标委员会成员不得参加开标活动。投标人不足3家的，不得开标。</w:t>
      </w:r>
    </w:p>
    <w:p w14:paraId="7127B171">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i w:val="0"/>
          <w:caps w:val="0"/>
          <w:color w:val="000000"/>
          <w:spacing w:val="0"/>
          <w:kern w:val="0"/>
          <w:sz w:val="32"/>
          <w:szCs w:val="32"/>
          <w:lang w:val="en-US" w:eastAsia="zh-CN" w:bidi="ar"/>
        </w:rPr>
        <w:t>投</w:t>
      </w:r>
      <w:r>
        <w:rPr>
          <w:rFonts w:hint="eastAsia" w:ascii="仿宋_GB2312" w:hAnsi="仿宋_GB2312" w:eastAsia="仿宋_GB2312" w:cs="仿宋_GB2312"/>
          <w:b w:val="0"/>
          <w:bCs/>
          <w:i w:val="0"/>
          <w:caps w:val="0"/>
          <w:color w:val="auto"/>
          <w:spacing w:val="0"/>
          <w:kern w:val="0"/>
          <w:sz w:val="32"/>
          <w:szCs w:val="32"/>
          <w:lang w:val="en-US" w:eastAsia="zh-CN" w:bidi="ar"/>
        </w:rPr>
        <w:t>标文件以电子形式递交至: 新疆政采云平台；投标人应于2026年04月30日11: 00(北京时间) 之前将电子投标文件上传到“政采云”平台。开标时间后30分钟内供应商登录“政采云”平台，用“项目采购-开标评标”功能进行解密投标文件。若供应商在规定时间内未按时解密的，视为</w:t>
      </w:r>
      <w:r>
        <w:rPr>
          <w:rFonts w:hint="eastAsia" w:ascii="仿宋_GB2312" w:hAnsi="仿宋_GB2312" w:eastAsia="仿宋_GB2312" w:cs="仿宋_GB2312"/>
          <w:b w:val="0"/>
          <w:bCs/>
          <w:i w:val="0"/>
          <w:caps w:val="0"/>
          <w:color w:val="000000" w:themeColor="text1"/>
          <w:spacing w:val="0"/>
          <w:kern w:val="0"/>
          <w:sz w:val="32"/>
          <w:szCs w:val="32"/>
          <w:lang w:val="en-US" w:eastAsia="zh-CN" w:bidi="ar"/>
          <w14:textFill>
            <w14:solidFill>
              <w14:schemeClr w14:val="tx1"/>
            </w14:solidFill>
          </w14:textFill>
        </w:rPr>
        <w:t>无效投标。(</w:t>
      </w:r>
      <w:r>
        <w:rPr>
          <w:rFonts w:hint="eastAsia" w:ascii="仿宋_GB2312" w:hAnsi="仿宋_GB2312" w:eastAsia="仿宋_GB2312" w:cs="仿宋_GB2312"/>
          <w:b w:val="0"/>
          <w:bCs/>
          <w:i w:val="0"/>
          <w:caps w:val="0"/>
          <w:color w:val="000000"/>
          <w:spacing w:val="0"/>
          <w:kern w:val="0"/>
          <w:sz w:val="32"/>
          <w:szCs w:val="32"/>
          <w:lang w:val="en-US" w:eastAsia="zh-CN" w:bidi="ar"/>
        </w:rPr>
        <w:t>解密时间开始时政采云平台将以短信形式向供应商在政采云平台预留的手机号发送短信通知，请供应商及时关注。)</w:t>
      </w:r>
    </w:p>
    <w:p w14:paraId="33B0F2FD">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解密成功后</w:t>
      </w:r>
      <w:r>
        <w:rPr>
          <w:rFonts w:hint="eastAsia" w:ascii="仿宋_GB2312" w:hAnsi="仿宋_GB2312" w:eastAsia="仿宋_GB2312" w:cs="仿宋_GB2312"/>
          <w:color w:val="auto"/>
          <w:sz w:val="32"/>
          <w:szCs w:val="32"/>
          <w:highlight w:val="none"/>
        </w:rPr>
        <w:t>由采购人或者采购代理机构工作人员</w:t>
      </w:r>
      <w:r>
        <w:rPr>
          <w:rFonts w:hint="eastAsia" w:ascii="仿宋_GB2312" w:hAnsi="仿宋_GB2312" w:eastAsia="仿宋_GB2312" w:cs="仿宋_GB2312"/>
          <w:color w:val="auto"/>
          <w:sz w:val="32"/>
          <w:szCs w:val="32"/>
          <w:highlight w:val="none"/>
          <w:lang w:val="en-US" w:eastAsia="zh-CN"/>
        </w:rPr>
        <w:t>唱电子标</w:t>
      </w:r>
      <w:r>
        <w:rPr>
          <w:rFonts w:hint="eastAsia" w:ascii="仿宋_GB2312" w:hAnsi="仿宋_GB2312" w:eastAsia="仿宋_GB2312" w:cs="仿宋_GB2312"/>
          <w:color w:val="auto"/>
          <w:sz w:val="32"/>
          <w:szCs w:val="32"/>
          <w:highlight w:val="none"/>
        </w:rPr>
        <w:t>，宣布投标人名称、投标价格和招标文件规定的需要宣布的其他内容。</w:t>
      </w:r>
    </w:p>
    <w:p w14:paraId="1C7E9FDA">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开标过程应当由采购人或者采购代理机构负责记录，由参加开标的各投标人代表和相关工作人员签字确认。</w:t>
      </w:r>
    </w:p>
    <w:p w14:paraId="39734525">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41DA62D">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投标人未参加开标的，视同认可开标结果。</w:t>
      </w:r>
    </w:p>
    <w:p w14:paraId="0762B21E">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77" w:name="_Toc55778705"/>
      <w:bookmarkStart w:id="178" w:name="_Toc17344"/>
      <w:r>
        <w:rPr>
          <w:rFonts w:hint="eastAsia" w:ascii="仿宋_GB2312" w:hAnsi="仿宋_GB2312" w:eastAsia="仿宋_GB2312" w:cs="仿宋_GB2312"/>
          <w:b/>
          <w:color w:val="auto"/>
          <w:kern w:val="44"/>
          <w:sz w:val="32"/>
          <w:szCs w:val="32"/>
          <w:highlight w:val="none"/>
        </w:rPr>
        <w:t xml:space="preserve">    </w:t>
      </w:r>
      <w:bookmarkStart w:id="179" w:name="_Toc1994"/>
      <w:bookmarkStart w:id="180" w:name="_Toc10826"/>
      <w:bookmarkStart w:id="181" w:name="_Toc24182"/>
      <w:bookmarkStart w:id="182" w:name="_Toc11631"/>
      <w:r>
        <w:rPr>
          <w:rFonts w:hint="eastAsia" w:ascii="仿宋_GB2312" w:hAnsi="仿宋_GB2312" w:eastAsia="仿宋_GB2312" w:cs="仿宋_GB2312"/>
          <w:b/>
          <w:color w:val="auto"/>
          <w:kern w:val="44"/>
          <w:sz w:val="32"/>
          <w:szCs w:val="32"/>
          <w:highlight w:val="none"/>
        </w:rPr>
        <w:t>公开招标失败后的处理</w:t>
      </w:r>
      <w:bookmarkEnd w:id="177"/>
      <w:bookmarkEnd w:id="179"/>
      <w:bookmarkEnd w:id="180"/>
      <w:bookmarkEnd w:id="181"/>
      <w:bookmarkEnd w:id="182"/>
    </w:p>
    <w:p w14:paraId="7AF316CE">
      <w:pPr>
        <w:pageBreakBefore w:val="0"/>
        <w:numPr>
          <w:ilvl w:val="1"/>
          <w:numId w:val="2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如果开标当天，投标截止后投标人不足3家或者通过资格审查或符合性审查的投标人不足3家的，除特殊情况外，本项目作废标处理。废标后，除采购任务取消情形外，按照以下方式处理：</w:t>
      </w:r>
    </w:p>
    <w:p w14:paraId="03DD269D">
      <w:pPr>
        <w:pageBreakBefore w:val="0"/>
        <w:numPr>
          <w:ilvl w:val="0"/>
          <w:numId w:val="2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招标文件存在不合理条款或者招标程序不符合规定的，采购人、采购代理机构改正后依法重新招标。</w:t>
      </w:r>
    </w:p>
    <w:p w14:paraId="2B25264F">
      <w:pPr>
        <w:pageBreakBefore w:val="0"/>
        <w:numPr>
          <w:ilvl w:val="0"/>
          <w:numId w:val="2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招标文件没有不合理条款、招标程序符合规定，采购人需要采用其他采购方式采购的，经财政部门同意后可依法转换采购方式进行。</w:t>
      </w:r>
    </w:p>
    <w:p w14:paraId="306D810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83" w:name="_Toc55778706"/>
      <w:r>
        <w:rPr>
          <w:rFonts w:hint="eastAsia" w:ascii="仿宋_GB2312" w:hAnsi="仿宋_GB2312" w:eastAsia="仿宋_GB2312" w:cs="仿宋_GB2312"/>
          <w:b/>
          <w:bCs/>
          <w:color w:val="auto"/>
          <w:kern w:val="44"/>
          <w:sz w:val="32"/>
          <w:szCs w:val="32"/>
          <w:highlight w:val="none"/>
        </w:rPr>
        <w:t xml:space="preserve">    </w:t>
      </w:r>
      <w:bookmarkStart w:id="184" w:name="_Toc22191"/>
      <w:r>
        <w:rPr>
          <w:rFonts w:hint="eastAsia" w:ascii="仿宋_GB2312" w:hAnsi="仿宋_GB2312" w:eastAsia="仿宋_GB2312" w:cs="仿宋_GB2312"/>
          <w:b/>
          <w:bCs/>
          <w:color w:val="auto"/>
          <w:kern w:val="44"/>
          <w:sz w:val="32"/>
          <w:szCs w:val="32"/>
          <w:highlight w:val="none"/>
        </w:rPr>
        <w:t>评标小组</w:t>
      </w:r>
      <w:bookmarkEnd w:id="178"/>
      <w:bookmarkEnd w:id="183"/>
      <w:bookmarkEnd w:id="184"/>
    </w:p>
    <w:p w14:paraId="40BB8BFE">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85" w:name="_Ref179621079"/>
      <w:r>
        <w:rPr>
          <w:rFonts w:hint="eastAsia" w:ascii="仿宋_GB2312" w:hAnsi="仿宋_GB2312" w:eastAsia="仿宋_GB2312" w:cs="仿宋_GB2312"/>
          <w:color w:val="auto"/>
          <w:sz w:val="32"/>
          <w:szCs w:val="32"/>
          <w:highlight w:val="none"/>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color w:val="auto"/>
          <w:sz w:val="32"/>
          <w:szCs w:val="32"/>
          <w:highlight w:val="none"/>
          <w:u w:val="single"/>
          <w:lang w:eastAsia="zh-CN"/>
        </w:rPr>
        <w:t>新疆政采云平台</w:t>
      </w:r>
      <w:r>
        <w:rPr>
          <w:rFonts w:hint="eastAsia" w:ascii="仿宋_GB2312" w:hAnsi="仿宋_GB2312" w:eastAsia="仿宋_GB2312" w:cs="仿宋_GB2312"/>
          <w:color w:val="auto"/>
          <w:sz w:val="32"/>
          <w:szCs w:val="32"/>
          <w:highlight w:val="none"/>
        </w:rPr>
        <w:t>评审专家库中随机抽取产生。对技术复杂、专业性强的采购项目，通过随机方式难以确定合适评审专家的，经主管预算单位同意，采购人可以自行选定相应专业领域的评审专家。</w:t>
      </w:r>
    </w:p>
    <w:p w14:paraId="4A9F2121">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评标小组应当按照招标文件中规定的评标方法和标准，对符合性审查合格的投标文件进行商务和技术评估，综合比较与评价，提交评标报告并推荐中标候选人。</w:t>
      </w:r>
    </w:p>
    <w:p w14:paraId="338982B1">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一并存档。</w:t>
      </w:r>
    </w:p>
    <w:p w14:paraId="1831FBBF">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评标小组成员名单在评标结果公告前严格保密。评审专家有下列情形之一的，受到邀请应主动提出回避，采购当事人也可以要求该评审专家回避：</w:t>
      </w:r>
    </w:p>
    <w:p w14:paraId="0FEFDD05">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参加采购活动前3年内与</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存在劳动关系；</w:t>
      </w:r>
    </w:p>
    <w:p w14:paraId="65419885">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参加采购活动前3年内担任</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的董事、监事；</w:t>
      </w:r>
    </w:p>
    <w:p w14:paraId="1E72A4BD">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参加采购活动前3年内是</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的控股股东或者实际控制人；</w:t>
      </w:r>
    </w:p>
    <w:p w14:paraId="0728139C">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 xml:space="preserve">的法定代表人或者负责人有夫妻、直系血亲、三代以内旁系血          </w:t>
      </w:r>
    </w:p>
    <w:p w14:paraId="2C4A4BAE">
      <w:pPr>
        <w:pageBreakBefore w:val="0"/>
        <w:kinsoku/>
        <w:overflowPunct/>
        <w:topLinePunct w:val="0"/>
        <w:bidi w:val="0"/>
        <w:spacing w:line="500" w:lineRule="exact"/>
        <w:ind w:left="425"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亲或者近姻亲关系；</w:t>
      </w:r>
    </w:p>
    <w:p w14:paraId="2559C14C">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有其他可能影响政府采购活动公平、公正进行的关系。</w:t>
      </w:r>
    </w:p>
    <w:p w14:paraId="09297DC8">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评标小组将按综合评分法进行评审，即最大限度地满足招标文件实质性要求前提下，按照招标文件中规定的各项因素进行综合评审后，以评标总得分最高的投标人作为中标候选人。</w:t>
      </w:r>
      <w:bookmarkEnd w:id="185"/>
    </w:p>
    <w:p w14:paraId="0F21410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86" w:name="_Toc55778707"/>
      <w:r>
        <w:rPr>
          <w:rFonts w:hint="eastAsia" w:ascii="仿宋_GB2312" w:hAnsi="仿宋_GB2312" w:eastAsia="仿宋_GB2312" w:cs="仿宋_GB2312"/>
          <w:b/>
          <w:color w:val="auto"/>
          <w:kern w:val="44"/>
          <w:sz w:val="32"/>
          <w:szCs w:val="32"/>
          <w:highlight w:val="none"/>
        </w:rPr>
        <w:t xml:space="preserve">   </w:t>
      </w:r>
      <w:bookmarkStart w:id="187" w:name="_Toc26294"/>
      <w:bookmarkStart w:id="188" w:name="_Toc30337"/>
      <w:bookmarkStart w:id="189" w:name="_Toc14456"/>
      <w:bookmarkStart w:id="190" w:name="_Toc28109"/>
      <w:r>
        <w:rPr>
          <w:rFonts w:hint="eastAsia" w:ascii="仿宋_GB2312" w:hAnsi="仿宋_GB2312" w:eastAsia="仿宋_GB2312" w:cs="仿宋_GB2312"/>
          <w:b/>
          <w:color w:val="auto"/>
          <w:kern w:val="44"/>
          <w:sz w:val="32"/>
          <w:szCs w:val="32"/>
          <w:highlight w:val="none"/>
        </w:rPr>
        <w:t>评标原则及评标方法</w:t>
      </w:r>
      <w:bookmarkEnd w:id="186"/>
      <w:bookmarkEnd w:id="187"/>
      <w:bookmarkEnd w:id="188"/>
      <w:bookmarkEnd w:id="189"/>
      <w:bookmarkEnd w:id="190"/>
    </w:p>
    <w:p w14:paraId="1D2044F9">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评标基本原则：评标工作应依据《中华人民共和国政府采购法》、实施条例以及国家和地方政府有关政府采购的有关法规，遵循“公开、公平、公正、择优、信用”的原则进行。</w:t>
      </w:r>
    </w:p>
    <w:p w14:paraId="3C55D542">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本项目以投标人递交的</w:t>
      </w:r>
      <w:r>
        <w:rPr>
          <w:rFonts w:hint="eastAsia" w:ascii="仿宋_GB2312" w:hAnsi="仿宋_GB2312" w:eastAsia="仿宋_GB2312"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rPr>
        <w:t>投标文件作为评审依据。</w:t>
      </w:r>
    </w:p>
    <w:p w14:paraId="30EA9627">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评标步骤及定标规定：第一阶段：先进行投标人资格性审查。第二阶段：进行投标人符合性审查。第三阶段：对通过资格性审查、符合性审查的投标人按照评标办法进行详细评审（包括：技术商务评审）。</w:t>
      </w:r>
    </w:p>
    <w:p w14:paraId="6A4312D6">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color w:val="auto"/>
          <w:sz w:val="32"/>
          <w:szCs w:val="32"/>
          <w:highlight w:val="none"/>
        </w:rPr>
        <w:t>。</w:t>
      </w:r>
    </w:p>
    <w:p w14:paraId="17BA6DC1">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color w:val="auto"/>
          <w:sz w:val="32"/>
          <w:szCs w:val="32"/>
          <w:highlight w:val="none"/>
        </w:rPr>
        <w:t>。</w:t>
      </w:r>
    </w:p>
    <w:p w14:paraId="54D7C489">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91" w:name="_Toc55778708"/>
      <w:r>
        <w:rPr>
          <w:rFonts w:hint="eastAsia" w:ascii="仿宋_GB2312" w:hAnsi="仿宋_GB2312" w:eastAsia="仿宋_GB2312" w:cs="仿宋_GB2312"/>
          <w:b/>
          <w:color w:val="auto"/>
          <w:kern w:val="44"/>
          <w:sz w:val="32"/>
          <w:szCs w:val="32"/>
          <w:highlight w:val="none"/>
        </w:rPr>
        <w:t xml:space="preserve">    </w:t>
      </w:r>
      <w:bookmarkStart w:id="192" w:name="_Toc3188"/>
      <w:bookmarkStart w:id="193" w:name="_Toc24957"/>
      <w:bookmarkStart w:id="194" w:name="_Toc24483"/>
      <w:bookmarkStart w:id="195" w:name="_Toc29632"/>
      <w:r>
        <w:rPr>
          <w:rFonts w:hint="eastAsia" w:ascii="仿宋_GB2312" w:hAnsi="仿宋_GB2312" w:eastAsia="仿宋_GB2312" w:cs="仿宋_GB2312"/>
          <w:b/>
          <w:color w:val="auto"/>
          <w:kern w:val="44"/>
          <w:sz w:val="32"/>
          <w:szCs w:val="32"/>
          <w:highlight w:val="none"/>
        </w:rPr>
        <w:t>初步评审</w:t>
      </w:r>
      <w:bookmarkEnd w:id="191"/>
      <w:bookmarkEnd w:id="192"/>
      <w:bookmarkEnd w:id="193"/>
      <w:bookmarkEnd w:id="194"/>
      <w:bookmarkEnd w:id="195"/>
    </w:p>
    <w:p w14:paraId="183FBE26">
      <w:pPr>
        <w:pageBreakBefore w:val="0"/>
        <w:numPr>
          <w:ilvl w:val="1"/>
          <w:numId w:val="2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资格性审查：开标结束后，采购人依法对投标人的资格进行审查，资格性审查内容详见附</w:t>
      </w:r>
      <w:r>
        <w:rPr>
          <w:rFonts w:hint="eastAsia" w:ascii="仿宋_GB2312" w:hAnsi="仿宋_GB2312" w:eastAsia="仿宋_GB2312" w:cs="仿宋_GB2312"/>
          <w:color w:val="auto"/>
          <w:sz w:val="32"/>
          <w:szCs w:val="32"/>
          <w:highlight w:val="none"/>
          <w:lang w:val="en-US" w:eastAsia="zh-CN"/>
        </w:rPr>
        <w:t>表</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资格审查</w:t>
      </w:r>
      <w:r>
        <w:rPr>
          <w:rFonts w:hint="eastAsia" w:ascii="仿宋_GB2312" w:hAnsi="仿宋_GB2312" w:eastAsia="仿宋_GB2312" w:cs="仿宋_GB2312"/>
          <w:color w:val="auto"/>
          <w:sz w:val="32"/>
          <w:szCs w:val="32"/>
          <w:highlight w:val="none"/>
        </w:rPr>
        <w:t>标准表》。对初步被认定为资格性审查不合格的可实行告知投标当事人。未通过资格性审查的投标人，不进入符合性审查。若通过资格性审查的投标人不足3家的，不得进行下一阶段评标。</w:t>
      </w:r>
    </w:p>
    <w:p w14:paraId="29992F12">
      <w:pPr>
        <w:pageBreakBefore w:val="0"/>
        <w:numPr>
          <w:ilvl w:val="2"/>
          <w:numId w:val="2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投标人存在下列情况之一的，投标无效：</w:t>
      </w:r>
    </w:p>
    <w:p w14:paraId="1558A564">
      <w:pPr>
        <w:pageBreakBefore w:val="0"/>
        <w:kinsoku/>
        <w:overflowPunct/>
        <w:topLinePunct w:val="0"/>
        <w:bidi w:val="0"/>
        <w:spacing w:line="50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不具备招标文件中规定的投标人资格要求的</w:t>
      </w:r>
    </w:p>
    <w:p w14:paraId="57904903">
      <w:pPr>
        <w:pageBreakBefore w:val="0"/>
        <w:numPr>
          <w:ilvl w:val="1"/>
          <w:numId w:val="2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符合性审查：详见附</w:t>
      </w:r>
      <w:r>
        <w:rPr>
          <w:rFonts w:hint="eastAsia" w:ascii="仿宋_GB2312" w:hAnsi="仿宋_GB2312" w:eastAsia="仿宋_GB2312" w:cs="仿宋_GB2312"/>
          <w:color w:val="auto"/>
          <w:sz w:val="32"/>
          <w:szCs w:val="32"/>
          <w:highlight w:val="none"/>
          <w:lang w:val="en-US" w:eastAsia="zh-CN"/>
        </w:rPr>
        <w:t>表2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符合性审查</w:t>
      </w:r>
      <w:r>
        <w:rPr>
          <w:rFonts w:hint="eastAsia" w:ascii="仿宋_GB2312" w:hAnsi="仿宋_GB2312" w:eastAsia="仿宋_GB2312" w:cs="仿宋_GB2312"/>
          <w:color w:val="auto"/>
          <w:sz w:val="32"/>
          <w:szCs w:val="32"/>
          <w:highlight w:val="none"/>
        </w:rPr>
        <w:t>标准表》，以确定其是否满足招标文件的实质性要求。评标小组对初步被认定为符合性审查不合格或无效投标者可实行告知投标当事人。未通过符合性审查的投标人，不进入技术、商务和价格评审。</w:t>
      </w:r>
    </w:p>
    <w:p w14:paraId="1DDE2820">
      <w:pPr>
        <w:pageBreakBefore w:val="0"/>
        <w:numPr>
          <w:ilvl w:val="1"/>
          <w:numId w:val="2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评标小组决定投标文件的响应程度</w:t>
      </w:r>
      <w:r>
        <w:rPr>
          <w:rFonts w:hint="eastAsia" w:ascii="仿宋_GB2312" w:hAnsi="仿宋_GB2312" w:eastAsia="仿宋_GB2312" w:cs="仿宋_GB2312"/>
          <w:color w:val="auto"/>
          <w:sz w:val="32"/>
          <w:szCs w:val="32"/>
          <w:highlight w:val="none"/>
          <w:lang w:val="en-US" w:eastAsia="zh-CN"/>
        </w:rPr>
        <w:t>指</w:t>
      </w:r>
      <w:r>
        <w:rPr>
          <w:rFonts w:hint="eastAsia" w:ascii="仿宋_GB2312" w:hAnsi="仿宋_GB2312" w:eastAsia="仿宋_GB2312" w:cs="仿宋_GB2312"/>
          <w:color w:val="auto"/>
          <w:sz w:val="32"/>
          <w:szCs w:val="32"/>
          <w:highlight w:val="none"/>
        </w:rPr>
        <w:t>依据投标文件本身的真实无误的内容，而不依据外部的证据。但投标文件有不真实、不正确内容的除外。</w:t>
      </w:r>
    </w:p>
    <w:p w14:paraId="46EB3ED0">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96" w:name="_Toc55778709"/>
      <w:r>
        <w:rPr>
          <w:rFonts w:hint="eastAsia" w:ascii="仿宋_GB2312" w:hAnsi="仿宋_GB2312" w:eastAsia="仿宋_GB2312" w:cs="仿宋_GB2312"/>
          <w:b/>
          <w:bCs/>
          <w:color w:val="auto"/>
          <w:kern w:val="44"/>
          <w:sz w:val="32"/>
          <w:szCs w:val="32"/>
          <w:highlight w:val="none"/>
        </w:rPr>
        <w:t xml:space="preserve">    </w:t>
      </w:r>
      <w:bookmarkStart w:id="197" w:name="_Toc24582"/>
      <w:bookmarkStart w:id="198" w:name="_Toc21733"/>
      <w:bookmarkStart w:id="199" w:name="_Toc27075"/>
      <w:bookmarkStart w:id="200" w:name="_Toc23646"/>
      <w:r>
        <w:rPr>
          <w:rFonts w:hint="eastAsia" w:ascii="仿宋_GB2312" w:hAnsi="仿宋_GB2312" w:eastAsia="仿宋_GB2312" w:cs="仿宋_GB2312"/>
          <w:b/>
          <w:bCs/>
          <w:color w:val="auto"/>
          <w:kern w:val="44"/>
          <w:sz w:val="32"/>
          <w:szCs w:val="32"/>
          <w:highlight w:val="none"/>
        </w:rPr>
        <w:t>详细评审</w:t>
      </w:r>
      <w:bookmarkEnd w:id="196"/>
      <w:bookmarkEnd w:id="197"/>
      <w:bookmarkEnd w:id="198"/>
      <w:bookmarkEnd w:id="199"/>
      <w:bookmarkEnd w:id="200"/>
    </w:p>
    <w:p w14:paraId="4F121E80">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经符合性审查合格的投标文件，评标委员会将根据招标文件确定的评标方法和标准，对其技术部分和商务部分作进一步的比较和评价。</w:t>
      </w:r>
    </w:p>
    <w:p w14:paraId="58CB3A98">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综合评分法，是指投标文件满足招标文件全部实质性要求，且按照评审因素的量化指标评审得分最高的投标人为中标候选人的评标方法，评标严格按照招标文件的要求和条件进行，详细评标标准见附</w:t>
      </w:r>
      <w:r>
        <w:rPr>
          <w:rFonts w:hint="eastAsia" w:ascii="仿宋_GB2312" w:hAnsi="仿宋_GB2312" w:eastAsia="仿宋_GB2312" w:cs="仿宋_GB2312"/>
          <w:color w:val="auto"/>
          <w:sz w:val="32"/>
          <w:szCs w:val="32"/>
          <w:highlight w:val="none"/>
          <w:lang w:val="en-US" w:eastAsia="zh-CN"/>
        </w:rPr>
        <w:t>表3</w:t>
      </w:r>
      <w:r>
        <w:rPr>
          <w:rFonts w:hint="eastAsia" w:ascii="仿宋_GB2312" w:hAnsi="仿宋_GB2312" w:eastAsia="仿宋_GB2312" w:cs="仿宋_GB2312"/>
          <w:color w:val="auto"/>
          <w:sz w:val="32"/>
          <w:szCs w:val="32"/>
          <w:highlight w:val="none"/>
        </w:rPr>
        <w:t>《评分细则》。</w:t>
      </w:r>
    </w:p>
    <w:p w14:paraId="6FA85295">
      <w:pPr>
        <w:numPr>
          <w:ilvl w:val="1"/>
          <w:numId w:val="30"/>
        </w:numPr>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（一）本项目在政府采购评审中出现下列情形之一的，评审委员会应当启动异常低价投标（响应）审查程序：</w:t>
      </w:r>
    </w:p>
    <w:p w14:paraId="0440F6E9">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1.投标（响应）报价低于全部通过符合性审查供应商投标（响应）报价平均值50%的，即投标（响应）报价&lt;全部通过符合性审查供应商投标（响应）报价平均值×50%；</w:t>
      </w:r>
    </w:p>
    <w:p w14:paraId="51E07575">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2.投标（响应）报价低于通过符合性审查的次低报价供应商投标（响应）报价50%的，即投标（响应）报价&lt;通过符合性审查的次低报价供应商投标（响应）报价×50%；</w:t>
      </w:r>
    </w:p>
    <w:p w14:paraId="6428C168">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3.投标（响应）报价低于采购项目最高限价45%的，即投标（响应）报价&lt;采购项目最高限价×45%；</w:t>
      </w:r>
    </w:p>
    <w:p w14:paraId="569835B6">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4.评审委员会基于专业判断，认为供应商报价过低，有可能影响产品质量或者不能诚信履约的其他情形。</w:t>
      </w:r>
    </w:p>
    <w:p w14:paraId="62C2F3FF">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采购人可以结合具体项目实际情况，提高上述第1项至第3项中启动异常低价投标（响应）审查的数值标准，但是最高不得超过65%。</w:t>
      </w:r>
    </w:p>
    <w:p w14:paraId="78C90156">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相关法律法规对供应商报价有规定的，从其规定。</w:t>
      </w:r>
    </w:p>
    <w:p w14:paraId="73EFB76D">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59A8A77">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7F3477">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0212F03">
      <w:pPr>
        <w:pStyle w:val="27"/>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0C852E6B">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投标文件报价出现前后不一致的，除招标文件另有规定外，按照下列规定修正：</w:t>
      </w:r>
    </w:p>
    <w:p w14:paraId="01891433">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投标文件中报价一览表内容与投标文件中明细表内容不一致的，以报价一览表为准；</w:t>
      </w:r>
    </w:p>
    <w:p w14:paraId="3D8A24E9">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大写金额和小写金额不一致的，以大写金额为准；</w:t>
      </w:r>
    </w:p>
    <w:p w14:paraId="7389C618">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单价金额小数点或百分比有明显错位的，以开标一览表的总价为准，并修改单价；</w:t>
      </w:r>
    </w:p>
    <w:p w14:paraId="6CFF9714">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总价金额与按单价汇总金额不一致的，以单价金额计算结果为准。</w:t>
      </w:r>
    </w:p>
    <w:p w14:paraId="466875D6">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4CCEFB83">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对数量的评审：以《采购内容》所示数量为准；《采购内容》未明示的，由评标小组以其专业知识判断，必要时参考投标人的澄清文件决定。</w:t>
      </w:r>
    </w:p>
    <w:p w14:paraId="4C16973A">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对小型或微型企业的扶持：</w:t>
      </w:r>
    </w:p>
    <w:p w14:paraId="580A9F78">
      <w:pPr>
        <w:pStyle w:val="27"/>
        <w:pageBreakBefore w:val="0"/>
        <w:kinsoku/>
        <w:overflowPunct/>
        <w:topLinePunct w:val="0"/>
        <w:bidi w:val="0"/>
        <w:spacing w:line="500" w:lineRule="exact"/>
        <w:ind w:left="899" w:leftChars="428"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w:t>
      </w:r>
      <w:r>
        <w:rPr>
          <w:rFonts w:hint="eastAsia" w:ascii="仿宋_GB2312" w:hAnsi="仿宋_GB2312" w:eastAsia="仿宋_GB2312" w:cs="仿宋_GB2312"/>
          <w:color w:val="auto"/>
          <w:sz w:val="32"/>
          <w:szCs w:val="32"/>
          <w:highlight w:val="none"/>
          <w:lang w:val="en-US" w:eastAsia="zh-CN"/>
        </w:rPr>
        <w:t>格式见附件2</w:t>
      </w:r>
      <w:r>
        <w:rPr>
          <w:rFonts w:hint="eastAsia" w:ascii="仿宋_GB2312" w:hAnsi="仿宋_GB2312" w:eastAsia="仿宋_GB2312" w:cs="仿宋_GB2312"/>
          <w:color w:val="auto"/>
          <w:sz w:val="32"/>
          <w:szCs w:val="32"/>
          <w:highlight w:val="none"/>
        </w:rPr>
        <w:t>，并明确企业类型，否则评审时不能享受相应的价格扣除。提供本企业制造的货物、承担的工程或者服务，或者提供其他小型或微型企业的制造的货物。</w:t>
      </w:r>
    </w:p>
    <w:p w14:paraId="1B4B205D">
      <w:pPr>
        <w:pStyle w:val="27"/>
        <w:pageBreakBefore w:val="0"/>
        <w:kinsoku/>
        <w:overflowPunct/>
        <w:topLinePunct w:val="0"/>
        <w:bidi w:val="0"/>
        <w:spacing w:line="500" w:lineRule="exact"/>
        <w:ind w:left="899" w:leftChars="428"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（2）投标人为小型、微型企业且投标产品含小型、微型企业产品时，其小型、微型企业产品的价格给予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%的扣除，即评标价=投标报价-小型、微型企业产品投标报价×</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p>
    <w:p w14:paraId="15A3ECA4">
      <w:pPr>
        <w:pStyle w:val="27"/>
        <w:pageBreakBefore w:val="0"/>
        <w:kinsoku/>
        <w:overflowPunct/>
        <w:topLinePunct w:val="0"/>
        <w:bidi w:val="0"/>
        <w:spacing w:line="500" w:lineRule="exact"/>
        <w:ind w:left="899" w:leftChars="428"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）根据财政部《政府采购促进中小企业发展管理办法》（财库[2020]46号文）规定，在货物类采购项目中，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提供的货物既有中小企业制造货物，也有大型企业制造货物的，不享受中小企业扶持政策。</w:t>
      </w:r>
    </w:p>
    <w:p w14:paraId="44B3731C">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监狱企业产品价格扣除</w:t>
      </w:r>
    </w:p>
    <w:p w14:paraId="38D092D6">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1）监狱企业视同小型、微型企业，按上述</w:t>
      </w:r>
      <w:r>
        <w:rPr>
          <w:rFonts w:hint="eastAsia" w:ascii="仿宋_GB2312" w:hAnsi="仿宋_GB2312" w:eastAsia="仿宋_GB2312" w:cs="仿宋_GB2312"/>
          <w:b/>
          <w:bCs/>
          <w:color w:val="auto"/>
          <w:sz w:val="32"/>
          <w:szCs w:val="32"/>
          <w:highlight w:val="none"/>
        </w:rPr>
        <w:t>27.7条款</w:t>
      </w:r>
      <w:r>
        <w:rPr>
          <w:rFonts w:hint="eastAsia" w:ascii="仿宋_GB2312" w:hAnsi="仿宋_GB2312" w:eastAsia="仿宋_GB2312" w:cs="仿宋_GB2312"/>
          <w:color w:val="auto"/>
          <w:sz w:val="32"/>
          <w:szCs w:val="32"/>
          <w:highlight w:val="none"/>
        </w:rPr>
        <w:t>享受评审中价格扣除。</w:t>
      </w:r>
    </w:p>
    <w:p w14:paraId="67A5A4AC">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B0E493">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3）监狱企业参加政府采购活动时，应当提供由省级以上监狱管理局、戒毒管理局（含新疆生产建设兵团）出具的属于监狱企业的证明文件，否则不予认可。</w:t>
      </w:r>
    </w:p>
    <w:p w14:paraId="700DD268">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残疾人福利性单位产品价格扣除</w:t>
      </w:r>
    </w:p>
    <w:p w14:paraId="4931F2B5">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1）残疾人福利性单位视同小型、微型企业，按上述</w:t>
      </w:r>
      <w:r>
        <w:rPr>
          <w:rFonts w:hint="eastAsia" w:ascii="仿宋_GB2312" w:hAnsi="仿宋_GB2312" w:eastAsia="仿宋_GB2312" w:cs="仿宋_GB2312"/>
          <w:b/>
          <w:bCs/>
          <w:color w:val="auto"/>
          <w:sz w:val="32"/>
          <w:szCs w:val="32"/>
          <w:highlight w:val="none"/>
        </w:rPr>
        <w:t>27.7条款</w:t>
      </w:r>
      <w:r>
        <w:rPr>
          <w:rFonts w:hint="eastAsia" w:ascii="仿宋_GB2312" w:hAnsi="仿宋_GB2312" w:eastAsia="仿宋_GB2312" w:cs="仿宋_GB2312"/>
          <w:color w:val="auto"/>
          <w:sz w:val="32"/>
          <w:szCs w:val="32"/>
          <w:highlight w:val="none"/>
        </w:rPr>
        <w:t>享受评审中价格扣除。</w:t>
      </w:r>
    </w:p>
    <w:p w14:paraId="34838A5C">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w:t>
      </w: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sz w:val="32"/>
          <w:szCs w:val="32"/>
          <w:highlight w:val="none"/>
        </w:rPr>
        <w:t>），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6DDFC1B6">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投标人同时为小型、微型企业、监狱企业、残疾人福利性单位任两种或以上情况的，评审中只享受一次价格扣除，不重复进行价格扣除。</w:t>
      </w:r>
    </w:p>
    <w:p w14:paraId="32FD155F">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214AF4EC">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0B625EDE">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评标价的确定：按上述条款校核修正后的价格为评标价。</w:t>
      </w:r>
    </w:p>
    <w:p w14:paraId="6623F7FD">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评标小组成员对需要共同认定的事项存在争议的，应当按照少数服从多数的原则作出结论。持不同意见的评标小组成员应当在评标报告上签署不同意见及理由，否则视为同意评标报告。</w:t>
      </w:r>
    </w:p>
    <w:p w14:paraId="71757E4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color w:val="000000"/>
          <w:sz w:val="32"/>
          <w:szCs w:val="32"/>
        </w:rPr>
      </w:pPr>
      <w:bookmarkStart w:id="201" w:name="_Toc55778710"/>
      <w:r>
        <w:rPr>
          <w:rFonts w:hint="eastAsia" w:ascii="仿宋_GB2312" w:hAnsi="仿宋_GB2312" w:eastAsia="仿宋_GB2312" w:cs="仿宋_GB2312"/>
          <w:b/>
          <w:color w:val="auto"/>
          <w:kern w:val="44"/>
          <w:sz w:val="32"/>
          <w:szCs w:val="32"/>
          <w:highlight w:val="none"/>
        </w:rPr>
        <w:t xml:space="preserve">    </w:t>
      </w:r>
      <w:bookmarkStart w:id="202" w:name="_Toc31639"/>
      <w:bookmarkStart w:id="203" w:name="_Toc25223"/>
      <w:bookmarkStart w:id="204" w:name="_Toc10625"/>
      <w:bookmarkStart w:id="205" w:name="_Toc31812"/>
      <w:r>
        <w:rPr>
          <w:rFonts w:hint="eastAsia" w:ascii="仿宋_GB2312" w:hAnsi="仿宋_GB2312" w:eastAsia="仿宋_GB2312" w:cs="仿宋_GB2312"/>
          <w:b/>
          <w:color w:val="auto"/>
          <w:kern w:val="44"/>
          <w:sz w:val="32"/>
          <w:szCs w:val="32"/>
          <w:highlight w:val="none"/>
        </w:rPr>
        <w:t>投标文件的修正和澄清</w:t>
      </w:r>
      <w:bookmarkEnd w:id="201"/>
      <w:bookmarkEnd w:id="202"/>
      <w:bookmarkEnd w:id="203"/>
      <w:bookmarkEnd w:id="204"/>
      <w:bookmarkEnd w:id="205"/>
      <w:r>
        <w:rPr>
          <w:rFonts w:hint="eastAsia" w:ascii="仿宋_GB2312" w:hAnsi="仿宋_GB2312" w:eastAsia="仿宋_GB2312" w:cs="仿宋_GB2312"/>
          <w:b/>
          <w:color w:val="auto"/>
          <w:kern w:val="44"/>
          <w:sz w:val="32"/>
          <w:szCs w:val="32"/>
          <w:highlight w:val="none"/>
          <w:lang w:eastAsia="zh-CN"/>
        </w:rPr>
        <w:t>、</w:t>
      </w:r>
    </w:p>
    <w:p w14:paraId="45CA8978">
      <w:pPr>
        <w:pageBreakBefore w:val="0"/>
        <w:numPr>
          <w:ilvl w:val="1"/>
          <w:numId w:val="32"/>
        </w:numPr>
        <w:kinsoku/>
        <w:overflowPunct/>
        <w:topLinePunct w:val="0"/>
        <w:bidi w:val="0"/>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0B0C0EC">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06" w:name="_Toc55778711"/>
      <w:r>
        <w:rPr>
          <w:rFonts w:hint="eastAsia" w:ascii="仿宋_GB2312" w:hAnsi="仿宋_GB2312" w:eastAsia="仿宋_GB2312" w:cs="仿宋_GB2312"/>
          <w:b/>
          <w:bCs/>
          <w:color w:val="auto"/>
          <w:kern w:val="44"/>
          <w:sz w:val="32"/>
          <w:szCs w:val="32"/>
          <w:highlight w:val="none"/>
        </w:rPr>
        <w:t xml:space="preserve">    </w:t>
      </w:r>
      <w:bookmarkStart w:id="207" w:name="_Toc14816"/>
      <w:bookmarkStart w:id="208" w:name="_Toc12810"/>
      <w:bookmarkStart w:id="209" w:name="_Toc13122"/>
      <w:bookmarkStart w:id="210" w:name="_Toc30970"/>
      <w:r>
        <w:rPr>
          <w:rFonts w:hint="eastAsia" w:ascii="仿宋_GB2312" w:hAnsi="仿宋_GB2312" w:eastAsia="仿宋_GB2312" w:cs="仿宋_GB2312"/>
          <w:b/>
          <w:bCs/>
          <w:color w:val="auto"/>
          <w:kern w:val="44"/>
          <w:sz w:val="32"/>
          <w:szCs w:val="32"/>
          <w:highlight w:val="none"/>
        </w:rPr>
        <w:t>评标总得分统计及推荐</w:t>
      </w:r>
      <w:bookmarkEnd w:id="206"/>
      <w:bookmarkEnd w:id="207"/>
      <w:bookmarkEnd w:id="208"/>
      <w:bookmarkEnd w:id="209"/>
      <w:bookmarkEnd w:id="210"/>
    </w:p>
    <w:p w14:paraId="47562632">
      <w:pPr>
        <w:pageBreakBefore w:val="0"/>
        <w:numPr>
          <w:ilvl w:val="1"/>
          <w:numId w:val="3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评标过程中，不得去掉报价中的最高报价和最低报价。</w:t>
      </w:r>
    </w:p>
    <w:p w14:paraId="3FEF463D">
      <w:pPr>
        <w:pageBreakBefore w:val="0"/>
        <w:numPr>
          <w:ilvl w:val="1"/>
          <w:numId w:val="3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评标小组各成员独立对每个投标人的投标文件进行评价，并汇总每个投标人的得分（评标总得分分值按四舍五入原则精确到小数点后两位）。</w:t>
      </w:r>
    </w:p>
    <w:p w14:paraId="23819124">
      <w:pPr>
        <w:pageBreakBefore w:val="0"/>
        <w:numPr>
          <w:ilvl w:val="1"/>
          <w:numId w:val="3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推荐中标候选人：评标小组成员独立对每个投标人分别评出技术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58936D7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11" w:name="_Toc55778712"/>
      <w:r>
        <w:rPr>
          <w:rFonts w:hint="eastAsia" w:ascii="仿宋_GB2312" w:hAnsi="仿宋_GB2312" w:eastAsia="仿宋_GB2312" w:cs="仿宋_GB2312"/>
          <w:b/>
          <w:color w:val="auto"/>
          <w:kern w:val="44"/>
          <w:sz w:val="32"/>
          <w:szCs w:val="32"/>
          <w:highlight w:val="none"/>
        </w:rPr>
        <w:t xml:space="preserve">    </w:t>
      </w:r>
      <w:bookmarkStart w:id="212" w:name="_Toc23908"/>
      <w:bookmarkStart w:id="213" w:name="_Toc10277"/>
      <w:bookmarkStart w:id="214" w:name="_Toc22167"/>
      <w:bookmarkStart w:id="215" w:name="_Toc160"/>
      <w:r>
        <w:rPr>
          <w:rFonts w:hint="eastAsia" w:ascii="仿宋_GB2312" w:hAnsi="仿宋_GB2312" w:eastAsia="仿宋_GB2312" w:cs="仿宋_GB2312"/>
          <w:b/>
          <w:color w:val="auto"/>
          <w:kern w:val="44"/>
          <w:sz w:val="32"/>
          <w:szCs w:val="32"/>
          <w:highlight w:val="none"/>
        </w:rPr>
        <w:t>定标</w:t>
      </w:r>
      <w:bookmarkEnd w:id="211"/>
      <w:bookmarkEnd w:id="212"/>
      <w:bookmarkEnd w:id="213"/>
      <w:bookmarkEnd w:id="214"/>
      <w:bookmarkEnd w:id="215"/>
    </w:p>
    <w:p w14:paraId="2B1BA99E">
      <w:pPr>
        <w:pageBreakBefore w:val="0"/>
        <w:numPr>
          <w:ilvl w:val="1"/>
          <w:numId w:val="3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62A7A8CC">
      <w:pPr>
        <w:pageBreakBefore w:val="0"/>
        <w:numPr>
          <w:ilvl w:val="1"/>
          <w:numId w:val="3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中标人拒绝与采购人签订合同的，采购人可以按照评审报告推荐的中标候选人名单排序，确定下一候选人为中标人，也可以重新开展政府采购活动。</w:t>
      </w:r>
    </w:p>
    <w:p w14:paraId="420CFBB2">
      <w:pPr>
        <w:pageBreakBefore w:val="0"/>
        <w:numPr>
          <w:ilvl w:val="1"/>
          <w:numId w:val="3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中标人放弃中标或者中标资格被依法确认无效的，采购人可以按照排序从其他中标候选人中确定中标人或重新组织采购活动。</w:t>
      </w:r>
    </w:p>
    <w:p w14:paraId="12B64782">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16" w:name="_Toc55778713"/>
      <w:r>
        <w:rPr>
          <w:rFonts w:hint="eastAsia" w:ascii="仿宋_GB2312" w:hAnsi="仿宋_GB2312" w:eastAsia="仿宋_GB2312" w:cs="仿宋_GB2312"/>
          <w:b/>
          <w:bCs/>
          <w:color w:val="auto"/>
          <w:kern w:val="44"/>
          <w:sz w:val="32"/>
          <w:szCs w:val="32"/>
          <w:highlight w:val="none"/>
        </w:rPr>
        <w:t xml:space="preserve">    </w:t>
      </w:r>
      <w:bookmarkStart w:id="217" w:name="_Toc14184"/>
      <w:bookmarkStart w:id="218" w:name="_Toc6845"/>
      <w:bookmarkStart w:id="219" w:name="_Toc31442"/>
      <w:bookmarkStart w:id="220" w:name="_Toc5256"/>
      <w:r>
        <w:rPr>
          <w:rFonts w:hint="eastAsia" w:ascii="仿宋_GB2312" w:hAnsi="仿宋_GB2312" w:eastAsia="仿宋_GB2312" w:cs="仿宋_GB2312"/>
          <w:b/>
          <w:bCs/>
          <w:color w:val="auto"/>
          <w:kern w:val="44"/>
          <w:sz w:val="32"/>
          <w:szCs w:val="32"/>
          <w:highlight w:val="none"/>
        </w:rPr>
        <w:t>特别说明</w:t>
      </w:r>
      <w:bookmarkEnd w:id="216"/>
      <w:bookmarkEnd w:id="217"/>
      <w:bookmarkEnd w:id="218"/>
      <w:bookmarkEnd w:id="219"/>
      <w:bookmarkEnd w:id="220"/>
    </w:p>
    <w:p w14:paraId="036F7386">
      <w:pPr>
        <w:pageBreakBefore w:val="0"/>
        <w:numPr>
          <w:ilvl w:val="1"/>
          <w:numId w:val="3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有下列情形之一的，视为投标人串通投标，其投标无效：</w:t>
      </w:r>
    </w:p>
    <w:p w14:paraId="5925A3FC">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不同投标人的投标文件由同一单位或者个人编制；</w:t>
      </w:r>
    </w:p>
    <w:p w14:paraId="7B59356D">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不同投标人委托同一单位或者个人办理投标事宜；</w:t>
      </w:r>
    </w:p>
    <w:p w14:paraId="6EE0B166">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不同投标人的投标文件载明的项目管理成员或者联系人员为同一人；</w:t>
      </w:r>
    </w:p>
    <w:p w14:paraId="1AA48F94">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不同投标人的投标文件异常一致或者投标报价呈规律性差异；</w:t>
      </w:r>
    </w:p>
    <w:p w14:paraId="694A9195">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不同投标人的投标文件相互混装；</w:t>
      </w:r>
    </w:p>
    <w:p w14:paraId="24D39C33">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不同投标人的投标保证金从同一单位或者个人的账户转出。</w:t>
      </w:r>
    </w:p>
    <w:p w14:paraId="0DBA71F8">
      <w:pPr>
        <w:pageBreakBefore w:val="0"/>
        <w:numPr>
          <w:ilvl w:val="1"/>
          <w:numId w:val="3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投标人存在下列情况之一的，投标无效:</w:t>
      </w:r>
    </w:p>
    <w:p w14:paraId="664FE2DB">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未按照招标文件的规定提交投标保证金的；</w:t>
      </w:r>
    </w:p>
    <w:p w14:paraId="32AA173A">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投标文件未按招标文件要求签署、盖章的；</w:t>
      </w:r>
    </w:p>
    <w:p w14:paraId="2268F64F">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不具备招标文件中规定的资格要求的；</w:t>
      </w:r>
    </w:p>
    <w:p w14:paraId="692F01BA">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报价超过招标文件中规定的预算金额或者最高限价的；</w:t>
      </w:r>
    </w:p>
    <w:p w14:paraId="44205CF9">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投标文件含有采购人不能接受的附加条件的；</w:t>
      </w:r>
    </w:p>
    <w:p w14:paraId="00140F85">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法律、法规和招标文件规定的其他无效情形。</w:t>
      </w:r>
    </w:p>
    <w:p w14:paraId="78D120DE">
      <w:pPr>
        <w:pageBreakBefore w:val="0"/>
        <w:numPr>
          <w:ilvl w:val="1"/>
          <w:numId w:val="35"/>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在招标采购中，出现下列情形之一的，应予废标： </w:t>
      </w:r>
    </w:p>
    <w:p w14:paraId="45688F57">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符合专业条件的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或者对招标文件作实质响应的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 xml:space="preserve">不足三家的； </w:t>
      </w:r>
    </w:p>
    <w:p w14:paraId="25D785E9">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出现影响采购公正的违法、违规行为的； </w:t>
      </w:r>
    </w:p>
    <w:p w14:paraId="14A3B3DE">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投标人的报价均超过了采购预算，采购人不能支付的； </w:t>
      </w:r>
    </w:p>
    <w:p w14:paraId="081D7594">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因重大变故，采购任务取消的。 </w:t>
      </w:r>
    </w:p>
    <w:p w14:paraId="36F9F8B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21" w:name="_Toc55778714"/>
      <w:r>
        <w:rPr>
          <w:rFonts w:hint="eastAsia" w:ascii="仿宋_GB2312" w:hAnsi="仿宋_GB2312" w:eastAsia="仿宋_GB2312" w:cs="仿宋_GB2312"/>
          <w:b/>
          <w:bCs/>
          <w:color w:val="auto"/>
          <w:kern w:val="44"/>
          <w:sz w:val="32"/>
          <w:szCs w:val="32"/>
          <w:highlight w:val="none"/>
        </w:rPr>
        <w:t xml:space="preserve">   </w:t>
      </w:r>
      <w:bookmarkStart w:id="222" w:name="_Toc12971"/>
      <w:bookmarkStart w:id="223" w:name="_Toc30472"/>
      <w:bookmarkStart w:id="224" w:name="_Toc14583"/>
      <w:bookmarkStart w:id="225" w:name="_Toc29878"/>
      <w:r>
        <w:rPr>
          <w:rFonts w:hint="eastAsia" w:ascii="仿宋_GB2312" w:hAnsi="仿宋_GB2312" w:eastAsia="仿宋_GB2312" w:cs="仿宋_GB2312"/>
          <w:b/>
          <w:bCs/>
          <w:color w:val="auto"/>
          <w:kern w:val="44"/>
          <w:sz w:val="32"/>
          <w:szCs w:val="32"/>
          <w:highlight w:val="none"/>
        </w:rPr>
        <w:t>与采购代理机构和采购人的接触</w:t>
      </w:r>
      <w:bookmarkEnd w:id="221"/>
      <w:bookmarkEnd w:id="222"/>
      <w:bookmarkEnd w:id="223"/>
      <w:bookmarkEnd w:id="224"/>
      <w:bookmarkEnd w:id="225"/>
    </w:p>
    <w:p w14:paraId="071167B4">
      <w:pPr>
        <w:pageBreakBefore w:val="0"/>
        <w:numPr>
          <w:ilvl w:val="1"/>
          <w:numId w:val="3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除本须知规定外，从开标之日起至授予合同期间，投标人不得就与其投标有关的事项与采购代理机构、采购人和评标小组接触。</w:t>
      </w:r>
    </w:p>
    <w:p w14:paraId="7AD31B5F">
      <w:pPr>
        <w:pageBreakBefore w:val="0"/>
        <w:numPr>
          <w:ilvl w:val="1"/>
          <w:numId w:val="3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投标人试图对采购代理机构、采购人和评标小组的评标或授予合同的决定进行影响，都可能导致其投标被拒绝。</w:t>
      </w:r>
    </w:p>
    <w:p w14:paraId="3D00EBFB">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226" w:name="_Toc4267"/>
      <w:bookmarkStart w:id="227" w:name="_Toc8757"/>
      <w:bookmarkStart w:id="228" w:name="_Toc55778715"/>
      <w:r>
        <w:rPr>
          <w:rFonts w:hint="eastAsia" w:ascii="Times New Roman" w:hAnsi="Times New Roman" w:eastAsia="黑体" w:cs="Times New Roman"/>
          <w:b w:val="0"/>
          <w:bCs w:val="0"/>
          <w:kern w:val="2"/>
          <w:sz w:val="32"/>
          <w:szCs w:val="32"/>
          <w:lang w:val="zh-CN" w:eastAsia="zh-CN" w:bidi="ar-SA"/>
        </w:rPr>
        <w:t>六、质疑与投诉</w:t>
      </w:r>
      <w:bookmarkEnd w:id="226"/>
      <w:bookmarkEnd w:id="227"/>
      <w:bookmarkEnd w:id="228"/>
    </w:p>
    <w:p w14:paraId="5BB4186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29" w:name="_Toc55778716"/>
      <w:bookmarkStart w:id="230" w:name="_Toc28035"/>
      <w:r>
        <w:rPr>
          <w:rFonts w:hint="eastAsia" w:ascii="仿宋_GB2312" w:hAnsi="仿宋_GB2312" w:eastAsia="仿宋_GB2312" w:cs="仿宋_GB2312"/>
          <w:b/>
          <w:bCs/>
          <w:color w:val="auto"/>
          <w:kern w:val="44"/>
          <w:sz w:val="32"/>
          <w:szCs w:val="32"/>
          <w:highlight w:val="none"/>
        </w:rPr>
        <w:t xml:space="preserve">    </w:t>
      </w:r>
      <w:bookmarkStart w:id="231" w:name="_Toc5828"/>
      <w:bookmarkStart w:id="232" w:name="_Toc22749"/>
      <w:bookmarkStart w:id="233" w:name="_Toc6727"/>
      <w:bookmarkStart w:id="234" w:name="_Toc26722"/>
      <w:r>
        <w:rPr>
          <w:rFonts w:hint="eastAsia" w:ascii="仿宋_GB2312" w:hAnsi="仿宋_GB2312" w:eastAsia="仿宋_GB2312" w:cs="仿宋_GB2312"/>
          <w:b/>
          <w:bCs/>
          <w:color w:val="auto"/>
          <w:kern w:val="44"/>
          <w:sz w:val="32"/>
          <w:szCs w:val="32"/>
          <w:highlight w:val="none"/>
        </w:rPr>
        <w:t>询问</w:t>
      </w:r>
      <w:bookmarkEnd w:id="229"/>
      <w:bookmarkEnd w:id="230"/>
      <w:bookmarkEnd w:id="231"/>
      <w:bookmarkEnd w:id="232"/>
      <w:bookmarkEnd w:id="233"/>
      <w:bookmarkEnd w:id="234"/>
    </w:p>
    <w:p w14:paraId="61FB42B4">
      <w:pPr>
        <w:pageBreakBefore w:val="0"/>
        <w:numPr>
          <w:ilvl w:val="1"/>
          <w:numId w:val="4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2E10AB2A">
      <w:pPr>
        <w:pageBreakBefore w:val="0"/>
        <w:numPr>
          <w:ilvl w:val="1"/>
          <w:numId w:val="4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如采用书面方式提出询问，投标人为自然人的，询问函应当由本人签字；</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为法人或者其他组织的，应当由法定代表人、主要负责人或授权代表签字或者盖章，并加盖公章。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递交询问函时非法定代表人亲自办理的需提供法定代表人授权委托书（应载明授权代表的姓名或者名称、代理事项、具体权限、期限和相关事项）及授权代表身份证复印件。</w:t>
      </w:r>
    </w:p>
    <w:p w14:paraId="23D4E26B">
      <w:pPr>
        <w:pageBreakBefore w:val="0"/>
        <w:numPr>
          <w:ilvl w:val="1"/>
          <w:numId w:val="4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招标采购单位在三个工作日内对投标人依法提出的询问作出答复。</w:t>
      </w:r>
    </w:p>
    <w:p w14:paraId="7C80225C">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35" w:name="_Toc922"/>
      <w:bookmarkStart w:id="236" w:name="_Toc55778717"/>
      <w:r>
        <w:rPr>
          <w:rFonts w:hint="eastAsia" w:ascii="仿宋_GB2312" w:hAnsi="仿宋_GB2312" w:eastAsia="仿宋_GB2312" w:cs="仿宋_GB2312"/>
          <w:b/>
          <w:bCs/>
          <w:color w:val="auto"/>
          <w:kern w:val="44"/>
          <w:sz w:val="32"/>
          <w:szCs w:val="32"/>
          <w:highlight w:val="none"/>
        </w:rPr>
        <w:t xml:space="preserve">    </w:t>
      </w:r>
      <w:bookmarkStart w:id="237" w:name="_Toc31010"/>
      <w:bookmarkStart w:id="238" w:name="_Toc9977"/>
      <w:bookmarkStart w:id="239" w:name="_Toc16083"/>
      <w:bookmarkStart w:id="240" w:name="_Toc2109"/>
      <w:r>
        <w:rPr>
          <w:rFonts w:hint="eastAsia" w:ascii="仿宋_GB2312" w:hAnsi="仿宋_GB2312" w:eastAsia="仿宋_GB2312" w:cs="仿宋_GB2312"/>
          <w:b/>
          <w:bCs/>
          <w:color w:val="auto"/>
          <w:kern w:val="44"/>
          <w:sz w:val="32"/>
          <w:szCs w:val="32"/>
          <w:highlight w:val="none"/>
        </w:rPr>
        <w:t>质疑</w:t>
      </w:r>
      <w:bookmarkEnd w:id="235"/>
      <w:bookmarkEnd w:id="236"/>
      <w:bookmarkEnd w:id="237"/>
      <w:bookmarkEnd w:id="238"/>
      <w:bookmarkEnd w:id="239"/>
      <w:bookmarkEnd w:id="240"/>
    </w:p>
    <w:p w14:paraId="6DF8236D">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质疑期限</w:t>
      </w:r>
    </w:p>
    <w:p w14:paraId="12325132">
      <w:pPr>
        <w:pageBreakBefore w:val="0"/>
        <w:numPr>
          <w:ilvl w:val="2"/>
          <w:numId w:val="4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认为招标文件的内容损害其权益的，应在收到招标文件之日或者招标文件公告期届满之日起七个工作日内。（注：</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获取招标文件之日早于招标文件公告期限届满之日的，则以</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获取招标文件之日为质疑时效期间的起算日期；否则，以招标文件公告期限届满之日为质疑时效期间的起算日期）。</w:t>
      </w:r>
    </w:p>
    <w:p w14:paraId="3AED2701">
      <w:pPr>
        <w:pageBreakBefore w:val="0"/>
        <w:numPr>
          <w:ilvl w:val="2"/>
          <w:numId w:val="4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认为采购过程损害其权益的，应在各采购程序环节结束之日起七个工作日内。</w:t>
      </w:r>
    </w:p>
    <w:p w14:paraId="45C7C324">
      <w:pPr>
        <w:pageBreakBefore w:val="0"/>
        <w:numPr>
          <w:ilvl w:val="2"/>
          <w:numId w:val="4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认为中标或者成交结果损害其权益的，应在中标或者成交结果公告期限届满之日起七个工作日内。</w:t>
      </w:r>
    </w:p>
    <w:p w14:paraId="3C3EEF9C">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提交的要求：</w:t>
      </w:r>
    </w:p>
    <w:p w14:paraId="76A92FEE">
      <w:pPr>
        <w:pageBreakBefore w:val="0"/>
        <w:numPr>
          <w:ilvl w:val="2"/>
          <w:numId w:val="4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以书面形式（加盖投标人公章，投标人以电话、传真或电邮形式提交的质疑属于无效质疑）向招标采购单位提出质疑。</w:t>
      </w:r>
    </w:p>
    <w:p w14:paraId="33253291">
      <w:pPr>
        <w:pageBreakBefore w:val="0"/>
        <w:numPr>
          <w:ilvl w:val="2"/>
          <w:numId w:val="4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质疑书内容：应包括具体的质疑项目的名称及编号、具体明确的质疑事项和与质疑事项相关的请求、事实依据、必要的法律依据、提出质疑的日期、投标人名称及地址、授权代表姓名及其联系电话、质疑时间</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73A134BC">
      <w:pPr>
        <w:pageBreakBefore w:val="0"/>
        <w:numPr>
          <w:ilvl w:val="2"/>
          <w:numId w:val="4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投标人质疑应当有明确的请求和必要的证明材料，捏造事实、提供虚假材料或者以非法手段取得证明材料不能作为质疑的证明材料。</w:t>
      </w:r>
    </w:p>
    <w:p w14:paraId="3ED617CE">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质疑人进行质疑应当符合下列条件：</w:t>
      </w:r>
    </w:p>
    <w:p w14:paraId="2E592CEA">
      <w:pPr>
        <w:pageBreakBefore w:val="0"/>
        <w:numPr>
          <w:ilvl w:val="0"/>
          <w:numId w:val="44"/>
        </w:numPr>
        <w:tabs>
          <w:tab w:val="left" w:pos="1272"/>
        </w:tabs>
        <w:kinsoku/>
        <w:overflowPunct/>
        <w:topLinePunct w:val="0"/>
        <w:bidi w:val="0"/>
        <w:spacing w:line="500" w:lineRule="exact"/>
        <w:ind w:left="1272" w:hanging="4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质疑人是参与所质疑政府采购项目的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4413C76A">
      <w:pPr>
        <w:pageBreakBefore w:val="0"/>
        <w:numPr>
          <w:ilvl w:val="0"/>
          <w:numId w:val="44"/>
        </w:numPr>
        <w:tabs>
          <w:tab w:val="left" w:pos="1272"/>
        </w:tabs>
        <w:kinsoku/>
        <w:overflowPunct/>
        <w:topLinePunct w:val="0"/>
        <w:bidi w:val="0"/>
        <w:spacing w:line="500" w:lineRule="exact"/>
        <w:ind w:left="1272" w:hanging="4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在质疑有效期内提起质疑；</w:t>
      </w:r>
    </w:p>
    <w:p w14:paraId="4E37E1A1">
      <w:pPr>
        <w:pageBreakBefore w:val="0"/>
        <w:numPr>
          <w:ilvl w:val="0"/>
          <w:numId w:val="44"/>
        </w:numPr>
        <w:tabs>
          <w:tab w:val="left" w:pos="1272"/>
        </w:tabs>
        <w:kinsoku/>
        <w:overflowPunct/>
        <w:topLinePunct w:val="0"/>
        <w:bidi w:val="0"/>
        <w:spacing w:line="500" w:lineRule="exact"/>
        <w:ind w:left="1272" w:hanging="4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法律法规规定的其他条件。</w:t>
      </w:r>
    </w:p>
    <w:p w14:paraId="023C24AC">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292A3A89">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对于捏造事实、滥用维权扰乱采购秩序的恶意质疑者或举证不全查无实据被驳回次数在一年内达三次以上，将纳入不良行为记录名单并承担相应的法律责任。</w:t>
      </w:r>
    </w:p>
    <w:p w14:paraId="20F826F4">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质疑联系方式：</w:t>
      </w:r>
    </w:p>
    <w:p w14:paraId="32F088EB">
      <w:pPr>
        <w:pageBreakBefore w:val="0"/>
        <w:kinsoku/>
        <w:overflowPunct/>
        <w:topLinePunct w:val="0"/>
        <w:bidi w:val="0"/>
        <w:spacing w:line="500" w:lineRule="exact"/>
        <w:ind w:left="899" w:leftChars="428"/>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采购代理机构：</w:t>
      </w:r>
      <w:r>
        <w:rPr>
          <w:rFonts w:hint="eastAsia" w:ascii="仿宋_GB2312" w:hAnsi="仿宋_GB2312" w:eastAsia="仿宋_GB2312" w:cs="仿宋_GB2312"/>
          <w:color w:val="auto"/>
          <w:sz w:val="32"/>
          <w:szCs w:val="32"/>
          <w:highlight w:val="none"/>
          <w:lang w:eastAsia="zh-CN"/>
        </w:rPr>
        <w:t>新疆金斌工程项目管理有限公司</w:t>
      </w:r>
    </w:p>
    <w:p w14:paraId="557D27B8">
      <w:pPr>
        <w:pageBreakBefore w:val="0"/>
        <w:kinsoku/>
        <w:overflowPunct/>
        <w:topLinePunct w:val="0"/>
        <w:bidi w:val="0"/>
        <w:spacing w:line="500" w:lineRule="exact"/>
        <w:ind w:firstLine="1280" w:firstLineChars="4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黄新新</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 xml:space="preserve">  电话：</w:t>
      </w:r>
      <w:r>
        <w:rPr>
          <w:rFonts w:hint="eastAsia" w:ascii="仿宋_GB2312" w:hAnsi="仿宋_GB2312" w:eastAsia="仿宋_GB2312" w:cs="仿宋_GB2312"/>
          <w:color w:val="auto"/>
          <w:sz w:val="32"/>
          <w:szCs w:val="32"/>
          <w:highlight w:val="none"/>
          <w:lang w:val="en-US" w:eastAsia="zh-CN"/>
        </w:rPr>
        <w:t>13201118511</w:t>
      </w:r>
    </w:p>
    <w:p w14:paraId="41CB8B25">
      <w:pPr>
        <w:pageBreakBefore w:val="0"/>
        <w:kinsoku/>
        <w:overflowPunct/>
        <w:topLinePunct w:val="0"/>
        <w:bidi w:val="0"/>
        <w:spacing w:line="500" w:lineRule="exact"/>
        <w:ind w:left="5118" w:leftChars="456" w:hanging="4160" w:hangingChars="1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邮编：</w:t>
      </w:r>
      <w:r>
        <w:rPr>
          <w:rFonts w:hint="eastAsia" w:ascii="仿宋_GB2312" w:hAnsi="仿宋_GB2312" w:eastAsia="仿宋_GB2312" w:cs="仿宋_GB2312"/>
          <w:color w:val="auto"/>
          <w:sz w:val="32"/>
          <w:szCs w:val="32"/>
          <w:highlight w:val="none"/>
          <w:lang w:val="en-US" w:eastAsia="zh-CN"/>
        </w:rPr>
        <w:t>835000</w:t>
      </w:r>
      <w:r>
        <w:rPr>
          <w:rFonts w:hint="eastAsia" w:ascii="仿宋_GB2312" w:hAnsi="仿宋_GB2312" w:eastAsia="仿宋_GB2312" w:cs="仿宋_GB2312"/>
          <w:color w:val="auto"/>
          <w:sz w:val="32"/>
          <w:szCs w:val="32"/>
          <w:highlight w:val="none"/>
        </w:rPr>
        <w:t xml:space="preserve">        地址：</w:t>
      </w:r>
      <w:r>
        <w:rPr>
          <w:rFonts w:hint="eastAsia" w:ascii="仿宋_GB2312" w:hAnsi="仿宋_GB2312" w:eastAsia="仿宋_GB2312" w:cs="仿宋_GB2312"/>
          <w:color w:val="000000"/>
          <w:sz w:val="32"/>
          <w:szCs w:val="32"/>
          <w:lang w:val="zh-CN"/>
        </w:rPr>
        <w:t>伊宁市开发区河北路福安国际1号商业楼413室</w:t>
      </w:r>
    </w:p>
    <w:p w14:paraId="0A3E9016">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质疑函格式 </w:t>
      </w:r>
    </w:p>
    <w:p w14:paraId="7FF36719">
      <w:pPr>
        <w:pStyle w:val="6"/>
        <w:pageBreakBefore w:val="0"/>
        <w:kinsoku/>
        <w:overflowPunct/>
        <w:topLinePunct w:val="0"/>
        <w:bidi w:val="0"/>
        <w:spacing w:line="500" w:lineRule="exact"/>
        <w:textAlignment w:val="auto"/>
        <w:rPr>
          <w:rFonts w:hint="eastAsia" w:ascii="仿宋_GB2312" w:hAnsi="仿宋_GB2312" w:eastAsia="仿宋_GB2312" w:cs="仿宋_GB2312"/>
          <w:sz w:val="32"/>
          <w:szCs w:val="32"/>
        </w:rPr>
      </w:pPr>
    </w:p>
    <w:p w14:paraId="62C9AD1E">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highlight w:val="none"/>
        </w:rPr>
        <w:t>质疑函范本</w:t>
      </w:r>
    </w:p>
    <w:p w14:paraId="0D7FD819">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一、质疑</w:t>
      </w:r>
      <w:r>
        <w:rPr>
          <w:rFonts w:hint="eastAsia" w:ascii="仿宋_GB2312" w:hAnsi="仿宋_GB2312" w:eastAsia="仿宋_GB2312" w:cs="仿宋_GB2312"/>
          <w:b/>
          <w:bCs/>
          <w:color w:val="auto"/>
          <w:sz w:val="32"/>
          <w:szCs w:val="32"/>
          <w:highlight w:val="none"/>
          <w:lang w:eastAsia="zh-CN"/>
        </w:rPr>
        <w:t>投标人</w:t>
      </w:r>
      <w:r>
        <w:rPr>
          <w:rFonts w:hint="eastAsia" w:ascii="仿宋_GB2312" w:hAnsi="仿宋_GB2312" w:eastAsia="仿宋_GB2312" w:cs="仿宋_GB2312"/>
          <w:b/>
          <w:bCs/>
          <w:color w:val="auto"/>
          <w:sz w:val="32"/>
          <w:szCs w:val="32"/>
          <w:highlight w:val="none"/>
        </w:rPr>
        <w:t>基本信息</w:t>
      </w:r>
    </w:p>
    <w:p w14:paraId="04DD705F">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dotted"/>
        </w:rPr>
      </w:pPr>
      <w:r>
        <w:rPr>
          <w:rFonts w:hint="eastAsia" w:ascii="仿宋_GB2312" w:hAnsi="仿宋_GB2312" w:eastAsia="仿宋_GB2312" w:cs="仿宋_GB2312"/>
          <w:color w:val="auto"/>
          <w:sz w:val="32"/>
          <w:szCs w:val="32"/>
          <w:highlight w:val="none"/>
        </w:rPr>
        <w:t>质疑</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76AFAE54">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地址：                          邮编：                                                   </w:t>
      </w:r>
    </w:p>
    <w:p w14:paraId="3B12A785">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联系人：                      联系电话：                              </w:t>
      </w:r>
    </w:p>
    <w:p w14:paraId="28FF9B72">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授权代表：                                          </w:t>
      </w:r>
    </w:p>
    <w:p w14:paraId="63881B60">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联系电话：                                            </w:t>
      </w:r>
    </w:p>
    <w:p w14:paraId="569C8E5E">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地址：                         邮编：                                                </w:t>
      </w:r>
    </w:p>
    <w:p w14:paraId="0D46275E">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二、质疑项目基本情况</w:t>
      </w:r>
    </w:p>
    <w:p w14:paraId="76E7A91C">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质疑项目的名称：                                      </w:t>
      </w:r>
    </w:p>
    <w:p w14:paraId="6110B0BF">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质疑项目的编号：               包号：</w:t>
      </w:r>
      <w:r>
        <w:rPr>
          <w:rFonts w:hint="eastAsia" w:ascii="仿宋_GB2312" w:hAnsi="仿宋_GB2312" w:eastAsia="仿宋_GB2312" w:cs="仿宋_GB2312"/>
          <w:color w:val="auto"/>
          <w:sz w:val="32"/>
          <w:szCs w:val="32"/>
          <w:highlight w:val="none"/>
          <w:u w:val="single"/>
        </w:rPr>
        <w:t xml:space="preserve">                 </w:t>
      </w:r>
    </w:p>
    <w:p w14:paraId="1AF5F48E">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采购人名称：</w:t>
      </w:r>
      <w:r>
        <w:rPr>
          <w:rFonts w:hint="eastAsia" w:ascii="仿宋_GB2312" w:hAnsi="仿宋_GB2312" w:eastAsia="仿宋_GB2312" w:cs="仿宋_GB2312"/>
          <w:color w:val="auto"/>
          <w:sz w:val="32"/>
          <w:szCs w:val="32"/>
          <w:highlight w:val="none"/>
          <w:u w:val="single"/>
        </w:rPr>
        <w:t xml:space="preserve">                                         </w:t>
      </w:r>
    </w:p>
    <w:p w14:paraId="767DA073">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获取日期：</w:t>
      </w:r>
      <w:r>
        <w:rPr>
          <w:rFonts w:hint="eastAsia" w:ascii="仿宋_GB2312" w:hAnsi="仿宋_GB2312" w:eastAsia="仿宋_GB2312" w:cs="仿宋_GB2312"/>
          <w:color w:val="auto"/>
          <w:sz w:val="32"/>
          <w:szCs w:val="32"/>
          <w:highlight w:val="none"/>
          <w:u w:val="single"/>
        </w:rPr>
        <w:t xml:space="preserve">                                           </w:t>
      </w:r>
    </w:p>
    <w:p w14:paraId="500F8FDF">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三、质疑事项具体内容</w:t>
      </w:r>
    </w:p>
    <w:p w14:paraId="1D274F51">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质疑事项1：</w:t>
      </w:r>
      <w:r>
        <w:rPr>
          <w:rFonts w:hint="eastAsia" w:ascii="仿宋_GB2312" w:hAnsi="仿宋_GB2312" w:eastAsia="仿宋_GB2312" w:cs="仿宋_GB2312"/>
          <w:color w:val="auto"/>
          <w:sz w:val="32"/>
          <w:szCs w:val="32"/>
          <w:highlight w:val="none"/>
          <w:u w:val="single"/>
        </w:rPr>
        <w:t xml:space="preserve">                                         </w:t>
      </w:r>
    </w:p>
    <w:p w14:paraId="05E1F8E6">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事实依据：</w:t>
      </w:r>
      <w:r>
        <w:rPr>
          <w:rFonts w:hint="eastAsia" w:ascii="仿宋_GB2312" w:hAnsi="仿宋_GB2312" w:eastAsia="仿宋_GB2312" w:cs="仿宋_GB2312"/>
          <w:color w:val="auto"/>
          <w:sz w:val="32"/>
          <w:szCs w:val="32"/>
          <w:highlight w:val="none"/>
          <w:u w:val="single"/>
        </w:rPr>
        <w:t xml:space="preserve">                                                                                               </w:t>
      </w:r>
    </w:p>
    <w:p w14:paraId="23C48BB3">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法律依据：</w:t>
      </w:r>
      <w:r>
        <w:rPr>
          <w:rFonts w:hint="eastAsia" w:ascii="仿宋_GB2312" w:hAnsi="仿宋_GB2312" w:eastAsia="仿宋_GB2312" w:cs="仿宋_GB2312"/>
          <w:color w:val="auto"/>
          <w:sz w:val="32"/>
          <w:szCs w:val="32"/>
          <w:highlight w:val="none"/>
          <w:u w:val="single"/>
        </w:rPr>
        <w:t xml:space="preserve">                                                                                           </w:t>
      </w:r>
    </w:p>
    <w:p w14:paraId="06573285">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dotted"/>
        </w:rPr>
      </w:pPr>
      <w:r>
        <w:rPr>
          <w:rFonts w:hint="eastAsia" w:ascii="仿宋_GB2312" w:hAnsi="仿宋_GB2312" w:eastAsia="仿宋_GB2312" w:cs="仿宋_GB2312"/>
          <w:color w:val="auto"/>
          <w:sz w:val="32"/>
          <w:szCs w:val="32"/>
          <w:highlight w:val="none"/>
        </w:rPr>
        <w:t>质疑事项2</w:t>
      </w:r>
    </w:p>
    <w:p w14:paraId="0F239616">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 xml:space="preserve"> </w:t>
      </w:r>
    </w:p>
    <w:p w14:paraId="3CD051B5">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四、与质疑事项相关的质疑请求 </w:t>
      </w:r>
    </w:p>
    <w:p w14:paraId="5BAD79EA">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请求：</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 xml:space="preserve"> </w:t>
      </w:r>
    </w:p>
    <w:p w14:paraId="12F6E639">
      <w:pPr>
        <w:pageBreakBefore w:val="0"/>
        <w:widowControl/>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（盖章）：</w:t>
      </w:r>
    </w:p>
    <w:p w14:paraId="5457AF98">
      <w:pPr>
        <w:pageBreakBefore w:val="0"/>
        <w:widowControl/>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法定代表人（授权代表）：</w:t>
      </w:r>
    </w:p>
    <w:p w14:paraId="1D12809A">
      <w:pPr>
        <w:pageBreakBefore w:val="0"/>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地址/邮编：</w:t>
      </w:r>
    </w:p>
    <w:p w14:paraId="47275AA9">
      <w:pPr>
        <w:pageBreakBefore w:val="0"/>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电话/传真：</w:t>
      </w:r>
    </w:p>
    <w:p w14:paraId="0CACE95A">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r>
        <w:rPr>
          <w:rFonts w:hint="eastAsia" w:ascii="仿宋_GB2312" w:hAnsi="仿宋_GB2312" w:eastAsia="仿宋_GB2312" w:cs="仿宋_GB2312"/>
          <w:color w:val="auto"/>
          <w:kern w:val="0"/>
          <w:sz w:val="32"/>
          <w:szCs w:val="32"/>
          <w:highlight w:val="none"/>
        </w:rPr>
        <w:t xml:space="preserve"> </w:t>
      </w:r>
    </w:p>
    <w:p w14:paraId="0F218C36">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随附相关证明材料如下</w:t>
      </w:r>
      <w:r>
        <w:rPr>
          <w:rFonts w:hint="eastAsia" w:ascii="仿宋_GB2312" w:hAnsi="仿宋_GB2312" w:eastAsia="仿宋_GB2312" w:cs="仿宋_GB2312"/>
          <w:color w:val="auto"/>
          <w:kern w:val="0"/>
          <w:sz w:val="32"/>
          <w:szCs w:val="32"/>
          <w:highlight w:val="none"/>
        </w:rPr>
        <w:t xml:space="preserve">：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3538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20FC3F43">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序号</w:t>
            </w:r>
          </w:p>
        </w:tc>
        <w:tc>
          <w:tcPr>
            <w:tcW w:w="3105" w:type="dxa"/>
          </w:tcPr>
          <w:p w14:paraId="5D01477A">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证明材料名称</w:t>
            </w:r>
          </w:p>
        </w:tc>
        <w:tc>
          <w:tcPr>
            <w:tcW w:w="2325" w:type="dxa"/>
          </w:tcPr>
          <w:p w14:paraId="4C81627B">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证明材料来源</w:t>
            </w:r>
          </w:p>
        </w:tc>
        <w:tc>
          <w:tcPr>
            <w:tcW w:w="1935" w:type="dxa"/>
          </w:tcPr>
          <w:p w14:paraId="3C5C29AA">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证明对象</w:t>
            </w:r>
          </w:p>
        </w:tc>
      </w:tr>
      <w:tr w14:paraId="31FE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5E1EA9D6">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1</w:t>
            </w:r>
          </w:p>
        </w:tc>
        <w:tc>
          <w:tcPr>
            <w:tcW w:w="3105" w:type="dxa"/>
          </w:tcPr>
          <w:p w14:paraId="64D289C3">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2325" w:type="dxa"/>
          </w:tcPr>
          <w:p w14:paraId="60E9B526">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1935" w:type="dxa"/>
          </w:tcPr>
          <w:p w14:paraId="259FE08E">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r>
      <w:tr w14:paraId="4743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03D399E1">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w:t>
            </w:r>
          </w:p>
        </w:tc>
        <w:tc>
          <w:tcPr>
            <w:tcW w:w="3105" w:type="dxa"/>
          </w:tcPr>
          <w:p w14:paraId="1C474D85">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2325" w:type="dxa"/>
          </w:tcPr>
          <w:p w14:paraId="6CECF0DF">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1935" w:type="dxa"/>
          </w:tcPr>
          <w:p w14:paraId="607837BA">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r>
      <w:tr w14:paraId="37B8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204C1D55">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w:t>
            </w:r>
          </w:p>
        </w:tc>
        <w:tc>
          <w:tcPr>
            <w:tcW w:w="3105" w:type="dxa"/>
          </w:tcPr>
          <w:p w14:paraId="78CE30A1">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2325" w:type="dxa"/>
          </w:tcPr>
          <w:p w14:paraId="22B4167F">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1935" w:type="dxa"/>
          </w:tcPr>
          <w:p w14:paraId="171B49B3">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r>
    </w:tbl>
    <w:p w14:paraId="52AC6E6D">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 xml:space="preserve">质疑函制作说明： </w:t>
      </w:r>
    </w:p>
    <w:p w14:paraId="3675397F">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提出质疑时，应提交质疑函和必要的证明材料。 </w:t>
      </w:r>
    </w:p>
    <w:p w14:paraId="2ABC17B5">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若委托代理人进行质疑的，质疑函应按要求列明“授权代表”的有关内容，并在附件中提交由质疑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签署的授权委托书。授权委托书应载明代理人的姓名或者名称、代理事项、具体权限、期限和相关事项。 </w:t>
      </w:r>
    </w:p>
    <w:p w14:paraId="65F1D63B">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若对项目的某一分包进行质疑，质疑函中应列明具体分包号。 </w:t>
      </w:r>
    </w:p>
    <w:p w14:paraId="20B565DD">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4.质疑函的质疑事项应具体、明确，并有必要的事实依据和法律依据。 </w:t>
      </w:r>
    </w:p>
    <w:p w14:paraId="7917E349">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5.质疑函的质疑请求应与质疑事项相关。 </w:t>
      </w:r>
    </w:p>
    <w:p w14:paraId="4ED4B358">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6.质疑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为自然人的，质疑函应由本人签字；质疑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为法人或者其他组织的，质疑函应由法定代表人、主要负责人，或者其授权代表签字或者盖章，并加盖公章。 </w:t>
      </w:r>
    </w:p>
    <w:p w14:paraId="1BD3F7F9">
      <w:pPr>
        <w:pageBreakBefore w:val="0"/>
        <w:kinsoku/>
        <w:overflowPunct/>
        <w:topLinePunct w:val="0"/>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7. </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应在提交的证明材料中对质疑点的内容作出相应的标识或以醒目的方式标明。</w:t>
      </w:r>
    </w:p>
    <w:p w14:paraId="3F43F81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41" w:name="_Toc55778718"/>
      <w:bookmarkStart w:id="242" w:name="_Toc13170"/>
      <w:bookmarkStart w:id="243" w:name="_Toc3059"/>
      <w:bookmarkStart w:id="244" w:name="_Toc2395"/>
      <w:bookmarkStart w:id="245" w:name="_Toc7547"/>
      <w:bookmarkStart w:id="246" w:name="_Toc11190"/>
      <w:r>
        <w:rPr>
          <w:rFonts w:hint="eastAsia" w:ascii="仿宋_GB2312" w:hAnsi="仿宋_GB2312" w:eastAsia="仿宋_GB2312" w:cs="仿宋_GB2312"/>
          <w:b/>
          <w:bCs/>
          <w:color w:val="auto"/>
          <w:kern w:val="44"/>
          <w:sz w:val="32"/>
          <w:szCs w:val="32"/>
          <w:highlight w:val="none"/>
        </w:rPr>
        <w:t>投诉</w:t>
      </w:r>
      <w:bookmarkEnd w:id="241"/>
      <w:bookmarkEnd w:id="242"/>
      <w:bookmarkEnd w:id="243"/>
      <w:bookmarkEnd w:id="244"/>
      <w:bookmarkEnd w:id="245"/>
      <w:bookmarkEnd w:id="246"/>
    </w:p>
    <w:p w14:paraId="51D4BB88">
      <w:pPr>
        <w:pageBreakBefore w:val="0"/>
        <w:numPr>
          <w:ilvl w:val="1"/>
          <w:numId w:val="4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投标投标人对采购代理机构和采购人的质疑答复不满意或在规定时间内未得到答复的，可以在答复期满后15个工作日内，向政府采购监督管理机构投诉。</w:t>
      </w:r>
    </w:p>
    <w:p w14:paraId="57910DA9">
      <w:pPr>
        <w:pageBreakBefore w:val="0"/>
        <w:numPr>
          <w:ilvl w:val="1"/>
          <w:numId w:val="4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政府采购监督管理机构联系方式：</w:t>
      </w:r>
    </w:p>
    <w:p w14:paraId="3A78AFAF">
      <w:pPr>
        <w:pageBreakBefore w:val="0"/>
        <w:kinsoku/>
        <w:overflowPunct/>
        <w:topLinePunct w:val="0"/>
        <w:bidi w:val="0"/>
        <w:spacing w:line="500" w:lineRule="exact"/>
        <w:ind w:left="899" w:leftChars="42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政府采购监督管理机构名称：伊犁州财政局国库处</w:t>
      </w:r>
    </w:p>
    <w:p w14:paraId="21ADCD7D">
      <w:pPr>
        <w:pageBreakBefore w:val="0"/>
        <w:kinsoku/>
        <w:overflowPunct/>
        <w:topLinePunct w:val="0"/>
        <w:bidi w:val="0"/>
        <w:spacing w:line="500" w:lineRule="exact"/>
        <w:ind w:left="899" w:leftChars="428"/>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联系方式：0999-8075070</w:t>
      </w:r>
      <w:bookmarkStart w:id="247" w:name="_Toc55778719"/>
      <w:bookmarkStart w:id="248" w:name="_Toc11991"/>
    </w:p>
    <w:p w14:paraId="50262D35">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249" w:name="_Toc21033"/>
      <w:r>
        <w:rPr>
          <w:rFonts w:hint="eastAsia" w:ascii="Times New Roman" w:hAnsi="Times New Roman" w:eastAsia="黑体" w:cs="Times New Roman"/>
          <w:b w:val="0"/>
          <w:bCs w:val="0"/>
          <w:kern w:val="2"/>
          <w:sz w:val="32"/>
          <w:szCs w:val="32"/>
          <w:lang w:val="zh-CN" w:eastAsia="zh-CN" w:bidi="ar-SA"/>
        </w:rPr>
        <w:t>七、授予合同</w:t>
      </w:r>
      <w:bookmarkEnd w:id="247"/>
      <w:bookmarkEnd w:id="248"/>
      <w:bookmarkEnd w:id="249"/>
    </w:p>
    <w:p w14:paraId="2407E6F0">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50" w:name="_Toc17273"/>
      <w:bookmarkStart w:id="251" w:name="_Toc55778720"/>
      <w:r>
        <w:rPr>
          <w:rFonts w:hint="eastAsia" w:ascii="仿宋_GB2312" w:hAnsi="仿宋_GB2312" w:eastAsia="仿宋_GB2312" w:cs="仿宋_GB2312"/>
          <w:b/>
          <w:bCs/>
          <w:color w:val="auto"/>
          <w:kern w:val="44"/>
          <w:sz w:val="32"/>
          <w:szCs w:val="32"/>
          <w:highlight w:val="none"/>
        </w:rPr>
        <w:t xml:space="preserve">    </w:t>
      </w:r>
      <w:bookmarkStart w:id="252" w:name="_Toc27860"/>
      <w:bookmarkStart w:id="253" w:name="_Toc28231"/>
      <w:bookmarkStart w:id="254" w:name="_Toc30579"/>
      <w:bookmarkStart w:id="255" w:name="_Toc32369"/>
      <w:r>
        <w:rPr>
          <w:rFonts w:hint="eastAsia" w:ascii="仿宋_GB2312" w:hAnsi="仿宋_GB2312" w:eastAsia="仿宋_GB2312" w:cs="仿宋_GB2312"/>
          <w:b/>
          <w:bCs/>
          <w:color w:val="auto"/>
          <w:kern w:val="44"/>
          <w:sz w:val="32"/>
          <w:szCs w:val="32"/>
          <w:highlight w:val="none"/>
        </w:rPr>
        <w:t>确定中标</w:t>
      </w:r>
      <w:bookmarkEnd w:id="250"/>
      <w:r>
        <w:rPr>
          <w:rFonts w:hint="eastAsia" w:ascii="仿宋_GB2312" w:hAnsi="仿宋_GB2312" w:eastAsia="仿宋_GB2312" w:cs="仿宋_GB2312"/>
          <w:b/>
          <w:bCs/>
          <w:color w:val="auto"/>
          <w:kern w:val="44"/>
          <w:sz w:val="32"/>
          <w:szCs w:val="32"/>
          <w:highlight w:val="none"/>
        </w:rPr>
        <w:t>人</w:t>
      </w:r>
      <w:bookmarkEnd w:id="251"/>
      <w:bookmarkEnd w:id="252"/>
      <w:bookmarkEnd w:id="253"/>
      <w:bookmarkEnd w:id="254"/>
      <w:bookmarkEnd w:id="255"/>
    </w:p>
    <w:p w14:paraId="5364BDA9">
      <w:pPr>
        <w:pageBreakBefore w:val="0"/>
        <w:numPr>
          <w:ilvl w:val="1"/>
          <w:numId w:val="4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评标小组按照招标文件确定的评标方法、步骤、标准，对投标文件进行评审，提出书面评标报告，按照综合评分得分由高到低的顺序推荐</w:t>
      </w:r>
      <w:r>
        <w:rPr>
          <w:rFonts w:hint="eastAsia" w:ascii="仿宋_GB2312" w:hAnsi="仿宋_GB2312" w:eastAsia="仿宋_GB2312" w:cs="仿宋_GB2312"/>
          <w:color w:val="auto"/>
          <w:sz w:val="32"/>
          <w:szCs w:val="32"/>
          <w:highlight w:val="none"/>
          <w:lang w:val="en-US" w:eastAsia="zh-CN"/>
        </w:rPr>
        <w:t>一到三</w:t>
      </w:r>
      <w:r>
        <w:rPr>
          <w:rFonts w:hint="eastAsia" w:ascii="仿宋_GB2312" w:hAnsi="仿宋_GB2312" w:eastAsia="仿宋_GB2312" w:cs="仿宋_GB2312"/>
          <w:color w:val="auto"/>
          <w:sz w:val="32"/>
          <w:szCs w:val="32"/>
          <w:highlight w:val="none"/>
        </w:rPr>
        <w:t>名中标候选人名单。</w:t>
      </w:r>
    </w:p>
    <w:p w14:paraId="18FE0AD3">
      <w:pPr>
        <w:pageBreakBefore w:val="0"/>
        <w:numPr>
          <w:ilvl w:val="1"/>
          <w:numId w:val="4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采购人在收到评标报告后的法定时间内，按照评标报告中推荐的中标候选人顺序确定中标人。</w:t>
      </w:r>
    </w:p>
    <w:p w14:paraId="40FB9110">
      <w:pPr>
        <w:pageBreakBefore w:val="0"/>
        <w:numPr>
          <w:ilvl w:val="1"/>
          <w:numId w:val="4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中标投标人放弃中标或者中标资格被依法确认无效的，采购人可以按照排序从其他中标候选投标人中确定中标投标人或重新组织招标活动。</w:t>
      </w:r>
    </w:p>
    <w:p w14:paraId="7A1139DD">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56" w:name="_Toc55778721"/>
      <w:bookmarkStart w:id="257" w:name="_Toc14943"/>
      <w:bookmarkStart w:id="258" w:name="_Ref179619923"/>
      <w:r>
        <w:rPr>
          <w:rFonts w:hint="eastAsia" w:ascii="仿宋_GB2312" w:hAnsi="仿宋_GB2312" w:eastAsia="仿宋_GB2312" w:cs="仿宋_GB2312"/>
          <w:b/>
          <w:bCs/>
          <w:color w:val="auto"/>
          <w:kern w:val="44"/>
          <w:sz w:val="32"/>
          <w:szCs w:val="32"/>
          <w:highlight w:val="none"/>
        </w:rPr>
        <w:t xml:space="preserve">    </w:t>
      </w:r>
      <w:bookmarkStart w:id="259" w:name="_Toc7161"/>
      <w:bookmarkStart w:id="260" w:name="_Toc19166"/>
      <w:bookmarkStart w:id="261" w:name="_Toc29372"/>
      <w:bookmarkStart w:id="262" w:name="_Toc17309"/>
      <w:r>
        <w:rPr>
          <w:rFonts w:hint="eastAsia" w:ascii="仿宋_GB2312" w:hAnsi="仿宋_GB2312" w:eastAsia="仿宋_GB2312" w:cs="仿宋_GB2312"/>
          <w:b/>
          <w:bCs/>
          <w:color w:val="auto"/>
          <w:kern w:val="44"/>
          <w:sz w:val="32"/>
          <w:szCs w:val="32"/>
          <w:highlight w:val="none"/>
        </w:rPr>
        <w:t>接受和拒绝任何或所有投标的权力</w:t>
      </w:r>
      <w:bookmarkEnd w:id="256"/>
      <w:bookmarkEnd w:id="257"/>
      <w:bookmarkEnd w:id="258"/>
      <w:bookmarkEnd w:id="259"/>
      <w:bookmarkEnd w:id="260"/>
      <w:bookmarkEnd w:id="261"/>
      <w:bookmarkEnd w:id="262"/>
    </w:p>
    <w:p w14:paraId="48457976">
      <w:pPr>
        <w:pageBreakBefore w:val="0"/>
        <w:numPr>
          <w:ilvl w:val="1"/>
          <w:numId w:val="4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55BA7BE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63" w:name="_Toc55778722"/>
      <w:bookmarkStart w:id="264" w:name="_Toc19068"/>
      <w:r>
        <w:rPr>
          <w:rFonts w:hint="eastAsia" w:ascii="仿宋_GB2312" w:hAnsi="仿宋_GB2312" w:eastAsia="仿宋_GB2312" w:cs="仿宋_GB2312"/>
          <w:b/>
          <w:bCs/>
          <w:color w:val="auto"/>
          <w:kern w:val="44"/>
          <w:sz w:val="32"/>
          <w:szCs w:val="32"/>
          <w:highlight w:val="none"/>
        </w:rPr>
        <w:t xml:space="preserve">    </w:t>
      </w:r>
      <w:bookmarkStart w:id="265" w:name="_Toc26407"/>
      <w:bookmarkStart w:id="266" w:name="_Toc444"/>
      <w:bookmarkStart w:id="267" w:name="_Toc8040"/>
      <w:bookmarkStart w:id="268" w:name="_Toc9402"/>
      <w:r>
        <w:rPr>
          <w:rFonts w:hint="eastAsia" w:ascii="仿宋_GB2312" w:hAnsi="仿宋_GB2312" w:eastAsia="仿宋_GB2312" w:cs="仿宋_GB2312"/>
          <w:b/>
          <w:bCs/>
          <w:color w:val="auto"/>
          <w:kern w:val="44"/>
          <w:sz w:val="32"/>
          <w:szCs w:val="32"/>
          <w:highlight w:val="none"/>
          <w:lang w:val="en-US" w:eastAsia="zh-CN"/>
        </w:rPr>
        <w:t>成交</w:t>
      </w:r>
      <w:r>
        <w:rPr>
          <w:rFonts w:hint="eastAsia" w:ascii="仿宋_GB2312" w:hAnsi="仿宋_GB2312" w:eastAsia="仿宋_GB2312" w:cs="仿宋_GB2312"/>
          <w:b/>
          <w:bCs/>
          <w:color w:val="auto"/>
          <w:kern w:val="44"/>
          <w:sz w:val="32"/>
          <w:szCs w:val="32"/>
          <w:highlight w:val="none"/>
        </w:rPr>
        <w:t>通知书</w:t>
      </w:r>
      <w:bookmarkEnd w:id="263"/>
      <w:bookmarkEnd w:id="264"/>
      <w:bookmarkEnd w:id="265"/>
      <w:bookmarkEnd w:id="266"/>
      <w:bookmarkEnd w:id="267"/>
      <w:bookmarkEnd w:id="268"/>
    </w:p>
    <w:p w14:paraId="315FFE2D">
      <w:pPr>
        <w:pageBreakBefore w:val="0"/>
        <w:numPr>
          <w:ilvl w:val="1"/>
          <w:numId w:val="4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中标人确定后，采购代理机构按本须知规定网站发布中标公告，并同时向中标人发出《</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w:t>
      </w:r>
    </w:p>
    <w:p w14:paraId="3BBD2B3F">
      <w:pPr>
        <w:pageBreakBefore w:val="0"/>
        <w:numPr>
          <w:ilvl w:val="1"/>
          <w:numId w:val="4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通知书》是合同的一个组成部分。</w:t>
      </w:r>
    </w:p>
    <w:p w14:paraId="61FD9CA7">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69" w:name="_Toc55778723"/>
      <w:bookmarkStart w:id="270" w:name="_Toc16935"/>
      <w:r>
        <w:rPr>
          <w:rFonts w:hint="eastAsia" w:ascii="仿宋_GB2312" w:hAnsi="仿宋_GB2312" w:eastAsia="仿宋_GB2312" w:cs="仿宋_GB2312"/>
          <w:b/>
          <w:bCs/>
          <w:color w:val="auto"/>
          <w:kern w:val="44"/>
          <w:sz w:val="32"/>
          <w:szCs w:val="32"/>
          <w:highlight w:val="none"/>
        </w:rPr>
        <w:t xml:space="preserve">    </w:t>
      </w:r>
      <w:bookmarkStart w:id="271" w:name="_Toc18897"/>
      <w:bookmarkStart w:id="272" w:name="_Toc7012"/>
      <w:bookmarkStart w:id="273" w:name="_Toc14729"/>
      <w:bookmarkStart w:id="274" w:name="_Toc22710"/>
      <w:r>
        <w:rPr>
          <w:rFonts w:hint="eastAsia" w:ascii="仿宋_GB2312" w:hAnsi="仿宋_GB2312" w:eastAsia="仿宋_GB2312" w:cs="仿宋_GB2312"/>
          <w:b/>
          <w:bCs/>
          <w:color w:val="auto"/>
          <w:kern w:val="44"/>
          <w:sz w:val="32"/>
          <w:szCs w:val="32"/>
          <w:highlight w:val="none"/>
        </w:rPr>
        <w:t>合同的订立</w:t>
      </w:r>
      <w:bookmarkEnd w:id="269"/>
      <w:bookmarkEnd w:id="270"/>
      <w:bookmarkEnd w:id="271"/>
      <w:bookmarkEnd w:id="272"/>
      <w:bookmarkEnd w:id="273"/>
      <w:bookmarkEnd w:id="274"/>
    </w:p>
    <w:p w14:paraId="6ECC0795">
      <w:pPr>
        <w:pageBreakBefore w:val="0"/>
        <w:numPr>
          <w:ilvl w:val="1"/>
          <w:numId w:val="4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采购人与中标投标人自</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通知书发出之日起三十日内，按招标文件要求和中标投标人投标文件承诺签订政府采购合同，但不得超出招标文件和中标投标人投标文件的范围、也不得再行订立背离合同实质性内容的其他协议。</w:t>
      </w:r>
    </w:p>
    <w:p w14:paraId="6E0BA350">
      <w:pPr>
        <w:pageBreakBefore w:val="0"/>
        <w:numPr>
          <w:ilvl w:val="1"/>
          <w:numId w:val="4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招标文件、中标人的投标文件及其澄清文件等，均为签订合同的依据。</w:t>
      </w:r>
    </w:p>
    <w:p w14:paraId="3C868BCF">
      <w:pPr>
        <w:pageBreakBefore w:val="0"/>
        <w:numPr>
          <w:ilvl w:val="1"/>
          <w:numId w:val="4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4BA58E4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75" w:name="_Toc4044"/>
      <w:bookmarkStart w:id="276" w:name="_Toc55778724"/>
      <w:r>
        <w:rPr>
          <w:rFonts w:hint="eastAsia" w:ascii="仿宋_GB2312" w:hAnsi="仿宋_GB2312" w:eastAsia="仿宋_GB2312" w:cs="仿宋_GB2312"/>
          <w:b/>
          <w:bCs/>
          <w:color w:val="auto"/>
          <w:kern w:val="44"/>
          <w:sz w:val="32"/>
          <w:szCs w:val="32"/>
          <w:highlight w:val="none"/>
        </w:rPr>
        <w:t xml:space="preserve">   </w:t>
      </w:r>
      <w:bookmarkStart w:id="277" w:name="_Toc7064"/>
      <w:bookmarkStart w:id="278" w:name="_Toc19474"/>
      <w:bookmarkStart w:id="279" w:name="_Toc9738"/>
      <w:bookmarkStart w:id="280" w:name="_Toc1719"/>
      <w:r>
        <w:rPr>
          <w:rFonts w:hint="eastAsia" w:ascii="仿宋_GB2312" w:hAnsi="仿宋_GB2312" w:eastAsia="仿宋_GB2312" w:cs="仿宋_GB2312"/>
          <w:b/>
          <w:bCs/>
          <w:color w:val="auto"/>
          <w:kern w:val="44"/>
          <w:sz w:val="32"/>
          <w:szCs w:val="32"/>
          <w:highlight w:val="none"/>
        </w:rPr>
        <w:t>合同的履行</w:t>
      </w:r>
      <w:bookmarkEnd w:id="275"/>
      <w:bookmarkEnd w:id="276"/>
      <w:bookmarkEnd w:id="277"/>
      <w:bookmarkEnd w:id="278"/>
      <w:bookmarkEnd w:id="279"/>
      <w:bookmarkEnd w:id="280"/>
    </w:p>
    <w:p w14:paraId="4ED193B1">
      <w:pPr>
        <w:pageBreakBefore w:val="0"/>
        <w:numPr>
          <w:ilvl w:val="1"/>
          <w:numId w:val="5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2C1F3464">
      <w:pPr>
        <w:pageBreakBefore w:val="0"/>
        <w:numPr>
          <w:ilvl w:val="1"/>
          <w:numId w:val="5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3E264333">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sz w:val="32"/>
          <w:szCs w:val="32"/>
        </w:rPr>
      </w:pPr>
      <w:bookmarkStart w:id="281" w:name="_Toc55778726"/>
      <w:r>
        <w:rPr>
          <w:rFonts w:hint="eastAsia" w:ascii="仿宋_GB2312" w:hAnsi="仿宋_GB2312" w:eastAsia="仿宋_GB2312" w:cs="仿宋_GB2312"/>
          <w:b/>
          <w:bCs/>
          <w:color w:val="auto"/>
          <w:kern w:val="44"/>
          <w:sz w:val="32"/>
          <w:szCs w:val="32"/>
          <w:highlight w:val="none"/>
        </w:rPr>
        <w:t xml:space="preserve">   </w:t>
      </w:r>
      <w:bookmarkStart w:id="282" w:name="_Toc23462"/>
      <w:bookmarkStart w:id="283" w:name="_Toc18199"/>
      <w:bookmarkStart w:id="284" w:name="_Toc28418"/>
      <w:bookmarkStart w:id="285" w:name="_Toc12016"/>
      <w:r>
        <w:rPr>
          <w:rFonts w:hint="eastAsia" w:ascii="仿宋_GB2312" w:hAnsi="仿宋_GB2312" w:eastAsia="仿宋_GB2312" w:cs="仿宋_GB2312"/>
          <w:b/>
          <w:bCs/>
          <w:color w:val="auto"/>
          <w:kern w:val="44"/>
          <w:sz w:val="32"/>
          <w:szCs w:val="32"/>
          <w:highlight w:val="none"/>
        </w:rPr>
        <w:t>采购代理服务费</w:t>
      </w:r>
      <w:bookmarkEnd w:id="281"/>
      <w:bookmarkEnd w:id="282"/>
      <w:bookmarkEnd w:id="283"/>
      <w:bookmarkEnd w:id="284"/>
      <w:bookmarkEnd w:id="285"/>
      <w:bookmarkStart w:id="286" w:name="_Toc18355"/>
      <w:bookmarkStart w:id="287" w:name="_Toc55778727"/>
    </w:p>
    <w:p w14:paraId="191AA760">
      <w:pPr>
        <w:keepNext w:val="0"/>
        <w:keepLines w:val="0"/>
        <w:pageBreakBefore w:val="0"/>
        <w:kinsoku/>
        <w:topLinePunct w:val="0"/>
        <w:bidi w:val="0"/>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44"/>
          <w:sz w:val="32"/>
          <w:szCs w:val="32"/>
          <w:highlight w:val="none"/>
          <w:lang w:val="en-US" w:eastAsia="zh-CN"/>
        </w:rPr>
        <w:tab/>
      </w:r>
      <w:r>
        <w:rPr>
          <w:rFonts w:hint="eastAsia" w:ascii="仿宋_GB2312" w:hAnsi="仿宋_GB2312" w:eastAsia="仿宋_GB2312" w:cs="仿宋_GB2312"/>
          <w:sz w:val="32"/>
          <w:szCs w:val="32"/>
        </w:rPr>
        <w:t>招标代理服务费：中标人应按本招标文件的规定，在《</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通知书》核发时至核发后 3 天内，向采购代理机构支付中标服务费。其计算标准和方法按照下列表格差额定率累进法计算后下浮30%。其计算标准和方法按照下列表格差额定率累进法计算后下浮30%。</w:t>
      </w:r>
      <w:r>
        <w:rPr>
          <w:rFonts w:hint="eastAsia" w:ascii="仿宋_GB2312" w:hAnsi="仿宋_GB2312" w:eastAsia="仿宋_GB2312" w:cs="仿宋_GB2312"/>
          <w:sz w:val="32"/>
          <w:szCs w:val="32"/>
          <w:lang w:val="en-US" w:eastAsia="zh-CN"/>
        </w:rPr>
        <w:t>标段一</w:t>
      </w:r>
      <w:r>
        <w:rPr>
          <w:rFonts w:hint="eastAsia" w:ascii="仿宋_GB2312" w:hAnsi="仿宋_GB2312" w:eastAsia="仿宋_GB2312" w:cs="仿宋_GB2312"/>
          <w:sz w:val="32"/>
          <w:szCs w:val="32"/>
        </w:rPr>
        <w:t>代理服务费约为</w:t>
      </w:r>
      <w:r>
        <w:rPr>
          <w:rFonts w:hint="eastAsia" w:ascii="仿宋_GB2312" w:hAnsi="仿宋_GB2312" w:eastAsia="仿宋_GB2312" w:cs="仿宋_GB2312"/>
          <w:sz w:val="32"/>
          <w:szCs w:val="32"/>
          <w:lang w:val="en-US" w:eastAsia="zh-CN"/>
        </w:rPr>
        <w:t>6615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标段二</w:t>
      </w:r>
      <w:r>
        <w:rPr>
          <w:rFonts w:hint="eastAsia" w:ascii="仿宋_GB2312" w:hAnsi="仿宋_GB2312" w:eastAsia="仿宋_GB2312" w:cs="仿宋_GB2312"/>
          <w:sz w:val="32"/>
          <w:szCs w:val="32"/>
        </w:rPr>
        <w:t>代理服务费约为</w:t>
      </w:r>
      <w:r>
        <w:rPr>
          <w:rFonts w:hint="eastAsia" w:ascii="仿宋_GB2312" w:hAnsi="仿宋_GB2312" w:eastAsia="仿宋_GB2312" w:cs="仿宋_GB2312"/>
          <w:sz w:val="32"/>
          <w:szCs w:val="32"/>
          <w:lang w:val="en-US" w:eastAsia="zh-CN"/>
        </w:rPr>
        <w:t>4095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最终中标服务费金额按中标金额为基数计取。</w:t>
      </w:r>
    </w:p>
    <w:tbl>
      <w:tblPr>
        <w:tblStyle w:val="2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097B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410" w:type="dxa"/>
          </w:tcPr>
          <w:p w14:paraId="413ADC19">
            <w:pPr>
              <w:keepNext w:val="0"/>
              <w:keepLines w:val="0"/>
              <w:pageBreakBefore w:val="0"/>
              <w:widowControl w:val="0"/>
              <w:kinsoku/>
              <w:bidi w:val="0"/>
              <w:spacing w:before="24" w:line="440" w:lineRule="exact"/>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4445</wp:posOffset>
                      </wp:positionV>
                      <wp:extent cx="2805430" cy="610870"/>
                      <wp:effectExtent l="1270" t="4445" r="12700" b="1333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3360;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78D5165C">
            <w:pPr>
              <w:keepNext w:val="0"/>
              <w:keepLines w:val="0"/>
              <w:pageBreakBefore w:val="0"/>
              <w:widowControl w:val="0"/>
              <w:kinsoku/>
              <w:bidi w:val="0"/>
              <w:spacing w:before="24"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4410" w:type="dxa"/>
            <w:vAlign w:val="center"/>
          </w:tcPr>
          <w:p w14:paraId="71017996">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招标费率</w:t>
            </w:r>
          </w:p>
        </w:tc>
      </w:tr>
      <w:tr w14:paraId="6F7F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tcPr>
          <w:p w14:paraId="6784ECBE">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 以下部分</w:t>
            </w:r>
          </w:p>
        </w:tc>
        <w:tc>
          <w:tcPr>
            <w:tcW w:w="4410" w:type="dxa"/>
          </w:tcPr>
          <w:p w14:paraId="2FB1AB09">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r>
      <w:tr w14:paraId="0B36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tcPr>
          <w:p w14:paraId="63261329">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100-500 部分</w:t>
            </w:r>
          </w:p>
        </w:tc>
        <w:tc>
          <w:tcPr>
            <w:tcW w:w="4410" w:type="dxa"/>
          </w:tcPr>
          <w:p w14:paraId="43C9686D">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p>
        </w:tc>
      </w:tr>
      <w:tr w14:paraId="5ECB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tcPr>
          <w:p w14:paraId="0CFAC559">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部分</w:t>
            </w:r>
          </w:p>
        </w:tc>
        <w:tc>
          <w:tcPr>
            <w:tcW w:w="4410" w:type="dxa"/>
          </w:tcPr>
          <w:p w14:paraId="3AA995EC">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p>
        </w:tc>
      </w:tr>
      <w:tr w14:paraId="55D1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tcPr>
          <w:p w14:paraId="7D8D81A9">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-500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部分</w:t>
            </w:r>
          </w:p>
        </w:tc>
        <w:tc>
          <w:tcPr>
            <w:tcW w:w="4410" w:type="dxa"/>
          </w:tcPr>
          <w:p w14:paraId="07673210">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p>
        </w:tc>
      </w:tr>
      <w:tr w14:paraId="32A5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tcPr>
          <w:p w14:paraId="74510917">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 xml:space="preserve"> 部分</w:t>
            </w:r>
          </w:p>
        </w:tc>
        <w:tc>
          <w:tcPr>
            <w:tcW w:w="4410" w:type="dxa"/>
          </w:tcPr>
          <w:p w14:paraId="2668BB2B">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tc>
      </w:tr>
      <w:tr w14:paraId="2AAD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vAlign w:val="top"/>
          </w:tcPr>
          <w:p w14:paraId="46556706">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100000</w:t>
            </w:r>
            <w:r>
              <w:rPr>
                <w:rFonts w:hint="eastAsia" w:ascii="仿宋_GB2312" w:hAnsi="仿宋_GB2312" w:eastAsia="仿宋_GB2312" w:cs="仿宋_GB2312"/>
                <w:sz w:val="32"/>
                <w:szCs w:val="32"/>
              </w:rPr>
              <w:t xml:space="preserve"> 部分</w:t>
            </w:r>
          </w:p>
        </w:tc>
        <w:tc>
          <w:tcPr>
            <w:tcW w:w="4410" w:type="dxa"/>
            <w:vAlign w:val="top"/>
          </w:tcPr>
          <w:p w14:paraId="5B62D857">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p>
        </w:tc>
      </w:tr>
      <w:tr w14:paraId="366E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10" w:type="dxa"/>
            <w:vAlign w:val="top"/>
          </w:tcPr>
          <w:p w14:paraId="660A0B3D">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1000000以上</w:t>
            </w:r>
          </w:p>
        </w:tc>
        <w:tc>
          <w:tcPr>
            <w:tcW w:w="4410" w:type="dxa"/>
            <w:vAlign w:val="top"/>
          </w:tcPr>
          <w:p w14:paraId="0AB2FA48">
            <w:pPr>
              <w:keepNext w:val="0"/>
              <w:keepLines w:val="0"/>
              <w:pageBreakBefore w:val="0"/>
              <w:widowControl w:val="0"/>
              <w:kinsoku/>
              <w:bidi w:val="0"/>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p>
        </w:tc>
      </w:tr>
    </w:tbl>
    <w:p w14:paraId="1BA87006">
      <w:pPr>
        <w:pageBreakBefore w:val="0"/>
        <w:kinsoku/>
        <w:overflowPunct/>
        <w:topLinePunct w:val="0"/>
        <w:bidi w:val="0"/>
        <w:spacing w:before="24" w:line="500" w:lineRule="exact"/>
        <w:ind w:firstLine="4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支付形式：对公转账</w:t>
      </w:r>
    </w:p>
    <w:p w14:paraId="0655596D">
      <w:pPr>
        <w:pageBreakBefore w:val="0"/>
        <w:kinsoku/>
        <w:overflowPunct/>
        <w:topLinePunct w:val="0"/>
        <w:bidi w:val="0"/>
        <w:spacing w:before="24" w:line="500" w:lineRule="exact"/>
        <w:ind w:firstLine="420" w:firstLineChars="0"/>
        <w:jc w:val="left"/>
        <w:textAlignment w:val="auto"/>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spacing w:val="8"/>
          <w:sz w:val="32"/>
          <w:szCs w:val="32"/>
        </w:rPr>
        <w:t>支付时间：领取</w:t>
      </w:r>
      <w:r>
        <w:rPr>
          <w:rFonts w:hint="eastAsia" w:ascii="仿宋_GB2312" w:hAnsi="仿宋_GB2312" w:eastAsia="仿宋_GB2312" w:cs="仿宋_GB2312"/>
          <w:spacing w:val="8"/>
          <w:sz w:val="32"/>
          <w:szCs w:val="32"/>
          <w:lang w:val="en-US" w:eastAsia="zh-CN"/>
        </w:rPr>
        <w:t>成交</w:t>
      </w:r>
      <w:r>
        <w:rPr>
          <w:rFonts w:hint="eastAsia" w:ascii="仿宋_GB2312" w:hAnsi="仿宋_GB2312" w:eastAsia="仿宋_GB2312" w:cs="仿宋_GB2312"/>
          <w:spacing w:val="8"/>
          <w:sz w:val="32"/>
          <w:szCs w:val="32"/>
        </w:rPr>
        <w:t>通知书时由中标方一次性支付</w:t>
      </w:r>
      <w:r>
        <w:rPr>
          <w:rFonts w:hint="eastAsia" w:ascii="仿宋_GB2312" w:hAnsi="仿宋_GB2312" w:eastAsia="仿宋_GB2312" w:cs="仿宋_GB2312"/>
          <w:b/>
          <w:bCs/>
          <w:color w:val="auto"/>
          <w:kern w:val="44"/>
          <w:sz w:val="32"/>
          <w:szCs w:val="32"/>
          <w:highlight w:val="none"/>
        </w:rPr>
        <w:t xml:space="preserve">    </w:t>
      </w:r>
      <w:bookmarkStart w:id="288" w:name="_Toc29629"/>
      <w:bookmarkStart w:id="289" w:name="_Toc3865"/>
      <w:bookmarkStart w:id="290" w:name="_Toc11945"/>
      <w:bookmarkStart w:id="291" w:name="_Toc8428"/>
    </w:p>
    <w:p w14:paraId="33A4966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适用法律</w:t>
      </w:r>
      <w:bookmarkEnd w:id="286"/>
      <w:bookmarkEnd w:id="287"/>
      <w:bookmarkEnd w:id="288"/>
      <w:bookmarkEnd w:id="289"/>
      <w:bookmarkEnd w:id="290"/>
      <w:bookmarkEnd w:id="291"/>
    </w:p>
    <w:p w14:paraId="3EFE68E2">
      <w:pPr>
        <w:pageBreakBefore w:val="0"/>
        <w:numPr>
          <w:ilvl w:val="1"/>
          <w:numId w:val="5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采购人、采购代理机构及投标人的一切采购活动均适用《中华人民共和国政府采购法》、《中华人民共和国政府采购法实施条例》及其配套的法规、规章、政策。</w:t>
      </w:r>
    </w:p>
    <w:p w14:paraId="1E4B86E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92" w:name="_Toc24416"/>
      <w:bookmarkStart w:id="293" w:name="_Toc55778728"/>
      <w:r>
        <w:rPr>
          <w:rFonts w:hint="eastAsia" w:ascii="仿宋_GB2312" w:hAnsi="仿宋_GB2312" w:eastAsia="仿宋_GB2312" w:cs="仿宋_GB2312"/>
          <w:b/>
          <w:bCs/>
          <w:color w:val="auto"/>
          <w:kern w:val="44"/>
          <w:sz w:val="32"/>
          <w:szCs w:val="32"/>
          <w:highlight w:val="none"/>
        </w:rPr>
        <w:t xml:space="preserve">    </w:t>
      </w:r>
      <w:bookmarkStart w:id="294" w:name="_Toc7754"/>
      <w:bookmarkStart w:id="295" w:name="_Toc10876"/>
      <w:bookmarkStart w:id="296" w:name="_Toc22475"/>
      <w:bookmarkStart w:id="297" w:name="_Toc22798"/>
      <w:r>
        <w:rPr>
          <w:rFonts w:hint="eastAsia" w:ascii="仿宋_GB2312" w:hAnsi="仿宋_GB2312" w:eastAsia="仿宋_GB2312" w:cs="仿宋_GB2312"/>
          <w:b/>
          <w:bCs/>
          <w:color w:val="auto"/>
          <w:kern w:val="44"/>
          <w:sz w:val="32"/>
          <w:szCs w:val="32"/>
          <w:highlight w:val="none"/>
        </w:rPr>
        <w:t>政府采购政策</w:t>
      </w:r>
      <w:bookmarkEnd w:id="292"/>
      <w:bookmarkEnd w:id="293"/>
      <w:bookmarkEnd w:id="294"/>
      <w:bookmarkEnd w:id="295"/>
      <w:bookmarkEnd w:id="296"/>
      <w:bookmarkEnd w:id="297"/>
    </w:p>
    <w:p w14:paraId="737ECE11">
      <w:pPr>
        <w:pageBreakBefore w:val="0"/>
        <w:numPr>
          <w:ilvl w:val="1"/>
          <w:numId w:val="52"/>
        </w:numPr>
        <w:kinsoku/>
        <w:wordWrap w:val="0"/>
        <w:overflowPunct/>
        <w:topLinePunct w:val="0"/>
        <w:bidi w:val="0"/>
        <w:spacing w:line="500" w:lineRule="exact"/>
        <w:ind w:left="1037" w:hanging="1382" w:hangingChars="43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12BE8BC9">
      <w:pPr>
        <w:pageBreakBefore w:val="0"/>
        <w:numPr>
          <w:ilvl w:val="1"/>
          <w:numId w:val="52"/>
        </w:numPr>
        <w:kinsoku/>
        <w:wordWrap w:val="0"/>
        <w:overflowPunct/>
        <w:topLinePunct w:val="0"/>
        <w:bidi w:val="0"/>
        <w:spacing w:line="500" w:lineRule="exact"/>
        <w:ind w:left="1037" w:hanging="1382" w:hangingChars="43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7F752088">
      <w:pPr>
        <w:pageBreakBefore w:val="0"/>
        <w:numPr>
          <w:ilvl w:val="1"/>
          <w:numId w:val="5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根据《政府采购促进中小企业发展管理办法》（财库[2020]46号文）的规定，投标人投标时需注意：</w:t>
      </w:r>
    </w:p>
    <w:p w14:paraId="78B4C478">
      <w:pPr>
        <w:pageBreakBefore w:val="0"/>
        <w:numPr>
          <w:ilvl w:val="2"/>
          <w:numId w:val="5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A92994C">
      <w:pPr>
        <w:pageBreakBefore w:val="0"/>
        <w:numPr>
          <w:ilvl w:val="2"/>
          <w:numId w:val="5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参加政府采购活动的中小企业投标时需提供《中小企业声明函》。否则不予认可。</w:t>
      </w:r>
    </w:p>
    <w:p w14:paraId="640D178F">
      <w:pPr>
        <w:pageBreakBefore w:val="0"/>
        <w:numPr>
          <w:ilvl w:val="2"/>
          <w:numId w:val="5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政府采购货物时，若投标产品仅部分符合优惠评审要求，投标人应提供满足要求的货物的名称和分项报价（详见投标投标明细报价表），否则不予认可。</w:t>
      </w:r>
    </w:p>
    <w:p w14:paraId="2FEE6FE6">
      <w:pPr>
        <w:pageBreakBefore w:val="0"/>
        <w:numPr>
          <w:ilvl w:val="1"/>
          <w:numId w:val="5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监狱企业产品价格扣除</w:t>
      </w:r>
    </w:p>
    <w:p w14:paraId="4966439B">
      <w:pPr>
        <w:pageBreakBefore w:val="0"/>
        <w:kinsoku/>
        <w:overflowPunct/>
        <w:topLinePunct w:val="0"/>
        <w:bidi w:val="0"/>
        <w:spacing w:line="500" w:lineRule="exact"/>
        <w:ind w:left="840" w:leftChars="4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根据财政部印发的《司法部关于政府采购支持监狱企业发展有关问题》的通知（财库</w:t>
      </w:r>
      <w:r>
        <w:rPr>
          <w:rFonts w:hint="eastAsia" w:ascii="仿宋_GB2312" w:hAnsi="仿宋_GB2312" w:eastAsia="仿宋_GB2312" w:cs="仿宋_GB2312"/>
          <w:color w:val="auto"/>
          <w:sz w:val="32"/>
          <w:szCs w:val="32"/>
          <w:highlight w:val="none"/>
        </w:rPr>
        <w:t>〔2014〕</w:t>
      </w:r>
      <w:r>
        <w:rPr>
          <w:rFonts w:hint="eastAsia" w:ascii="仿宋_GB2312" w:hAnsi="仿宋_GB2312" w:eastAsia="仿宋_GB2312" w:cs="仿宋_GB2312"/>
          <w:bCs/>
          <w:color w:val="auto"/>
          <w:sz w:val="32"/>
          <w:szCs w:val="32"/>
          <w:highlight w:val="none"/>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2A249636">
      <w:pPr>
        <w:pageBreakBefore w:val="0"/>
        <w:numPr>
          <w:ilvl w:val="1"/>
          <w:numId w:val="5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残疾人福利性单位产品价格扣除</w:t>
      </w:r>
    </w:p>
    <w:p w14:paraId="1937BB6E">
      <w:pPr>
        <w:pageBreakBefore w:val="0"/>
        <w:kinsoku/>
        <w:overflowPunct/>
        <w:topLinePunct w:val="0"/>
        <w:bidi w:val="0"/>
        <w:spacing w:line="500" w:lineRule="exact"/>
        <w:ind w:left="840" w:leftChars="4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bCs/>
          <w:color w:val="auto"/>
          <w:sz w:val="32"/>
          <w:szCs w:val="32"/>
          <w:highlight w:val="none"/>
        </w:rPr>
        <w:t>财政部印发的</w:t>
      </w:r>
      <w:r>
        <w:rPr>
          <w:rFonts w:hint="eastAsia" w:ascii="仿宋_GB2312" w:hAnsi="仿宋_GB2312" w:eastAsia="仿宋_GB2312" w:cs="仿宋_GB2312"/>
          <w:color w:val="auto"/>
          <w:sz w:val="32"/>
          <w:szCs w:val="32"/>
          <w:highlight w:val="none"/>
        </w:rPr>
        <w:t>《关于促进残疾人就业政府采购政策的通知》（财库〔2017〕141号）的规定，</w:t>
      </w:r>
      <w:r>
        <w:rPr>
          <w:rFonts w:hint="eastAsia" w:ascii="仿宋_GB2312" w:hAnsi="仿宋_GB2312" w:eastAsia="仿宋_GB2312" w:cs="仿宋_GB2312"/>
          <w:bCs/>
          <w:color w:val="auto"/>
          <w:sz w:val="32"/>
          <w:szCs w:val="32"/>
          <w:highlight w:val="none"/>
        </w:rPr>
        <w:t>残疾人福利性单位视同中小企业给予相当中小企业的价格扣除。残疾人福利性单位参加政府采购活动时，应当提供《残疾人福利性单位声明函》，否则视为非残疾人福利性单位。</w:t>
      </w:r>
    </w:p>
    <w:p w14:paraId="2B7C54F6">
      <w:pPr>
        <w:pageBreakBefore w:val="0"/>
        <w:kinsoku/>
        <w:overflowPunct/>
        <w:topLinePunct w:val="0"/>
        <w:bidi w:val="0"/>
        <w:spacing w:line="500" w:lineRule="exact"/>
        <w:ind w:left="840" w:leftChars="4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注1：投标人若同时为中小企业、监狱企业、残疾人福利性单位或其中两种，均只能享受一次价格扣除。</w:t>
      </w:r>
    </w:p>
    <w:p w14:paraId="0B67C541">
      <w:pPr>
        <w:pageBreakBefore w:val="0"/>
        <w:kinsoku/>
        <w:overflowPunct/>
        <w:topLinePunct w:val="0"/>
        <w:bidi w:val="0"/>
        <w:spacing w:line="500" w:lineRule="exact"/>
        <w:ind w:left="840" w:leftChars="4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注2：中小企业、残疾人福利性单位提供其他企业制造的货物的，则该货物的制造商也必须为上述企业，否则不能享受价格优惠。</w:t>
      </w:r>
    </w:p>
    <w:p w14:paraId="1A16D2A5">
      <w:pPr>
        <w:pageBreakBefore w:val="0"/>
        <w:kinsoku/>
        <w:overflowPunct/>
        <w:topLinePunct w:val="0"/>
        <w:bidi w:val="0"/>
        <w:spacing w:line="500" w:lineRule="exact"/>
        <w:ind w:firstLine="1285"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注3：中小企业声明函注意事项：</w:t>
      </w:r>
    </w:p>
    <w:p w14:paraId="119B3C8E">
      <w:pPr>
        <w:pageBreakBefore w:val="0"/>
        <w:kinsoku/>
        <w:overflowPunct/>
        <w:topLinePunct w:val="0"/>
        <w:bidi w:val="0"/>
        <w:spacing w:line="500" w:lineRule="exact"/>
        <w:ind w:left="950" w:leftChars="300" w:hanging="320" w:hanging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（1）投标人在此声明函未填写“小型、微型”其中之一的，将视为非中小企业，不能享受价格扣除。</w:t>
      </w:r>
    </w:p>
    <w:p w14:paraId="2ED4CB1D">
      <w:pPr>
        <w:pageBreakBefore w:val="0"/>
        <w:kinsoku/>
        <w:overflowPunct/>
        <w:topLinePunct w:val="0"/>
        <w:bidi w:val="0"/>
        <w:spacing w:line="500" w:lineRule="exact"/>
        <w:ind w:left="630" w:left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0A874681">
      <w:pPr>
        <w:pageBreakBefore w:val="0"/>
        <w:kinsoku/>
        <w:overflowPunct/>
        <w:topLinePunct w:val="0"/>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（3）投标人提供自己制造的货物投标，则提供《中小企业声明函》。</w:t>
      </w:r>
    </w:p>
    <w:p w14:paraId="14724EED">
      <w:pPr>
        <w:pageBreakBefore w:val="0"/>
        <w:bidi w:val="0"/>
        <w:spacing w:after="120" w:line="360" w:lineRule="auto"/>
        <w:rPr>
          <w:rFonts w:hint="eastAsia" w:ascii="仿宋" w:hAnsi="仿宋" w:eastAsia="仿宋" w:cs="仿宋"/>
          <w:color w:val="auto"/>
          <w:sz w:val="24"/>
          <w:szCs w:val="24"/>
          <w:highlight w:val="none"/>
        </w:rPr>
      </w:pPr>
    </w:p>
    <w:p w14:paraId="58BD5C75">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仿宋" w:hAnsi="仿宋" w:eastAsia="仿宋" w:cs="仿宋"/>
          <w:color w:val="auto"/>
          <w:kern w:val="44"/>
          <w:sz w:val="24"/>
          <w:szCs w:val="24"/>
          <w:highlight w:val="none"/>
        </w:rPr>
      </w:pPr>
      <w:bookmarkStart w:id="298" w:name="_Toc55778730"/>
      <w:bookmarkStart w:id="299" w:name="_Toc16833"/>
    </w:p>
    <w:p w14:paraId="4E808FC8">
      <w:pPr>
        <w:rPr>
          <w:rFonts w:hint="eastAsia" w:ascii="仿宋" w:hAnsi="仿宋" w:eastAsia="仿宋" w:cs="仿宋"/>
          <w:color w:val="auto"/>
          <w:kern w:val="44"/>
          <w:sz w:val="24"/>
          <w:szCs w:val="24"/>
          <w:highlight w:val="none"/>
        </w:rPr>
      </w:pPr>
    </w:p>
    <w:p w14:paraId="4101DB91">
      <w:pPr>
        <w:pStyle w:val="6"/>
        <w:rPr>
          <w:rFonts w:hint="eastAsia" w:ascii="仿宋" w:hAnsi="仿宋" w:eastAsia="仿宋" w:cs="仿宋"/>
          <w:color w:val="auto"/>
          <w:kern w:val="44"/>
          <w:sz w:val="24"/>
          <w:szCs w:val="24"/>
          <w:highlight w:val="none"/>
        </w:rPr>
      </w:pPr>
    </w:p>
    <w:p w14:paraId="67FBCB15">
      <w:pPr>
        <w:rPr>
          <w:rFonts w:hint="eastAsia" w:ascii="仿宋" w:hAnsi="仿宋" w:eastAsia="仿宋" w:cs="仿宋"/>
          <w:color w:val="auto"/>
          <w:kern w:val="44"/>
          <w:sz w:val="24"/>
          <w:szCs w:val="24"/>
          <w:highlight w:val="none"/>
        </w:rPr>
      </w:pPr>
    </w:p>
    <w:p w14:paraId="1AAA4871">
      <w:pPr>
        <w:pStyle w:val="6"/>
        <w:rPr>
          <w:rFonts w:hint="eastAsia" w:ascii="仿宋" w:hAnsi="仿宋" w:eastAsia="仿宋" w:cs="仿宋"/>
          <w:color w:val="auto"/>
          <w:kern w:val="44"/>
          <w:sz w:val="24"/>
          <w:szCs w:val="24"/>
          <w:highlight w:val="none"/>
        </w:rPr>
      </w:pPr>
    </w:p>
    <w:p w14:paraId="052919EA">
      <w:pPr>
        <w:rPr>
          <w:rFonts w:hint="eastAsia" w:ascii="仿宋" w:hAnsi="仿宋" w:eastAsia="仿宋" w:cs="仿宋"/>
          <w:color w:val="auto"/>
          <w:kern w:val="44"/>
          <w:sz w:val="24"/>
          <w:szCs w:val="24"/>
          <w:highlight w:val="none"/>
        </w:rPr>
      </w:pPr>
    </w:p>
    <w:p w14:paraId="5B618CD9">
      <w:pPr>
        <w:pStyle w:val="6"/>
        <w:rPr>
          <w:rFonts w:hint="eastAsia" w:ascii="仿宋" w:hAnsi="仿宋" w:eastAsia="仿宋" w:cs="仿宋"/>
          <w:color w:val="auto"/>
          <w:kern w:val="44"/>
          <w:sz w:val="24"/>
          <w:szCs w:val="24"/>
          <w:highlight w:val="none"/>
        </w:rPr>
      </w:pPr>
    </w:p>
    <w:p w14:paraId="1E80CB9E">
      <w:pPr>
        <w:pageBreakBefore w:val="0"/>
        <w:bidi w:val="0"/>
        <w:spacing w:line="360" w:lineRule="auto"/>
        <w:jc w:val="both"/>
        <w:outlineLvl w:val="0"/>
        <w:rPr>
          <w:rFonts w:hint="eastAsia" w:ascii="仿宋" w:hAnsi="仿宋" w:eastAsia="仿宋" w:cs="仿宋"/>
          <w:b/>
          <w:bCs/>
          <w:color w:val="auto"/>
          <w:kern w:val="44"/>
          <w:sz w:val="24"/>
          <w:szCs w:val="24"/>
          <w:highlight w:val="none"/>
        </w:rPr>
      </w:pPr>
      <w:bookmarkStart w:id="300" w:name="_Toc28078"/>
    </w:p>
    <w:p w14:paraId="285D5127">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第四章 合同格式</w:t>
      </w:r>
      <w:bookmarkEnd w:id="298"/>
      <w:bookmarkEnd w:id="299"/>
      <w:bookmarkEnd w:id="300"/>
    </w:p>
    <w:p w14:paraId="3BEC6BE7">
      <w:pPr>
        <w:pStyle w:val="20"/>
        <w:pageBreakBefore w:val="0"/>
        <w:kinsoku w:val="0"/>
        <w:overflowPunct w:val="0"/>
        <w:bidi w:val="0"/>
        <w:spacing w:line="360" w:lineRule="auto"/>
        <w:rPr>
          <w:rFonts w:hint="eastAsia" w:ascii="仿宋" w:hAnsi="仿宋" w:eastAsia="仿宋" w:cs="仿宋"/>
          <w:color w:val="auto"/>
          <w:sz w:val="24"/>
          <w:szCs w:val="24"/>
          <w:highlight w:val="none"/>
        </w:rPr>
      </w:pPr>
    </w:p>
    <w:p w14:paraId="72D73CBA">
      <w:pPr>
        <w:pageBreakBefore w:val="0"/>
        <w:bidi w:val="0"/>
        <w:spacing w:line="360" w:lineRule="auto"/>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(此合同样本仅供参考,合同具体细则以成交双方协定为准)</w:t>
      </w:r>
    </w:p>
    <w:p w14:paraId="0F4EB22A">
      <w:pPr>
        <w:pageBreakBefore w:val="0"/>
        <w:bidi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rPr>
        <w:t xml:space="preserve">           </w:t>
      </w:r>
    </w:p>
    <w:p w14:paraId="669D99B0">
      <w:pPr>
        <w:pageBreakBefore w:val="0"/>
        <w:bidi w:val="0"/>
        <w:spacing w:line="360" w:lineRule="auto"/>
        <w:jc w:val="both"/>
        <w:rPr>
          <w:rFonts w:hint="eastAsia" w:ascii="仿宋_GB2312" w:hAnsi="仿宋_GB2312" w:eastAsia="仿宋_GB2312" w:cs="仿宋_GB2312"/>
          <w:b/>
          <w:sz w:val="32"/>
          <w:szCs w:val="32"/>
        </w:rPr>
      </w:pPr>
    </w:p>
    <w:p w14:paraId="5F9A8D4C">
      <w:pPr>
        <w:pageBreakBefore w:val="0"/>
        <w:bidi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政府采购合同参考范本</w:t>
      </w:r>
    </w:p>
    <w:p w14:paraId="40B95938">
      <w:pPr>
        <w:pageBreakBefore w:val="0"/>
        <w:bidi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货物</w:t>
      </w:r>
      <w:r>
        <w:rPr>
          <w:rFonts w:hint="eastAsia" w:ascii="仿宋_GB2312" w:hAnsi="仿宋_GB2312" w:eastAsia="仿宋_GB2312" w:cs="仿宋_GB2312"/>
          <w:b/>
          <w:sz w:val="32"/>
          <w:szCs w:val="32"/>
        </w:rPr>
        <w:t>类）</w:t>
      </w:r>
    </w:p>
    <w:p w14:paraId="57608A9A">
      <w:pPr>
        <w:pStyle w:val="69"/>
        <w:pageBreakBefore w:val="0"/>
        <w:bidi w:val="0"/>
        <w:spacing w:line="360" w:lineRule="auto"/>
        <w:ind w:left="0" w:leftChars="0" w:firstLine="0" w:firstLineChars="0"/>
        <w:rPr>
          <w:rFonts w:hint="eastAsia" w:ascii="仿宋_GB2312" w:hAnsi="仿宋_GB2312" w:eastAsia="仿宋_GB2312" w:cs="仿宋_GB2312"/>
          <w:sz w:val="32"/>
          <w:szCs w:val="32"/>
        </w:rPr>
      </w:pPr>
    </w:p>
    <w:p w14:paraId="4C2682C1">
      <w:pPr>
        <w:pStyle w:val="69"/>
        <w:pageBreakBefore w:val="0"/>
        <w:bidi w:val="0"/>
        <w:spacing w:line="360" w:lineRule="auto"/>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 合同书</w:t>
      </w:r>
    </w:p>
    <w:p w14:paraId="4101F591">
      <w:pPr>
        <w:pStyle w:val="69"/>
        <w:pageBreakBefore w:val="0"/>
        <w:bidi w:val="0"/>
        <w:spacing w:line="360" w:lineRule="auto"/>
        <w:ind w:left="0" w:leftChars="0" w:firstLine="0" w:firstLineChars="0"/>
        <w:rPr>
          <w:rFonts w:hint="eastAsia" w:ascii="仿宋_GB2312" w:hAnsi="仿宋_GB2312" w:eastAsia="仿宋_GB2312" w:cs="仿宋_GB2312"/>
          <w:sz w:val="32"/>
          <w:szCs w:val="32"/>
        </w:rPr>
      </w:pPr>
    </w:p>
    <w:p w14:paraId="38871157">
      <w:pPr>
        <w:pageBreakBefore w:val="0"/>
        <w:bidi w:val="0"/>
        <w:spacing w:before="120" w:line="360" w:lineRule="auto"/>
        <w:rPr>
          <w:rFonts w:hint="eastAsia" w:ascii="仿宋_GB2312" w:hAnsi="仿宋_GB2312" w:eastAsia="仿宋_GB2312" w:cs="仿宋_GB2312"/>
          <w:sz w:val="32"/>
          <w:szCs w:val="32"/>
        </w:rPr>
      </w:pPr>
    </w:p>
    <w:p w14:paraId="3A341430">
      <w:pPr>
        <w:pageBreakBefore w:val="0"/>
        <w:bidi w:val="0"/>
        <w:spacing w:before="120" w:line="360" w:lineRule="auto"/>
        <w:ind w:left="9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p>
    <w:p w14:paraId="47625FEB">
      <w:pPr>
        <w:pageBreakBefore w:val="0"/>
        <w:bidi w:val="0"/>
        <w:spacing w:line="360" w:lineRule="auto"/>
        <w:rPr>
          <w:rFonts w:hint="eastAsia" w:ascii="仿宋_GB2312" w:hAnsi="仿宋_GB2312" w:eastAsia="仿宋_GB2312" w:cs="仿宋_GB2312"/>
          <w:sz w:val="32"/>
          <w:szCs w:val="32"/>
        </w:rPr>
      </w:pPr>
    </w:p>
    <w:p w14:paraId="3C7B67F6">
      <w:pPr>
        <w:pageBreakBefore w:val="0"/>
        <w:bidi w:val="0"/>
        <w:spacing w:before="120" w:line="360" w:lineRule="auto"/>
        <w:ind w:left="9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p>
    <w:p w14:paraId="17A1CF36">
      <w:pPr>
        <w:pageBreakBefore w:val="0"/>
        <w:bidi w:val="0"/>
        <w:spacing w:before="120" w:line="360" w:lineRule="auto"/>
        <w:rPr>
          <w:rFonts w:hint="eastAsia" w:ascii="仿宋_GB2312" w:hAnsi="仿宋_GB2312" w:eastAsia="仿宋_GB2312" w:cs="仿宋_GB2312"/>
          <w:sz w:val="32"/>
          <w:szCs w:val="32"/>
        </w:rPr>
      </w:pPr>
    </w:p>
    <w:p w14:paraId="50C189C0">
      <w:pPr>
        <w:pageBreakBefore w:val="0"/>
        <w:bidi w:val="0"/>
        <w:spacing w:before="120" w:line="360" w:lineRule="auto"/>
        <w:ind w:left="9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p>
    <w:p w14:paraId="5D82C377">
      <w:pPr>
        <w:pageBreakBefore w:val="0"/>
        <w:bidi w:val="0"/>
        <w:spacing w:before="120" w:line="360" w:lineRule="auto"/>
        <w:rPr>
          <w:rFonts w:hint="eastAsia" w:ascii="仿宋_GB2312" w:hAnsi="仿宋_GB2312" w:eastAsia="仿宋_GB2312" w:cs="仿宋_GB2312"/>
          <w:sz w:val="32"/>
          <w:szCs w:val="32"/>
        </w:rPr>
      </w:pPr>
    </w:p>
    <w:p w14:paraId="41D77FFB">
      <w:pPr>
        <w:pageBreakBefore w:val="0"/>
        <w:bidi w:val="0"/>
        <w:spacing w:before="120" w:line="36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签订地：</w:t>
      </w:r>
      <w:r>
        <w:rPr>
          <w:rFonts w:hint="eastAsia" w:ascii="仿宋_GB2312" w:hAnsi="仿宋_GB2312" w:eastAsia="仿宋_GB2312" w:cs="仿宋_GB2312"/>
          <w:sz w:val="32"/>
          <w:szCs w:val="32"/>
          <w:u w:val="single"/>
        </w:rPr>
        <w:t xml:space="preserve">                                     </w:t>
      </w:r>
    </w:p>
    <w:p w14:paraId="7EE92AA0">
      <w:pPr>
        <w:pageBreakBefore w:val="0"/>
        <w:bidi w:val="0"/>
        <w:spacing w:before="120" w:line="360" w:lineRule="auto"/>
        <w:rPr>
          <w:rFonts w:hint="eastAsia" w:ascii="仿宋_GB2312" w:hAnsi="仿宋_GB2312" w:eastAsia="仿宋_GB2312" w:cs="仿宋_GB2312"/>
          <w:sz w:val="32"/>
          <w:szCs w:val="32"/>
        </w:rPr>
      </w:pPr>
    </w:p>
    <w:p w14:paraId="4E869DA7">
      <w:pPr>
        <w:pageBreakBefore w:val="0"/>
        <w:bidi w:val="0"/>
        <w:spacing w:before="120" w:line="36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754B1199">
      <w:pPr>
        <w:pageBreakBefore w:val="0"/>
        <w:autoSpaceDE w:val="0"/>
        <w:autoSpaceDN w:val="0"/>
        <w:bidi w:val="0"/>
        <w:adjustRightInd w:val="0"/>
        <w:spacing w:line="360" w:lineRule="auto"/>
        <w:ind w:firstLine="640"/>
        <w:jc w:val="center"/>
        <w:rPr>
          <w:rFonts w:hint="eastAsia" w:ascii="仿宋_GB2312" w:hAnsi="仿宋_GB2312" w:eastAsia="仿宋_GB2312" w:cs="仿宋_GB2312"/>
          <w:sz w:val="32"/>
          <w:szCs w:val="32"/>
        </w:rPr>
        <w:sectPr>
          <w:footerReference r:id="rId7" w:type="default"/>
          <w:pgSz w:w="11905" w:h="16838"/>
          <w:pgMar w:top="1531" w:right="1531" w:bottom="1531" w:left="1531" w:header="850" w:footer="850" w:gutter="0"/>
          <w:pgNumType w:fmt="decimal" w:start="1"/>
          <w:cols w:space="0" w:num="1"/>
          <w:rtlGutter w:val="0"/>
          <w:docGrid w:linePitch="462" w:charSpace="0"/>
        </w:sectPr>
      </w:pPr>
    </w:p>
    <w:p w14:paraId="37C2A0FE">
      <w:pPr>
        <w:pStyle w:val="20"/>
        <w:pageBreakBefore w:val="0"/>
        <w:bidi w:val="0"/>
        <w:spacing w:line="360" w:lineRule="auto"/>
        <w:rPr>
          <w:rFonts w:hint="eastAsia" w:ascii="仿宋" w:hAnsi="仿宋" w:eastAsia="仿宋" w:cs="仿宋"/>
          <w:b/>
          <w:bCs/>
          <w:color w:val="auto"/>
          <w:sz w:val="24"/>
          <w:szCs w:val="24"/>
          <w:highlight w:val="none"/>
        </w:rPr>
      </w:pPr>
    </w:p>
    <w:p w14:paraId="566525D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（采购人名称）   </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u w:val="single"/>
        </w:rPr>
        <w:t xml:space="preserve">   （政府采购方式）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（同前页项目名称）   </w:t>
      </w:r>
      <w:r>
        <w:rPr>
          <w:rFonts w:hint="eastAsia" w:ascii="仿宋_GB2312" w:hAnsi="仿宋_GB2312" w:eastAsia="仿宋_GB2312" w:cs="仿宋_GB2312"/>
          <w:sz w:val="32"/>
          <w:szCs w:val="32"/>
        </w:rPr>
        <w:t>项目进行了采购。经</w:t>
      </w:r>
      <w:r>
        <w:rPr>
          <w:rFonts w:hint="eastAsia" w:ascii="仿宋_GB2312" w:hAnsi="仿宋_GB2312" w:eastAsia="仿宋_GB2312" w:cs="仿宋_GB2312"/>
          <w:sz w:val="32"/>
          <w:szCs w:val="32"/>
          <w:u w:val="single"/>
        </w:rPr>
        <w:t xml:space="preserve">   （相关评定主体名称）   </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u w:val="single"/>
        </w:rPr>
        <w:t xml:space="preserve">   （中标供应商名称）</w:t>
      </w:r>
      <w:r>
        <w:rPr>
          <w:rFonts w:hint="eastAsia" w:ascii="仿宋_GB2312" w:hAnsi="仿宋_GB2312" w:eastAsia="仿宋_GB2312" w:cs="仿宋_GB2312"/>
          <w:sz w:val="32"/>
          <w:szCs w:val="32"/>
        </w:rPr>
        <w:t>为该项目中标供应商。现于中标通知书发出之日起三十日内，按照采购文件确定的事项签订本合同。</w:t>
      </w:r>
    </w:p>
    <w:p w14:paraId="4CDB38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根据《中华人民共和国合同法》、《中华人民共和国政府采购法》等相关法律法规之规定，按照平等、自愿、公平和诚实信用的原则，经</w:t>
      </w:r>
      <w:r>
        <w:rPr>
          <w:rFonts w:hint="eastAsia" w:ascii="仿宋_GB2312" w:hAnsi="仿宋_GB2312" w:eastAsia="仿宋_GB2312" w:cs="仿宋_GB2312"/>
          <w:sz w:val="32"/>
          <w:szCs w:val="32"/>
          <w:u w:val="single"/>
        </w:rPr>
        <w:t xml:space="preserve">   （采购人名称）   </w:t>
      </w:r>
      <w:r>
        <w:rPr>
          <w:rFonts w:hint="eastAsia" w:ascii="仿宋_GB2312" w:hAnsi="仿宋_GB2312" w:eastAsia="仿宋_GB2312" w:cs="仿宋_GB2312"/>
          <w:sz w:val="32"/>
          <w:szCs w:val="32"/>
          <w:lang w:val="zh-CN"/>
        </w:rPr>
        <w:t>(以下简称：甲方)和</w:t>
      </w:r>
      <w:r>
        <w:rPr>
          <w:rFonts w:hint="eastAsia" w:ascii="仿宋_GB2312" w:hAnsi="仿宋_GB2312" w:eastAsia="仿宋_GB2312" w:cs="仿宋_GB2312"/>
          <w:sz w:val="32"/>
          <w:szCs w:val="32"/>
          <w:u w:val="single"/>
        </w:rPr>
        <w:t xml:space="preserve">   （中标供应商名称）   </w:t>
      </w:r>
      <w:r>
        <w:rPr>
          <w:rFonts w:hint="eastAsia" w:ascii="仿宋_GB2312" w:hAnsi="仿宋_GB2312" w:eastAsia="仿宋_GB2312" w:cs="仿宋_GB2312"/>
          <w:sz w:val="32"/>
          <w:szCs w:val="32"/>
          <w:lang w:val="zh-CN"/>
        </w:rPr>
        <w:t>(以下简称：乙方)协商一致，约定以下合同</w:t>
      </w:r>
      <w:r>
        <w:rPr>
          <w:rFonts w:hint="eastAsia" w:ascii="仿宋_GB2312" w:hAnsi="仿宋_GB2312" w:eastAsia="仿宋_GB2312" w:cs="仿宋_GB2312"/>
          <w:sz w:val="32"/>
          <w:szCs w:val="32"/>
        </w:rPr>
        <w:t>条款，以兹共同遵守、全面履行。</w:t>
      </w:r>
    </w:p>
    <w:p w14:paraId="576A25E8">
      <w:pPr>
        <w:spacing w:line="560" w:lineRule="exact"/>
        <w:ind w:firstLine="643" w:firstLineChars="200"/>
        <w:outlineLvl w:val="0"/>
        <w:rPr>
          <w:rFonts w:hint="eastAsia" w:ascii="仿宋_GB2312" w:hAnsi="仿宋_GB2312" w:eastAsia="仿宋_GB2312" w:cs="仿宋_GB2312"/>
          <w:b/>
          <w:sz w:val="32"/>
          <w:szCs w:val="32"/>
        </w:rPr>
      </w:pPr>
      <w:bookmarkStart w:id="301" w:name="_Toc24059"/>
      <w:bookmarkStart w:id="302" w:name="_Toc3029"/>
      <w:bookmarkStart w:id="303" w:name="_Toc2232"/>
      <w:r>
        <w:rPr>
          <w:rFonts w:hint="eastAsia" w:ascii="仿宋_GB2312" w:hAnsi="仿宋_GB2312" w:eastAsia="仿宋_GB2312" w:cs="仿宋_GB2312"/>
          <w:b/>
          <w:sz w:val="32"/>
          <w:szCs w:val="32"/>
        </w:rPr>
        <w:t>1.1 合同组成部分</w:t>
      </w:r>
      <w:bookmarkEnd w:id="301"/>
      <w:bookmarkEnd w:id="302"/>
      <w:bookmarkEnd w:id="303"/>
    </w:p>
    <w:p w14:paraId="41E01E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8BB97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 本合同及其补充合同、变更协议；</w:t>
      </w:r>
    </w:p>
    <w:p w14:paraId="1E8699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中标通知书；</w:t>
      </w:r>
    </w:p>
    <w:p w14:paraId="61C866D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 投标文件（含澄清或者说明文件）；</w:t>
      </w:r>
    </w:p>
    <w:p w14:paraId="2A35B2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 招标文件（含澄清或者修改文件）；</w:t>
      </w:r>
    </w:p>
    <w:p w14:paraId="66B192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 其他相关采购文件。</w:t>
      </w:r>
    </w:p>
    <w:p w14:paraId="03E192D5">
      <w:pPr>
        <w:spacing w:line="560" w:lineRule="exact"/>
        <w:ind w:firstLine="643" w:firstLineChars="200"/>
        <w:outlineLvl w:val="0"/>
        <w:rPr>
          <w:rFonts w:hint="eastAsia" w:ascii="仿宋_GB2312" w:hAnsi="仿宋_GB2312" w:eastAsia="仿宋_GB2312" w:cs="仿宋_GB2312"/>
          <w:b/>
          <w:sz w:val="32"/>
          <w:szCs w:val="32"/>
        </w:rPr>
      </w:pPr>
      <w:bookmarkStart w:id="304" w:name="_Toc27126"/>
      <w:bookmarkStart w:id="305" w:name="_Toc21295"/>
      <w:bookmarkStart w:id="306" w:name="_Toc24300"/>
      <w:r>
        <w:rPr>
          <w:rFonts w:hint="eastAsia" w:ascii="仿宋_GB2312" w:hAnsi="仿宋_GB2312" w:eastAsia="仿宋_GB2312" w:cs="仿宋_GB2312"/>
          <w:b/>
          <w:sz w:val="32"/>
          <w:szCs w:val="32"/>
        </w:rPr>
        <w:t>1.2 货物</w:t>
      </w:r>
      <w:bookmarkEnd w:id="304"/>
      <w:bookmarkEnd w:id="305"/>
      <w:bookmarkEnd w:id="306"/>
    </w:p>
    <w:p w14:paraId="0B5DC5A8">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1.2.1 货物名称：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1A3642A">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1.2.2 货物数量：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C7EAE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 货物质量：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38B8D3E">
      <w:pPr>
        <w:spacing w:line="560" w:lineRule="exact"/>
        <w:ind w:firstLine="643" w:firstLineChars="200"/>
        <w:outlineLvl w:val="0"/>
        <w:rPr>
          <w:rFonts w:hint="eastAsia" w:ascii="仿宋_GB2312" w:hAnsi="仿宋_GB2312" w:eastAsia="仿宋_GB2312" w:cs="仿宋_GB2312"/>
          <w:b/>
          <w:sz w:val="32"/>
          <w:szCs w:val="32"/>
        </w:rPr>
      </w:pPr>
      <w:bookmarkStart w:id="307" w:name="_Toc21551"/>
      <w:bookmarkStart w:id="308" w:name="_Toc21631"/>
      <w:bookmarkStart w:id="309" w:name="_Toc23292"/>
      <w:r>
        <w:rPr>
          <w:rFonts w:hint="eastAsia" w:ascii="仿宋_GB2312" w:hAnsi="仿宋_GB2312" w:eastAsia="仿宋_GB2312" w:cs="仿宋_GB2312"/>
          <w:b/>
          <w:sz w:val="32"/>
          <w:szCs w:val="32"/>
        </w:rPr>
        <w:t>1.3 价款</w:t>
      </w:r>
      <w:bookmarkEnd w:id="307"/>
      <w:bookmarkEnd w:id="308"/>
      <w:bookmarkEnd w:id="309"/>
    </w:p>
    <w:p w14:paraId="375638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本合同总价为：￥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元人民币）。</w:t>
      </w:r>
    </w:p>
    <w:p w14:paraId="63AFF854">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分项价格：</w:t>
      </w:r>
    </w:p>
    <w:tbl>
      <w:tblPr>
        <w:tblStyle w:val="28"/>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14:paraId="5924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vAlign w:val="center"/>
          </w:tcPr>
          <w:p w14:paraId="390F865D">
            <w:pPr>
              <w:pStyle w:val="71"/>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089" w:type="dxa"/>
            <w:vAlign w:val="center"/>
          </w:tcPr>
          <w:p w14:paraId="34E60960">
            <w:pPr>
              <w:pStyle w:val="71"/>
              <w:spacing w:line="560" w:lineRule="exact"/>
              <w:ind w:firstLine="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分项名称</w:t>
            </w:r>
          </w:p>
        </w:tc>
        <w:tc>
          <w:tcPr>
            <w:tcW w:w="3067" w:type="dxa"/>
            <w:vAlign w:val="center"/>
          </w:tcPr>
          <w:p w14:paraId="2164D68B">
            <w:pPr>
              <w:pStyle w:val="71"/>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分项价格</w:t>
            </w:r>
          </w:p>
        </w:tc>
      </w:tr>
      <w:tr w14:paraId="04B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vAlign w:val="center"/>
          </w:tcPr>
          <w:p w14:paraId="69DDBD5A">
            <w:pPr>
              <w:pStyle w:val="71"/>
              <w:spacing w:line="560" w:lineRule="exact"/>
              <w:ind w:firstLine="200"/>
              <w:jc w:val="center"/>
              <w:rPr>
                <w:rFonts w:hint="eastAsia" w:ascii="仿宋_GB2312" w:hAnsi="仿宋_GB2312" w:eastAsia="仿宋_GB2312" w:cs="仿宋_GB2312"/>
                <w:sz w:val="32"/>
                <w:szCs w:val="32"/>
              </w:rPr>
            </w:pPr>
          </w:p>
        </w:tc>
        <w:tc>
          <w:tcPr>
            <w:tcW w:w="4089" w:type="dxa"/>
            <w:vAlign w:val="center"/>
          </w:tcPr>
          <w:p w14:paraId="5CA4F39F">
            <w:pPr>
              <w:pStyle w:val="71"/>
              <w:spacing w:line="560" w:lineRule="exact"/>
              <w:ind w:firstLine="200"/>
              <w:jc w:val="center"/>
              <w:rPr>
                <w:rFonts w:hint="eastAsia" w:ascii="仿宋_GB2312" w:hAnsi="仿宋_GB2312" w:eastAsia="仿宋_GB2312" w:cs="仿宋_GB2312"/>
                <w:sz w:val="32"/>
                <w:szCs w:val="32"/>
              </w:rPr>
            </w:pPr>
          </w:p>
        </w:tc>
        <w:tc>
          <w:tcPr>
            <w:tcW w:w="3067" w:type="dxa"/>
            <w:vAlign w:val="center"/>
          </w:tcPr>
          <w:p w14:paraId="490A6816">
            <w:pPr>
              <w:pStyle w:val="71"/>
              <w:spacing w:line="560" w:lineRule="exact"/>
              <w:ind w:firstLine="200"/>
              <w:jc w:val="center"/>
              <w:rPr>
                <w:rFonts w:hint="eastAsia" w:ascii="仿宋_GB2312" w:hAnsi="仿宋_GB2312" w:eastAsia="仿宋_GB2312" w:cs="仿宋_GB2312"/>
                <w:sz w:val="32"/>
                <w:szCs w:val="32"/>
              </w:rPr>
            </w:pPr>
          </w:p>
        </w:tc>
      </w:tr>
      <w:tr w14:paraId="0351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vAlign w:val="center"/>
          </w:tcPr>
          <w:p w14:paraId="119AEBE6">
            <w:pPr>
              <w:pStyle w:val="71"/>
              <w:spacing w:line="560" w:lineRule="exact"/>
              <w:ind w:firstLine="200"/>
              <w:jc w:val="center"/>
              <w:rPr>
                <w:rFonts w:hint="eastAsia" w:ascii="仿宋_GB2312" w:hAnsi="仿宋_GB2312" w:eastAsia="仿宋_GB2312" w:cs="仿宋_GB2312"/>
                <w:sz w:val="32"/>
                <w:szCs w:val="32"/>
              </w:rPr>
            </w:pPr>
          </w:p>
        </w:tc>
        <w:tc>
          <w:tcPr>
            <w:tcW w:w="4089" w:type="dxa"/>
            <w:vAlign w:val="center"/>
          </w:tcPr>
          <w:p w14:paraId="1BDFD009">
            <w:pPr>
              <w:pStyle w:val="71"/>
              <w:spacing w:line="560" w:lineRule="exact"/>
              <w:ind w:firstLine="200"/>
              <w:jc w:val="center"/>
              <w:rPr>
                <w:rFonts w:hint="eastAsia" w:ascii="仿宋_GB2312" w:hAnsi="仿宋_GB2312" w:eastAsia="仿宋_GB2312" w:cs="仿宋_GB2312"/>
                <w:sz w:val="32"/>
                <w:szCs w:val="32"/>
              </w:rPr>
            </w:pPr>
          </w:p>
        </w:tc>
        <w:tc>
          <w:tcPr>
            <w:tcW w:w="3067" w:type="dxa"/>
            <w:vAlign w:val="center"/>
          </w:tcPr>
          <w:p w14:paraId="5B38D171">
            <w:pPr>
              <w:pStyle w:val="71"/>
              <w:spacing w:line="560" w:lineRule="exact"/>
              <w:ind w:firstLine="200"/>
              <w:jc w:val="center"/>
              <w:rPr>
                <w:rFonts w:hint="eastAsia" w:ascii="仿宋_GB2312" w:hAnsi="仿宋_GB2312" w:eastAsia="仿宋_GB2312" w:cs="仿宋_GB2312"/>
                <w:sz w:val="32"/>
                <w:szCs w:val="32"/>
              </w:rPr>
            </w:pPr>
          </w:p>
        </w:tc>
      </w:tr>
      <w:tr w14:paraId="3672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vAlign w:val="center"/>
          </w:tcPr>
          <w:p w14:paraId="0C805B0A">
            <w:pPr>
              <w:pStyle w:val="71"/>
              <w:spacing w:line="560" w:lineRule="exact"/>
              <w:ind w:firstLine="200"/>
              <w:jc w:val="center"/>
              <w:rPr>
                <w:rFonts w:hint="eastAsia" w:ascii="仿宋_GB2312" w:hAnsi="仿宋_GB2312" w:eastAsia="仿宋_GB2312" w:cs="仿宋_GB2312"/>
                <w:sz w:val="32"/>
                <w:szCs w:val="32"/>
              </w:rPr>
            </w:pPr>
          </w:p>
        </w:tc>
        <w:tc>
          <w:tcPr>
            <w:tcW w:w="4089" w:type="dxa"/>
            <w:vAlign w:val="center"/>
          </w:tcPr>
          <w:p w14:paraId="140C4E5C">
            <w:pPr>
              <w:pStyle w:val="71"/>
              <w:spacing w:line="560" w:lineRule="exact"/>
              <w:ind w:firstLine="200"/>
              <w:jc w:val="center"/>
              <w:rPr>
                <w:rFonts w:hint="eastAsia" w:ascii="仿宋_GB2312" w:hAnsi="仿宋_GB2312" w:eastAsia="仿宋_GB2312" w:cs="仿宋_GB2312"/>
                <w:sz w:val="32"/>
                <w:szCs w:val="32"/>
              </w:rPr>
            </w:pPr>
          </w:p>
        </w:tc>
        <w:tc>
          <w:tcPr>
            <w:tcW w:w="3067" w:type="dxa"/>
            <w:vAlign w:val="center"/>
          </w:tcPr>
          <w:p w14:paraId="042D648D">
            <w:pPr>
              <w:pStyle w:val="71"/>
              <w:spacing w:line="560" w:lineRule="exact"/>
              <w:ind w:firstLine="200"/>
              <w:jc w:val="center"/>
              <w:rPr>
                <w:rFonts w:hint="eastAsia" w:ascii="仿宋_GB2312" w:hAnsi="仿宋_GB2312" w:eastAsia="仿宋_GB2312" w:cs="仿宋_GB2312"/>
                <w:sz w:val="32"/>
                <w:szCs w:val="32"/>
              </w:rPr>
            </w:pPr>
          </w:p>
        </w:tc>
      </w:tr>
      <w:tr w14:paraId="5DEB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vAlign w:val="center"/>
          </w:tcPr>
          <w:p w14:paraId="749B4577">
            <w:pPr>
              <w:pStyle w:val="71"/>
              <w:spacing w:line="560" w:lineRule="exact"/>
              <w:ind w:firstLine="200"/>
              <w:jc w:val="center"/>
              <w:rPr>
                <w:rFonts w:hint="eastAsia" w:ascii="仿宋_GB2312" w:hAnsi="仿宋_GB2312" w:eastAsia="仿宋_GB2312" w:cs="仿宋_GB2312"/>
                <w:sz w:val="32"/>
                <w:szCs w:val="32"/>
              </w:rPr>
            </w:pPr>
          </w:p>
        </w:tc>
        <w:tc>
          <w:tcPr>
            <w:tcW w:w="4089" w:type="dxa"/>
            <w:vAlign w:val="center"/>
          </w:tcPr>
          <w:p w14:paraId="048C080A">
            <w:pPr>
              <w:pStyle w:val="71"/>
              <w:spacing w:line="560" w:lineRule="exact"/>
              <w:ind w:firstLine="200"/>
              <w:jc w:val="center"/>
              <w:rPr>
                <w:rFonts w:hint="eastAsia" w:ascii="仿宋_GB2312" w:hAnsi="仿宋_GB2312" w:eastAsia="仿宋_GB2312" w:cs="仿宋_GB2312"/>
                <w:sz w:val="32"/>
                <w:szCs w:val="32"/>
              </w:rPr>
            </w:pPr>
          </w:p>
        </w:tc>
        <w:tc>
          <w:tcPr>
            <w:tcW w:w="3067" w:type="dxa"/>
            <w:vAlign w:val="center"/>
          </w:tcPr>
          <w:p w14:paraId="69701A7F">
            <w:pPr>
              <w:pStyle w:val="71"/>
              <w:spacing w:line="560" w:lineRule="exact"/>
              <w:ind w:firstLine="200"/>
              <w:jc w:val="center"/>
              <w:rPr>
                <w:rFonts w:hint="eastAsia" w:ascii="仿宋_GB2312" w:hAnsi="仿宋_GB2312" w:eastAsia="仿宋_GB2312" w:cs="仿宋_GB2312"/>
                <w:sz w:val="32"/>
                <w:szCs w:val="32"/>
              </w:rPr>
            </w:pPr>
          </w:p>
        </w:tc>
      </w:tr>
      <w:tr w14:paraId="7B4D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32" w:type="dxa"/>
            <w:gridSpan w:val="2"/>
            <w:vAlign w:val="center"/>
          </w:tcPr>
          <w:p w14:paraId="5D350C7F">
            <w:pPr>
              <w:pStyle w:val="71"/>
              <w:spacing w:line="560" w:lineRule="exact"/>
              <w:ind w:firstLine="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w:t>
            </w:r>
          </w:p>
        </w:tc>
        <w:tc>
          <w:tcPr>
            <w:tcW w:w="3067" w:type="dxa"/>
            <w:vAlign w:val="center"/>
          </w:tcPr>
          <w:p w14:paraId="21B428CF">
            <w:pPr>
              <w:pStyle w:val="71"/>
              <w:spacing w:line="560" w:lineRule="exact"/>
              <w:ind w:firstLine="200"/>
              <w:jc w:val="center"/>
              <w:rPr>
                <w:rFonts w:hint="eastAsia" w:ascii="仿宋_GB2312" w:hAnsi="仿宋_GB2312" w:eastAsia="仿宋_GB2312" w:cs="仿宋_GB2312"/>
                <w:sz w:val="32"/>
                <w:szCs w:val="32"/>
              </w:rPr>
            </w:pPr>
          </w:p>
        </w:tc>
      </w:tr>
    </w:tbl>
    <w:p w14:paraId="03487F6B">
      <w:pPr>
        <w:spacing w:line="560" w:lineRule="exact"/>
        <w:ind w:firstLine="643" w:firstLineChars="200"/>
        <w:outlineLvl w:val="0"/>
        <w:rPr>
          <w:rFonts w:hint="eastAsia" w:ascii="仿宋_GB2312" w:hAnsi="仿宋_GB2312" w:eastAsia="仿宋_GB2312" w:cs="仿宋_GB2312"/>
          <w:b/>
          <w:sz w:val="32"/>
          <w:szCs w:val="32"/>
        </w:rPr>
      </w:pPr>
      <w:bookmarkStart w:id="310" w:name="_Toc10340"/>
      <w:bookmarkStart w:id="311" w:name="_Toc22618"/>
      <w:bookmarkStart w:id="312" w:name="_Toc1814"/>
      <w:r>
        <w:rPr>
          <w:rFonts w:hint="eastAsia" w:ascii="仿宋_GB2312" w:hAnsi="仿宋_GB2312" w:eastAsia="仿宋_GB2312" w:cs="仿宋_GB2312"/>
          <w:b/>
          <w:sz w:val="32"/>
          <w:szCs w:val="32"/>
        </w:rPr>
        <w:t>1.4 付款方式和发票开具方式</w:t>
      </w:r>
      <w:bookmarkEnd w:id="310"/>
      <w:bookmarkEnd w:id="311"/>
      <w:bookmarkEnd w:id="312"/>
    </w:p>
    <w:p w14:paraId="39942C4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 付款方式：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30DF95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 发票开具方式：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435D809">
      <w:pPr>
        <w:spacing w:line="560" w:lineRule="exact"/>
        <w:ind w:firstLine="643" w:firstLineChars="200"/>
        <w:outlineLvl w:val="0"/>
        <w:rPr>
          <w:rFonts w:hint="eastAsia" w:ascii="仿宋_GB2312" w:hAnsi="仿宋_GB2312" w:eastAsia="仿宋_GB2312" w:cs="仿宋_GB2312"/>
          <w:b/>
          <w:sz w:val="32"/>
          <w:szCs w:val="32"/>
        </w:rPr>
      </w:pPr>
      <w:bookmarkStart w:id="313" w:name="_Toc32071"/>
      <w:bookmarkStart w:id="314" w:name="_Toc19304"/>
      <w:bookmarkStart w:id="315" w:name="_Toc2846"/>
      <w:r>
        <w:rPr>
          <w:rFonts w:hint="eastAsia" w:ascii="仿宋_GB2312" w:hAnsi="仿宋_GB2312" w:eastAsia="仿宋_GB2312" w:cs="仿宋_GB2312"/>
          <w:b/>
          <w:sz w:val="32"/>
          <w:szCs w:val="32"/>
        </w:rPr>
        <w:t>1.5 货物交付期限、地点和方式</w:t>
      </w:r>
      <w:bookmarkEnd w:id="313"/>
      <w:bookmarkEnd w:id="314"/>
      <w:bookmarkEnd w:id="315"/>
    </w:p>
    <w:p w14:paraId="41B3B7B6">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1.5.1 交付期限：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F3184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 交付地点：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8B63F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 交付方式：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7E286E3">
      <w:pPr>
        <w:spacing w:line="560" w:lineRule="exact"/>
        <w:ind w:firstLine="643" w:firstLineChars="200"/>
        <w:outlineLvl w:val="0"/>
        <w:rPr>
          <w:rFonts w:hint="eastAsia" w:ascii="仿宋_GB2312" w:hAnsi="仿宋_GB2312" w:eastAsia="仿宋_GB2312" w:cs="仿宋_GB2312"/>
          <w:b/>
          <w:sz w:val="32"/>
          <w:szCs w:val="32"/>
        </w:rPr>
      </w:pPr>
      <w:bookmarkStart w:id="316" w:name="_Toc19554"/>
      <w:bookmarkStart w:id="317" w:name="_Toc21423"/>
      <w:bookmarkStart w:id="318" w:name="_Toc27250"/>
      <w:r>
        <w:rPr>
          <w:rFonts w:hint="eastAsia" w:ascii="仿宋_GB2312" w:hAnsi="仿宋_GB2312" w:eastAsia="仿宋_GB2312" w:cs="仿宋_GB2312"/>
          <w:b/>
          <w:sz w:val="32"/>
          <w:szCs w:val="32"/>
        </w:rPr>
        <w:t>1.6 违约责任</w:t>
      </w:r>
      <w:bookmarkEnd w:id="316"/>
      <w:bookmarkEnd w:id="317"/>
      <w:bookmarkEnd w:id="318"/>
    </w:p>
    <w:p w14:paraId="38D825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 除不可抗力外，如果乙方没有按照本合同约定的期限、地点和方式交付货物，那么甲方可要求乙方支付违约金，违约金按每迟延交付货物一日的应交付而未交付货物价格的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%计算，最高限额为本合同总价的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%；迟延交付货物的违约金计算数额达到前述最高限额之日起，甲方有权在要求乙方支付违约金的同时，书面通知乙方解除本合同；</w:t>
      </w:r>
    </w:p>
    <w:p w14:paraId="23008C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 除不可抗力外，如果甲方没有按照本合同约定的付款方式付款，那么乙方可要求甲方支付违约金，违约金按每迟延付款一日的应付而未付款的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%计算，最高限额为本合同总价的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%；迟延付款的违约金计算数额达到前述最高限额之日起，乙方有权在要求甲方支付违约金的同时，书面通知甲方解除本合同；</w:t>
      </w:r>
    </w:p>
    <w:p w14:paraId="6376CF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18F6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3EA24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A19A5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1.6.6 如果出现政府采购监督管理部门在处理投诉事项期间，书面通知甲方暂停采购活动的情形，或者询问或质疑事项可能影响中标结果的，导致甲方中止履行合同的情形，均不视为甲方违约。</w:t>
      </w:r>
    </w:p>
    <w:p w14:paraId="07E0B166">
      <w:pPr>
        <w:spacing w:line="560" w:lineRule="exact"/>
        <w:ind w:firstLine="643" w:firstLineChars="200"/>
        <w:outlineLvl w:val="0"/>
        <w:rPr>
          <w:rFonts w:hint="eastAsia" w:ascii="仿宋_GB2312" w:hAnsi="仿宋_GB2312" w:eastAsia="仿宋_GB2312" w:cs="仿宋_GB2312"/>
          <w:b/>
          <w:sz w:val="32"/>
          <w:szCs w:val="32"/>
        </w:rPr>
      </w:pPr>
      <w:bookmarkStart w:id="319" w:name="_Toc15583"/>
      <w:bookmarkStart w:id="320" w:name="_Toc16021"/>
      <w:bookmarkStart w:id="321" w:name="_Toc28375"/>
      <w:r>
        <w:rPr>
          <w:rFonts w:hint="eastAsia" w:ascii="仿宋_GB2312" w:hAnsi="仿宋_GB2312" w:eastAsia="仿宋_GB2312" w:cs="仿宋_GB2312"/>
          <w:b/>
          <w:sz w:val="32"/>
          <w:szCs w:val="32"/>
        </w:rPr>
        <w:t>1.7 合同争议的解决</w:t>
      </w:r>
      <w:bookmarkEnd w:id="319"/>
      <w:bookmarkEnd w:id="320"/>
      <w:bookmarkEnd w:id="321"/>
    </w:p>
    <w:p w14:paraId="60A405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本合同履行过程中发生的任何争议，双方当事人均可通过和解或者调解解决；不愿和解、调解或者和解、调解不成的，可以选择下列第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种方式解决：</w:t>
      </w:r>
    </w:p>
    <w:p w14:paraId="6D3D2C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 将争议提交</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仲裁委员会依申请仲裁时其现行有效的仲裁规则裁决；</w:t>
      </w:r>
    </w:p>
    <w:p w14:paraId="2A4467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 向</w:t>
      </w:r>
      <w:r>
        <w:rPr>
          <w:rFonts w:hint="eastAsia" w:ascii="仿宋_GB2312" w:hAnsi="仿宋_GB2312" w:eastAsia="仿宋_GB2312" w:cs="仿宋_GB2312"/>
          <w:sz w:val="32"/>
          <w:szCs w:val="32"/>
          <w:u w:val="single"/>
        </w:rPr>
        <w:t xml:space="preserve">   （被告住所地、合同履行地、合同签订地、原告住所地、标的物所在地等与争议有实际联系的地点中选出的人民法院名称）    </w:t>
      </w:r>
      <w:r>
        <w:rPr>
          <w:rFonts w:hint="eastAsia" w:ascii="仿宋_GB2312" w:hAnsi="仿宋_GB2312" w:eastAsia="仿宋_GB2312" w:cs="仿宋_GB2312"/>
          <w:sz w:val="32"/>
          <w:szCs w:val="32"/>
        </w:rPr>
        <w:t>人民法院起诉。</w:t>
      </w:r>
    </w:p>
    <w:p w14:paraId="4221DBF3">
      <w:pPr>
        <w:spacing w:line="560" w:lineRule="exact"/>
        <w:ind w:firstLine="643" w:firstLineChars="200"/>
        <w:outlineLvl w:val="0"/>
        <w:rPr>
          <w:rFonts w:hint="eastAsia" w:ascii="仿宋_GB2312" w:hAnsi="仿宋_GB2312" w:eastAsia="仿宋_GB2312" w:cs="仿宋_GB2312"/>
          <w:b/>
          <w:sz w:val="32"/>
          <w:szCs w:val="32"/>
        </w:rPr>
      </w:pPr>
      <w:bookmarkStart w:id="322" w:name="_Toc15322"/>
      <w:bookmarkStart w:id="323" w:name="_Toc11173"/>
      <w:bookmarkStart w:id="324" w:name="_Toc7245"/>
      <w:r>
        <w:rPr>
          <w:rFonts w:hint="eastAsia" w:ascii="仿宋_GB2312" w:hAnsi="仿宋_GB2312" w:eastAsia="仿宋_GB2312" w:cs="仿宋_GB2312"/>
          <w:b/>
          <w:sz w:val="32"/>
          <w:szCs w:val="32"/>
        </w:rPr>
        <w:t>1.8 合同生效</w:t>
      </w:r>
      <w:bookmarkEnd w:id="322"/>
      <w:bookmarkEnd w:id="323"/>
      <w:bookmarkEnd w:id="324"/>
    </w:p>
    <w:p w14:paraId="41F80F54">
      <w:pPr>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本合同自双方当事人盖章或者签字时生效。</w:t>
      </w:r>
    </w:p>
    <w:p w14:paraId="78131E54">
      <w:pPr>
        <w:autoSpaceDE w:val="0"/>
        <w:autoSpaceDN w:val="0"/>
        <w:adjustRightInd w:val="0"/>
        <w:spacing w:line="560" w:lineRule="exact"/>
        <w:rPr>
          <w:rFonts w:hint="eastAsia" w:ascii="仿宋_GB2312" w:hAnsi="仿宋_GB2312" w:eastAsia="仿宋_GB2312" w:cs="仿宋_GB2312"/>
          <w:sz w:val="32"/>
          <w:szCs w:val="32"/>
          <w:lang w:val="zh-CN"/>
        </w:rPr>
      </w:pPr>
    </w:p>
    <w:p w14:paraId="4206BB5C">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甲方</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b/>
          <w:sz w:val="32"/>
          <w:szCs w:val="32"/>
          <w:lang w:val="zh-CN"/>
        </w:rPr>
        <w:t xml:space="preserve">      乙方</w:t>
      </w:r>
      <w:r>
        <w:rPr>
          <w:rFonts w:hint="eastAsia" w:ascii="仿宋_GB2312" w:hAnsi="仿宋_GB2312" w:eastAsia="仿宋_GB2312" w:cs="仿宋_GB2312"/>
          <w:sz w:val="32"/>
          <w:szCs w:val="32"/>
          <w:lang w:val="zh-CN"/>
        </w:rPr>
        <w:t>：</w:t>
      </w:r>
    </w:p>
    <w:p w14:paraId="11BFC846">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统一社会信用代码：                        统一社会信用代码或身份证号码：</w:t>
      </w:r>
    </w:p>
    <w:p w14:paraId="4172C6A4">
      <w:pPr>
        <w:autoSpaceDE w:val="0"/>
        <w:autoSpaceDN w:val="0"/>
        <w:adjustRightInd w:val="0"/>
        <w:spacing w:line="560" w:lineRule="exact"/>
        <w:rPr>
          <w:rFonts w:hint="eastAsia" w:ascii="仿宋_GB2312" w:hAnsi="仿宋_GB2312" w:eastAsia="仿宋_GB2312" w:cs="仿宋_GB2312"/>
          <w:sz w:val="32"/>
          <w:szCs w:val="32"/>
          <w:lang w:val="zh-CN"/>
        </w:rPr>
      </w:pPr>
    </w:p>
    <w:p w14:paraId="59ED6062">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住所：                                   住所：</w:t>
      </w:r>
    </w:p>
    <w:p w14:paraId="4790A7B9">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                             法定代表人</w:t>
      </w:r>
    </w:p>
    <w:p w14:paraId="15C19D0C">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授权代表（签字）：                        或授权代表（签字）: </w:t>
      </w:r>
    </w:p>
    <w:p w14:paraId="5F2FD3BC">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联系人：                                 联系人：</w:t>
      </w:r>
    </w:p>
    <w:p w14:paraId="67A75730">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约定送达地址：                           约定送达地址：</w:t>
      </w:r>
    </w:p>
    <w:p w14:paraId="3229F56E">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邮政编码：                               邮政编码：</w:t>
      </w:r>
    </w:p>
    <w:p w14:paraId="1300680D">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电话:                                    电话: </w:t>
      </w:r>
    </w:p>
    <w:p w14:paraId="546D551F">
      <w:pPr>
        <w:autoSpaceDE w:val="0"/>
        <w:autoSpaceDN w:val="0"/>
        <w:adjustRightIn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传真:                                    传真:</w:t>
      </w:r>
    </w:p>
    <w:p w14:paraId="3F97F5AA">
      <w:pPr>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电子邮箱：                               电子邮箱：</w:t>
      </w:r>
    </w:p>
    <w:p w14:paraId="406C01E1">
      <w:pPr>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                               开户银行： </w:t>
      </w:r>
    </w:p>
    <w:p w14:paraId="7280F6E4">
      <w:pPr>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开户名称：                               开户名称： </w:t>
      </w:r>
    </w:p>
    <w:p w14:paraId="6E0DBBB2">
      <w:pPr>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开户账号：</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开户账号：</w:t>
      </w:r>
    </w:p>
    <w:p w14:paraId="100AA4BE">
      <w:pPr>
        <w:widowControl/>
        <w:spacing w:line="560" w:lineRule="exact"/>
        <w:jc w:val="left"/>
        <w:rPr>
          <w:rFonts w:hint="eastAsia" w:ascii="仿宋_GB2312" w:hAnsi="仿宋_GB2312" w:eastAsia="仿宋_GB2312" w:cs="仿宋_GB2312"/>
          <w:b/>
          <w:sz w:val="32"/>
          <w:szCs w:val="32"/>
        </w:rPr>
      </w:pPr>
    </w:p>
    <w:p w14:paraId="2AFEFE95">
      <w:pPr>
        <w:widowControl/>
        <w:spacing w:line="560" w:lineRule="exact"/>
        <w:jc w:val="left"/>
        <w:rPr>
          <w:rFonts w:hint="eastAsia" w:ascii="仿宋_GB2312" w:hAnsi="仿宋_GB2312" w:eastAsia="仿宋_GB2312" w:cs="仿宋_GB2312"/>
          <w:b/>
          <w:sz w:val="32"/>
          <w:szCs w:val="32"/>
        </w:rPr>
      </w:pPr>
    </w:p>
    <w:p w14:paraId="3A460D6C">
      <w:pPr>
        <w:widowControl/>
        <w:spacing w:line="560" w:lineRule="exact"/>
        <w:jc w:val="left"/>
        <w:rPr>
          <w:rFonts w:hint="eastAsia" w:ascii="仿宋_GB2312" w:hAnsi="仿宋_GB2312" w:eastAsia="仿宋_GB2312" w:cs="仿宋_GB2312"/>
          <w:b/>
          <w:sz w:val="32"/>
          <w:szCs w:val="32"/>
        </w:rPr>
      </w:pPr>
    </w:p>
    <w:p w14:paraId="24A526E0">
      <w:pPr>
        <w:widowControl/>
        <w:spacing w:line="560" w:lineRule="exact"/>
        <w:jc w:val="left"/>
        <w:rPr>
          <w:rFonts w:hint="eastAsia" w:ascii="仿宋_GB2312" w:hAnsi="仿宋_GB2312" w:eastAsia="仿宋_GB2312" w:cs="仿宋_GB2312"/>
          <w:b/>
          <w:sz w:val="32"/>
          <w:szCs w:val="32"/>
        </w:rPr>
      </w:pPr>
    </w:p>
    <w:p w14:paraId="73E9F978">
      <w:pPr>
        <w:widowControl/>
        <w:spacing w:line="560" w:lineRule="exact"/>
        <w:jc w:val="left"/>
        <w:rPr>
          <w:rFonts w:hint="eastAsia" w:ascii="仿宋_GB2312" w:hAnsi="仿宋_GB2312" w:eastAsia="仿宋_GB2312" w:cs="仿宋_GB2312"/>
          <w:b/>
          <w:sz w:val="32"/>
          <w:szCs w:val="32"/>
        </w:rPr>
      </w:pPr>
    </w:p>
    <w:p w14:paraId="4FA23C50">
      <w:pPr>
        <w:widowControl/>
        <w:spacing w:line="560" w:lineRule="exact"/>
        <w:jc w:val="left"/>
        <w:rPr>
          <w:rFonts w:hint="eastAsia" w:ascii="仿宋_GB2312" w:hAnsi="仿宋_GB2312" w:eastAsia="仿宋_GB2312" w:cs="仿宋_GB2312"/>
          <w:b/>
          <w:sz w:val="32"/>
          <w:szCs w:val="32"/>
        </w:rPr>
      </w:pPr>
    </w:p>
    <w:p w14:paraId="496988F8">
      <w:pPr>
        <w:widowControl/>
        <w:spacing w:line="560" w:lineRule="exact"/>
        <w:jc w:val="left"/>
        <w:rPr>
          <w:rFonts w:hint="eastAsia" w:ascii="仿宋_GB2312" w:hAnsi="仿宋_GB2312" w:eastAsia="仿宋_GB2312" w:cs="仿宋_GB2312"/>
          <w:b/>
          <w:sz w:val="32"/>
          <w:szCs w:val="32"/>
        </w:rPr>
      </w:pPr>
    </w:p>
    <w:p w14:paraId="4F8DBD79">
      <w:pPr>
        <w:widowControl/>
        <w:spacing w:line="560" w:lineRule="exact"/>
        <w:jc w:val="left"/>
        <w:rPr>
          <w:rFonts w:hint="eastAsia" w:ascii="仿宋_GB2312" w:hAnsi="仿宋_GB2312" w:eastAsia="仿宋_GB2312" w:cs="仿宋_GB2312"/>
          <w:b/>
          <w:sz w:val="32"/>
          <w:szCs w:val="32"/>
        </w:rPr>
      </w:pPr>
    </w:p>
    <w:p w14:paraId="6DA89236">
      <w:pPr>
        <w:widowControl/>
        <w:spacing w:line="560" w:lineRule="exact"/>
        <w:jc w:val="left"/>
        <w:rPr>
          <w:rFonts w:hint="eastAsia" w:ascii="仿宋_GB2312" w:hAnsi="仿宋_GB2312" w:eastAsia="仿宋_GB2312" w:cs="仿宋_GB2312"/>
          <w:b/>
          <w:kern w:val="0"/>
          <w:sz w:val="32"/>
          <w:szCs w:val="32"/>
        </w:rPr>
      </w:pPr>
    </w:p>
    <w:p w14:paraId="3B4665B5">
      <w:pPr>
        <w:widowControl/>
        <w:spacing w:line="560" w:lineRule="exact"/>
        <w:jc w:val="left"/>
        <w:rPr>
          <w:rFonts w:hint="eastAsia" w:ascii="仿宋_GB2312" w:hAnsi="仿宋_GB2312" w:eastAsia="仿宋_GB2312" w:cs="仿宋_GB2312"/>
          <w:b/>
          <w:kern w:val="0"/>
          <w:sz w:val="32"/>
          <w:szCs w:val="32"/>
        </w:rPr>
      </w:pPr>
    </w:p>
    <w:p w14:paraId="6B163C5C">
      <w:pPr>
        <w:pStyle w:val="69"/>
        <w:spacing w:line="560" w:lineRule="exact"/>
        <w:ind w:firstLine="2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 合同一般条款</w:t>
      </w:r>
    </w:p>
    <w:p w14:paraId="7D622309">
      <w:pPr>
        <w:spacing w:line="560" w:lineRule="exact"/>
        <w:ind w:firstLine="643" w:firstLineChars="200"/>
        <w:outlineLvl w:val="0"/>
        <w:rPr>
          <w:rFonts w:hint="eastAsia" w:ascii="仿宋_GB2312" w:hAnsi="仿宋_GB2312" w:eastAsia="仿宋_GB2312" w:cs="仿宋_GB2312"/>
          <w:b/>
          <w:sz w:val="32"/>
          <w:szCs w:val="32"/>
        </w:rPr>
      </w:pPr>
      <w:bookmarkStart w:id="325" w:name="_Toc16917"/>
      <w:bookmarkStart w:id="326" w:name="_Toc19614"/>
      <w:bookmarkStart w:id="327" w:name="_Toc28763"/>
      <w:r>
        <w:rPr>
          <w:rFonts w:hint="eastAsia" w:ascii="仿宋_GB2312" w:hAnsi="仿宋_GB2312" w:eastAsia="仿宋_GB2312" w:cs="仿宋_GB2312"/>
          <w:b/>
          <w:sz w:val="32"/>
          <w:szCs w:val="32"/>
        </w:rPr>
        <w:t>2.1 定义</w:t>
      </w:r>
      <w:bookmarkEnd w:id="325"/>
      <w:bookmarkEnd w:id="326"/>
      <w:bookmarkEnd w:id="327"/>
    </w:p>
    <w:p w14:paraId="2DDDF9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本合同中的下列词语应按以下内容进行解释：</w:t>
      </w:r>
    </w:p>
    <w:p w14:paraId="35F1B4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 “合同”系指采购人和中标供应商签订的载明双方当事人所达成的协议，并包括所有的附件、附录和构成合同的其他文件。</w:t>
      </w:r>
    </w:p>
    <w:p w14:paraId="7C7CEA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 “合同价”系指根据合同约定，中标供应商在完全履行合同义务后，采购人应支付给中标供应商的价格。</w:t>
      </w:r>
    </w:p>
    <w:p w14:paraId="7A0812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 “货物”系指中标供应商根据合同约定应向采购人交付的一切各种形态和种类的物品，包括原材料、燃料、设备、机械、仪表、备件、计算机软件、产品等，并包括工具、手册等其他相关资料。</w:t>
      </w:r>
    </w:p>
    <w:p w14:paraId="0C91DB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 “甲方”系指与中标供应商签署合同的采购人；采购人委托采购代理机构代表其与乙方签订合同的，采购人的授权委托书作为合同附件。</w:t>
      </w:r>
    </w:p>
    <w:p w14:paraId="359744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72002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2.1.6 “现场”系指合同约定货物将要运至或者安装的地点。</w:t>
      </w:r>
    </w:p>
    <w:p w14:paraId="7F63A17B">
      <w:pPr>
        <w:spacing w:line="560" w:lineRule="exact"/>
        <w:ind w:firstLine="643" w:firstLineChars="200"/>
        <w:outlineLvl w:val="0"/>
        <w:rPr>
          <w:rFonts w:hint="eastAsia" w:ascii="仿宋_GB2312" w:hAnsi="仿宋_GB2312" w:eastAsia="仿宋_GB2312" w:cs="仿宋_GB2312"/>
          <w:b/>
          <w:sz w:val="32"/>
          <w:szCs w:val="32"/>
        </w:rPr>
      </w:pPr>
      <w:bookmarkStart w:id="328" w:name="_Toc32504"/>
      <w:bookmarkStart w:id="329" w:name="_Toc13336"/>
      <w:bookmarkStart w:id="330" w:name="_Toc27635"/>
      <w:r>
        <w:rPr>
          <w:rFonts w:hint="eastAsia" w:ascii="仿宋_GB2312" w:hAnsi="仿宋_GB2312" w:eastAsia="仿宋_GB2312" w:cs="仿宋_GB2312"/>
          <w:b/>
          <w:sz w:val="32"/>
          <w:szCs w:val="32"/>
        </w:rPr>
        <w:t>2.2 技术规范</w:t>
      </w:r>
      <w:bookmarkEnd w:id="328"/>
      <w:bookmarkEnd w:id="329"/>
      <w:bookmarkEnd w:id="330"/>
    </w:p>
    <w:p w14:paraId="4C3844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0E11DE">
      <w:pPr>
        <w:spacing w:line="560" w:lineRule="exact"/>
        <w:ind w:firstLine="643" w:firstLineChars="200"/>
        <w:outlineLvl w:val="0"/>
        <w:rPr>
          <w:rFonts w:hint="eastAsia" w:ascii="仿宋_GB2312" w:hAnsi="仿宋_GB2312" w:eastAsia="仿宋_GB2312" w:cs="仿宋_GB2312"/>
          <w:b/>
          <w:sz w:val="32"/>
          <w:szCs w:val="32"/>
        </w:rPr>
      </w:pPr>
      <w:bookmarkStart w:id="331" w:name="_Toc9829"/>
      <w:bookmarkStart w:id="332" w:name="_Toc31634"/>
      <w:bookmarkStart w:id="333" w:name="_Toc27853"/>
      <w:r>
        <w:rPr>
          <w:rFonts w:hint="eastAsia" w:ascii="仿宋_GB2312" w:hAnsi="仿宋_GB2312" w:eastAsia="仿宋_GB2312" w:cs="仿宋_GB2312"/>
          <w:b/>
          <w:sz w:val="32"/>
          <w:szCs w:val="32"/>
        </w:rPr>
        <w:t>2.3 知识产权</w:t>
      </w:r>
      <w:bookmarkEnd w:id="331"/>
      <w:bookmarkEnd w:id="332"/>
      <w:bookmarkEnd w:id="333"/>
    </w:p>
    <w:p w14:paraId="4B565F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29A1F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2.3.2具有知识产权的计算机软件等货物的知识产权归属，详见</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w:t>
      </w:r>
    </w:p>
    <w:p w14:paraId="6AFBC283">
      <w:pPr>
        <w:spacing w:line="560" w:lineRule="exact"/>
        <w:ind w:firstLine="643" w:firstLineChars="200"/>
        <w:outlineLvl w:val="0"/>
        <w:rPr>
          <w:rFonts w:hint="eastAsia" w:ascii="仿宋_GB2312" w:hAnsi="仿宋_GB2312" w:eastAsia="仿宋_GB2312" w:cs="仿宋_GB2312"/>
          <w:b/>
          <w:sz w:val="32"/>
          <w:szCs w:val="32"/>
        </w:rPr>
      </w:pPr>
      <w:bookmarkStart w:id="334" w:name="_Toc4194"/>
      <w:bookmarkStart w:id="335" w:name="_Toc11932"/>
      <w:bookmarkStart w:id="336" w:name="_Toc29149"/>
      <w:r>
        <w:rPr>
          <w:rFonts w:hint="eastAsia" w:ascii="仿宋_GB2312" w:hAnsi="仿宋_GB2312" w:eastAsia="仿宋_GB2312" w:cs="仿宋_GB2312"/>
          <w:b/>
          <w:sz w:val="32"/>
          <w:szCs w:val="32"/>
        </w:rPr>
        <w:t>2.4 包装和装运</w:t>
      </w:r>
      <w:bookmarkEnd w:id="334"/>
      <w:bookmarkEnd w:id="335"/>
      <w:bookmarkEnd w:id="336"/>
    </w:p>
    <w:p w14:paraId="1B3AC1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2.4.1除</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88285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 装运货物的要求和通知，详见</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w:t>
      </w:r>
    </w:p>
    <w:p w14:paraId="559B0678">
      <w:pPr>
        <w:spacing w:line="560" w:lineRule="exact"/>
        <w:ind w:firstLine="643" w:firstLineChars="200"/>
        <w:outlineLvl w:val="0"/>
        <w:rPr>
          <w:rFonts w:hint="eastAsia" w:ascii="仿宋_GB2312" w:hAnsi="仿宋_GB2312" w:eastAsia="仿宋_GB2312" w:cs="仿宋_GB2312"/>
          <w:b/>
          <w:sz w:val="32"/>
          <w:szCs w:val="32"/>
        </w:rPr>
      </w:pPr>
      <w:bookmarkStart w:id="337" w:name="_Ref467379527"/>
      <w:bookmarkStart w:id="338" w:name="_Ref467379542"/>
      <w:bookmarkStart w:id="339" w:name="_Ref467378591"/>
      <w:bookmarkStart w:id="340" w:name="_Toc259093674"/>
      <w:bookmarkStart w:id="341" w:name="_Ref467379536"/>
      <w:bookmarkStart w:id="342" w:name="_Toc487900354"/>
      <w:bookmarkStart w:id="343" w:name="_Ref467378541"/>
      <w:bookmarkStart w:id="344" w:name="_Toc279701245"/>
      <w:bookmarkStart w:id="345" w:name="_Toc30272"/>
      <w:bookmarkStart w:id="346" w:name="_Toc19074"/>
      <w:bookmarkStart w:id="347" w:name="_Toc26182"/>
      <w:r>
        <w:rPr>
          <w:rFonts w:hint="eastAsia" w:ascii="仿宋_GB2312" w:hAnsi="仿宋_GB2312" w:eastAsia="仿宋_GB2312" w:cs="仿宋_GB2312"/>
          <w:b/>
          <w:sz w:val="32"/>
          <w:szCs w:val="32"/>
        </w:rPr>
        <w:t>2.</w:t>
      </w:r>
      <w:bookmarkEnd w:id="337"/>
      <w:bookmarkEnd w:id="338"/>
      <w:bookmarkEnd w:id="339"/>
      <w:bookmarkEnd w:id="340"/>
      <w:bookmarkEnd w:id="341"/>
      <w:bookmarkEnd w:id="342"/>
      <w:bookmarkEnd w:id="343"/>
      <w:bookmarkEnd w:id="344"/>
      <w:r>
        <w:rPr>
          <w:rFonts w:hint="eastAsia" w:ascii="仿宋_GB2312" w:hAnsi="仿宋_GB2312" w:eastAsia="仿宋_GB2312" w:cs="仿宋_GB2312"/>
          <w:b/>
          <w:sz w:val="32"/>
          <w:szCs w:val="32"/>
        </w:rPr>
        <w:t>5 履约检查和问题反馈</w:t>
      </w:r>
      <w:bookmarkEnd w:id="345"/>
      <w:bookmarkEnd w:id="346"/>
      <w:bookmarkEnd w:id="347"/>
    </w:p>
    <w:p w14:paraId="759534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7C5122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2.5.2 合同履行期间，甲方有权将履行过程中出现的问题反馈给乙方，双方当事人应以书面形式约定需要完善和改进的内容。</w:t>
      </w:r>
    </w:p>
    <w:p w14:paraId="352AD14C">
      <w:pPr>
        <w:spacing w:line="560" w:lineRule="exact"/>
        <w:ind w:firstLine="643" w:firstLineChars="200"/>
        <w:outlineLvl w:val="0"/>
        <w:rPr>
          <w:rFonts w:hint="eastAsia" w:ascii="仿宋_GB2312" w:hAnsi="仿宋_GB2312" w:eastAsia="仿宋_GB2312" w:cs="仿宋_GB2312"/>
          <w:b/>
          <w:sz w:val="32"/>
          <w:szCs w:val="32"/>
        </w:rPr>
      </w:pPr>
      <w:bookmarkStart w:id="348" w:name="_Toc7836"/>
      <w:bookmarkStart w:id="349" w:name="_Toc28451"/>
      <w:bookmarkStart w:id="350" w:name="_Toc19219"/>
      <w:r>
        <w:rPr>
          <w:rFonts w:hint="eastAsia" w:ascii="仿宋_GB2312" w:hAnsi="仿宋_GB2312" w:eastAsia="仿宋_GB2312" w:cs="仿宋_GB2312"/>
          <w:b/>
          <w:sz w:val="32"/>
          <w:szCs w:val="32"/>
        </w:rPr>
        <w:t>2.6 结算方式和付款条件</w:t>
      </w:r>
      <w:bookmarkEnd w:id="348"/>
      <w:bookmarkEnd w:id="349"/>
      <w:bookmarkEnd w:id="350"/>
    </w:p>
    <w:p w14:paraId="2576AE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w:t>
      </w:r>
    </w:p>
    <w:p w14:paraId="396E8B52">
      <w:pPr>
        <w:spacing w:line="560" w:lineRule="exact"/>
        <w:ind w:firstLine="643" w:firstLineChars="200"/>
        <w:outlineLvl w:val="0"/>
        <w:rPr>
          <w:rFonts w:hint="eastAsia" w:ascii="仿宋_GB2312" w:hAnsi="仿宋_GB2312" w:eastAsia="仿宋_GB2312" w:cs="仿宋_GB2312"/>
          <w:b/>
          <w:sz w:val="32"/>
          <w:szCs w:val="32"/>
        </w:rPr>
      </w:pPr>
      <w:bookmarkStart w:id="351" w:name="_Toc16110"/>
      <w:bookmarkStart w:id="352" w:name="_Toc774"/>
      <w:bookmarkStart w:id="353" w:name="_Toc3225"/>
      <w:r>
        <w:rPr>
          <w:rFonts w:hint="eastAsia" w:ascii="仿宋_GB2312" w:hAnsi="仿宋_GB2312" w:eastAsia="仿宋_GB2312" w:cs="仿宋_GB2312"/>
          <w:b/>
          <w:sz w:val="32"/>
          <w:szCs w:val="32"/>
        </w:rPr>
        <w:t>2.7 技术资料和保密义务</w:t>
      </w:r>
      <w:bookmarkEnd w:id="351"/>
      <w:bookmarkEnd w:id="352"/>
      <w:bookmarkEnd w:id="353"/>
    </w:p>
    <w:p w14:paraId="0FE0B6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2.7.1 乙方有权依据合同约定和项目需要，向甲方了解有关情况，调阅有关资料等，甲方应予积极配合；</w:t>
      </w:r>
    </w:p>
    <w:p w14:paraId="74D14D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2.7.2 乙方有义务妥善保管和保护由甲方提供的前款信息和资料等；</w:t>
      </w:r>
    </w:p>
    <w:p w14:paraId="3619F7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5E99552">
      <w:pPr>
        <w:spacing w:line="560" w:lineRule="exact"/>
        <w:ind w:firstLine="643" w:firstLineChars="200"/>
        <w:outlineLvl w:val="0"/>
        <w:rPr>
          <w:rFonts w:hint="eastAsia" w:ascii="仿宋_GB2312" w:hAnsi="仿宋_GB2312" w:eastAsia="仿宋_GB2312" w:cs="仿宋_GB2312"/>
          <w:b/>
          <w:sz w:val="32"/>
          <w:szCs w:val="32"/>
        </w:rPr>
      </w:pPr>
      <w:bookmarkStart w:id="354" w:name="_Toc7860"/>
      <w:r>
        <w:rPr>
          <w:rFonts w:hint="eastAsia" w:ascii="仿宋_GB2312" w:hAnsi="仿宋_GB2312" w:eastAsia="仿宋_GB2312" w:cs="仿宋_GB2312"/>
          <w:b/>
          <w:sz w:val="32"/>
          <w:szCs w:val="32"/>
        </w:rPr>
        <w:t>2.8 质量保证</w:t>
      </w:r>
      <w:bookmarkEnd w:id="354"/>
    </w:p>
    <w:p w14:paraId="3DB7E5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2.8.1 乙方应建立和完善履行合同的内部质量保证体系，并提供相关内部规章制度给甲方，以便甲方进行监督检查；</w:t>
      </w:r>
    </w:p>
    <w:p w14:paraId="4CD74DF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2.8.2 乙方应保证履行合同的人员数量和素质、软件和硬件设备的配置、场地、环境和设施等满足全面履行合同的要求，并应接受甲方的监督检查。</w:t>
      </w:r>
    </w:p>
    <w:p w14:paraId="0BA860F3">
      <w:pPr>
        <w:spacing w:line="560" w:lineRule="exact"/>
        <w:ind w:firstLine="643" w:firstLineChars="200"/>
        <w:outlineLvl w:val="0"/>
        <w:rPr>
          <w:rFonts w:hint="eastAsia" w:ascii="仿宋_GB2312" w:hAnsi="仿宋_GB2312" w:eastAsia="仿宋_GB2312" w:cs="仿宋_GB2312"/>
          <w:b/>
          <w:sz w:val="32"/>
          <w:szCs w:val="32"/>
        </w:rPr>
      </w:pPr>
      <w:bookmarkStart w:id="355" w:name="_Toc17244"/>
      <w:r>
        <w:rPr>
          <w:rFonts w:hint="eastAsia" w:ascii="仿宋_GB2312" w:hAnsi="仿宋_GB2312" w:eastAsia="仿宋_GB2312" w:cs="仿宋_GB2312"/>
          <w:b/>
          <w:sz w:val="32"/>
          <w:szCs w:val="32"/>
        </w:rPr>
        <w:t>2.9 货物的风险负担</w:t>
      </w:r>
      <w:bookmarkEnd w:id="355"/>
    </w:p>
    <w:p w14:paraId="5D166BD7">
      <w:pPr>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货物或者在途货物或者交付给第一承运人后的货物毁损、灭失的风险负担详见</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w:t>
      </w:r>
    </w:p>
    <w:p w14:paraId="4437C9C9">
      <w:pPr>
        <w:spacing w:line="560" w:lineRule="exact"/>
        <w:ind w:firstLine="643" w:firstLineChars="200"/>
        <w:outlineLvl w:val="0"/>
        <w:rPr>
          <w:rFonts w:hint="eastAsia" w:ascii="仿宋_GB2312" w:hAnsi="仿宋_GB2312" w:eastAsia="仿宋_GB2312" w:cs="仿宋_GB2312"/>
          <w:b/>
          <w:sz w:val="32"/>
          <w:szCs w:val="32"/>
        </w:rPr>
      </w:pPr>
      <w:bookmarkStart w:id="356" w:name="_Toc14055"/>
      <w:r>
        <w:rPr>
          <w:rFonts w:hint="eastAsia" w:ascii="仿宋_GB2312" w:hAnsi="仿宋_GB2312" w:eastAsia="仿宋_GB2312" w:cs="仿宋_GB2312"/>
          <w:b/>
          <w:sz w:val="32"/>
          <w:szCs w:val="32"/>
        </w:rPr>
        <w:t>2.10 延迟交货</w:t>
      </w:r>
      <w:bookmarkEnd w:id="356"/>
    </w:p>
    <w:p w14:paraId="5FFBE5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5BC2A241">
      <w:pPr>
        <w:spacing w:line="560" w:lineRule="exact"/>
        <w:ind w:firstLine="643" w:firstLineChars="200"/>
        <w:outlineLvl w:val="0"/>
        <w:rPr>
          <w:rFonts w:hint="eastAsia" w:ascii="仿宋_GB2312" w:hAnsi="仿宋_GB2312" w:eastAsia="仿宋_GB2312" w:cs="仿宋_GB2312"/>
          <w:b/>
          <w:sz w:val="32"/>
          <w:szCs w:val="32"/>
        </w:rPr>
      </w:pPr>
      <w:bookmarkStart w:id="357" w:name="_Toc7502"/>
      <w:r>
        <w:rPr>
          <w:rFonts w:hint="eastAsia" w:ascii="仿宋_GB2312" w:hAnsi="仿宋_GB2312" w:eastAsia="仿宋_GB2312" w:cs="仿宋_GB2312"/>
          <w:b/>
          <w:sz w:val="32"/>
          <w:szCs w:val="32"/>
        </w:rPr>
        <w:t>2.11 合同变更</w:t>
      </w:r>
      <w:bookmarkEnd w:id="357"/>
    </w:p>
    <w:p w14:paraId="0CF27D0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2.11.1双方当事人协商一致，可以签订书面补充合同的形式变更合同，但不得违背采购文件确定的事项，且如果系追加与合同标的相同的货物的，那么所有补充合同的采购金额不得超过原合同价的10%；</w:t>
      </w:r>
    </w:p>
    <w:p w14:paraId="788774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2.11.2 合同继续履行将损害国家利益和社会公共利益的，双方当事人应当以书面形式变更合同。有过错的一方应当承担赔偿责任，双方当事人都有过错的，各自承担相应的责任。</w:t>
      </w:r>
    </w:p>
    <w:p w14:paraId="709F5073">
      <w:pPr>
        <w:spacing w:line="560" w:lineRule="exact"/>
        <w:ind w:firstLine="643" w:firstLineChars="200"/>
        <w:outlineLvl w:val="0"/>
        <w:rPr>
          <w:rFonts w:hint="eastAsia" w:ascii="仿宋_GB2312" w:hAnsi="仿宋_GB2312" w:eastAsia="仿宋_GB2312" w:cs="仿宋_GB2312"/>
          <w:b/>
          <w:sz w:val="32"/>
          <w:szCs w:val="32"/>
        </w:rPr>
      </w:pPr>
      <w:bookmarkStart w:id="358" w:name="_Toc15237"/>
      <w:bookmarkStart w:id="359" w:name="_Toc22955"/>
      <w:bookmarkStart w:id="360" w:name="_Toc10366"/>
      <w:r>
        <w:rPr>
          <w:rFonts w:hint="eastAsia" w:ascii="仿宋_GB2312" w:hAnsi="仿宋_GB2312" w:eastAsia="仿宋_GB2312" w:cs="仿宋_GB2312"/>
          <w:b/>
          <w:sz w:val="32"/>
          <w:szCs w:val="32"/>
        </w:rPr>
        <w:t>2.12 合同转让和分包</w:t>
      </w:r>
      <w:bookmarkEnd w:id="358"/>
      <w:bookmarkEnd w:id="359"/>
      <w:bookmarkEnd w:id="360"/>
    </w:p>
    <w:p w14:paraId="55F8D5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256EFC">
      <w:pPr>
        <w:spacing w:line="560" w:lineRule="exact"/>
        <w:ind w:firstLine="643" w:firstLineChars="200"/>
        <w:outlineLvl w:val="0"/>
        <w:rPr>
          <w:rFonts w:hint="eastAsia" w:ascii="仿宋_GB2312" w:hAnsi="仿宋_GB2312" w:eastAsia="仿宋_GB2312" w:cs="仿宋_GB2312"/>
          <w:b/>
          <w:sz w:val="32"/>
          <w:szCs w:val="32"/>
        </w:rPr>
      </w:pPr>
      <w:bookmarkStart w:id="361" w:name="_Toc13566"/>
      <w:bookmarkStart w:id="362" w:name="_Toc16508"/>
      <w:bookmarkStart w:id="363" w:name="_Toc14066"/>
      <w:r>
        <w:rPr>
          <w:rFonts w:hint="eastAsia" w:ascii="仿宋_GB2312" w:hAnsi="仿宋_GB2312" w:eastAsia="仿宋_GB2312" w:cs="仿宋_GB2312"/>
          <w:b/>
          <w:sz w:val="32"/>
          <w:szCs w:val="32"/>
        </w:rPr>
        <w:t>2.13 不可抗力</w:t>
      </w:r>
      <w:bookmarkEnd w:id="361"/>
      <w:bookmarkEnd w:id="362"/>
      <w:bookmarkEnd w:id="363"/>
    </w:p>
    <w:p w14:paraId="62C655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2.13.1如果任何一方遭遇法律规定的不可抗力，致使合同履行受阻时，履行合同的期限应予延长，延长的期限应相当于不可抗力所影响的时间；</w:t>
      </w:r>
    </w:p>
    <w:p w14:paraId="70E86D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2.13.2 因不可抗力致使不能实现合同目的的，当事人可以解除合同；</w:t>
      </w:r>
    </w:p>
    <w:p w14:paraId="77C33A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2.13.3 因不可抗力致使合同有变更必要的，双方当事人应在</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约定时间内以书面形式变更合同；</w:t>
      </w:r>
    </w:p>
    <w:p w14:paraId="491FA4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2.13.4受不可抗力影响的一方在不可抗力发生后，应在</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约定时间内以书面形式通知对方当事人，并在</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约定时间内，将有关部门出具的证明文件送达对方当事人。</w:t>
      </w:r>
    </w:p>
    <w:p w14:paraId="4EC86ABA">
      <w:pPr>
        <w:spacing w:line="560" w:lineRule="exact"/>
        <w:ind w:firstLine="643" w:firstLineChars="200"/>
        <w:outlineLvl w:val="0"/>
        <w:rPr>
          <w:rFonts w:hint="eastAsia" w:ascii="仿宋_GB2312" w:hAnsi="仿宋_GB2312" w:eastAsia="仿宋_GB2312" w:cs="仿宋_GB2312"/>
          <w:b/>
          <w:sz w:val="32"/>
          <w:szCs w:val="32"/>
        </w:rPr>
      </w:pPr>
      <w:bookmarkStart w:id="364" w:name="_Toc689"/>
      <w:bookmarkStart w:id="365" w:name="_Toc30676"/>
      <w:bookmarkStart w:id="366" w:name="_Toc6969"/>
      <w:r>
        <w:rPr>
          <w:rFonts w:hint="eastAsia" w:ascii="仿宋_GB2312" w:hAnsi="仿宋_GB2312" w:eastAsia="仿宋_GB2312" w:cs="仿宋_GB2312"/>
          <w:b/>
          <w:sz w:val="32"/>
          <w:szCs w:val="32"/>
        </w:rPr>
        <w:t>2.14 税费</w:t>
      </w:r>
      <w:bookmarkEnd w:id="364"/>
      <w:bookmarkEnd w:id="365"/>
      <w:bookmarkEnd w:id="366"/>
    </w:p>
    <w:p w14:paraId="27C5C51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与合同有关的一切税费，均按照中华人民共和国法律的相关规定。</w:t>
      </w:r>
    </w:p>
    <w:p w14:paraId="5950B7B5">
      <w:pPr>
        <w:spacing w:line="560" w:lineRule="exact"/>
        <w:ind w:firstLine="643" w:firstLineChars="200"/>
        <w:outlineLvl w:val="0"/>
        <w:rPr>
          <w:rFonts w:hint="eastAsia" w:ascii="仿宋_GB2312" w:hAnsi="仿宋_GB2312" w:eastAsia="仿宋_GB2312" w:cs="仿宋_GB2312"/>
          <w:b/>
          <w:sz w:val="32"/>
          <w:szCs w:val="32"/>
        </w:rPr>
      </w:pPr>
      <w:bookmarkStart w:id="367" w:name="_Toc8298"/>
      <w:bookmarkStart w:id="368" w:name="_Toc7102"/>
      <w:bookmarkStart w:id="369" w:name="_Toc16959"/>
      <w:r>
        <w:rPr>
          <w:rFonts w:hint="eastAsia" w:ascii="仿宋_GB2312" w:hAnsi="仿宋_GB2312" w:eastAsia="仿宋_GB2312" w:cs="仿宋_GB2312"/>
          <w:b/>
          <w:sz w:val="32"/>
          <w:szCs w:val="32"/>
        </w:rPr>
        <w:t>2.15 乙方破产</w:t>
      </w:r>
      <w:bookmarkEnd w:id="367"/>
      <w:bookmarkEnd w:id="368"/>
      <w:bookmarkEnd w:id="369"/>
    </w:p>
    <w:p w14:paraId="557F0B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8F32A4">
      <w:pPr>
        <w:spacing w:line="560" w:lineRule="exact"/>
        <w:ind w:firstLine="643" w:firstLineChars="200"/>
        <w:outlineLvl w:val="0"/>
        <w:rPr>
          <w:rFonts w:hint="eastAsia" w:ascii="仿宋_GB2312" w:hAnsi="仿宋_GB2312" w:eastAsia="仿宋_GB2312" w:cs="仿宋_GB2312"/>
          <w:b/>
          <w:sz w:val="32"/>
          <w:szCs w:val="32"/>
        </w:rPr>
      </w:pPr>
      <w:bookmarkStart w:id="370" w:name="_Toc15387"/>
      <w:bookmarkStart w:id="371" w:name="_Toc6134"/>
      <w:bookmarkStart w:id="372" w:name="_Toc29333"/>
      <w:r>
        <w:rPr>
          <w:rFonts w:hint="eastAsia" w:ascii="仿宋_GB2312" w:hAnsi="仿宋_GB2312" w:eastAsia="仿宋_GB2312" w:cs="仿宋_GB2312"/>
          <w:b/>
          <w:sz w:val="32"/>
          <w:szCs w:val="32"/>
        </w:rPr>
        <w:t>2.16 合同中止、终止</w:t>
      </w:r>
      <w:bookmarkEnd w:id="370"/>
      <w:bookmarkEnd w:id="371"/>
      <w:bookmarkEnd w:id="372"/>
    </w:p>
    <w:p w14:paraId="2FEF29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2.16.1 双方当事人不得擅自中止或者终止合同；</w:t>
      </w:r>
    </w:p>
    <w:p w14:paraId="7E5AC9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2.16.2合同继续履行将损害国家利益和社会公共利益的，双方当事人应当中止或者终止合同。有过错的一方应当承担赔偿责任，双方当事人都有过错的，各自承担相应的责任。</w:t>
      </w:r>
    </w:p>
    <w:p w14:paraId="23AA1BB8">
      <w:pPr>
        <w:spacing w:line="560" w:lineRule="exact"/>
        <w:ind w:firstLine="643" w:firstLineChars="200"/>
        <w:outlineLvl w:val="0"/>
        <w:rPr>
          <w:rFonts w:hint="eastAsia" w:ascii="仿宋_GB2312" w:hAnsi="仿宋_GB2312" w:eastAsia="仿宋_GB2312" w:cs="仿宋_GB2312"/>
          <w:b/>
          <w:sz w:val="32"/>
          <w:szCs w:val="32"/>
        </w:rPr>
      </w:pPr>
      <w:bookmarkStart w:id="373" w:name="_Toc6596"/>
      <w:bookmarkStart w:id="374" w:name="_Toc14563"/>
      <w:bookmarkStart w:id="375" w:name="_Toc1125"/>
      <w:r>
        <w:rPr>
          <w:rFonts w:hint="eastAsia" w:ascii="仿宋_GB2312" w:hAnsi="仿宋_GB2312" w:eastAsia="仿宋_GB2312" w:cs="仿宋_GB2312"/>
          <w:b/>
          <w:sz w:val="32"/>
          <w:szCs w:val="32"/>
        </w:rPr>
        <w:t>2.17 检验和验收</w:t>
      </w:r>
      <w:bookmarkEnd w:id="373"/>
      <w:bookmarkEnd w:id="374"/>
      <w:bookmarkEnd w:id="375"/>
    </w:p>
    <w:p w14:paraId="41843E30">
      <w:pPr>
        <w:tabs>
          <w:tab w:val="left" w:pos="360"/>
          <w:tab w:val="left" w:pos="540"/>
          <w:tab w:val="left" w:pos="108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2.17.1货物交付前，乙方应对货物的质量、数量等方面进行详细、全面的检验，并向甲方出具证明货物符合合同约定的文件；货物交付时，乙方在</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约定时间内组织验收，并可依法邀请相关方参加，验收应出具验收书。</w:t>
      </w:r>
    </w:p>
    <w:p w14:paraId="3C24D87C">
      <w:pPr>
        <w:tabs>
          <w:tab w:val="left" w:pos="360"/>
          <w:tab w:val="left" w:pos="540"/>
          <w:tab w:val="left" w:pos="108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60BB4BC">
      <w:pPr>
        <w:tabs>
          <w:tab w:val="left" w:pos="360"/>
          <w:tab w:val="left" w:pos="540"/>
          <w:tab w:val="left" w:pos="108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2.17.3 检验和验收标准、程序等具体内容以及前述验收书的效力详见</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i/>
          <w:sz w:val="32"/>
          <w:szCs w:val="32"/>
        </w:rPr>
        <w:t>。</w:t>
      </w:r>
    </w:p>
    <w:p w14:paraId="030EDF23">
      <w:pPr>
        <w:spacing w:line="560" w:lineRule="exact"/>
        <w:ind w:firstLine="643" w:firstLineChars="200"/>
        <w:outlineLvl w:val="0"/>
        <w:rPr>
          <w:rFonts w:hint="eastAsia" w:ascii="仿宋_GB2312" w:hAnsi="仿宋_GB2312" w:eastAsia="仿宋_GB2312" w:cs="仿宋_GB2312"/>
          <w:b/>
          <w:sz w:val="32"/>
          <w:szCs w:val="32"/>
        </w:rPr>
      </w:pPr>
      <w:bookmarkStart w:id="376" w:name="_Toc11284"/>
      <w:bookmarkStart w:id="377" w:name="_Toc19604"/>
      <w:bookmarkStart w:id="378" w:name="_Toc25182"/>
      <w:r>
        <w:rPr>
          <w:rFonts w:hint="eastAsia" w:ascii="仿宋_GB2312" w:hAnsi="仿宋_GB2312" w:eastAsia="仿宋_GB2312" w:cs="仿宋_GB2312"/>
          <w:b/>
          <w:sz w:val="32"/>
          <w:szCs w:val="32"/>
        </w:rPr>
        <w:t>2.18 通知和送达</w:t>
      </w:r>
      <w:bookmarkEnd w:id="376"/>
      <w:bookmarkEnd w:id="377"/>
      <w:bookmarkEnd w:id="378"/>
    </w:p>
    <w:p w14:paraId="7B88C7FA">
      <w:pPr>
        <w:spacing w:line="560" w:lineRule="exact"/>
        <w:ind w:firstLine="640" w:firstLineChars="200"/>
        <w:rPr>
          <w:rFonts w:hint="eastAsia" w:ascii="仿宋_GB2312" w:hAnsi="仿宋_GB2312" w:eastAsia="仿宋_GB2312" w:cs="仿宋_GB2312"/>
          <w:sz w:val="32"/>
          <w:szCs w:val="32"/>
        </w:rPr>
      </w:pPr>
      <w:bookmarkStart w:id="379" w:name="_Toc6698"/>
      <w:bookmarkStart w:id="380" w:name="_Toc3135"/>
      <w:r>
        <w:rPr>
          <w:rFonts w:hint="eastAsia" w:ascii="仿宋_GB2312" w:hAnsi="仿宋_GB2312" w:eastAsia="仿宋_GB2312" w:cs="仿宋_GB2312"/>
          <w:sz w:val="32"/>
          <w:szCs w:val="32"/>
        </w:rPr>
        <w:t>2.18.1 任何一方因履行合同而以合同第一部分尾部所列明的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发出的所有通知、文件、材料，均视为已向对方当事人送达；任何一方变更上述送达方式或者地址的，应于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个工作日内书面通知对方当事人，在对方当事人收到有关变更通知之前，变更前的约定送达方式或者地址仍视为有效。</w:t>
      </w:r>
      <w:bookmarkEnd w:id="379"/>
      <w:bookmarkEnd w:id="380"/>
    </w:p>
    <w:p w14:paraId="5ABF8C5E">
      <w:pPr>
        <w:spacing w:line="560" w:lineRule="exact"/>
        <w:ind w:firstLine="640" w:firstLineChars="200"/>
        <w:rPr>
          <w:rFonts w:hint="eastAsia" w:ascii="仿宋_GB2312" w:hAnsi="仿宋_GB2312" w:eastAsia="仿宋_GB2312" w:cs="仿宋_GB2312"/>
          <w:sz w:val="32"/>
          <w:szCs w:val="32"/>
        </w:rPr>
      </w:pPr>
      <w:bookmarkStart w:id="381" w:name="_Toc23128"/>
      <w:bookmarkStart w:id="382" w:name="_Toc23294"/>
      <w:r>
        <w:rPr>
          <w:rFonts w:hint="eastAsia" w:ascii="仿宋_GB2312" w:hAnsi="仿宋_GB2312" w:eastAsia="仿宋_GB2312" w:cs="仿宋_GB2312"/>
          <w:sz w:val="32"/>
          <w:szCs w:val="32"/>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1"/>
      <w:bookmarkEnd w:id="382"/>
    </w:p>
    <w:p w14:paraId="56625B25">
      <w:pPr>
        <w:spacing w:line="560" w:lineRule="exact"/>
        <w:ind w:firstLine="643" w:firstLineChars="200"/>
        <w:outlineLvl w:val="0"/>
        <w:rPr>
          <w:rFonts w:hint="eastAsia" w:ascii="仿宋_GB2312" w:hAnsi="仿宋_GB2312" w:eastAsia="仿宋_GB2312" w:cs="仿宋_GB2312"/>
          <w:b/>
          <w:sz w:val="32"/>
          <w:szCs w:val="32"/>
        </w:rPr>
      </w:pPr>
      <w:bookmarkStart w:id="383" w:name="_Toc18540"/>
      <w:bookmarkStart w:id="384" w:name="_Toc4355"/>
      <w:bookmarkStart w:id="385" w:name="_Toc30599"/>
      <w:r>
        <w:rPr>
          <w:rFonts w:hint="eastAsia" w:ascii="仿宋_GB2312" w:hAnsi="仿宋_GB2312" w:eastAsia="仿宋_GB2312" w:cs="仿宋_GB2312"/>
          <w:b/>
          <w:sz w:val="32"/>
          <w:szCs w:val="32"/>
        </w:rPr>
        <w:t>2.19 计量单位</w:t>
      </w:r>
      <w:bookmarkEnd w:id="383"/>
      <w:bookmarkEnd w:id="384"/>
      <w:bookmarkEnd w:id="385"/>
    </w:p>
    <w:p w14:paraId="3FA760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除技术规范中另有规定外,合同的计量单位均使用国家法定计量单位。</w:t>
      </w:r>
    </w:p>
    <w:p w14:paraId="7ECB0A0D">
      <w:pPr>
        <w:spacing w:line="560" w:lineRule="exact"/>
        <w:ind w:firstLine="643" w:firstLineChars="200"/>
        <w:outlineLvl w:val="0"/>
        <w:rPr>
          <w:rFonts w:hint="eastAsia" w:ascii="仿宋_GB2312" w:hAnsi="仿宋_GB2312" w:eastAsia="仿宋_GB2312" w:cs="仿宋_GB2312"/>
          <w:b/>
          <w:sz w:val="32"/>
          <w:szCs w:val="32"/>
        </w:rPr>
      </w:pPr>
      <w:bookmarkStart w:id="386" w:name="_Toc12773"/>
      <w:bookmarkStart w:id="387" w:name="_Toc18567"/>
      <w:bookmarkStart w:id="388" w:name="_Toc10330"/>
      <w:r>
        <w:rPr>
          <w:rFonts w:hint="eastAsia" w:ascii="仿宋_GB2312" w:hAnsi="仿宋_GB2312" w:eastAsia="仿宋_GB2312" w:cs="仿宋_GB2312"/>
          <w:b/>
          <w:sz w:val="32"/>
          <w:szCs w:val="32"/>
        </w:rPr>
        <w:t>2.20 合同使用的文字和适用的法律</w:t>
      </w:r>
      <w:bookmarkEnd w:id="386"/>
      <w:bookmarkEnd w:id="387"/>
      <w:bookmarkEnd w:id="388"/>
    </w:p>
    <w:p w14:paraId="1D92B0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2.20.1 合同使用汉语书就、变更和解释；</w:t>
      </w:r>
    </w:p>
    <w:p w14:paraId="2F89E9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 合同适用中华人民共和国法律。</w:t>
      </w:r>
    </w:p>
    <w:p w14:paraId="0D770091">
      <w:pPr>
        <w:spacing w:line="560" w:lineRule="exact"/>
        <w:ind w:firstLine="643" w:firstLineChars="200"/>
        <w:outlineLvl w:val="0"/>
        <w:rPr>
          <w:rFonts w:hint="eastAsia" w:ascii="仿宋_GB2312" w:hAnsi="仿宋_GB2312" w:eastAsia="仿宋_GB2312" w:cs="仿宋_GB2312"/>
          <w:b/>
          <w:sz w:val="32"/>
          <w:szCs w:val="32"/>
        </w:rPr>
      </w:pPr>
      <w:bookmarkStart w:id="389" w:name="_Toc16673"/>
      <w:bookmarkStart w:id="390" w:name="_Toc3148"/>
      <w:bookmarkStart w:id="391" w:name="_Toc12004"/>
      <w:r>
        <w:rPr>
          <w:rFonts w:hint="eastAsia" w:ascii="仿宋_GB2312" w:hAnsi="仿宋_GB2312" w:eastAsia="仿宋_GB2312" w:cs="仿宋_GB2312"/>
          <w:b/>
          <w:sz w:val="32"/>
          <w:szCs w:val="32"/>
        </w:rPr>
        <w:t>2.21 履约保证金</w:t>
      </w:r>
      <w:bookmarkEnd w:id="389"/>
      <w:bookmarkEnd w:id="390"/>
      <w:bookmarkEnd w:id="391"/>
    </w:p>
    <w:p w14:paraId="4677CB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2.21.1 采购文件要求乙方提交履约保证金的，乙方应按</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约定的方式，以支票、汇票、本票或者金融机构、担保机构出具的保函等非现金形式，提交不超过合同价10%的履约保证金；</w:t>
      </w:r>
    </w:p>
    <w:p w14:paraId="1C032C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2.21.2  履约保证金在</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约定期间内或者货物质量保证期内不予退还或者应完全有效，前述约定期间届满或者货物质量保证期届满之日起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个工作日内，甲方应将履约保证金退还乙方；</w:t>
      </w:r>
    </w:p>
    <w:p w14:paraId="3F8067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6E318A6">
      <w:pPr>
        <w:spacing w:line="560" w:lineRule="exact"/>
        <w:ind w:firstLine="643" w:firstLineChars="200"/>
        <w:outlineLvl w:val="0"/>
        <w:rPr>
          <w:rFonts w:hint="eastAsia" w:ascii="仿宋_GB2312" w:hAnsi="仿宋_GB2312" w:eastAsia="仿宋_GB2312" w:cs="仿宋_GB2312"/>
          <w:b/>
          <w:sz w:val="32"/>
          <w:szCs w:val="32"/>
        </w:rPr>
      </w:pPr>
      <w:bookmarkStart w:id="392" w:name="_Toc6885"/>
      <w:bookmarkStart w:id="393" w:name="_Toc19890"/>
      <w:bookmarkStart w:id="394" w:name="_Toc14001"/>
      <w:r>
        <w:rPr>
          <w:rFonts w:hint="eastAsia" w:ascii="仿宋_GB2312" w:hAnsi="仿宋_GB2312" w:eastAsia="仿宋_GB2312" w:cs="仿宋_GB2312"/>
          <w:b/>
          <w:sz w:val="32"/>
          <w:szCs w:val="32"/>
        </w:rPr>
        <w:t>2.22 合同份数</w:t>
      </w:r>
      <w:bookmarkEnd w:id="392"/>
      <w:bookmarkEnd w:id="393"/>
      <w:bookmarkEnd w:id="394"/>
    </w:p>
    <w:p w14:paraId="53E722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合同份数按</w:t>
      </w:r>
      <w:r>
        <w:rPr>
          <w:rFonts w:hint="eastAsia" w:ascii="仿宋_GB2312" w:hAnsi="仿宋_GB2312" w:eastAsia="仿宋_GB2312" w:cs="仿宋_GB2312"/>
          <w:b/>
          <w:i/>
          <w:sz w:val="32"/>
          <w:szCs w:val="32"/>
          <w:u w:val="single"/>
        </w:rPr>
        <w:t>合同专用条款</w:t>
      </w:r>
      <w:r>
        <w:rPr>
          <w:rFonts w:hint="eastAsia" w:ascii="仿宋_GB2312" w:hAnsi="仿宋_GB2312" w:eastAsia="仿宋_GB2312" w:cs="仿宋_GB2312"/>
          <w:sz w:val="32"/>
          <w:szCs w:val="32"/>
        </w:rPr>
        <w:t>规定，每份均具有同等法律效力。</w:t>
      </w:r>
    </w:p>
    <w:p w14:paraId="1BEDBF02">
      <w:pPr>
        <w:pStyle w:val="69"/>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第三部分  合同专用条款</w:t>
      </w:r>
    </w:p>
    <w:p w14:paraId="0DC76B2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B3C7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5BDC51BC">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条款号</w:t>
            </w:r>
          </w:p>
        </w:tc>
        <w:tc>
          <w:tcPr>
            <w:tcW w:w="7633" w:type="dxa"/>
            <w:vAlign w:val="center"/>
          </w:tcPr>
          <w:p w14:paraId="661FC3AA">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约定内容</w:t>
            </w:r>
          </w:p>
        </w:tc>
      </w:tr>
      <w:tr w14:paraId="3B963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5E29D41D">
            <w:pPr>
              <w:spacing w:line="560" w:lineRule="exact"/>
              <w:rPr>
                <w:rFonts w:hint="eastAsia" w:ascii="仿宋_GB2312" w:hAnsi="仿宋_GB2312" w:eastAsia="仿宋_GB2312" w:cs="仿宋_GB2312"/>
                <w:sz w:val="32"/>
                <w:szCs w:val="32"/>
              </w:rPr>
            </w:pPr>
          </w:p>
        </w:tc>
        <w:tc>
          <w:tcPr>
            <w:tcW w:w="7633" w:type="dxa"/>
            <w:vAlign w:val="center"/>
          </w:tcPr>
          <w:p w14:paraId="7A659D74">
            <w:pPr>
              <w:spacing w:line="560" w:lineRule="exact"/>
              <w:rPr>
                <w:rFonts w:hint="eastAsia" w:ascii="仿宋_GB2312" w:hAnsi="仿宋_GB2312" w:eastAsia="仿宋_GB2312" w:cs="仿宋_GB2312"/>
                <w:sz w:val="32"/>
                <w:szCs w:val="32"/>
              </w:rPr>
            </w:pPr>
          </w:p>
        </w:tc>
      </w:tr>
      <w:tr w14:paraId="2C7AA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57CD21F">
            <w:pPr>
              <w:spacing w:line="560" w:lineRule="exact"/>
              <w:rPr>
                <w:rFonts w:hint="eastAsia" w:ascii="仿宋_GB2312" w:hAnsi="仿宋_GB2312" w:eastAsia="仿宋_GB2312" w:cs="仿宋_GB2312"/>
                <w:sz w:val="32"/>
                <w:szCs w:val="32"/>
              </w:rPr>
            </w:pPr>
          </w:p>
        </w:tc>
        <w:tc>
          <w:tcPr>
            <w:tcW w:w="7633" w:type="dxa"/>
            <w:vAlign w:val="center"/>
          </w:tcPr>
          <w:p w14:paraId="21770029">
            <w:pPr>
              <w:spacing w:line="560" w:lineRule="exact"/>
              <w:rPr>
                <w:rFonts w:hint="eastAsia" w:ascii="仿宋_GB2312" w:hAnsi="仿宋_GB2312" w:eastAsia="仿宋_GB2312" w:cs="仿宋_GB2312"/>
                <w:sz w:val="32"/>
                <w:szCs w:val="32"/>
              </w:rPr>
            </w:pPr>
          </w:p>
        </w:tc>
      </w:tr>
      <w:tr w14:paraId="5E5A1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2BF09D5">
            <w:pPr>
              <w:spacing w:line="560" w:lineRule="exact"/>
              <w:rPr>
                <w:rFonts w:hint="eastAsia" w:ascii="仿宋_GB2312" w:hAnsi="仿宋_GB2312" w:eastAsia="仿宋_GB2312" w:cs="仿宋_GB2312"/>
                <w:sz w:val="32"/>
                <w:szCs w:val="32"/>
              </w:rPr>
            </w:pPr>
          </w:p>
        </w:tc>
        <w:tc>
          <w:tcPr>
            <w:tcW w:w="7633" w:type="dxa"/>
            <w:vAlign w:val="center"/>
          </w:tcPr>
          <w:p w14:paraId="323B3180">
            <w:pPr>
              <w:spacing w:line="560" w:lineRule="exact"/>
              <w:rPr>
                <w:rFonts w:hint="eastAsia" w:ascii="仿宋_GB2312" w:hAnsi="仿宋_GB2312" w:eastAsia="仿宋_GB2312" w:cs="仿宋_GB2312"/>
                <w:sz w:val="32"/>
                <w:szCs w:val="32"/>
              </w:rPr>
            </w:pPr>
          </w:p>
        </w:tc>
      </w:tr>
      <w:tr w14:paraId="2A03E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E277760">
            <w:pPr>
              <w:spacing w:line="560" w:lineRule="exact"/>
              <w:rPr>
                <w:rFonts w:hint="eastAsia" w:ascii="仿宋_GB2312" w:hAnsi="仿宋_GB2312" w:eastAsia="仿宋_GB2312" w:cs="仿宋_GB2312"/>
                <w:sz w:val="32"/>
                <w:szCs w:val="32"/>
              </w:rPr>
            </w:pPr>
          </w:p>
        </w:tc>
        <w:tc>
          <w:tcPr>
            <w:tcW w:w="7633" w:type="dxa"/>
            <w:vAlign w:val="center"/>
          </w:tcPr>
          <w:p w14:paraId="366C469F">
            <w:pPr>
              <w:spacing w:line="560" w:lineRule="exact"/>
              <w:rPr>
                <w:rFonts w:hint="eastAsia" w:ascii="仿宋_GB2312" w:hAnsi="仿宋_GB2312" w:eastAsia="仿宋_GB2312" w:cs="仿宋_GB2312"/>
                <w:sz w:val="32"/>
                <w:szCs w:val="32"/>
              </w:rPr>
            </w:pPr>
          </w:p>
        </w:tc>
      </w:tr>
      <w:tr w14:paraId="649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3D3FCAC">
            <w:pPr>
              <w:spacing w:line="560" w:lineRule="exact"/>
              <w:rPr>
                <w:rFonts w:hint="eastAsia" w:ascii="仿宋_GB2312" w:hAnsi="仿宋_GB2312" w:eastAsia="仿宋_GB2312" w:cs="仿宋_GB2312"/>
                <w:sz w:val="32"/>
                <w:szCs w:val="32"/>
              </w:rPr>
            </w:pPr>
          </w:p>
        </w:tc>
        <w:tc>
          <w:tcPr>
            <w:tcW w:w="7633" w:type="dxa"/>
            <w:vAlign w:val="center"/>
          </w:tcPr>
          <w:p w14:paraId="64E8136E">
            <w:pPr>
              <w:spacing w:line="560" w:lineRule="exact"/>
              <w:rPr>
                <w:rFonts w:hint="eastAsia" w:ascii="仿宋_GB2312" w:hAnsi="仿宋_GB2312" w:eastAsia="仿宋_GB2312" w:cs="仿宋_GB2312"/>
                <w:sz w:val="32"/>
                <w:szCs w:val="32"/>
                <w:u w:val="single"/>
              </w:rPr>
            </w:pPr>
          </w:p>
        </w:tc>
      </w:tr>
      <w:tr w14:paraId="0F2E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01E7EC2">
            <w:pPr>
              <w:spacing w:line="560" w:lineRule="exact"/>
              <w:rPr>
                <w:rFonts w:hint="eastAsia" w:ascii="仿宋_GB2312" w:hAnsi="仿宋_GB2312" w:eastAsia="仿宋_GB2312" w:cs="仿宋_GB2312"/>
                <w:sz w:val="32"/>
                <w:szCs w:val="32"/>
              </w:rPr>
            </w:pPr>
          </w:p>
        </w:tc>
        <w:tc>
          <w:tcPr>
            <w:tcW w:w="7633" w:type="dxa"/>
            <w:vAlign w:val="center"/>
          </w:tcPr>
          <w:p w14:paraId="39BE3709">
            <w:pPr>
              <w:spacing w:line="560" w:lineRule="exact"/>
              <w:rPr>
                <w:rFonts w:hint="eastAsia" w:ascii="仿宋_GB2312" w:hAnsi="仿宋_GB2312" w:eastAsia="仿宋_GB2312" w:cs="仿宋_GB2312"/>
                <w:sz w:val="32"/>
                <w:szCs w:val="32"/>
              </w:rPr>
            </w:pPr>
          </w:p>
        </w:tc>
      </w:tr>
      <w:tr w14:paraId="7C009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A3621DA">
            <w:pPr>
              <w:spacing w:line="560" w:lineRule="exact"/>
              <w:rPr>
                <w:rFonts w:hint="eastAsia" w:ascii="仿宋_GB2312" w:hAnsi="仿宋_GB2312" w:eastAsia="仿宋_GB2312" w:cs="仿宋_GB2312"/>
                <w:sz w:val="32"/>
                <w:szCs w:val="32"/>
              </w:rPr>
            </w:pPr>
          </w:p>
        </w:tc>
        <w:tc>
          <w:tcPr>
            <w:tcW w:w="7633" w:type="dxa"/>
            <w:vAlign w:val="center"/>
          </w:tcPr>
          <w:p w14:paraId="5814B2F4">
            <w:pPr>
              <w:spacing w:line="560" w:lineRule="exact"/>
              <w:rPr>
                <w:rFonts w:hint="eastAsia" w:ascii="仿宋_GB2312" w:hAnsi="仿宋_GB2312" w:eastAsia="仿宋_GB2312" w:cs="仿宋_GB2312"/>
                <w:sz w:val="32"/>
                <w:szCs w:val="32"/>
                <w:u w:val="single"/>
              </w:rPr>
            </w:pPr>
          </w:p>
        </w:tc>
      </w:tr>
      <w:tr w14:paraId="33D06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E3716A7">
            <w:pPr>
              <w:spacing w:line="560" w:lineRule="exact"/>
              <w:rPr>
                <w:rFonts w:hint="eastAsia" w:ascii="仿宋_GB2312" w:hAnsi="仿宋_GB2312" w:eastAsia="仿宋_GB2312" w:cs="仿宋_GB2312"/>
                <w:sz w:val="32"/>
                <w:szCs w:val="32"/>
              </w:rPr>
            </w:pPr>
          </w:p>
        </w:tc>
        <w:tc>
          <w:tcPr>
            <w:tcW w:w="7633" w:type="dxa"/>
            <w:vAlign w:val="center"/>
          </w:tcPr>
          <w:p w14:paraId="4D42D352">
            <w:pPr>
              <w:spacing w:line="560" w:lineRule="exact"/>
              <w:rPr>
                <w:rFonts w:hint="eastAsia" w:ascii="仿宋_GB2312" w:hAnsi="仿宋_GB2312" w:eastAsia="仿宋_GB2312" w:cs="仿宋_GB2312"/>
                <w:sz w:val="32"/>
                <w:szCs w:val="32"/>
              </w:rPr>
            </w:pPr>
          </w:p>
        </w:tc>
      </w:tr>
      <w:tr w14:paraId="355BA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DF0B93C">
            <w:pPr>
              <w:spacing w:line="560" w:lineRule="exact"/>
              <w:rPr>
                <w:rFonts w:hint="eastAsia" w:ascii="仿宋_GB2312" w:hAnsi="仿宋_GB2312" w:eastAsia="仿宋_GB2312" w:cs="仿宋_GB2312"/>
                <w:sz w:val="32"/>
                <w:szCs w:val="32"/>
              </w:rPr>
            </w:pPr>
          </w:p>
        </w:tc>
        <w:tc>
          <w:tcPr>
            <w:tcW w:w="7633" w:type="dxa"/>
            <w:vAlign w:val="center"/>
          </w:tcPr>
          <w:p w14:paraId="4AD1A570">
            <w:pPr>
              <w:spacing w:line="560" w:lineRule="exact"/>
              <w:rPr>
                <w:rFonts w:hint="eastAsia" w:ascii="仿宋_GB2312" w:hAnsi="仿宋_GB2312" w:eastAsia="仿宋_GB2312" w:cs="仿宋_GB2312"/>
                <w:sz w:val="32"/>
                <w:szCs w:val="32"/>
              </w:rPr>
            </w:pPr>
          </w:p>
        </w:tc>
      </w:tr>
      <w:tr w14:paraId="6DD84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BAE13CE">
            <w:pPr>
              <w:spacing w:line="560" w:lineRule="exact"/>
              <w:rPr>
                <w:rFonts w:hint="eastAsia" w:ascii="仿宋_GB2312" w:hAnsi="仿宋_GB2312" w:eastAsia="仿宋_GB2312" w:cs="仿宋_GB2312"/>
                <w:sz w:val="32"/>
                <w:szCs w:val="32"/>
              </w:rPr>
            </w:pPr>
          </w:p>
        </w:tc>
        <w:tc>
          <w:tcPr>
            <w:tcW w:w="7633" w:type="dxa"/>
            <w:vAlign w:val="center"/>
          </w:tcPr>
          <w:p w14:paraId="6614330F">
            <w:pPr>
              <w:spacing w:line="560" w:lineRule="exact"/>
              <w:rPr>
                <w:rFonts w:hint="eastAsia" w:ascii="仿宋_GB2312" w:hAnsi="仿宋_GB2312" w:eastAsia="仿宋_GB2312" w:cs="仿宋_GB2312"/>
                <w:sz w:val="32"/>
                <w:szCs w:val="32"/>
              </w:rPr>
            </w:pPr>
          </w:p>
        </w:tc>
      </w:tr>
      <w:tr w14:paraId="16540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61ACC375">
            <w:pPr>
              <w:spacing w:line="560" w:lineRule="exact"/>
              <w:rPr>
                <w:rFonts w:hint="eastAsia" w:ascii="仿宋_GB2312" w:hAnsi="仿宋_GB2312" w:eastAsia="仿宋_GB2312" w:cs="仿宋_GB2312"/>
                <w:sz w:val="32"/>
                <w:szCs w:val="32"/>
              </w:rPr>
            </w:pPr>
          </w:p>
        </w:tc>
        <w:tc>
          <w:tcPr>
            <w:tcW w:w="7633" w:type="dxa"/>
            <w:tcBorders>
              <w:top w:val="single" w:color="auto" w:sz="6" w:space="0"/>
              <w:left w:val="single" w:color="auto" w:sz="6" w:space="0"/>
              <w:bottom w:val="single" w:color="auto" w:sz="6" w:space="0"/>
              <w:right w:val="single" w:color="auto" w:sz="6" w:space="0"/>
            </w:tcBorders>
            <w:vAlign w:val="center"/>
          </w:tcPr>
          <w:p w14:paraId="4DD03349">
            <w:pPr>
              <w:spacing w:line="560" w:lineRule="exact"/>
              <w:rPr>
                <w:rFonts w:hint="eastAsia" w:ascii="仿宋_GB2312" w:hAnsi="仿宋_GB2312" w:eastAsia="仿宋_GB2312" w:cs="仿宋_GB2312"/>
                <w:sz w:val="32"/>
                <w:szCs w:val="32"/>
              </w:rPr>
            </w:pPr>
          </w:p>
        </w:tc>
      </w:tr>
      <w:tr w14:paraId="2EFAD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62ED5652">
            <w:pPr>
              <w:spacing w:line="560" w:lineRule="exact"/>
              <w:rPr>
                <w:rFonts w:hint="eastAsia" w:ascii="仿宋_GB2312" w:hAnsi="仿宋_GB2312" w:eastAsia="仿宋_GB2312" w:cs="仿宋_GB2312"/>
                <w:sz w:val="32"/>
                <w:szCs w:val="32"/>
              </w:rPr>
            </w:pPr>
          </w:p>
        </w:tc>
        <w:tc>
          <w:tcPr>
            <w:tcW w:w="7633" w:type="dxa"/>
            <w:tcBorders>
              <w:top w:val="single" w:color="auto" w:sz="6" w:space="0"/>
              <w:left w:val="single" w:color="auto" w:sz="6" w:space="0"/>
              <w:bottom w:val="single" w:color="auto" w:sz="6" w:space="0"/>
              <w:right w:val="single" w:color="auto" w:sz="6" w:space="0"/>
            </w:tcBorders>
            <w:vAlign w:val="center"/>
          </w:tcPr>
          <w:p w14:paraId="2139C58A">
            <w:pPr>
              <w:spacing w:line="560" w:lineRule="exact"/>
              <w:rPr>
                <w:rFonts w:hint="eastAsia" w:ascii="仿宋_GB2312" w:hAnsi="仿宋_GB2312" w:eastAsia="仿宋_GB2312" w:cs="仿宋_GB2312"/>
                <w:sz w:val="32"/>
                <w:szCs w:val="32"/>
              </w:rPr>
            </w:pPr>
          </w:p>
        </w:tc>
      </w:tr>
    </w:tbl>
    <w:p w14:paraId="128A23AD">
      <w:pPr>
        <w:pStyle w:val="20"/>
        <w:keepNext w:val="0"/>
        <w:keepLines w:val="0"/>
        <w:pageBreakBefore w:val="0"/>
        <w:kinsoku/>
        <w:wordWrap/>
        <w:overflowPunct/>
        <w:topLinePunct w:val="0"/>
        <w:bidi w:val="0"/>
        <w:spacing w:line="500" w:lineRule="exact"/>
        <w:ind w:firstLine="321" w:firstLineChars="100"/>
        <w:textAlignment w:val="auto"/>
        <w:rPr>
          <w:rFonts w:hint="eastAsia" w:ascii="仿宋" w:hAnsi="仿宋" w:eastAsia="仿宋" w:cs="仿宋"/>
          <w:b/>
          <w:bCs/>
          <w:color w:val="auto"/>
          <w:sz w:val="24"/>
          <w:szCs w:val="24"/>
          <w:highlight w:val="none"/>
        </w:rPr>
        <w:sectPr>
          <w:headerReference r:id="rId8" w:type="default"/>
          <w:footerReference r:id="rId9" w:type="default"/>
          <w:type w:val="continuous"/>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color w:val="auto"/>
          <w:sz w:val="32"/>
          <w:szCs w:val="32"/>
          <w:highlight w:val="none"/>
        </w:rPr>
        <w:t>未尽事宜，在签订合同时具体约定。</w:t>
      </w:r>
    </w:p>
    <w:p w14:paraId="772E326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第五章   采购项目清单及参数要求</w:t>
      </w:r>
    </w:p>
    <w:p w14:paraId="1DE4D742">
      <w:pPr>
        <w:pStyle w:val="6"/>
        <w:numPr>
          <w:ilvl w:val="0"/>
          <w:numId w:val="0"/>
        </w:numPr>
        <w:ind w:right="0" w:rightChars="0"/>
        <w:jc w:val="center"/>
        <w:rPr>
          <w:rFonts w:hint="eastAsia" w:ascii="方正小标宋_GBK" w:hAnsi="方正小标宋_GBK" w:eastAsia="方正小标宋_GBK" w:cs="方正小标宋_GBK"/>
          <w:b/>
          <w:bCs/>
          <w:kern w:val="2"/>
          <w:sz w:val="32"/>
          <w:szCs w:val="32"/>
          <w:lang w:val="en-US" w:eastAsia="zh-CN" w:bidi="ar-SA"/>
        </w:rPr>
      </w:pPr>
      <w:r>
        <w:rPr>
          <w:rFonts w:hint="eastAsia" w:ascii="方正小标宋_GBK" w:hAnsi="方正小标宋_GBK" w:eastAsia="方正小标宋_GBK" w:cs="方正小标宋_GBK"/>
          <w:b/>
          <w:bCs/>
          <w:kern w:val="2"/>
          <w:sz w:val="32"/>
          <w:szCs w:val="32"/>
          <w:lang w:val="en-US" w:eastAsia="zh-CN" w:bidi="ar-SA"/>
        </w:rPr>
        <w:t>一标段清单</w:t>
      </w:r>
    </w:p>
    <w:tbl>
      <w:tblPr>
        <w:tblStyle w:val="29"/>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100"/>
        <w:gridCol w:w="1800"/>
        <w:gridCol w:w="1211"/>
        <w:gridCol w:w="2200"/>
        <w:gridCol w:w="2207"/>
      </w:tblGrid>
      <w:tr w14:paraId="1CA4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0" w:type="dxa"/>
            <w:vAlign w:val="center"/>
          </w:tcPr>
          <w:p w14:paraId="7AC988BA">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序号</w:t>
            </w:r>
          </w:p>
        </w:tc>
        <w:tc>
          <w:tcPr>
            <w:tcW w:w="3100" w:type="dxa"/>
            <w:vAlign w:val="center"/>
          </w:tcPr>
          <w:p w14:paraId="70AD4A65">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名称</w:t>
            </w:r>
          </w:p>
        </w:tc>
        <w:tc>
          <w:tcPr>
            <w:tcW w:w="1800" w:type="dxa"/>
            <w:vAlign w:val="center"/>
          </w:tcPr>
          <w:p w14:paraId="38723FDA">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数量</w:t>
            </w:r>
          </w:p>
        </w:tc>
        <w:tc>
          <w:tcPr>
            <w:tcW w:w="1211" w:type="dxa"/>
            <w:vAlign w:val="center"/>
          </w:tcPr>
          <w:p w14:paraId="5AB08335">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单位</w:t>
            </w:r>
          </w:p>
        </w:tc>
        <w:tc>
          <w:tcPr>
            <w:tcW w:w="2200" w:type="dxa"/>
            <w:vAlign w:val="center"/>
          </w:tcPr>
          <w:p w14:paraId="3D7BB6EE">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预算单价（元）</w:t>
            </w:r>
          </w:p>
        </w:tc>
        <w:tc>
          <w:tcPr>
            <w:tcW w:w="2207" w:type="dxa"/>
            <w:vAlign w:val="center"/>
          </w:tcPr>
          <w:p w14:paraId="19CFF407">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质保年限</w:t>
            </w:r>
          </w:p>
        </w:tc>
      </w:tr>
      <w:tr w14:paraId="276D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820" w:type="dxa"/>
            <w:vAlign w:val="center"/>
          </w:tcPr>
          <w:p w14:paraId="10EF6BC4">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p>
        </w:tc>
        <w:tc>
          <w:tcPr>
            <w:tcW w:w="3100" w:type="dxa"/>
            <w:vAlign w:val="center"/>
          </w:tcPr>
          <w:p w14:paraId="132B1144">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X、r辐射检测仪</w:t>
            </w:r>
          </w:p>
        </w:tc>
        <w:tc>
          <w:tcPr>
            <w:tcW w:w="1800" w:type="dxa"/>
            <w:vAlign w:val="center"/>
          </w:tcPr>
          <w:p w14:paraId="19978782">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1211" w:type="dxa"/>
            <w:vAlign w:val="center"/>
          </w:tcPr>
          <w:p w14:paraId="24F9C7C3">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00" w:type="dxa"/>
            <w:vAlign w:val="center"/>
          </w:tcPr>
          <w:p w14:paraId="16D66B2A">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aps w:val="0"/>
                <w:spacing w:val="0"/>
                <w:sz w:val="32"/>
                <w:szCs w:val="32"/>
                <w:shd w:val="clear" w:fill="FFFFFF"/>
                <w:lang w:val="en-US" w:eastAsia="zh-CN"/>
              </w:rPr>
              <w:t>60000</w:t>
            </w:r>
          </w:p>
        </w:tc>
        <w:tc>
          <w:tcPr>
            <w:tcW w:w="2207" w:type="dxa"/>
            <w:vAlign w:val="center"/>
          </w:tcPr>
          <w:p w14:paraId="0583091D">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r>
      <w:tr w14:paraId="07E9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820" w:type="dxa"/>
            <w:vAlign w:val="center"/>
          </w:tcPr>
          <w:p w14:paraId="69C57D7D">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p>
        </w:tc>
        <w:tc>
          <w:tcPr>
            <w:tcW w:w="3100" w:type="dxa"/>
            <w:vAlign w:val="center"/>
          </w:tcPr>
          <w:p w14:paraId="2732D732">
            <w:pPr>
              <w:wordWrap/>
              <w:spacing w:after="0" w:line="24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输液泵</w:t>
            </w:r>
          </w:p>
        </w:tc>
        <w:tc>
          <w:tcPr>
            <w:tcW w:w="1800" w:type="dxa"/>
            <w:vAlign w:val="center"/>
          </w:tcPr>
          <w:p w14:paraId="4125B36D">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1211" w:type="dxa"/>
            <w:vAlign w:val="center"/>
          </w:tcPr>
          <w:p w14:paraId="10F2C61A">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00" w:type="dxa"/>
            <w:vAlign w:val="center"/>
          </w:tcPr>
          <w:p w14:paraId="6C375918">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aps w:val="0"/>
                <w:spacing w:val="0"/>
                <w:sz w:val="32"/>
                <w:szCs w:val="32"/>
                <w:shd w:val="clear" w:fill="FFFFFF"/>
                <w:lang w:val="en-US" w:eastAsia="zh-CN"/>
              </w:rPr>
              <w:t>4000</w:t>
            </w:r>
          </w:p>
        </w:tc>
        <w:tc>
          <w:tcPr>
            <w:tcW w:w="2207" w:type="dxa"/>
            <w:vAlign w:val="center"/>
          </w:tcPr>
          <w:p w14:paraId="371F8AFF">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lang w:val="en-US" w:eastAsia="zh-CN" w:bidi="ar-SA"/>
              </w:rPr>
              <w:t>≥5</w:t>
            </w:r>
          </w:p>
        </w:tc>
      </w:tr>
      <w:tr w14:paraId="0264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820" w:type="dxa"/>
            <w:vAlign w:val="center"/>
          </w:tcPr>
          <w:p w14:paraId="2BD93BA0">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3100" w:type="dxa"/>
            <w:vAlign w:val="center"/>
          </w:tcPr>
          <w:p w14:paraId="59C899B6">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红外线</w:t>
            </w:r>
          </w:p>
        </w:tc>
        <w:tc>
          <w:tcPr>
            <w:tcW w:w="1800" w:type="dxa"/>
            <w:vAlign w:val="center"/>
          </w:tcPr>
          <w:p w14:paraId="299E2221">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1211" w:type="dxa"/>
            <w:vAlign w:val="center"/>
          </w:tcPr>
          <w:p w14:paraId="1BBF8014">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00" w:type="dxa"/>
            <w:vAlign w:val="center"/>
          </w:tcPr>
          <w:p w14:paraId="14A38E0F">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500</w:t>
            </w:r>
          </w:p>
        </w:tc>
        <w:tc>
          <w:tcPr>
            <w:tcW w:w="2207" w:type="dxa"/>
            <w:vAlign w:val="center"/>
          </w:tcPr>
          <w:p w14:paraId="4093974C">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r>
      <w:tr w14:paraId="10A6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820" w:type="dxa"/>
            <w:vAlign w:val="center"/>
          </w:tcPr>
          <w:p w14:paraId="1CF32BE1">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tc>
        <w:tc>
          <w:tcPr>
            <w:tcW w:w="3100" w:type="dxa"/>
            <w:vAlign w:val="center"/>
          </w:tcPr>
          <w:p w14:paraId="001F3AF7">
            <w:pPr>
              <w:wordWrap/>
              <w:spacing w:after="0" w:line="360" w:lineRule="auto"/>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光子治疗仪</w:t>
            </w:r>
          </w:p>
        </w:tc>
        <w:tc>
          <w:tcPr>
            <w:tcW w:w="1800" w:type="dxa"/>
            <w:vAlign w:val="center"/>
          </w:tcPr>
          <w:p w14:paraId="0E7CBEE5">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1211" w:type="dxa"/>
            <w:vAlign w:val="center"/>
          </w:tcPr>
          <w:p w14:paraId="3EBC39E9">
            <w:pPr>
              <w:wordWrap/>
              <w:spacing w:after="0" w:line="360" w:lineRule="auto"/>
              <w:jc w:val="center"/>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00" w:type="dxa"/>
            <w:vAlign w:val="center"/>
          </w:tcPr>
          <w:p w14:paraId="016E690E">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100000</w:t>
            </w:r>
          </w:p>
        </w:tc>
        <w:tc>
          <w:tcPr>
            <w:tcW w:w="2207" w:type="dxa"/>
            <w:vAlign w:val="center"/>
          </w:tcPr>
          <w:p w14:paraId="4FF7C481">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r>
      <w:tr w14:paraId="434A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820" w:type="dxa"/>
            <w:vAlign w:val="center"/>
          </w:tcPr>
          <w:p w14:paraId="24291091">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c>
          <w:tcPr>
            <w:tcW w:w="3100" w:type="dxa"/>
            <w:vAlign w:val="center"/>
          </w:tcPr>
          <w:p w14:paraId="0AB41619">
            <w:pPr>
              <w:wordWrap/>
              <w:spacing w:after="0" w:line="360" w:lineRule="auto"/>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308nm紫外线光疗仪</w:t>
            </w:r>
          </w:p>
        </w:tc>
        <w:tc>
          <w:tcPr>
            <w:tcW w:w="1800" w:type="dxa"/>
            <w:vAlign w:val="center"/>
          </w:tcPr>
          <w:p w14:paraId="2397CAB9">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1211" w:type="dxa"/>
            <w:vAlign w:val="center"/>
          </w:tcPr>
          <w:p w14:paraId="128C2CFB">
            <w:pPr>
              <w:wordWrap/>
              <w:spacing w:after="0" w:line="360" w:lineRule="auto"/>
              <w:jc w:val="center"/>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00" w:type="dxa"/>
            <w:vAlign w:val="center"/>
          </w:tcPr>
          <w:p w14:paraId="5A63C356">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220000</w:t>
            </w:r>
          </w:p>
        </w:tc>
        <w:tc>
          <w:tcPr>
            <w:tcW w:w="2207" w:type="dxa"/>
            <w:vAlign w:val="center"/>
          </w:tcPr>
          <w:p w14:paraId="4FA1D33C">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r>
      <w:tr w14:paraId="1CB3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820" w:type="dxa"/>
            <w:vAlign w:val="center"/>
          </w:tcPr>
          <w:p w14:paraId="776066A4">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3100" w:type="dxa"/>
            <w:vAlign w:val="center"/>
          </w:tcPr>
          <w:p w14:paraId="218CCAB2">
            <w:pPr>
              <w:wordWrap/>
              <w:spacing w:after="0" w:line="360" w:lineRule="auto"/>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A2生物安全柜</w:t>
            </w:r>
          </w:p>
        </w:tc>
        <w:tc>
          <w:tcPr>
            <w:tcW w:w="1800" w:type="dxa"/>
            <w:vAlign w:val="center"/>
          </w:tcPr>
          <w:p w14:paraId="102DC172">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1211" w:type="dxa"/>
            <w:vAlign w:val="center"/>
          </w:tcPr>
          <w:p w14:paraId="3913A461">
            <w:pPr>
              <w:wordWrap/>
              <w:spacing w:after="0" w:line="360" w:lineRule="auto"/>
              <w:jc w:val="center"/>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00" w:type="dxa"/>
            <w:vAlign w:val="center"/>
          </w:tcPr>
          <w:p w14:paraId="439F2172">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35000</w:t>
            </w:r>
          </w:p>
        </w:tc>
        <w:tc>
          <w:tcPr>
            <w:tcW w:w="2207" w:type="dxa"/>
            <w:vAlign w:val="center"/>
          </w:tcPr>
          <w:p w14:paraId="51C966D6">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r>
      <w:tr w14:paraId="2795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1338" w:type="dxa"/>
            <w:gridSpan w:val="6"/>
            <w:vAlign w:val="center"/>
          </w:tcPr>
          <w:p w14:paraId="6E6127E0">
            <w:pPr>
              <w:wordWrap/>
              <w:spacing w:after="0" w:line="36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 xml:space="preserve">总价预算金额：630000.00 元  </w:t>
            </w:r>
          </w:p>
        </w:tc>
      </w:tr>
    </w:tbl>
    <w:p w14:paraId="2E58C13F">
      <w:pPr>
        <w:rPr>
          <w:rFonts w:hint="default"/>
          <w:lang w:val="en-US" w:eastAsia="zh-CN"/>
        </w:rPr>
      </w:pPr>
    </w:p>
    <w:p w14:paraId="4B9C5CB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bookmarkStart w:id="395" w:name="_Toc10572"/>
      <w:r>
        <w:rPr>
          <w:rFonts w:hint="eastAsia" w:ascii="黑体" w:hAnsi="黑体" w:eastAsia="黑体" w:cs="黑体"/>
          <w:b w:val="0"/>
          <w:bCs w:val="0"/>
          <w:kern w:val="2"/>
          <w:sz w:val="32"/>
          <w:szCs w:val="32"/>
          <w:lang w:val="en-US" w:eastAsia="zh-CN" w:bidi="ar-SA"/>
        </w:rPr>
        <w:t>一、X、r辐射检测仪</w:t>
      </w:r>
    </w:p>
    <w:p w14:paraId="0EC15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用途：</w:t>
      </w:r>
    </w:p>
    <w:p w14:paraId="53576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xml:space="preserve">    可以在多种射线防护场所下进行X、γ环境剂量当量率的测定、包括评估环境剂量当量率、医用防护评估的X 射线（含低能、短时曝光）。附加功能包括检测软、硬伽玛射线源，β放射源，通过曝光时间的调节来修正所测量脉冲或短期辐射及移动中的源。</w:t>
      </w:r>
    </w:p>
    <w:p w14:paraId="6FA2FC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▲1.仪器有连续辐射剂量率、短期辐射剂量率、脉冲辐射、搜索放射源四种测量模式。</w:t>
      </w:r>
    </w:p>
    <w:p w14:paraId="63D98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2.环境剂量当量：10 nSv -10Sv。</w:t>
      </w:r>
    </w:p>
    <w:p w14:paraId="2CEB2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3.连续辐射的环境剂量率当量：0.01μSv/h-1000 μSv/h</w:t>
      </w:r>
    </w:p>
    <w:p w14:paraId="5BE73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短时辐射的环境剂量率当量：5 μSv/h-10 Sv/h</w:t>
      </w:r>
    </w:p>
    <w:p w14:paraId="57D48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4.最小脉冲时间：≥30ms。</w:t>
      </w:r>
    </w:p>
    <w:p w14:paraId="3943F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★5.能量范围：0.015-10MeV。</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p>
    <w:p w14:paraId="79AE1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6.137Cs 能量响应灵敏度：from 10 keV to 60 keV±35%</w:t>
      </w:r>
    </w:p>
    <w:p w14:paraId="5786D0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from 60 keV to 3 MeV ±25%</w:t>
      </w:r>
    </w:p>
    <w:p w14:paraId="7F066D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from 3 MeV to 10 MeV ±50% 。</w:t>
      </w:r>
    </w:p>
    <w:p w14:paraId="38FD0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7.137Cs 灵敏度 ≥ 65cps/μSvh-1。</w:t>
      </w:r>
    </w:p>
    <w:p w14:paraId="533D5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▲8.伴随性β辐射灵敏度：3*10-7μSv/h-1·Bq-1。</w:t>
      </w:r>
    </w:p>
    <w:p w14:paraId="7C997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9.连续操作时间：交流电或直流电不少于 24h,内置蓄电池不少于12h。</w:t>
      </w:r>
    </w:p>
    <w:p w14:paraId="4412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10.操作温度范围：-20-+50℃。</w:t>
      </w:r>
    </w:p>
    <w:p w14:paraId="2BADD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▲11.操作温度范围内补偿误差±10%。</w:t>
      </w:r>
    </w:p>
    <w:p w14:paraId="5DF9D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12.相对湿度(+35°C)≤95%。</w:t>
      </w:r>
    </w:p>
    <w:p w14:paraId="21995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13.具备不同场景统计算法及自动记录。</w:t>
      </w:r>
    </w:p>
    <w:p w14:paraId="620B5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14.防护等级≥ IP54。</w:t>
      </w:r>
    </w:p>
    <w:p w14:paraId="24B87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15.重量：≤1kg。</w:t>
      </w:r>
    </w:p>
    <w:p w14:paraId="66692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★16.要求提供2个年度的国内一级计量站出具的检定证书（出具承诺</w:t>
      </w:r>
      <w:r>
        <w:rPr>
          <w:rFonts w:hint="eastAsia" w:ascii="仿宋_GB2312" w:hAnsi="仿宋_GB2312" w:eastAsia="仿宋_GB2312" w:cs="仿宋_GB2312"/>
          <w:kern w:val="2"/>
          <w:sz w:val="32"/>
          <w:szCs w:val="32"/>
          <w:lang w:val="en-US" w:eastAsia="zh-CN" w:bidi="ar-SA"/>
        </w:rPr>
        <w:t>函</w:t>
      </w:r>
      <w:r>
        <w:rPr>
          <w:rFonts w:hint="default" w:ascii="仿宋_GB2312" w:hAnsi="仿宋_GB2312" w:eastAsia="仿宋_GB2312" w:cs="仿宋_GB2312"/>
          <w:kern w:val="2"/>
          <w:sz w:val="32"/>
          <w:szCs w:val="32"/>
          <w:lang w:val="en-US" w:eastAsia="zh-CN" w:bidi="ar-SA"/>
        </w:rPr>
        <w:t>）。</w:t>
      </w:r>
    </w:p>
    <w:p w14:paraId="26E05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17.安装：技术人员在最终用户方现场开箱、安装、调试，协同用户一起进行验收，直至仪器技术指标经验收合格，出具验收报告，经最终用户同意签字才正式交付用户使用。</w:t>
      </w:r>
    </w:p>
    <w:p w14:paraId="681C5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★18.保修：质保期5年，提供终</w:t>
      </w:r>
      <w:r>
        <w:rPr>
          <w:rFonts w:hint="eastAsia" w:ascii="仿宋_GB2312" w:hAnsi="仿宋_GB2312" w:eastAsia="仿宋_GB2312" w:cs="仿宋_GB2312"/>
          <w:kern w:val="2"/>
          <w:sz w:val="32"/>
          <w:szCs w:val="32"/>
          <w:lang w:val="en-US" w:eastAsia="zh-CN" w:bidi="ar-SA"/>
        </w:rPr>
        <w:t>身</w:t>
      </w:r>
      <w:r>
        <w:rPr>
          <w:rFonts w:hint="default" w:ascii="仿宋_GB2312" w:hAnsi="仿宋_GB2312" w:eastAsia="仿宋_GB2312" w:cs="仿宋_GB2312"/>
          <w:kern w:val="2"/>
          <w:sz w:val="32"/>
          <w:szCs w:val="32"/>
          <w:lang w:val="en-US" w:eastAsia="zh-CN" w:bidi="ar-SA"/>
        </w:rPr>
        <w:t>维修等技术服务保障承诺，仪器出现故障，维修期间应提供备用仪器或服务。完成维修后需同时提供国内一级计量站出具的检定证书，因维修产生的检定费用由中标人承担。</w:t>
      </w:r>
      <w:r>
        <w:rPr>
          <w:rFonts w:hint="eastAsia" w:ascii="仿宋_GB2312" w:hAnsi="仿宋_GB2312" w:eastAsia="仿宋_GB2312" w:cs="仿宋_GB2312"/>
          <w:kern w:val="2"/>
          <w:sz w:val="32"/>
          <w:szCs w:val="32"/>
          <w:lang w:val="en-US" w:eastAsia="zh-CN" w:bidi="ar-SA"/>
        </w:rPr>
        <w:t>（提供承诺函）</w:t>
      </w:r>
    </w:p>
    <w:p w14:paraId="3634EBFA">
      <w:pPr>
        <w:pStyle w:val="16"/>
        <w:rPr>
          <w:rFonts w:hint="default"/>
          <w:lang w:val="en-US" w:eastAsia="zh-CN"/>
        </w:rPr>
      </w:pPr>
    </w:p>
    <w:p w14:paraId="7586953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val="0"/>
          <w:kern w:val="2"/>
          <w:sz w:val="32"/>
          <w:szCs w:val="32"/>
          <w:lang w:val="en-US" w:eastAsia="zh-CN" w:bidi="ar-SA"/>
        </w:rPr>
        <w:t>二、输液泵</w:t>
      </w:r>
    </w:p>
    <w:p w14:paraId="2ED5A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1.操作界面具有防止患者、液体误触功能</w:t>
      </w:r>
    </w:p>
    <w:p w14:paraId="2B753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2.≥5种输液模式可选 </w:t>
      </w:r>
    </w:p>
    <w:p w14:paraId="0EBD2C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★3.输液速度：≤0.1ml，≥1100ml/h</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p>
    <w:p w14:paraId="537489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★4.输液精度：≤±5%</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p>
    <w:p w14:paraId="7F3F6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▲5.可以选择≥3种快进方式 </w:t>
      </w:r>
    </w:p>
    <w:p w14:paraId="5A5B4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6.具有单个气泡监测，可探测≤25ul气泡</w:t>
      </w:r>
    </w:p>
    <w:p w14:paraId="3012F4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▲7.电动止液夹，按动【止液夹】按键，止液夹会自动打开或者关闭</w:t>
      </w:r>
    </w:p>
    <w:p w14:paraId="398CF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▲8.电动泵门：开泵门按键，按键即可自动打开泵门</w:t>
      </w:r>
    </w:p>
    <w:p w14:paraId="72329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药量：至少具有选药量单位ng、μg、mg、g、U、kU、IU、EU、mmol、mol、kcal等。</w:t>
      </w:r>
    </w:p>
    <w:p w14:paraId="63BC8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10.输液预制量设置：0.1-9999ml</w:t>
      </w:r>
    </w:p>
    <w:p w14:paraId="734A20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11.累积量范围：0.1-9999ml</w:t>
      </w:r>
    </w:p>
    <w:p w14:paraId="343ED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12.KVO速度0.10-5.00mL/h</w:t>
      </w:r>
    </w:p>
    <w:p w14:paraId="0C6DA5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13.阻塞等级：3级可调</w:t>
      </w:r>
    </w:p>
    <w:p w14:paraId="31E517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14.输液中无需暂停可更改输液速度。</w:t>
      </w:r>
    </w:p>
    <w:p w14:paraId="2105A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15.防护等级≥IPX2</w:t>
      </w:r>
    </w:p>
    <w:p w14:paraId="0E8EC9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16.充满电后，可使用时长≥5h@25ml/h</w:t>
      </w:r>
    </w:p>
    <w:p w14:paraId="62904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17.单台输液泵重量≤2kg</w:t>
      </w:r>
    </w:p>
    <w:p w14:paraId="384A95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18.输液即将完成的提醒时间：1-30min可调</w:t>
      </w:r>
    </w:p>
    <w:p w14:paraId="681E0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19.每台配备2个移动输液架，承重≥5kg</w:t>
      </w:r>
    </w:p>
    <w:p w14:paraId="0A79B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20.使用年限10年</w:t>
      </w:r>
    </w:p>
    <w:p w14:paraId="5CB0C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21.质保期≥5年，在故障期间提供备用机。</w:t>
      </w:r>
    </w:p>
    <w:p w14:paraId="240C42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22.配备悬挂操作流程图</w:t>
      </w:r>
    </w:p>
    <w:p w14:paraId="71918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23.提供医护人员使用前培训</w:t>
      </w:r>
    </w:p>
    <w:p w14:paraId="7E5763F7">
      <w:pPr>
        <w:pStyle w:val="16"/>
        <w:rPr>
          <w:rFonts w:hint="eastAsia"/>
          <w:lang w:val="en-US" w:eastAsia="zh-CN"/>
        </w:rPr>
      </w:pPr>
    </w:p>
    <w:p w14:paraId="7281663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val="0"/>
          <w:kern w:val="2"/>
          <w:sz w:val="32"/>
          <w:szCs w:val="32"/>
          <w:lang w:val="en-US" w:eastAsia="zh-CN" w:bidi="ar-SA"/>
        </w:rPr>
        <w:t>三、红外线治疗仪（</w:t>
      </w:r>
      <w:r>
        <w:rPr>
          <w:rFonts w:hint="eastAsia" w:ascii="黑体" w:hAnsi="黑体" w:eastAsia="黑体" w:cs="黑体"/>
          <w:b w:val="0"/>
          <w:bCs w:val="0"/>
          <w:sz w:val="32"/>
          <w:szCs w:val="32"/>
          <w:lang w:eastAsia="zh-CN"/>
        </w:rPr>
        <w:t>电磁波谱治疗器</w:t>
      </w:r>
      <w:r>
        <w:rPr>
          <w:rFonts w:hint="eastAsia" w:ascii="黑体" w:hAnsi="黑体" w:eastAsia="黑体" w:cs="黑体"/>
          <w:b w:val="0"/>
          <w:bCs w:val="0"/>
          <w:kern w:val="2"/>
          <w:sz w:val="32"/>
          <w:szCs w:val="32"/>
          <w:lang w:val="en-US" w:eastAsia="zh-CN" w:bidi="ar-SA"/>
        </w:rPr>
        <w:t>）</w:t>
      </w:r>
    </w:p>
    <w:p w14:paraId="4B9ED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1.产品式样：移动立式单大头                </w:t>
      </w:r>
    </w:p>
    <w:p w14:paraId="10A9D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2.输入功率：≥250W</w:t>
      </w:r>
    </w:p>
    <w:p w14:paraId="74193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3.电源电压:AC220V，50Hz</w:t>
      </w:r>
    </w:p>
    <w:p w14:paraId="5CAB8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4.工作环境：环境温度:5℃~40℃；相对湿度：＜80%</w:t>
      </w:r>
    </w:p>
    <w:p w14:paraId="449B9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5.存储温度：-40℃-55℃；相对湿度:≤90%</w:t>
      </w:r>
    </w:p>
    <w:p w14:paraId="7E938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★6.波长范围：2um ～25um</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p>
    <w:p w14:paraId="2CAEA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7.计时方式：机械定时（0-60分钟可调）；  </w:t>
      </w:r>
    </w:p>
    <w:p w14:paraId="3C34C9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8.治疗板直径：≥150mm平面元素板；</w:t>
      </w:r>
    </w:p>
    <w:p w14:paraId="51D89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9.支臂提升范围：450-1400mm；                </w:t>
      </w:r>
    </w:p>
    <w:p w14:paraId="1A8CD9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10.支臂伸缩范围：0-550mm；</w:t>
      </w:r>
    </w:p>
    <w:p w14:paraId="56148E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11.治疗头方位⻆：0-180°；</w:t>
      </w:r>
    </w:p>
    <w:p w14:paraId="6C43D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12.治疗头俯仰角：0-270°：</w:t>
      </w:r>
    </w:p>
    <w:p w14:paraId="1438F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13.质保期2年</w:t>
      </w:r>
    </w:p>
    <w:p w14:paraId="7CA71287">
      <w:pPr>
        <w:keepNext w:val="0"/>
        <w:keepLines w:val="0"/>
        <w:pageBreakBefore w:val="0"/>
        <w:widowControl/>
        <w:numPr>
          <w:ilvl w:val="0"/>
          <w:numId w:val="0"/>
        </w:numPr>
        <w:tabs>
          <w:tab w:val="left" w:pos="403"/>
        </w:tabs>
        <w:kinsoku/>
        <w:wordWrap/>
        <w:overflowPunct/>
        <w:topLinePunct w:val="0"/>
        <w:autoSpaceDE/>
        <w:autoSpaceDN/>
        <w:bidi w:val="0"/>
        <w:adjustRightInd/>
        <w:snapToGrid/>
        <w:spacing w:line="240" w:lineRule="auto"/>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四、光子治疗仪</w:t>
      </w:r>
    </w:p>
    <w:p w14:paraId="680A4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1.产品注册登记表的适用范围适用于消炎、镇痛，对体表创面有止渗液、促进肉芽组织生长、加速愈合的作用</w:t>
      </w:r>
    </w:p>
    <w:p w14:paraId="6F68F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光源材料：半导体固态冷光源</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p>
    <w:p w14:paraId="4409E8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3.峰值波长：红光：640±10nm          蓝光：460±10nm</w:t>
      </w:r>
    </w:p>
    <w:p w14:paraId="70C0FA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▲4.具有至少4种以上距离下光功率密度</w:t>
      </w:r>
    </w:p>
    <w:p w14:paraId="59D0D2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（1）光功率密度（光源表面测量）   红光：≥4000mW/c㎡     蓝光：≥4000mW/c㎡</w:t>
      </w:r>
    </w:p>
    <w:p w14:paraId="70BE0E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（2）特定照射距离下的温升和光功率密度（在距离光杯口平面中心轴15cm处，环境温度26℃的条件下，单次照射15min后，）水膜温升≤3℃，光功率密度≥40mW/cm2</w:t>
      </w:r>
    </w:p>
    <w:p w14:paraId="10C47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（3）治疗距离下光功率密度：距芯片表面中心垂直15cm处，最高光功率密度≥40mW/cm2</w:t>
      </w:r>
    </w:p>
    <w:p w14:paraId="09A8E6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（4）出光口最大光功率密度：≥100mW/cm2</w:t>
      </w:r>
    </w:p>
    <w:p w14:paraId="2423C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5.最大输出光功率（光杯口平面）≥12W</w:t>
      </w:r>
    </w:p>
    <w:p w14:paraId="053DF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6.光源治疗 </w:t>
      </w:r>
      <w:r>
        <w:rPr>
          <w:rFonts w:hint="default" w:ascii="仿宋_GB2312" w:hAnsi="仿宋_GB2312" w:eastAsia="仿宋_GB2312" w:cs="仿宋_GB2312"/>
          <w:kern w:val="2"/>
          <w:sz w:val="32"/>
          <w:szCs w:val="32"/>
          <w:lang w:val="en-US" w:eastAsia="zh-CN" w:bidi="ar-SA"/>
        </w:rPr>
        <w:t xml:space="preserve">15min </w:t>
      </w:r>
      <w:r>
        <w:rPr>
          <w:rFonts w:hint="eastAsia" w:ascii="仿宋_GB2312" w:hAnsi="仿宋_GB2312" w:eastAsia="仿宋_GB2312" w:cs="仿宋_GB2312"/>
          <w:kern w:val="2"/>
          <w:sz w:val="32"/>
          <w:szCs w:val="32"/>
          <w:lang w:val="en-US" w:eastAsia="zh-CN" w:bidi="ar-SA"/>
        </w:rPr>
        <w:t>后，光源外壳（不包括光 杯口平面和散热栅及周围）温度应不高于 40</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w:t>
      </w:r>
    </w:p>
    <w:p w14:paraId="199D93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▲7.具有脉率生物信息反馈功能</w:t>
      </w:r>
    </w:p>
    <w:p w14:paraId="5DC0B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8.具有自定义治疗方案功能</w:t>
      </w:r>
    </w:p>
    <w:p w14:paraId="5930B4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9.治疗仪最大治疗深度≥10cm</w:t>
      </w:r>
    </w:p>
    <w:p w14:paraId="29CB4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10.最大有效治疗面积≥1200c㎡（修改为≥1200）</w:t>
      </w:r>
    </w:p>
    <w:p w14:paraId="40472C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11.光杯口平面面积≥300c㎡   </w:t>
      </w:r>
    </w:p>
    <w:p w14:paraId="21127A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▲12.有效红光辐照度距离出光口15cm有效红光辐照度≥30 </w:t>
      </w:r>
      <w:r>
        <w:rPr>
          <w:rFonts w:hint="default" w:ascii="仿宋_GB2312" w:hAnsi="仿宋_GB2312" w:eastAsia="仿宋_GB2312" w:cs="仿宋_GB2312"/>
          <w:kern w:val="2"/>
          <w:sz w:val="32"/>
          <w:szCs w:val="32"/>
          <w:lang w:val="en-US" w:eastAsia="zh-CN" w:bidi="ar-SA"/>
        </w:rPr>
        <w:t>mW/c m2</w:t>
      </w:r>
    </w:p>
    <w:p w14:paraId="33449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光功率稳定度光功率变化率≤±1%</w:t>
      </w:r>
    </w:p>
    <w:p w14:paraId="2929F4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14.能量调节方式≥五级焦耳剂量能量调节</w:t>
      </w:r>
    </w:p>
    <w:p w14:paraId="25CD7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15.照射治疗模式持续/脉冲照射治疗</w:t>
      </w:r>
    </w:p>
    <w:p w14:paraId="01CD1A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16.定时时间可从1min～99min连续可调</w:t>
      </w:r>
    </w:p>
    <w:p w14:paraId="0DB57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17.操作面板≥7寸触摸屏、液晶显示</w:t>
      </w:r>
    </w:p>
    <w:p w14:paraId="022A9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18.输入功率≤450VA</w:t>
      </w:r>
    </w:p>
    <w:p w14:paraId="00762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19.</w:t>
      </w:r>
      <w:r>
        <w:rPr>
          <w:rFonts w:hint="default" w:ascii="仿宋_GB2312" w:hAnsi="仿宋_GB2312" w:eastAsia="仿宋_GB2312" w:cs="仿宋_GB2312"/>
          <w:kern w:val="2"/>
          <w:sz w:val="32"/>
          <w:szCs w:val="32"/>
          <w:lang w:val="en-US" w:eastAsia="zh-CN" w:bidi="ar-SA"/>
        </w:rPr>
        <w:t>设备使用期限</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10年;(提供</w:t>
      </w:r>
      <w:r>
        <w:rPr>
          <w:rFonts w:hint="eastAsia" w:ascii="仿宋_GB2312" w:hAnsi="仿宋_GB2312" w:eastAsia="仿宋_GB2312" w:cs="仿宋_GB2312"/>
          <w:kern w:val="2"/>
          <w:sz w:val="32"/>
          <w:szCs w:val="32"/>
          <w:lang w:val="en-US" w:eastAsia="zh-CN" w:bidi="ar-SA"/>
        </w:rPr>
        <w:t>说明书证明</w:t>
      </w:r>
      <w:r>
        <w:rPr>
          <w:rFonts w:hint="default" w:ascii="仿宋_GB2312" w:hAnsi="仿宋_GB2312" w:eastAsia="仿宋_GB2312" w:cs="仿宋_GB2312"/>
          <w:kern w:val="2"/>
          <w:sz w:val="32"/>
          <w:szCs w:val="32"/>
          <w:lang w:val="en-US" w:eastAsia="zh-CN" w:bidi="ar-SA"/>
        </w:rPr>
        <w:t>)</w:t>
      </w:r>
    </w:p>
    <w:p w14:paraId="3053C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★20.质保期五年（提供承诺函）</w:t>
      </w:r>
    </w:p>
    <w:p w14:paraId="43E8A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配置要求</w:t>
      </w:r>
    </w:p>
    <w:tbl>
      <w:tblPr>
        <w:tblStyle w:val="28"/>
        <w:tblW w:w="833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62"/>
        <w:gridCol w:w="3185"/>
        <w:gridCol w:w="1401"/>
        <w:gridCol w:w="1991"/>
      </w:tblGrid>
      <w:tr w14:paraId="223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74" w:hRule="atLeast"/>
          <w:tblCellSpacing w:w="15" w:type="dxa"/>
          <w:jc w:val="center"/>
        </w:trPr>
        <w:tc>
          <w:tcPr>
            <w:tcW w:w="1717" w:type="dxa"/>
            <w:shd w:val="clear" w:color="auto" w:fill="auto"/>
            <w:tcMar>
              <w:top w:w="0" w:type="dxa"/>
              <w:left w:w="70" w:type="dxa"/>
              <w:bottom w:w="0" w:type="dxa"/>
              <w:right w:w="70" w:type="dxa"/>
            </w:tcMar>
            <w:vAlign w:val="top"/>
          </w:tcPr>
          <w:p w14:paraId="5FACCF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p>
        </w:tc>
        <w:tc>
          <w:tcPr>
            <w:tcW w:w="3155" w:type="dxa"/>
            <w:shd w:val="clear" w:color="auto" w:fill="auto"/>
            <w:tcMar>
              <w:top w:w="0" w:type="dxa"/>
              <w:left w:w="70" w:type="dxa"/>
              <w:bottom w:w="0" w:type="dxa"/>
              <w:right w:w="70" w:type="dxa"/>
            </w:tcMar>
            <w:vAlign w:val="top"/>
          </w:tcPr>
          <w:p w14:paraId="0484D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名称</w:t>
            </w:r>
          </w:p>
        </w:tc>
        <w:tc>
          <w:tcPr>
            <w:tcW w:w="1371" w:type="dxa"/>
            <w:shd w:val="clear" w:color="auto" w:fill="auto"/>
            <w:tcMar>
              <w:top w:w="0" w:type="dxa"/>
              <w:left w:w="70" w:type="dxa"/>
              <w:bottom w:w="0" w:type="dxa"/>
              <w:right w:w="70" w:type="dxa"/>
            </w:tcMar>
            <w:vAlign w:val="top"/>
          </w:tcPr>
          <w:p w14:paraId="481875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w:t>
            </w:r>
          </w:p>
        </w:tc>
        <w:tc>
          <w:tcPr>
            <w:tcW w:w="1946" w:type="dxa"/>
            <w:shd w:val="clear" w:color="auto" w:fill="auto"/>
            <w:tcMar>
              <w:top w:w="0" w:type="dxa"/>
              <w:left w:w="70" w:type="dxa"/>
              <w:bottom w:w="0" w:type="dxa"/>
              <w:right w:w="70" w:type="dxa"/>
            </w:tcMar>
            <w:vAlign w:val="top"/>
          </w:tcPr>
          <w:p w14:paraId="399DC5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w:t>
            </w:r>
          </w:p>
        </w:tc>
      </w:tr>
      <w:tr w14:paraId="5681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56E2AB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3155" w:type="dxa"/>
            <w:shd w:val="clear" w:color="auto" w:fill="auto"/>
            <w:tcMar>
              <w:top w:w="0" w:type="dxa"/>
              <w:left w:w="70" w:type="dxa"/>
              <w:bottom w:w="0" w:type="dxa"/>
              <w:right w:w="70" w:type="dxa"/>
            </w:tcMar>
            <w:vAlign w:val="top"/>
          </w:tcPr>
          <w:p w14:paraId="35B55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主机箱</w:t>
            </w:r>
          </w:p>
        </w:tc>
        <w:tc>
          <w:tcPr>
            <w:tcW w:w="1371" w:type="dxa"/>
            <w:shd w:val="clear" w:color="auto" w:fill="auto"/>
            <w:tcMar>
              <w:top w:w="0" w:type="dxa"/>
              <w:left w:w="70" w:type="dxa"/>
              <w:bottom w:w="0" w:type="dxa"/>
              <w:right w:w="70" w:type="dxa"/>
            </w:tcMar>
            <w:vAlign w:val="top"/>
          </w:tcPr>
          <w:p w14:paraId="6594F6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3D296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3A92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99" w:hRule="atLeast"/>
          <w:tblCellSpacing w:w="15" w:type="dxa"/>
          <w:jc w:val="center"/>
        </w:trPr>
        <w:tc>
          <w:tcPr>
            <w:tcW w:w="1717" w:type="dxa"/>
            <w:shd w:val="clear" w:color="auto" w:fill="auto"/>
            <w:tcMar>
              <w:top w:w="0" w:type="dxa"/>
              <w:left w:w="70" w:type="dxa"/>
              <w:bottom w:w="0" w:type="dxa"/>
              <w:right w:w="70" w:type="dxa"/>
            </w:tcMar>
            <w:vAlign w:val="top"/>
          </w:tcPr>
          <w:p w14:paraId="2D92E8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3155" w:type="dxa"/>
            <w:shd w:val="clear" w:color="auto" w:fill="auto"/>
            <w:tcMar>
              <w:top w:w="0" w:type="dxa"/>
              <w:left w:w="70" w:type="dxa"/>
              <w:bottom w:w="0" w:type="dxa"/>
              <w:right w:w="70" w:type="dxa"/>
            </w:tcMar>
            <w:vAlign w:val="top"/>
          </w:tcPr>
          <w:p w14:paraId="1D88F6A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红蓝光光源（单灯头）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悬臂组件</w:t>
            </w:r>
          </w:p>
        </w:tc>
        <w:tc>
          <w:tcPr>
            <w:tcW w:w="1371" w:type="dxa"/>
            <w:shd w:val="clear" w:color="auto" w:fill="auto"/>
            <w:tcMar>
              <w:top w:w="0" w:type="dxa"/>
              <w:left w:w="70" w:type="dxa"/>
              <w:bottom w:w="0" w:type="dxa"/>
              <w:right w:w="70" w:type="dxa"/>
            </w:tcMar>
            <w:vAlign w:val="top"/>
          </w:tcPr>
          <w:p w14:paraId="0851D1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67FF5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4A3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0330DE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3155" w:type="dxa"/>
            <w:shd w:val="clear" w:color="auto" w:fill="auto"/>
            <w:tcMar>
              <w:top w:w="0" w:type="dxa"/>
              <w:left w:w="70" w:type="dxa"/>
              <w:bottom w:w="0" w:type="dxa"/>
              <w:right w:w="70" w:type="dxa"/>
            </w:tcMar>
            <w:vAlign w:val="top"/>
          </w:tcPr>
          <w:p w14:paraId="134992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电源线</w:t>
            </w:r>
          </w:p>
        </w:tc>
        <w:tc>
          <w:tcPr>
            <w:tcW w:w="1371" w:type="dxa"/>
            <w:shd w:val="clear" w:color="auto" w:fill="auto"/>
            <w:tcMar>
              <w:top w:w="0" w:type="dxa"/>
              <w:left w:w="70" w:type="dxa"/>
              <w:bottom w:w="0" w:type="dxa"/>
              <w:right w:w="70" w:type="dxa"/>
            </w:tcMar>
            <w:vAlign w:val="top"/>
          </w:tcPr>
          <w:p w14:paraId="3D0976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6AB18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w:t>
            </w:r>
          </w:p>
        </w:tc>
      </w:tr>
      <w:tr w14:paraId="3A79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jc w:val="center"/>
        </w:trPr>
        <w:tc>
          <w:tcPr>
            <w:tcW w:w="1717" w:type="dxa"/>
            <w:shd w:val="clear" w:color="auto" w:fill="auto"/>
            <w:tcMar>
              <w:top w:w="0" w:type="dxa"/>
              <w:left w:w="70" w:type="dxa"/>
              <w:bottom w:w="0" w:type="dxa"/>
              <w:right w:w="70" w:type="dxa"/>
            </w:tcMar>
            <w:vAlign w:val="top"/>
          </w:tcPr>
          <w:p w14:paraId="097B9A1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c>
          <w:tcPr>
            <w:tcW w:w="3155" w:type="dxa"/>
            <w:shd w:val="clear" w:color="auto" w:fill="auto"/>
            <w:tcMar>
              <w:top w:w="0" w:type="dxa"/>
              <w:left w:w="70" w:type="dxa"/>
              <w:bottom w:w="0" w:type="dxa"/>
              <w:right w:w="70" w:type="dxa"/>
            </w:tcMar>
            <w:vAlign w:val="top"/>
          </w:tcPr>
          <w:p w14:paraId="02E104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熔断器</w:t>
            </w:r>
          </w:p>
        </w:tc>
        <w:tc>
          <w:tcPr>
            <w:tcW w:w="1371" w:type="dxa"/>
            <w:shd w:val="clear" w:color="auto" w:fill="auto"/>
            <w:tcMar>
              <w:top w:w="0" w:type="dxa"/>
              <w:left w:w="70" w:type="dxa"/>
              <w:bottom w:w="0" w:type="dxa"/>
              <w:right w:w="70" w:type="dxa"/>
            </w:tcMar>
            <w:vAlign w:val="top"/>
          </w:tcPr>
          <w:p w14:paraId="1B162D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1946" w:type="dxa"/>
            <w:shd w:val="clear" w:color="auto" w:fill="auto"/>
            <w:tcMar>
              <w:top w:w="0" w:type="dxa"/>
              <w:left w:w="70" w:type="dxa"/>
              <w:bottom w:w="0" w:type="dxa"/>
              <w:right w:w="70" w:type="dxa"/>
            </w:tcMar>
            <w:vAlign w:val="top"/>
          </w:tcPr>
          <w:p w14:paraId="39F8F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3818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7" w:hRule="atLeast"/>
          <w:tblCellSpacing w:w="15" w:type="dxa"/>
          <w:jc w:val="center"/>
        </w:trPr>
        <w:tc>
          <w:tcPr>
            <w:tcW w:w="1717" w:type="dxa"/>
            <w:shd w:val="clear" w:color="auto" w:fill="auto"/>
            <w:tcMar>
              <w:top w:w="0" w:type="dxa"/>
              <w:left w:w="70" w:type="dxa"/>
              <w:bottom w:w="0" w:type="dxa"/>
              <w:right w:w="70" w:type="dxa"/>
            </w:tcMar>
            <w:vAlign w:val="top"/>
          </w:tcPr>
          <w:p w14:paraId="58D0F76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w:t>
            </w:r>
          </w:p>
        </w:tc>
        <w:tc>
          <w:tcPr>
            <w:tcW w:w="3155" w:type="dxa"/>
            <w:shd w:val="clear" w:color="auto" w:fill="auto"/>
            <w:tcMar>
              <w:top w:w="0" w:type="dxa"/>
              <w:left w:w="70" w:type="dxa"/>
              <w:bottom w:w="0" w:type="dxa"/>
              <w:right w:w="70" w:type="dxa"/>
            </w:tcMar>
            <w:vAlign w:val="top"/>
          </w:tcPr>
          <w:p w14:paraId="514D1B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2.5mm L</w:t>
            </w:r>
            <w:r>
              <w:rPr>
                <w:rFonts w:hint="eastAsia" w:ascii="仿宋_GB2312" w:hAnsi="仿宋_GB2312" w:eastAsia="仿宋_GB2312" w:cs="仿宋_GB2312"/>
                <w:kern w:val="2"/>
                <w:sz w:val="32"/>
                <w:szCs w:val="32"/>
                <w:lang w:val="en-US" w:eastAsia="zh-CN" w:bidi="ar-SA"/>
              </w:rPr>
              <w:t>型内六角扳手</w:t>
            </w:r>
          </w:p>
        </w:tc>
        <w:tc>
          <w:tcPr>
            <w:tcW w:w="1371" w:type="dxa"/>
            <w:shd w:val="clear" w:color="auto" w:fill="auto"/>
            <w:tcMar>
              <w:top w:w="0" w:type="dxa"/>
              <w:left w:w="70" w:type="dxa"/>
              <w:bottom w:w="0" w:type="dxa"/>
              <w:right w:w="70" w:type="dxa"/>
            </w:tcMar>
            <w:vAlign w:val="top"/>
          </w:tcPr>
          <w:p w14:paraId="6D28ED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28DAF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把</w:t>
            </w:r>
          </w:p>
        </w:tc>
      </w:tr>
      <w:tr w14:paraId="350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6831C68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w:t>
            </w:r>
          </w:p>
        </w:tc>
        <w:tc>
          <w:tcPr>
            <w:tcW w:w="3155" w:type="dxa"/>
            <w:shd w:val="clear" w:color="auto" w:fill="auto"/>
            <w:tcMar>
              <w:top w:w="0" w:type="dxa"/>
              <w:left w:w="70" w:type="dxa"/>
              <w:bottom w:w="0" w:type="dxa"/>
              <w:right w:w="70" w:type="dxa"/>
            </w:tcMar>
            <w:vAlign w:val="top"/>
          </w:tcPr>
          <w:p w14:paraId="7E5BDC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束光罩</w:t>
            </w:r>
          </w:p>
        </w:tc>
        <w:tc>
          <w:tcPr>
            <w:tcW w:w="1371" w:type="dxa"/>
            <w:shd w:val="clear" w:color="auto" w:fill="auto"/>
            <w:tcMar>
              <w:top w:w="0" w:type="dxa"/>
              <w:left w:w="70" w:type="dxa"/>
              <w:bottom w:w="0" w:type="dxa"/>
              <w:right w:w="70" w:type="dxa"/>
            </w:tcMar>
            <w:vAlign w:val="top"/>
          </w:tcPr>
          <w:p w14:paraId="33D453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1946" w:type="dxa"/>
            <w:shd w:val="clear" w:color="auto" w:fill="auto"/>
            <w:tcMar>
              <w:top w:w="0" w:type="dxa"/>
              <w:left w:w="70" w:type="dxa"/>
              <w:bottom w:w="0" w:type="dxa"/>
              <w:right w:w="70" w:type="dxa"/>
            </w:tcMar>
            <w:vAlign w:val="top"/>
          </w:tcPr>
          <w:p w14:paraId="17365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338C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7" w:hRule="atLeast"/>
          <w:tblCellSpacing w:w="15" w:type="dxa"/>
          <w:jc w:val="center"/>
        </w:trPr>
        <w:tc>
          <w:tcPr>
            <w:tcW w:w="1717" w:type="dxa"/>
            <w:shd w:val="clear" w:color="auto" w:fill="auto"/>
            <w:tcMar>
              <w:top w:w="0" w:type="dxa"/>
              <w:left w:w="70" w:type="dxa"/>
              <w:bottom w:w="0" w:type="dxa"/>
              <w:right w:w="70" w:type="dxa"/>
            </w:tcMar>
            <w:vAlign w:val="top"/>
          </w:tcPr>
          <w:p w14:paraId="437908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w:t>
            </w:r>
          </w:p>
        </w:tc>
        <w:tc>
          <w:tcPr>
            <w:tcW w:w="3155" w:type="dxa"/>
            <w:shd w:val="clear" w:color="auto" w:fill="auto"/>
            <w:tcMar>
              <w:top w:w="0" w:type="dxa"/>
              <w:left w:w="70" w:type="dxa"/>
              <w:bottom w:w="0" w:type="dxa"/>
              <w:right w:w="70" w:type="dxa"/>
            </w:tcMar>
            <w:vAlign w:val="top"/>
          </w:tcPr>
          <w:p w14:paraId="16E0ADE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保护眼镜（中色半透明）</w:t>
            </w:r>
          </w:p>
        </w:tc>
        <w:tc>
          <w:tcPr>
            <w:tcW w:w="1371" w:type="dxa"/>
            <w:shd w:val="clear" w:color="auto" w:fill="auto"/>
            <w:tcMar>
              <w:top w:w="0" w:type="dxa"/>
              <w:left w:w="70" w:type="dxa"/>
              <w:bottom w:w="0" w:type="dxa"/>
              <w:right w:w="70" w:type="dxa"/>
            </w:tcMar>
            <w:vAlign w:val="top"/>
          </w:tcPr>
          <w:p w14:paraId="471BEE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35C9DD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w:t>
            </w:r>
          </w:p>
        </w:tc>
      </w:tr>
      <w:tr w14:paraId="673D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7" w:hRule="atLeast"/>
          <w:tblCellSpacing w:w="15" w:type="dxa"/>
          <w:jc w:val="center"/>
        </w:trPr>
        <w:tc>
          <w:tcPr>
            <w:tcW w:w="1717" w:type="dxa"/>
            <w:shd w:val="clear" w:color="auto" w:fill="auto"/>
            <w:tcMar>
              <w:top w:w="0" w:type="dxa"/>
              <w:left w:w="70" w:type="dxa"/>
              <w:bottom w:w="0" w:type="dxa"/>
              <w:right w:w="70" w:type="dxa"/>
            </w:tcMar>
            <w:vAlign w:val="top"/>
          </w:tcPr>
          <w:p w14:paraId="3DCA067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w:t>
            </w:r>
          </w:p>
        </w:tc>
        <w:tc>
          <w:tcPr>
            <w:tcW w:w="3155" w:type="dxa"/>
            <w:shd w:val="clear" w:color="auto" w:fill="auto"/>
            <w:tcMar>
              <w:top w:w="0" w:type="dxa"/>
              <w:left w:w="70" w:type="dxa"/>
              <w:bottom w:w="0" w:type="dxa"/>
              <w:right w:w="70" w:type="dxa"/>
            </w:tcMar>
            <w:vAlign w:val="top"/>
          </w:tcPr>
          <w:p w14:paraId="27F05C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保护眼镜（深色半透明）</w:t>
            </w:r>
          </w:p>
        </w:tc>
        <w:tc>
          <w:tcPr>
            <w:tcW w:w="1371" w:type="dxa"/>
            <w:shd w:val="clear" w:color="auto" w:fill="auto"/>
            <w:tcMar>
              <w:top w:w="0" w:type="dxa"/>
              <w:left w:w="70" w:type="dxa"/>
              <w:bottom w:w="0" w:type="dxa"/>
              <w:right w:w="70" w:type="dxa"/>
            </w:tcMar>
            <w:vAlign w:val="top"/>
          </w:tcPr>
          <w:p w14:paraId="40AC63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5830B9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w:t>
            </w:r>
          </w:p>
        </w:tc>
      </w:tr>
      <w:tr w14:paraId="19E6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08D8CF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9</w:t>
            </w:r>
          </w:p>
        </w:tc>
        <w:tc>
          <w:tcPr>
            <w:tcW w:w="3155" w:type="dxa"/>
            <w:shd w:val="clear" w:color="auto" w:fill="auto"/>
            <w:tcMar>
              <w:top w:w="0" w:type="dxa"/>
              <w:left w:w="70" w:type="dxa"/>
              <w:bottom w:w="0" w:type="dxa"/>
              <w:right w:w="70" w:type="dxa"/>
            </w:tcMar>
            <w:vAlign w:val="top"/>
          </w:tcPr>
          <w:p w14:paraId="4A52A4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眼镜袋</w:t>
            </w:r>
          </w:p>
        </w:tc>
        <w:tc>
          <w:tcPr>
            <w:tcW w:w="1371" w:type="dxa"/>
            <w:shd w:val="clear" w:color="auto" w:fill="auto"/>
            <w:tcMar>
              <w:top w:w="0" w:type="dxa"/>
              <w:left w:w="70" w:type="dxa"/>
              <w:bottom w:w="0" w:type="dxa"/>
              <w:right w:w="70" w:type="dxa"/>
            </w:tcMar>
            <w:vAlign w:val="top"/>
          </w:tcPr>
          <w:p w14:paraId="3BD2B3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1946" w:type="dxa"/>
            <w:shd w:val="clear" w:color="auto" w:fill="auto"/>
            <w:tcMar>
              <w:top w:w="0" w:type="dxa"/>
              <w:left w:w="70" w:type="dxa"/>
              <w:bottom w:w="0" w:type="dxa"/>
              <w:right w:w="70" w:type="dxa"/>
            </w:tcMar>
            <w:vAlign w:val="top"/>
          </w:tcPr>
          <w:p w14:paraId="20587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5B1C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41BDAD8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10</w:t>
            </w:r>
          </w:p>
        </w:tc>
        <w:tc>
          <w:tcPr>
            <w:tcW w:w="3155" w:type="dxa"/>
            <w:shd w:val="clear" w:color="auto" w:fill="auto"/>
            <w:tcMar>
              <w:top w:w="0" w:type="dxa"/>
              <w:left w:w="70" w:type="dxa"/>
              <w:bottom w:w="0" w:type="dxa"/>
              <w:right w:w="70" w:type="dxa"/>
            </w:tcMar>
            <w:vAlign w:val="top"/>
          </w:tcPr>
          <w:p w14:paraId="7AB897D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眼镜布</w:t>
            </w:r>
          </w:p>
        </w:tc>
        <w:tc>
          <w:tcPr>
            <w:tcW w:w="1371" w:type="dxa"/>
            <w:shd w:val="clear" w:color="auto" w:fill="auto"/>
            <w:tcMar>
              <w:top w:w="0" w:type="dxa"/>
              <w:left w:w="70" w:type="dxa"/>
              <w:bottom w:w="0" w:type="dxa"/>
              <w:right w:w="70" w:type="dxa"/>
            </w:tcMar>
            <w:vAlign w:val="top"/>
          </w:tcPr>
          <w:p w14:paraId="765321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1946" w:type="dxa"/>
            <w:shd w:val="clear" w:color="auto" w:fill="auto"/>
            <w:tcMar>
              <w:top w:w="0" w:type="dxa"/>
              <w:left w:w="70" w:type="dxa"/>
              <w:bottom w:w="0" w:type="dxa"/>
              <w:right w:w="70" w:type="dxa"/>
            </w:tcMar>
            <w:vAlign w:val="top"/>
          </w:tcPr>
          <w:p w14:paraId="78561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块</w:t>
            </w:r>
          </w:p>
        </w:tc>
      </w:tr>
      <w:tr w14:paraId="490F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701915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11</w:t>
            </w:r>
          </w:p>
        </w:tc>
        <w:tc>
          <w:tcPr>
            <w:tcW w:w="3155" w:type="dxa"/>
            <w:shd w:val="clear" w:color="auto" w:fill="auto"/>
            <w:tcMar>
              <w:top w:w="0" w:type="dxa"/>
              <w:left w:w="70" w:type="dxa"/>
              <w:bottom w:w="0" w:type="dxa"/>
              <w:right w:w="70" w:type="dxa"/>
            </w:tcMar>
            <w:vAlign w:val="top"/>
          </w:tcPr>
          <w:p w14:paraId="5CC185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眼罩</w:t>
            </w:r>
          </w:p>
        </w:tc>
        <w:tc>
          <w:tcPr>
            <w:tcW w:w="1371" w:type="dxa"/>
            <w:shd w:val="clear" w:color="auto" w:fill="auto"/>
            <w:tcMar>
              <w:top w:w="0" w:type="dxa"/>
              <w:left w:w="70" w:type="dxa"/>
              <w:bottom w:w="0" w:type="dxa"/>
              <w:right w:w="70" w:type="dxa"/>
            </w:tcMar>
            <w:vAlign w:val="top"/>
          </w:tcPr>
          <w:p w14:paraId="3F1D76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w:t>
            </w:r>
          </w:p>
        </w:tc>
        <w:tc>
          <w:tcPr>
            <w:tcW w:w="1946" w:type="dxa"/>
            <w:shd w:val="clear" w:color="auto" w:fill="auto"/>
            <w:tcMar>
              <w:top w:w="0" w:type="dxa"/>
              <w:left w:w="70" w:type="dxa"/>
              <w:bottom w:w="0" w:type="dxa"/>
              <w:right w:w="70" w:type="dxa"/>
            </w:tcMar>
            <w:vAlign w:val="top"/>
          </w:tcPr>
          <w:p w14:paraId="2723D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6FD4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6C38DC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12</w:t>
            </w:r>
          </w:p>
        </w:tc>
        <w:tc>
          <w:tcPr>
            <w:tcW w:w="3155" w:type="dxa"/>
            <w:shd w:val="clear" w:color="auto" w:fill="auto"/>
            <w:tcMar>
              <w:top w:w="0" w:type="dxa"/>
              <w:left w:w="70" w:type="dxa"/>
              <w:bottom w:w="0" w:type="dxa"/>
              <w:right w:w="70" w:type="dxa"/>
            </w:tcMar>
            <w:vAlign w:val="top"/>
          </w:tcPr>
          <w:p w14:paraId="25776F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保修卡</w:t>
            </w:r>
          </w:p>
        </w:tc>
        <w:tc>
          <w:tcPr>
            <w:tcW w:w="1371" w:type="dxa"/>
            <w:shd w:val="clear" w:color="auto" w:fill="auto"/>
            <w:tcMar>
              <w:top w:w="0" w:type="dxa"/>
              <w:left w:w="70" w:type="dxa"/>
              <w:bottom w:w="0" w:type="dxa"/>
              <w:right w:w="70" w:type="dxa"/>
            </w:tcMar>
            <w:vAlign w:val="top"/>
          </w:tcPr>
          <w:p w14:paraId="23637D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7C03E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w:t>
            </w:r>
          </w:p>
        </w:tc>
      </w:tr>
      <w:tr w14:paraId="208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1031831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13</w:t>
            </w:r>
          </w:p>
        </w:tc>
        <w:tc>
          <w:tcPr>
            <w:tcW w:w="3155" w:type="dxa"/>
            <w:shd w:val="clear" w:color="auto" w:fill="auto"/>
            <w:tcMar>
              <w:top w:w="0" w:type="dxa"/>
              <w:left w:w="70" w:type="dxa"/>
              <w:bottom w:w="0" w:type="dxa"/>
              <w:right w:w="70" w:type="dxa"/>
            </w:tcMar>
            <w:vAlign w:val="top"/>
          </w:tcPr>
          <w:p w14:paraId="6FED9B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合格证</w:t>
            </w:r>
          </w:p>
        </w:tc>
        <w:tc>
          <w:tcPr>
            <w:tcW w:w="1371" w:type="dxa"/>
            <w:shd w:val="clear" w:color="auto" w:fill="auto"/>
            <w:tcMar>
              <w:top w:w="0" w:type="dxa"/>
              <w:left w:w="70" w:type="dxa"/>
              <w:bottom w:w="0" w:type="dxa"/>
              <w:right w:w="70" w:type="dxa"/>
            </w:tcMar>
            <w:vAlign w:val="top"/>
          </w:tcPr>
          <w:p w14:paraId="75FBB1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5457C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w:t>
            </w:r>
          </w:p>
        </w:tc>
      </w:tr>
      <w:tr w14:paraId="56EE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05D9D7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14</w:t>
            </w:r>
          </w:p>
        </w:tc>
        <w:tc>
          <w:tcPr>
            <w:tcW w:w="3155" w:type="dxa"/>
            <w:shd w:val="clear" w:color="auto" w:fill="auto"/>
            <w:tcMar>
              <w:top w:w="0" w:type="dxa"/>
              <w:left w:w="70" w:type="dxa"/>
              <w:bottom w:w="0" w:type="dxa"/>
              <w:right w:w="70" w:type="dxa"/>
            </w:tcMar>
            <w:vAlign w:val="top"/>
          </w:tcPr>
          <w:p w14:paraId="6FB735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产品说明书</w:t>
            </w:r>
          </w:p>
        </w:tc>
        <w:tc>
          <w:tcPr>
            <w:tcW w:w="1371" w:type="dxa"/>
            <w:shd w:val="clear" w:color="auto" w:fill="auto"/>
            <w:tcMar>
              <w:top w:w="0" w:type="dxa"/>
              <w:left w:w="70" w:type="dxa"/>
              <w:bottom w:w="0" w:type="dxa"/>
              <w:right w:w="70" w:type="dxa"/>
            </w:tcMar>
            <w:vAlign w:val="top"/>
          </w:tcPr>
          <w:p w14:paraId="59174F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07957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w:t>
            </w:r>
          </w:p>
        </w:tc>
      </w:tr>
      <w:tr w14:paraId="3670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15" w:type="dxa"/>
          <w:jc w:val="center"/>
        </w:trPr>
        <w:tc>
          <w:tcPr>
            <w:tcW w:w="1717" w:type="dxa"/>
            <w:shd w:val="clear" w:color="auto" w:fill="auto"/>
            <w:tcMar>
              <w:top w:w="0" w:type="dxa"/>
              <w:left w:w="70" w:type="dxa"/>
              <w:bottom w:w="0" w:type="dxa"/>
              <w:right w:w="70" w:type="dxa"/>
            </w:tcMar>
            <w:vAlign w:val="top"/>
          </w:tcPr>
          <w:p w14:paraId="3566C91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15</w:t>
            </w:r>
          </w:p>
        </w:tc>
        <w:tc>
          <w:tcPr>
            <w:tcW w:w="3155" w:type="dxa"/>
            <w:shd w:val="clear" w:color="auto" w:fill="auto"/>
            <w:tcMar>
              <w:top w:w="0" w:type="dxa"/>
              <w:left w:w="70" w:type="dxa"/>
              <w:bottom w:w="0" w:type="dxa"/>
              <w:right w:w="70" w:type="dxa"/>
            </w:tcMar>
            <w:vAlign w:val="top"/>
          </w:tcPr>
          <w:p w14:paraId="5C379EF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蓝色网袋</w:t>
            </w:r>
          </w:p>
        </w:tc>
        <w:tc>
          <w:tcPr>
            <w:tcW w:w="1371" w:type="dxa"/>
            <w:shd w:val="clear" w:color="auto" w:fill="auto"/>
            <w:tcMar>
              <w:top w:w="0" w:type="dxa"/>
              <w:left w:w="70" w:type="dxa"/>
              <w:bottom w:w="0" w:type="dxa"/>
              <w:right w:w="70" w:type="dxa"/>
            </w:tcMar>
            <w:vAlign w:val="top"/>
          </w:tcPr>
          <w:p w14:paraId="288E82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4DBA30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个</w:t>
            </w:r>
          </w:p>
        </w:tc>
      </w:tr>
      <w:tr w14:paraId="243C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0" w:hRule="atLeast"/>
          <w:tblCellSpacing w:w="15" w:type="dxa"/>
          <w:jc w:val="center"/>
        </w:trPr>
        <w:tc>
          <w:tcPr>
            <w:tcW w:w="1717" w:type="dxa"/>
            <w:shd w:val="clear" w:color="auto" w:fill="auto"/>
            <w:tcMar>
              <w:top w:w="0" w:type="dxa"/>
              <w:left w:w="70" w:type="dxa"/>
              <w:bottom w:w="0" w:type="dxa"/>
              <w:right w:w="70" w:type="dxa"/>
            </w:tcMar>
            <w:vAlign w:val="top"/>
          </w:tcPr>
          <w:p w14:paraId="6D3FFAD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16</w:t>
            </w:r>
          </w:p>
        </w:tc>
        <w:tc>
          <w:tcPr>
            <w:tcW w:w="3155" w:type="dxa"/>
            <w:shd w:val="clear" w:color="auto" w:fill="auto"/>
            <w:tcMar>
              <w:top w:w="0" w:type="dxa"/>
              <w:left w:w="70" w:type="dxa"/>
              <w:bottom w:w="0" w:type="dxa"/>
              <w:right w:w="70" w:type="dxa"/>
            </w:tcMar>
            <w:vAlign w:val="top"/>
          </w:tcPr>
          <w:p w14:paraId="7F0576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操作指南</w:t>
            </w:r>
          </w:p>
        </w:tc>
        <w:tc>
          <w:tcPr>
            <w:tcW w:w="1371" w:type="dxa"/>
            <w:shd w:val="clear" w:color="auto" w:fill="auto"/>
            <w:tcMar>
              <w:top w:w="0" w:type="dxa"/>
              <w:left w:w="70" w:type="dxa"/>
              <w:bottom w:w="0" w:type="dxa"/>
              <w:right w:w="70" w:type="dxa"/>
            </w:tcMar>
            <w:vAlign w:val="top"/>
          </w:tcPr>
          <w:p w14:paraId="0239E6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1946" w:type="dxa"/>
            <w:shd w:val="clear" w:color="auto" w:fill="auto"/>
            <w:tcMar>
              <w:top w:w="0" w:type="dxa"/>
              <w:left w:w="70" w:type="dxa"/>
              <w:bottom w:w="0" w:type="dxa"/>
              <w:right w:w="70" w:type="dxa"/>
            </w:tcMar>
            <w:vAlign w:val="top"/>
          </w:tcPr>
          <w:p w14:paraId="08E1B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份</w:t>
            </w:r>
          </w:p>
        </w:tc>
      </w:tr>
    </w:tbl>
    <w:p w14:paraId="49D2AB5B">
      <w:pPr>
        <w:pStyle w:val="6"/>
        <w:numPr>
          <w:ilvl w:val="0"/>
          <w:numId w:val="0"/>
        </w:numPr>
        <w:ind w:right="0" w:rightChars="0"/>
        <w:jc w:val="both"/>
        <w:rPr>
          <w:rFonts w:hint="eastAsia" w:ascii="方正小标宋_GBK" w:hAnsi="方正小标宋_GBK" w:eastAsia="方正小标宋_GBK" w:cs="方正小标宋_GBK"/>
          <w:b/>
          <w:bCs/>
          <w:kern w:val="2"/>
          <w:sz w:val="32"/>
          <w:szCs w:val="32"/>
          <w:lang w:val="en-US" w:eastAsia="zh-CN" w:bidi="ar-SA"/>
        </w:rPr>
      </w:pPr>
    </w:p>
    <w:p w14:paraId="22CF491C">
      <w:pPr>
        <w:keepNext w:val="0"/>
        <w:keepLines w:val="0"/>
        <w:pageBreakBefore w:val="0"/>
        <w:widowControl/>
        <w:numPr>
          <w:ilvl w:val="0"/>
          <w:numId w:val="0"/>
        </w:numPr>
        <w:tabs>
          <w:tab w:val="left" w:pos="403"/>
        </w:tabs>
        <w:kinsoku/>
        <w:wordWrap/>
        <w:overflowPunct/>
        <w:topLinePunct w:val="0"/>
        <w:autoSpaceDE/>
        <w:autoSpaceDN/>
        <w:bidi w:val="0"/>
        <w:adjustRightInd/>
        <w:snapToGrid/>
        <w:spacing w:line="240" w:lineRule="auto"/>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五、308nm紫外线光疗仪</w:t>
      </w:r>
      <w:r>
        <w:rPr>
          <w:rFonts w:hint="eastAsia" w:ascii="黑体" w:hAnsi="黑体" w:eastAsia="黑体" w:cs="黑体"/>
          <w:b/>
          <w:bCs/>
          <w:kern w:val="2"/>
          <w:sz w:val="32"/>
          <w:szCs w:val="32"/>
          <w:lang w:val="en-US" w:eastAsia="zh-CN" w:bidi="ar-SA"/>
        </w:rPr>
        <w:t>（核心产品）</w:t>
      </w:r>
    </w:p>
    <w:p w14:paraId="20399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用于银屑病、白癜风、斑秃、玫瑰糠疹、特应性皮炎、慢性湿疹、扁平苔藓、玫瑰糠疹、脂溢性皮炎、瘙痒症、掌跖脓疱病、带状疱疹等皮肤病的308nm紫外光治疗。</w:t>
      </w:r>
    </w:p>
    <w:p w14:paraId="7D986D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设备光源：氮化铝镓LED光源；</w:t>
      </w:r>
    </w:p>
    <w:p w14:paraId="1850A9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▲2.峰值波长：308nm±2nm</w:t>
      </w:r>
      <w:r>
        <w:rPr>
          <w:rFonts w:hint="default" w:ascii="仿宋_GB2312" w:hAnsi="仿宋_GB2312" w:eastAsia="仿宋_GB2312" w:cs="仿宋_GB2312"/>
          <w:kern w:val="2"/>
          <w:sz w:val="32"/>
          <w:szCs w:val="32"/>
          <w:lang w:val="en-US" w:eastAsia="zh-CN" w:bidi="ar-SA"/>
        </w:rPr>
        <w:t>（注册证</w:t>
      </w:r>
      <w:r>
        <w:rPr>
          <w:rFonts w:hint="eastAsia" w:ascii="仿宋_GB2312" w:hAnsi="仿宋_GB2312" w:eastAsia="仿宋_GB2312" w:cs="仿宋_GB2312"/>
          <w:kern w:val="2"/>
          <w:sz w:val="32"/>
          <w:szCs w:val="32"/>
          <w:lang w:val="en-US" w:eastAsia="zh-CN" w:bidi="ar-SA"/>
        </w:rPr>
        <w:t>或检验报告单</w:t>
      </w:r>
      <w:r>
        <w:rPr>
          <w:rFonts w:hint="default" w:ascii="仿宋_GB2312" w:hAnsi="仿宋_GB2312" w:eastAsia="仿宋_GB2312" w:cs="仿宋_GB2312"/>
          <w:kern w:val="2"/>
          <w:sz w:val="32"/>
          <w:szCs w:val="32"/>
          <w:lang w:val="en-US" w:eastAsia="zh-CN" w:bidi="ar-SA"/>
        </w:rPr>
        <w:t>明确体现308技术）</w:t>
      </w:r>
      <w:r>
        <w:rPr>
          <w:rFonts w:hint="eastAsia" w:ascii="仿宋_GB2312" w:hAnsi="仿宋_GB2312" w:eastAsia="仿宋_GB2312" w:cs="仿宋_GB2312"/>
          <w:kern w:val="2"/>
          <w:sz w:val="32"/>
          <w:szCs w:val="32"/>
          <w:lang w:val="en-US" w:eastAsia="zh-CN" w:bidi="ar-SA"/>
        </w:rPr>
        <w:t>；</w:t>
      </w:r>
    </w:p>
    <w:p w14:paraId="74617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光源的使用寿命≥5000小时；</w:t>
      </w:r>
    </w:p>
    <w:p w14:paraId="03206E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.专用MED测定贴片，照射定位和数据记录同时完成，</w:t>
      </w:r>
      <w:r>
        <w:rPr>
          <w:rFonts w:hint="default" w:ascii="仿宋_GB2312" w:hAnsi="仿宋_GB2312" w:eastAsia="仿宋_GB2312" w:cs="仿宋_GB2312"/>
          <w:kern w:val="2"/>
          <w:sz w:val="32"/>
          <w:szCs w:val="32"/>
          <w:lang w:val="en-US" w:eastAsia="zh-CN" w:bidi="ar-SA"/>
        </w:rPr>
        <w:t>方便</w:t>
      </w:r>
      <w:r>
        <w:rPr>
          <w:rFonts w:hint="eastAsia" w:ascii="仿宋_GB2312" w:hAnsi="仿宋_GB2312" w:eastAsia="仿宋_GB2312" w:cs="仿宋_GB2312"/>
          <w:kern w:val="2"/>
          <w:sz w:val="32"/>
          <w:szCs w:val="32"/>
          <w:lang w:val="en-US" w:eastAsia="zh-CN" w:bidi="ar-SA"/>
        </w:rPr>
        <w:t>MED</w:t>
      </w:r>
      <w:r>
        <w:rPr>
          <w:rFonts w:hint="default" w:ascii="仿宋_GB2312" w:hAnsi="仿宋_GB2312" w:eastAsia="仿宋_GB2312" w:cs="仿宋_GB2312"/>
          <w:kern w:val="2"/>
          <w:sz w:val="32"/>
          <w:szCs w:val="32"/>
          <w:lang w:val="en-US" w:eastAsia="zh-CN" w:bidi="ar-SA"/>
        </w:rPr>
        <w:t>检测</w:t>
      </w:r>
      <w:r>
        <w:rPr>
          <w:rFonts w:hint="eastAsia" w:ascii="仿宋_GB2312" w:hAnsi="仿宋_GB2312" w:eastAsia="仿宋_GB2312" w:cs="仿宋_GB2312"/>
          <w:kern w:val="2"/>
          <w:sz w:val="32"/>
          <w:szCs w:val="32"/>
          <w:lang w:val="en-US" w:eastAsia="zh-CN" w:bidi="ar-SA"/>
        </w:rPr>
        <w:t>；</w:t>
      </w:r>
    </w:p>
    <w:p w14:paraId="366884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.具有亲肤贴片，可用于任何形状皮损的治疗，保证了正常皮肤免受过多紫外线的照射；</w:t>
      </w:r>
    </w:p>
    <w:p w14:paraId="40272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6.手柄按键操作</w:t>
      </w:r>
    </w:p>
    <w:p w14:paraId="3208E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7.采用水冷、风冷设计，具有水温、水流、电流报警提示功能；</w:t>
      </w:r>
    </w:p>
    <w:p w14:paraId="6B6BB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触摸屏尺寸≥</w:t>
      </w:r>
      <w:r>
        <w:rPr>
          <w:rFonts w:hint="eastAsia" w:ascii="仿宋_GB2312" w:hAnsi="仿宋_GB2312" w:eastAsia="仿宋_GB2312" w:cs="仿宋_GB2312"/>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英寸；</w:t>
      </w:r>
    </w:p>
    <w:p w14:paraId="13A98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20平方厘米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手柄最大照射面积</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25平方厘米</w:t>
      </w:r>
      <w:r>
        <w:rPr>
          <w:rFonts w:hint="eastAsia" w:ascii="仿宋_GB2312" w:hAnsi="仿宋_GB2312" w:eastAsia="仿宋_GB2312" w:cs="仿宋_GB2312"/>
          <w:kern w:val="2"/>
          <w:sz w:val="32"/>
          <w:szCs w:val="32"/>
          <w:lang w:val="en-US" w:eastAsia="zh-CN" w:bidi="ar-SA"/>
        </w:rPr>
        <w:t>；</w:t>
      </w:r>
    </w:p>
    <w:p w14:paraId="08E52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bookmarkStart w:id="396" w:name="_Hlk525664152"/>
      <w:bookmarkEnd w:id="396"/>
      <w:r>
        <w:rPr>
          <w:rFonts w:hint="eastAsia" w:ascii="仿宋_GB2312" w:hAnsi="仿宋_GB2312" w:eastAsia="仿宋_GB2312" w:cs="仿宋_GB2312"/>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.最大</w:t>
      </w:r>
      <w:r>
        <w:rPr>
          <w:rFonts w:hint="eastAsia" w:ascii="仿宋_GB2312" w:hAnsi="仿宋_GB2312" w:eastAsia="仿宋_GB2312" w:cs="仿宋_GB2312"/>
          <w:kern w:val="2"/>
          <w:sz w:val="32"/>
          <w:szCs w:val="32"/>
          <w:lang w:val="en-US" w:eastAsia="zh-CN" w:bidi="ar-SA"/>
        </w:rPr>
        <w:t>辐照强度（mw/cm²）：≥50（内置辐照强度自动校准系统，确保治疗剂量准确，提供截图）</w:t>
      </w:r>
    </w:p>
    <w:p w14:paraId="3AE7B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辐照剂量（mJ/cm²）:50-5000</w:t>
      </w:r>
    </w:p>
    <w:p w14:paraId="462E8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12.手柄输出接口：治疗出光孔+MED测定出光孔</w:t>
      </w:r>
    </w:p>
    <w:p w14:paraId="2395A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重量（Kg）:  ≤70</w:t>
      </w:r>
    </w:p>
    <w:p w14:paraId="700734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交流电压（V）:220±10%；</w:t>
      </w:r>
    </w:p>
    <w:p w14:paraId="79EB7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电源频率（Hz）: 50±1；</w:t>
      </w:r>
    </w:p>
    <w:p w14:paraId="7C7DC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输入功率（VA）: ≤500；</w:t>
      </w:r>
    </w:p>
    <w:p w14:paraId="03C4D5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★17.整机质保5年；（提供承诺函）</w:t>
      </w:r>
    </w:p>
    <w:p w14:paraId="4C084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★18.配置护目镜：2副。（提供承诺函）</w:t>
      </w:r>
    </w:p>
    <w:p w14:paraId="6E33ABD8">
      <w:pPr>
        <w:keepNext w:val="0"/>
        <w:keepLines w:val="0"/>
        <w:pageBreakBefore w:val="0"/>
        <w:widowControl/>
        <w:numPr>
          <w:ilvl w:val="0"/>
          <w:numId w:val="0"/>
        </w:numPr>
        <w:tabs>
          <w:tab w:val="left" w:pos="403"/>
        </w:tabs>
        <w:kinsoku/>
        <w:wordWrap/>
        <w:overflowPunct/>
        <w:topLinePunct w:val="0"/>
        <w:autoSpaceDE/>
        <w:autoSpaceDN/>
        <w:bidi w:val="0"/>
        <w:adjustRightInd/>
        <w:snapToGrid/>
        <w:spacing w:line="240" w:lineRule="auto"/>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六、A2生物安全柜</w:t>
      </w:r>
    </w:p>
    <w:p w14:paraId="19404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一、技术参数</w:t>
      </w:r>
    </w:p>
    <w:p w14:paraId="06EDB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1、安全柜基本参数：</w:t>
      </w:r>
    </w:p>
    <w:p w14:paraId="7216D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★（1）分类：A2型，30%外排，70%循环</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p>
    <w:p w14:paraId="56198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（2）外部尺寸≥（L×D×H）1450mm×750mm×2150mm；</w:t>
      </w:r>
    </w:p>
    <w:p w14:paraId="17C6B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（3）内部尺寸≥（L×D×H）1200mm ×600mm×600mm 。</w:t>
      </w:r>
    </w:p>
    <w:p w14:paraId="7D8A2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（4）台面距离地面高度≥770mm（尺寸可根据要求订制修改）</w:t>
      </w:r>
    </w:p>
    <w:p w14:paraId="78184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▲（5）风速： 平均下降风速：≥0.3±0.025m/s； 平均吸入口风速≥0.5±0.025m/s</w:t>
      </w:r>
    </w:p>
    <w:p w14:paraId="455E7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（6）系统排风总量：≥500 m³/h</w:t>
      </w:r>
    </w:p>
    <w:p w14:paraId="5CC8F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（7）额定功率：≥1500VA</w:t>
      </w:r>
    </w:p>
    <w:p w14:paraId="66452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（8）噪音等级：≤68dB（A）</w:t>
      </w:r>
    </w:p>
    <w:p w14:paraId="0AC38D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（9）照明：≥1000lx</w:t>
      </w:r>
    </w:p>
    <w:p w14:paraId="303E5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▲（10）过滤效率:过滤器均采用ULPA高效过滤器，对0.12μm颗粒过滤效率≥99.9995%</w:t>
      </w:r>
    </w:p>
    <w:p w14:paraId="55D91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二、结构功能特点：</w:t>
      </w:r>
    </w:p>
    <w:p w14:paraId="3E950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1、符合国标《GB 41918-2022 生物安全柜》的要求。</w:t>
      </w:r>
    </w:p>
    <w:p w14:paraId="591D3D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2、柜体采用10°倾斜角设计；   </w:t>
      </w:r>
    </w:p>
    <w:p w14:paraId="4A1ED3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3、安全柜裸露工作区三侧壁板采用304#不锈钢一体化结构，内部可清洗部位采用大圆角处理；</w:t>
      </w:r>
    </w:p>
    <w:p w14:paraId="44ECA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4、工作台面材质304#不锈钢；</w:t>
      </w:r>
    </w:p>
    <w:p w14:paraId="2ECF7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▲5、脚轮设计：脚轮与支架一体化设计；</w:t>
      </w:r>
    </w:p>
    <w:p w14:paraId="4AF83E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6、柜体和支架可分离，支架高度可根据实际情况订制修改；</w:t>
      </w:r>
    </w:p>
    <w:p w14:paraId="6744E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7、结构设计：安全柜过滤器和风机的维修、更换，都可在安全柜的前侧进行。</w:t>
      </w:r>
    </w:p>
    <w:p w14:paraId="59EA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▲8、前窗玻璃采用双层夹胶防爆安全玻璃；</w:t>
      </w:r>
    </w:p>
    <w:p w14:paraId="01254E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9、≥4英寸LCD彩色液晶显示屏；</w:t>
      </w:r>
    </w:p>
    <w:p w14:paraId="67F24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▲10、含脚踏电动、轻触按键等方式灵活控制玻璃门升降；</w:t>
      </w:r>
    </w:p>
    <w:p w14:paraId="438F36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▲11、具有预约定时功能，能自动设定安全柜定时开机、关机及紫外灯消毒时间；</w:t>
      </w:r>
    </w:p>
    <w:p w14:paraId="58B116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12、提供气密性检测报告。</w:t>
      </w:r>
    </w:p>
    <w:p w14:paraId="61BAF3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13、风机选用：经过滤器的风压下降50%时，风机的排气量下降不超过10%</w:t>
      </w:r>
    </w:p>
    <w:p w14:paraId="2B3300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14、报警系统：玻璃门不在安全高度报警；过滤器压力超高报警；过滤器失效更换报警：气流波动报警</w:t>
      </w:r>
    </w:p>
    <w:p w14:paraId="4C746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15、连锁保护设计：安全柜风机与玻璃门互锁，紫外灯与安全柜玻璃门、风机及照明灯互锁；</w:t>
      </w:r>
    </w:p>
    <w:p w14:paraId="7C2B4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16、前窗关闭双重触发信号，使紫外灯杀菌消毒功能正常开启；</w:t>
      </w:r>
    </w:p>
    <w:p w14:paraId="08B68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17、负压风道设有异物过滤结构，防止纸屑等异物进入风机系统影响产品正常运行；</w:t>
      </w:r>
    </w:p>
    <w:p w14:paraId="07AF1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三、售后服务</w:t>
      </w:r>
    </w:p>
    <w:p w14:paraId="59D0C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1.提供7*24小时咨询服务和技术支持，故障时2小时内响应，24小时到场。</w:t>
      </w:r>
    </w:p>
    <w:p w14:paraId="03FEDA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★2.设备免费保修保质3年；（提供承诺函）</w:t>
      </w:r>
    </w:p>
    <w:p w14:paraId="2ABBF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3.培训检验工作人员到完全掌握并独立操作。</w:t>
      </w:r>
    </w:p>
    <w:p w14:paraId="09F26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ascii="仿宋_GB2312" w:hAnsi="仿宋_GB2312" w:eastAsia="仿宋_GB2312" w:cs="仿宋_GB2312"/>
          <w:kern w:val="2"/>
          <w:sz w:val="32"/>
          <w:szCs w:val="32"/>
          <w:lang w:val="en-US" w:eastAsia="zh-CN" w:bidi="ar-SA"/>
        </w:rPr>
        <w:t>4.设备安装验收后需提供具有资质的计量检定机构校准证书。</w:t>
      </w:r>
    </w:p>
    <w:p w14:paraId="1A7361DF">
      <w:pPr>
        <w:pStyle w:val="16"/>
        <w:rPr>
          <w:rFonts w:hint="eastAsia"/>
          <w:lang w:val="en-US" w:eastAsia="zh-CN"/>
        </w:rPr>
      </w:pPr>
    </w:p>
    <w:p w14:paraId="763741F0">
      <w:pPr>
        <w:pStyle w:val="16"/>
        <w:rPr>
          <w:rFonts w:hint="eastAsia"/>
          <w:lang w:val="en-US" w:eastAsia="zh-CN"/>
        </w:rPr>
      </w:pPr>
    </w:p>
    <w:p w14:paraId="47226B85">
      <w:pPr>
        <w:pStyle w:val="16"/>
        <w:rPr>
          <w:rFonts w:hint="eastAsia"/>
          <w:lang w:val="en-US" w:eastAsia="zh-CN"/>
        </w:rPr>
      </w:pPr>
    </w:p>
    <w:p w14:paraId="5EAFB85B">
      <w:pPr>
        <w:pStyle w:val="16"/>
        <w:rPr>
          <w:rFonts w:hint="eastAsia"/>
          <w:lang w:val="en-US" w:eastAsia="zh-CN"/>
        </w:rPr>
      </w:pPr>
    </w:p>
    <w:p w14:paraId="1FB9AB10">
      <w:pPr>
        <w:pStyle w:val="16"/>
        <w:rPr>
          <w:rFonts w:hint="eastAsia"/>
          <w:lang w:val="en-US" w:eastAsia="zh-CN"/>
        </w:rPr>
      </w:pPr>
    </w:p>
    <w:p w14:paraId="4F86F452">
      <w:pPr>
        <w:pStyle w:val="16"/>
        <w:rPr>
          <w:rFonts w:hint="eastAsia"/>
          <w:lang w:val="en-US" w:eastAsia="zh-CN"/>
        </w:rPr>
      </w:pPr>
    </w:p>
    <w:p w14:paraId="02D08BF2">
      <w:pPr>
        <w:pStyle w:val="16"/>
        <w:rPr>
          <w:rFonts w:hint="eastAsia"/>
          <w:lang w:val="en-US" w:eastAsia="zh-CN"/>
        </w:rPr>
      </w:pPr>
    </w:p>
    <w:p w14:paraId="7112C05E">
      <w:pPr>
        <w:pStyle w:val="16"/>
        <w:rPr>
          <w:rFonts w:hint="eastAsia"/>
          <w:lang w:val="en-US" w:eastAsia="zh-CN"/>
        </w:rPr>
      </w:pPr>
    </w:p>
    <w:p w14:paraId="2A33AAEE">
      <w:pPr>
        <w:pStyle w:val="16"/>
        <w:rPr>
          <w:rFonts w:hint="eastAsia"/>
          <w:lang w:val="en-US" w:eastAsia="zh-CN"/>
        </w:rPr>
      </w:pPr>
    </w:p>
    <w:p w14:paraId="066671AA">
      <w:pPr>
        <w:pStyle w:val="16"/>
        <w:rPr>
          <w:rFonts w:hint="eastAsia"/>
          <w:lang w:val="en-US" w:eastAsia="zh-CN"/>
        </w:rPr>
      </w:pPr>
    </w:p>
    <w:p w14:paraId="65D1A1FD">
      <w:pPr>
        <w:pStyle w:val="16"/>
        <w:rPr>
          <w:rFonts w:hint="eastAsia"/>
          <w:lang w:val="en-US" w:eastAsia="zh-CN"/>
        </w:rPr>
      </w:pPr>
    </w:p>
    <w:p w14:paraId="07AF3D1B">
      <w:pPr>
        <w:pStyle w:val="16"/>
        <w:rPr>
          <w:rFonts w:hint="eastAsia"/>
          <w:lang w:val="en-US" w:eastAsia="zh-CN"/>
        </w:rPr>
      </w:pPr>
    </w:p>
    <w:p w14:paraId="65F8DFF3">
      <w:pPr>
        <w:pStyle w:val="16"/>
        <w:rPr>
          <w:rFonts w:hint="eastAsia"/>
          <w:lang w:val="en-US" w:eastAsia="zh-CN"/>
        </w:rPr>
      </w:pPr>
    </w:p>
    <w:p w14:paraId="5678A31F">
      <w:pPr>
        <w:pStyle w:val="16"/>
        <w:rPr>
          <w:rFonts w:hint="eastAsia"/>
          <w:lang w:val="en-US" w:eastAsia="zh-CN"/>
        </w:rPr>
      </w:pPr>
    </w:p>
    <w:p w14:paraId="0F36B38B">
      <w:pPr>
        <w:pStyle w:val="16"/>
        <w:rPr>
          <w:rFonts w:hint="eastAsia"/>
          <w:lang w:val="en-US" w:eastAsia="zh-CN"/>
        </w:rPr>
      </w:pPr>
    </w:p>
    <w:p w14:paraId="2F54E3A6">
      <w:pPr>
        <w:pStyle w:val="16"/>
        <w:rPr>
          <w:rFonts w:hint="eastAsia"/>
          <w:lang w:val="en-US" w:eastAsia="zh-CN"/>
        </w:rPr>
      </w:pPr>
    </w:p>
    <w:p w14:paraId="7CBABFFC">
      <w:pPr>
        <w:pStyle w:val="16"/>
        <w:rPr>
          <w:rFonts w:hint="eastAsia"/>
          <w:lang w:val="en-US" w:eastAsia="zh-CN"/>
        </w:rPr>
      </w:pPr>
    </w:p>
    <w:p w14:paraId="1BF7F7C0">
      <w:pPr>
        <w:pStyle w:val="16"/>
        <w:rPr>
          <w:rFonts w:hint="eastAsia"/>
          <w:lang w:val="en-US" w:eastAsia="zh-CN"/>
        </w:rPr>
      </w:pPr>
    </w:p>
    <w:p w14:paraId="651973FF">
      <w:pPr>
        <w:pStyle w:val="16"/>
        <w:rPr>
          <w:rFonts w:hint="eastAsia"/>
          <w:lang w:val="en-US" w:eastAsia="zh-CN"/>
        </w:rPr>
      </w:pPr>
    </w:p>
    <w:p w14:paraId="0A5ECAE7">
      <w:pPr>
        <w:pStyle w:val="16"/>
        <w:rPr>
          <w:rFonts w:hint="eastAsia"/>
          <w:lang w:val="en-US" w:eastAsia="zh-CN"/>
        </w:rPr>
      </w:pPr>
    </w:p>
    <w:p w14:paraId="1F798433">
      <w:pPr>
        <w:pStyle w:val="16"/>
        <w:rPr>
          <w:rFonts w:hint="eastAsia"/>
          <w:lang w:val="en-US" w:eastAsia="zh-CN"/>
        </w:rPr>
      </w:pPr>
    </w:p>
    <w:p w14:paraId="6999DC10">
      <w:pPr>
        <w:pStyle w:val="16"/>
        <w:rPr>
          <w:rFonts w:hint="eastAsia"/>
          <w:lang w:val="en-US" w:eastAsia="zh-CN"/>
        </w:rPr>
      </w:pPr>
    </w:p>
    <w:p w14:paraId="19534F3B">
      <w:pPr>
        <w:pStyle w:val="16"/>
        <w:rPr>
          <w:rFonts w:hint="eastAsia"/>
          <w:lang w:val="en-US" w:eastAsia="zh-CN"/>
        </w:rPr>
      </w:pPr>
    </w:p>
    <w:p w14:paraId="0EDD44DF">
      <w:pPr>
        <w:pStyle w:val="16"/>
        <w:rPr>
          <w:rFonts w:hint="eastAsia"/>
          <w:lang w:val="en-US" w:eastAsia="zh-CN"/>
        </w:rPr>
      </w:pPr>
    </w:p>
    <w:p w14:paraId="0DC3C9BD">
      <w:pPr>
        <w:pStyle w:val="6"/>
        <w:numPr>
          <w:ilvl w:val="0"/>
          <w:numId w:val="0"/>
        </w:numPr>
        <w:ind w:right="0" w:rightChars="0"/>
        <w:jc w:val="center"/>
        <w:rPr>
          <w:rFonts w:hint="default" w:ascii="方正小标宋_GBK" w:hAnsi="方正小标宋_GBK" w:eastAsia="方正小标宋_GBK" w:cs="方正小标宋_GBK"/>
          <w:b/>
          <w:bCs/>
          <w:kern w:val="2"/>
          <w:sz w:val="32"/>
          <w:szCs w:val="32"/>
          <w:lang w:val="en-US" w:eastAsia="zh-CN" w:bidi="ar-SA"/>
        </w:rPr>
      </w:pPr>
      <w:r>
        <w:rPr>
          <w:rFonts w:hint="eastAsia" w:ascii="方正小标宋_GBK" w:hAnsi="方正小标宋_GBK" w:eastAsia="方正小标宋_GBK" w:cs="方正小标宋_GBK"/>
          <w:b/>
          <w:bCs/>
          <w:kern w:val="2"/>
          <w:sz w:val="32"/>
          <w:szCs w:val="32"/>
          <w:lang w:val="en-US" w:eastAsia="zh-CN" w:bidi="ar-SA"/>
        </w:rPr>
        <w:t>二标段清单</w:t>
      </w:r>
    </w:p>
    <w:tbl>
      <w:tblPr>
        <w:tblStyle w:val="29"/>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600"/>
        <w:gridCol w:w="1167"/>
        <w:gridCol w:w="1122"/>
        <w:gridCol w:w="2267"/>
        <w:gridCol w:w="2065"/>
      </w:tblGrid>
      <w:tr w14:paraId="2F13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055" w:type="dxa"/>
            <w:vAlign w:val="center"/>
          </w:tcPr>
          <w:p w14:paraId="128A6FAE">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序号</w:t>
            </w:r>
          </w:p>
        </w:tc>
        <w:tc>
          <w:tcPr>
            <w:tcW w:w="2600" w:type="dxa"/>
            <w:vAlign w:val="center"/>
          </w:tcPr>
          <w:p w14:paraId="2E11223C">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名称</w:t>
            </w:r>
          </w:p>
        </w:tc>
        <w:tc>
          <w:tcPr>
            <w:tcW w:w="1167" w:type="dxa"/>
            <w:vAlign w:val="center"/>
          </w:tcPr>
          <w:p w14:paraId="5BA89CB0">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数量</w:t>
            </w:r>
          </w:p>
        </w:tc>
        <w:tc>
          <w:tcPr>
            <w:tcW w:w="1122" w:type="dxa"/>
            <w:vAlign w:val="center"/>
          </w:tcPr>
          <w:p w14:paraId="2BCB8C39">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单位</w:t>
            </w:r>
          </w:p>
        </w:tc>
        <w:tc>
          <w:tcPr>
            <w:tcW w:w="2267" w:type="dxa"/>
            <w:vAlign w:val="center"/>
          </w:tcPr>
          <w:p w14:paraId="31DDB573">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预算单价（元）</w:t>
            </w:r>
          </w:p>
        </w:tc>
        <w:tc>
          <w:tcPr>
            <w:tcW w:w="2065" w:type="dxa"/>
            <w:vAlign w:val="center"/>
          </w:tcPr>
          <w:p w14:paraId="4F5E89B9">
            <w:pPr>
              <w:wordWrap/>
              <w:spacing w:after="0" w:line="360" w:lineRule="auto"/>
              <w:jc w:val="center"/>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质保年限</w:t>
            </w:r>
          </w:p>
        </w:tc>
      </w:tr>
      <w:tr w14:paraId="239F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055" w:type="dxa"/>
            <w:vAlign w:val="center"/>
          </w:tcPr>
          <w:p w14:paraId="15FF9763">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p>
        </w:tc>
        <w:tc>
          <w:tcPr>
            <w:tcW w:w="2600" w:type="dxa"/>
            <w:vAlign w:val="center"/>
          </w:tcPr>
          <w:p w14:paraId="26BCDD17">
            <w:pPr>
              <w:wordWrap/>
              <w:spacing w:after="0" w:line="360" w:lineRule="auto"/>
              <w:jc w:val="cente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电子肛肠镜</w:t>
            </w:r>
          </w:p>
        </w:tc>
        <w:tc>
          <w:tcPr>
            <w:tcW w:w="1167" w:type="dxa"/>
            <w:vAlign w:val="center"/>
          </w:tcPr>
          <w:p w14:paraId="085274E5">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1122" w:type="dxa"/>
            <w:vAlign w:val="center"/>
          </w:tcPr>
          <w:p w14:paraId="0DA080AC">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67" w:type="dxa"/>
            <w:vAlign w:val="center"/>
          </w:tcPr>
          <w:p w14:paraId="5027C464">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230000</w:t>
            </w:r>
          </w:p>
        </w:tc>
        <w:tc>
          <w:tcPr>
            <w:tcW w:w="2065" w:type="dxa"/>
            <w:vAlign w:val="center"/>
          </w:tcPr>
          <w:p w14:paraId="3D822D05">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r>
      <w:tr w14:paraId="1691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055" w:type="dxa"/>
            <w:vAlign w:val="center"/>
          </w:tcPr>
          <w:p w14:paraId="255E1941">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p>
        </w:tc>
        <w:tc>
          <w:tcPr>
            <w:tcW w:w="2600" w:type="dxa"/>
            <w:vAlign w:val="center"/>
          </w:tcPr>
          <w:p w14:paraId="48892103">
            <w:pPr>
              <w:wordWrap/>
              <w:spacing w:after="0" w:line="360" w:lineRule="auto"/>
              <w:jc w:val="cente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尿道膀胱镜</w:t>
            </w:r>
          </w:p>
        </w:tc>
        <w:tc>
          <w:tcPr>
            <w:tcW w:w="1167" w:type="dxa"/>
            <w:vAlign w:val="center"/>
          </w:tcPr>
          <w:p w14:paraId="40E60CCE">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1122" w:type="dxa"/>
            <w:vAlign w:val="center"/>
          </w:tcPr>
          <w:p w14:paraId="46A6EC32">
            <w:pPr>
              <w:wordWrap/>
              <w:spacing w:after="0" w:line="36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台</w:t>
            </w:r>
          </w:p>
        </w:tc>
        <w:tc>
          <w:tcPr>
            <w:tcW w:w="2267" w:type="dxa"/>
            <w:vAlign w:val="center"/>
          </w:tcPr>
          <w:p w14:paraId="508108EF">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80000</w:t>
            </w:r>
          </w:p>
        </w:tc>
        <w:tc>
          <w:tcPr>
            <w:tcW w:w="2065" w:type="dxa"/>
            <w:vAlign w:val="center"/>
          </w:tcPr>
          <w:p w14:paraId="2381D307">
            <w:pPr>
              <w:wordWrap/>
              <w:spacing w:after="0"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lang w:val="en-US" w:eastAsia="zh-CN" w:bidi="ar-SA"/>
              </w:rPr>
              <w:t>3</w:t>
            </w:r>
          </w:p>
        </w:tc>
      </w:tr>
      <w:tr w14:paraId="3B95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0276" w:type="dxa"/>
            <w:gridSpan w:val="6"/>
            <w:vAlign w:val="center"/>
          </w:tcPr>
          <w:p w14:paraId="33A570D4">
            <w:pPr>
              <w:pStyle w:val="24"/>
              <w:shd w:val="clear" w:color="auto" w:fill="FFFFFF"/>
              <w:spacing w:before="0" w:beforeAutospacing="0" w:after="0" w:afterAutospacing="0" w:line="33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总价预算金额：390000.00 元  </w:t>
            </w:r>
          </w:p>
        </w:tc>
      </w:tr>
    </w:tbl>
    <w:p w14:paraId="78515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kern w:val="2"/>
          <w:sz w:val="32"/>
          <w:szCs w:val="32"/>
          <w:lang w:val="en-US" w:eastAsia="zh-CN" w:bidi="ar-SA"/>
        </w:rPr>
      </w:pPr>
    </w:p>
    <w:p w14:paraId="7F4D43B7">
      <w:pPr>
        <w:keepNext w:val="0"/>
        <w:keepLines w:val="0"/>
        <w:pageBreakBefore w:val="0"/>
        <w:widowControl/>
        <w:numPr>
          <w:ilvl w:val="0"/>
          <w:numId w:val="0"/>
        </w:numPr>
        <w:tabs>
          <w:tab w:val="left" w:pos="403"/>
        </w:tabs>
        <w:kinsoku/>
        <w:wordWrap/>
        <w:overflowPunct/>
        <w:topLinePunct w:val="0"/>
        <w:autoSpaceDE/>
        <w:autoSpaceDN/>
        <w:bidi w:val="0"/>
        <w:adjustRightInd/>
        <w:snapToGrid/>
        <w:spacing w:line="240" w:lineRule="auto"/>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一、电子肛肠镜（高频肛肠治疗仪）</w:t>
      </w:r>
      <w:r>
        <w:rPr>
          <w:rFonts w:hint="eastAsia" w:ascii="黑体" w:hAnsi="黑体" w:eastAsia="黑体" w:cs="黑体"/>
          <w:b/>
          <w:bCs/>
          <w:kern w:val="2"/>
          <w:sz w:val="32"/>
          <w:szCs w:val="32"/>
          <w:lang w:val="en-US" w:eastAsia="zh-CN" w:bidi="ar-SA"/>
        </w:rPr>
        <w:t>（核心产品）</w:t>
      </w:r>
    </w:p>
    <w:p w14:paraId="4877C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一、适用范围：对于痔疮、肛裂，乳头状瘤的治疗及肛门、直肠或乙状部位等的检查。主要用于肛肠疾病诊疗使用，产品高清成像、操作简单，可一站式完成检查、诊断和治疗。</w:t>
      </w:r>
    </w:p>
    <w:p w14:paraId="22DD2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二、手术治疗系统(包括主机、输出操作附件、脚踏开关)和摄像系统(包括CCD摄像仪、电脑、打印机)国家具备III类注册</w:t>
      </w:r>
    </w:p>
    <w:p w14:paraId="1B139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三、检查功能</w:t>
      </w:r>
    </w:p>
    <w:p w14:paraId="64E37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1.▲摄像机类型：手持式数字摄像机分辨率：动态像素≥964(V) x 1292(H) ，静态像素：≥1080P </w:t>
      </w:r>
    </w:p>
    <w:p w14:paraId="3FE27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2.传感器类型：传感器芯片CCD摄像机 </w:t>
      </w:r>
    </w:p>
    <w:p w14:paraId="63314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3.帧率：≥30fps</w:t>
      </w:r>
    </w:p>
    <w:p w14:paraId="383127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4.两种工作方式：连续采集、软触发采集，全尺寸JPEG图像压缩输出。</w:t>
      </w:r>
    </w:p>
    <w:p w14:paraId="61FEC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5.视频输出：≥Mini USB2.0*（高速视频输出）</w:t>
      </w:r>
    </w:p>
    <w:p w14:paraId="19BE0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6.液晶显示器≥20寸（分辨率：1920x1080）根据临床需要可进行具体上下升降、左右调节功能。</w:t>
      </w:r>
    </w:p>
    <w:p w14:paraId="41BD9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7.光源类型：医用内窥镜LED冷光源（具备单独的注册证）</w:t>
      </w:r>
    </w:p>
    <w:p w14:paraId="70BD44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8.▲光源技术参数：照度：照度可调节，最大照度≥2000000Lx，色温：≥6500K ,光通量：≥300lm</w:t>
      </w:r>
    </w:p>
    <w:p w14:paraId="21458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9.检查部分采用手持摄相机可调焦、可配置普通肛门镜及直肠镜、乙状结肠镜接口真正实现一机同时检查几个部位的功能。</w:t>
      </w:r>
    </w:p>
    <w:p w14:paraId="4964C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10.▲直肠、乙状结肠镜镜(镜体、闭孔器、环形导光束接口、手柄、光线均衡环、定位接口组成。)头照明在工作距离10mm处光照度不低于5000lx</w:t>
      </w:r>
    </w:p>
    <w:p w14:paraId="6F9AC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四、软件影像处理</w:t>
      </w:r>
    </w:p>
    <w:p w14:paraId="3E2EC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1.A、全中文界面 人性化程序设计：全中文设计，软件操作具有动态跟踪功能。</w:t>
      </w:r>
    </w:p>
    <w:p w14:paraId="0796F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2.B、提供高质量的实时动态观察：图像采集、冻结、对比、保存等功能，提供可容纳≥50张图片的动态图片库。</w:t>
      </w:r>
    </w:p>
    <w:p w14:paraId="167C4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3.C、实用快捷的档案管理:病历资料提供方便的存档、检索功能。</w:t>
      </w:r>
    </w:p>
    <w:p w14:paraId="4C597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4.D、丰富的图像处理功能：可以对图像进行放大、长度测量等一系列的处理。</w:t>
      </w:r>
    </w:p>
    <w:p w14:paraId="665E3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5.E、快速便捷的历史病历查询: 全程计算机监控,病历档案电脑管理,通过简单的查询方法。</w:t>
      </w:r>
    </w:p>
    <w:p w14:paraId="24E16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五、治疗部分</w:t>
      </w:r>
    </w:p>
    <w:p w14:paraId="524A4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1.高频电钳功能：其特点被钳夹的组织干结而不碳化，避免了术后出血。</w:t>
      </w:r>
    </w:p>
    <w:p w14:paraId="50063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2.电刀功能：对皮肤、组织、粘膜、赘生物的切割。</w:t>
      </w:r>
    </w:p>
    <w:p w14:paraId="400069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3.双极止血镊功能：组织及粘膜（小血管）的止血、凝血、修复。</w:t>
      </w:r>
    </w:p>
    <w:p w14:paraId="710FF4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4.▲高频电钳：输出功率为75W±20％。</w:t>
      </w:r>
    </w:p>
    <w:p w14:paraId="4ABFA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5.高频部分工作频率：1.0Mhz±0.01mhz</w:t>
      </w:r>
    </w:p>
    <w:p w14:paraId="70F07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6.电刀在额定负载2500Ω时的高频最大输出功率为35W±20％。</w:t>
      </w:r>
    </w:p>
    <w:p w14:paraId="202EA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7.▲双极止血镊：输出功率为75W±20％。</w:t>
      </w:r>
    </w:p>
    <w:p w14:paraId="22FC50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8.当高频部分双极输出网络开路时，应有声响警报。</w:t>
      </w:r>
    </w:p>
    <w:p w14:paraId="3F2C9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9.设备的输入功率：1000VA±10%；</w:t>
      </w:r>
    </w:p>
    <w:p w14:paraId="63710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★六、主要配置（提供承诺函）</w:t>
      </w:r>
    </w:p>
    <w:p w14:paraId="4CAB2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1.医用内窥镜LED冷光源1台</w:t>
      </w:r>
    </w:p>
    <w:p w14:paraId="468EA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2.双极止血镊（一把）</w:t>
      </w:r>
    </w:p>
    <w:p w14:paraId="386BE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3.液晶显示器一台</w:t>
      </w:r>
    </w:p>
    <w:p w14:paraId="39151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4.高频电钳：规格180mm 、200mm（各一把）</w:t>
      </w:r>
    </w:p>
    <w:p w14:paraId="0A73D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5.电刀及输出线 2套</w:t>
      </w:r>
    </w:p>
    <w:p w14:paraId="5B21D6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6.数字摄像机1套</w:t>
      </w:r>
    </w:p>
    <w:p w14:paraId="53CB0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7.导光束  1根（2000mm）</w:t>
      </w:r>
    </w:p>
    <w:p w14:paraId="6B56BD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8.微机系统（含液晶显示器、电脑主机、鼠标、键盘）一套。</w:t>
      </w:r>
    </w:p>
    <w:p w14:paraId="75320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9.电脑配置：电脑主机  （512固态 + 硬盘：1T ；内存：8G；液晶显示器（23.8寸）；Windows11操作系统。 </w:t>
      </w:r>
    </w:p>
    <w:p w14:paraId="56F14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10.直肠、乙状结肠镜200只</w:t>
      </w:r>
    </w:p>
    <w:p w14:paraId="16F71E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11.彩色喷墨打印机1台</w:t>
      </w:r>
    </w:p>
    <w:p w14:paraId="7BDA4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12.环形导光束1只</w:t>
      </w:r>
    </w:p>
    <w:p w14:paraId="528ED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★七、质保期三年（提供承诺函）</w:t>
      </w:r>
    </w:p>
    <w:p w14:paraId="12E3CC13">
      <w:pPr>
        <w:pStyle w:val="16"/>
        <w:rPr>
          <w:rFonts w:hint="eastAsia"/>
          <w:lang w:val="en-US" w:eastAsia="zh-CN"/>
        </w:rPr>
      </w:pPr>
    </w:p>
    <w:p w14:paraId="2086F743">
      <w:pPr>
        <w:keepNext w:val="0"/>
        <w:keepLines w:val="0"/>
        <w:pageBreakBefore w:val="0"/>
        <w:widowControl/>
        <w:numPr>
          <w:ilvl w:val="0"/>
          <w:numId w:val="0"/>
        </w:numPr>
        <w:tabs>
          <w:tab w:val="left" w:pos="403"/>
        </w:tabs>
        <w:kinsoku/>
        <w:wordWrap/>
        <w:overflowPunct/>
        <w:topLinePunct w:val="0"/>
        <w:autoSpaceDE/>
        <w:autoSpaceDN/>
        <w:bidi w:val="0"/>
        <w:adjustRightInd/>
        <w:snapToGrid/>
        <w:spacing w:line="240" w:lineRule="auto"/>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二、尿道膀胱镜</w:t>
      </w:r>
    </w:p>
    <w:p w14:paraId="57E24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★1.视 向 角：0°、30°、70°</w:t>
      </w:r>
      <w:r>
        <w:rPr>
          <w:rFonts w:hint="eastAsia" w:ascii="仿宋_GB2312" w:hAnsi="仿宋_GB2312" w:eastAsia="仿宋_GB2312" w:cs="仿宋_GB2312"/>
          <w:sz w:val="32"/>
          <w:szCs w:val="32"/>
          <w:lang w:val="en-US" w:eastAsia="zh-CN"/>
        </w:rPr>
        <w:t>（提供相关佐证资料）</w:t>
      </w:r>
      <w:r>
        <w:rPr>
          <w:rFonts w:hint="default"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2C804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2.视 场 角：≥60°</w:t>
      </w:r>
    </w:p>
    <w:p w14:paraId="2A522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3.镜管直径：≤φ4.0mm              </w:t>
      </w:r>
    </w:p>
    <w:p w14:paraId="739D34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4.景深范围：5mm～50mm</w:t>
      </w:r>
    </w:p>
    <w:p w14:paraId="2E55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5.工作长度：≥300mm              </w:t>
      </w:r>
    </w:p>
    <w:p w14:paraId="11E78E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▲6.分辨率：≥8.34lp/mm(物距20 mm)</w:t>
      </w:r>
    </w:p>
    <w:p w14:paraId="0944C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7.导向器自锁装置,分体式</w:t>
      </w:r>
    </w:p>
    <w:p w14:paraId="30DAE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8.宝石镜片</w:t>
      </w:r>
    </w:p>
    <w:p w14:paraId="4547B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9.全医用不锈钢</w:t>
      </w:r>
    </w:p>
    <w:p w14:paraId="47B256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▲10.镜鞘：F16、F18、F21</w:t>
      </w:r>
    </w:p>
    <w:p w14:paraId="403C4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11.镜鞘长度：≥220mm</w:t>
      </w:r>
    </w:p>
    <w:p w14:paraId="4F77B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★12.配备：导向器（提供承诺函）</w:t>
      </w:r>
    </w:p>
    <w:p w14:paraId="7568BC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★13.配备：导向器1个、软镜活检钳1个、异物钳1个、剪刀1个、导光束1个、冲洗器1个、密封冒20个。（提供承诺函）</w:t>
      </w:r>
    </w:p>
    <w:p w14:paraId="5C882A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★14、质保期三年（提供承诺函）</w:t>
      </w:r>
    </w:p>
    <w:p w14:paraId="5389F7F3">
      <w:pPr>
        <w:pStyle w:val="16"/>
        <w:rPr>
          <w:rFonts w:hint="default"/>
          <w:lang w:val="en-US" w:eastAsia="zh-CN"/>
        </w:rPr>
      </w:pPr>
    </w:p>
    <w:p w14:paraId="717889EB">
      <w:pPr>
        <w:pStyle w:val="16"/>
        <w:rPr>
          <w:rFonts w:hint="default" w:ascii="仿宋_GB2312" w:hAnsi="仿宋_GB2312" w:eastAsia="仿宋_GB2312" w:cs="仿宋_GB2312"/>
          <w:kern w:val="2"/>
          <w:sz w:val="32"/>
          <w:szCs w:val="32"/>
          <w:lang w:val="en-US" w:eastAsia="zh-CN" w:bidi="ar-SA"/>
        </w:rPr>
      </w:pPr>
    </w:p>
    <w:p w14:paraId="18FD8D19">
      <w:pPr>
        <w:pStyle w:val="16"/>
        <w:rPr>
          <w:rFonts w:hint="default" w:ascii="仿宋_GB2312" w:hAnsi="仿宋_GB2312" w:eastAsia="仿宋_GB2312" w:cs="仿宋_GB2312"/>
          <w:kern w:val="2"/>
          <w:sz w:val="32"/>
          <w:szCs w:val="32"/>
          <w:lang w:val="en-US" w:eastAsia="zh-CN" w:bidi="ar-SA"/>
        </w:rPr>
      </w:pPr>
    </w:p>
    <w:p w14:paraId="0EC916B1">
      <w:pPr>
        <w:pStyle w:val="16"/>
        <w:rPr>
          <w:rFonts w:hint="default" w:ascii="仿宋_GB2312" w:hAnsi="仿宋_GB2312" w:eastAsia="仿宋_GB2312" w:cs="仿宋_GB2312"/>
          <w:kern w:val="2"/>
          <w:sz w:val="32"/>
          <w:szCs w:val="32"/>
          <w:lang w:val="en-US" w:eastAsia="zh-CN" w:bidi="ar-SA"/>
        </w:rPr>
      </w:pPr>
    </w:p>
    <w:p w14:paraId="3C994858">
      <w:pPr>
        <w:pStyle w:val="16"/>
        <w:rPr>
          <w:rFonts w:hint="default" w:ascii="仿宋_GB2312" w:hAnsi="仿宋_GB2312" w:eastAsia="仿宋_GB2312" w:cs="仿宋_GB2312"/>
          <w:kern w:val="2"/>
          <w:sz w:val="32"/>
          <w:szCs w:val="32"/>
          <w:lang w:val="en-US" w:eastAsia="zh-CN" w:bidi="ar-SA"/>
        </w:rPr>
      </w:pPr>
    </w:p>
    <w:p w14:paraId="6813113E">
      <w:pPr>
        <w:pStyle w:val="16"/>
        <w:rPr>
          <w:rFonts w:hint="default" w:ascii="仿宋_GB2312" w:hAnsi="仿宋_GB2312" w:eastAsia="仿宋_GB2312" w:cs="仿宋_GB2312"/>
          <w:kern w:val="2"/>
          <w:sz w:val="32"/>
          <w:szCs w:val="32"/>
          <w:lang w:val="en-US" w:eastAsia="zh-CN" w:bidi="ar-SA"/>
        </w:rPr>
      </w:pPr>
    </w:p>
    <w:p w14:paraId="0FE79DFD">
      <w:pPr>
        <w:pStyle w:val="16"/>
        <w:rPr>
          <w:rFonts w:hint="default" w:ascii="仿宋_GB2312" w:hAnsi="仿宋_GB2312" w:eastAsia="仿宋_GB2312" w:cs="仿宋_GB2312"/>
          <w:kern w:val="2"/>
          <w:sz w:val="32"/>
          <w:szCs w:val="32"/>
          <w:lang w:val="en-US" w:eastAsia="zh-CN" w:bidi="ar-SA"/>
        </w:rPr>
      </w:pPr>
    </w:p>
    <w:p w14:paraId="57D713BF">
      <w:pPr>
        <w:pStyle w:val="16"/>
        <w:rPr>
          <w:rFonts w:hint="default" w:ascii="仿宋_GB2312" w:hAnsi="仿宋_GB2312" w:eastAsia="仿宋_GB2312" w:cs="仿宋_GB2312"/>
          <w:kern w:val="2"/>
          <w:sz w:val="32"/>
          <w:szCs w:val="32"/>
          <w:lang w:val="en-US" w:eastAsia="zh-CN" w:bidi="ar-SA"/>
        </w:rPr>
      </w:pPr>
    </w:p>
    <w:p w14:paraId="65AE9880">
      <w:pPr>
        <w:pStyle w:val="16"/>
        <w:rPr>
          <w:rFonts w:hint="default" w:ascii="仿宋_GB2312" w:hAnsi="仿宋_GB2312" w:eastAsia="仿宋_GB2312" w:cs="仿宋_GB2312"/>
          <w:kern w:val="2"/>
          <w:sz w:val="32"/>
          <w:szCs w:val="32"/>
          <w:lang w:val="en-US" w:eastAsia="zh-CN" w:bidi="ar-SA"/>
        </w:rPr>
      </w:pPr>
    </w:p>
    <w:p w14:paraId="504A00ED">
      <w:pPr>
        <w:pStyle w:val="16"/>
        <w:rPr>
          <w:rFonts w:hint="default" w:ascii="仿宋_GB2312" w:hAnsi="仿宋_GB2312" w:eastAsia="仿宋_GB2312" w:cs="仿宋_GB2312"/>
          <w:kern w:val="2"/>
          <w:sz w:val="32"/>
          <w:szCs w:val="32"/>
          <w:lang w:val="en-US" w:eastAsia="zh-CN" w:bidi="ar-SA"/>
        </w:rPr>
      </w:pPr>
    </w:p>
    <w:p w14:paraId="2098617B">
      <w:pPr>
        <w:pStyle w:val="4"/>
        <w:pageBreakBefore w:val="0"/>
        <w:bidi w:val="0"/>
        <w:spacing w:line="360" w:lineRule="auto"/>
        <w:jc w:val="center"/>
        <w:rPr>
          <w:rFonts w:hint="eastAsia" w:ascii="方正小标宋_GBK" w:hAnsi="方正小标宋_GBK" w:eastAsia="方正小标宋_GBK" w:cs="方正小标宋_GBK"/>
          <w:b w:val="0"/>
          <w:bCs w:val="0"/>
          <w:kern w:val="2"/>
          <w:sz w:val="32"/>
          <w:szCs w:val="32"/>
          <w:lang w:val="en-US" w:eastAsia="zh-CN" w:bidi="ar-SA"/>
        </w:rPr>
      </w:pPr>
      <w:r>
        <w:rPr>
          <w:rFonts w:hint="eastAsia" w:ascii="方正小标宋_GBK" w:hAnsi="方正小标宋_GBK" w:eastAsia="方正小标宋_GBK" w:cs="方正小标宋_GBK"/>
          <w:b w:val="0"/>
          <w:bCs w:val="0"/>
          <w:kern w:val="2"/>
          <w:sz w:val="32"/>
          <w:szCs w:val="32"/>
          <w:lang w:val="en-US" w:eastAsia="zh-CN" w:bidi="ar-SA"/>
        </w:rPr>
        <w:t>第六章   投标文件部分格式</w:t>
      </w:r>
      <w:bookmarkEnd w:id="395"/>
    </w:p>
    <w:p w14:paraId="482155F3">
      <w:pPr>
        <w:pageBreakBefore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 xml:space="preserve">    </w:t>
      </w:r>
      <w:bookmarkStart w:id="397" w:name="_Toc8812_WPSOffice_Level1"/>
      <w:bookmarkStart w:id="398" w:name="_Toc4221_WPSOffice_Level1"/>
      <w:r>
        <w:rPr>
          <w:rFonts w:hint="eastAsia" w:ascii="仿宋" w:hAnsi="仿宋" w:eastAsia="仿宋" w:cs="仿宋"/>
          <w:color w:val="auto"/>
          <w:sz w:val="32"/>
          <w:szCs w:val="32"/>
          <w:highlight w:val="none"/>
        </w:rPr>
        <w:t>正本/副本</w:t>
      </w:r>
      <w:bookmarkEnd w:id="397"/>
      <w:bookmarkEnd w:id="398"/>
    </w:p>
    <w:p w14:paraId="5DE2F5CE">
      <w:pPr>
        <w:pStyle w:val="20"/>
        <w:pageBreakBefore w:val="0"/>
        <w:bidi w:val="0"/>
        <w:spacing w:line="360" w:lineRule="auto"/>
        <w:rPr>
          <w:rFonts w:hint="eastAsia" w:ascii="仿宋" w:hAnsi="仿宋" w:eastAsia="仿宋" w:cs="仿宋"/>
          <w:color w:val="auto"/>
          <w:sz w:val="32"/>
          <w:szCs w:val="32"/>
          <w:highlight w:val="none"/>
        </w:rPr>
      </w:pPr>
    </w:p>
    <w:p w14:paraId="0397B187">
      <w:pPr>
        <w:pStyle w:val="20"/>
        <w:pageBreakBefore w:val="0"/>
        <w:bidi w:val="0"/>
        <w:spacing w:line="360" w:lineRule="auto"/>
        <w:rPr>
          <w:rFonts w:hint="eastAsia" w:ascii="仿宋" w:hAnsi="仿宋" w:eastAsia="仿宋" w:cs="仿宋"/>
          <w:color w:val="auto"/>
          <w:sz w:val="32"/>
          <w:szCs w:val="32"/>
          <w:highlight w:val="none"/>
        </w:rPr>
      </w:pPr>
    </w:p>
    <w:p w14:paraId="0406210F">
      <w:pPr>
        <w:pageBreakBefore w:val="0"/>
        <w:bidi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（项目名称）                </w:t>
      </w:r>
    </w:p>
    <w:p w14:paraId="7FAF3BB8">
      <w:pPr>
        <w:pageBreakBefore w:val="0"/>
        <w:bidi w:val="0"/>
        <w:spacing w:line="360" w:lineRule="auto"/>
        <w:rPr>
          <w:rFonts w:hint="eastAsia" w:ascii="仿宋" w:hAnsi="仿宋" w:eastAsia="仿宋" w:cs="仿宋"/>
          <w:color w:val="auto"/>
          <w:sz w:val="32"/>
          <w:szCs w:val="32"/>
          <w:highlight w:val="none"/>
        </w:rPr>
      </w:pPr>
    </w:p>
    <w:p w14:paraId="2D7915CF">
      <w:pPr>
        <w:pageBreakBefore w:val="0"/>
        <w:bidi w:val="0"/>
        <w:spacing w:line="360" w:lineRule="auto"/>
        <w:rPr>
          <w:rFonts w:hint="eastAsia" w:ascii="仿宋" w:hAnsi="仿宋" w:eastAsia="仿宋" w:cs="仿宋"/>
          <w:color w:val="auto"/>
          <w:sz w:val="32"/>
          <w:szCs w:val="32"/>
          <w:highlight w:val="none"/>
        </w:rPr>
      </w:pPr>
    </w:p>
    <w:p w14:paraId="3E2DB805">
      <w:pPr>
        <w:pStyle w:val="20"/>
        <w:pageBreakBefore w:val="0"/>
        <w:bidi w:val="0"/>
        <w:spacing w:line="360" w:lineRule="auto"/>
        <w:rPr>
          <w:rFonts w:hint="eastAsia" w:ascii="仿宋" w:hAnsi="仿宋" w:eastAsia="仿宋" w:cs="仿宋"/>
          <w:color w:val="auto"/>
          <w:sz w:val="32"/>
          <w:szCs w:val="32"/>
          <w:highlight w:val="none"/>
        </w:rPr>
      </w:pPr>
    </w:p>
    <w:p w14:paraId="052A5B5F">
      <w:pPr>
        <w:pageBreakBefore w:val="0"/>
        <w:bidi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投标文件</w:t>
      </w:r>
    </w:p>
    <w:p w14:paraId="232FF225">
      <w:pPr>
        <w:pStyle w:val="34"/>
        <w:pageBreakBefore w:val="0"/>
        <w:bidi w:val="0"/>
        <w:spacing w:line="360" w:lineRule="auto"/>
        <w:rPr>
          <w:rFonts w:hint="eastAsia" w:ascii="仿宋" w:hAnsi="仿宋" w:eastAsia="仿宋" w:cs="仿宋"/>
          <w:b/>
          <w:bCs/>
          <w:color w:val="auto"/>
          <w:sz w:val="32"/>
          <w:szCs w:val="32"/>
          <w:highlight w:val="none"/>
        </w:rPr>
      </w:pPr>
    </w:p>
    <w:p w14:paraId="16DF17BB">
      <w:pPr>
        <w:pStyle w:val="34"/>
        <w:pageBreakBefore w:val="0"/>
        <w:bidi w:val="0"/>
        <w:spacing w:line="360" w:lineRule="auto"/>
        <w:rPr>
          <w:rFonts w:hint="eastAsia" w:ascii="仿宋" w:hAnsi="仿宋" w:eastAsia="仿宋" w:cs="仿宋"/>
          <w:b/>
          <w:bCs/>
          <w:color w:val="auto"/>
          <w:sz w:val="32"/>
          <w:szCs w:val="32"/>
          <w:highlight w:val="none"/>
        </w:rPr>
      </w:pPr>
    </w:p>
    <w:p w14:paraId="5DB5E279">
      <w:pPr>
        <w:pStyle w:val="34"/>
        <w:pageBreakBefore w:val="0"/>
        <w:bidi w:val="0"/>
        <w:spacing w:line="360" w:lineRule="auto"/>
        <w:rPr>
          <w:rFonts w:hint="eastAsia" w:ascii="仿宋" w:hAnsi="仿宋" w:eastAsia="仿宋" w:cs="仿宋"/>
          <w:b/>
          <w:bCs/>
          <w:color w:val="auto"/>
          <w:sz w:val="32"/>
          <w:szCs w:val="32"/>
          <w:highlight w:val="none"/>
        </w:rPr>
      </w:pPr>
    </w:p>
    <w:p w14:paraId="3A4960C6">
      <w:pPr>
        <w:pStyle w:val="34"/>
        <w:pageBreakBefore w:val="0"/>
        <w:bidi w:val="0"/>
        <w:spacing w:line="360" w:lineRule="auto"/>
        <w:rPr>
          <w:rFonts w:hint="eastAsia" w:ascii="仿宋" w:hAnsi="仿宋" w:eastAsia="仿宋" w:cs="仿宋"/>
          <w:b/>
          <w:bCs/>
          <w:color w:val="auto"/>
          <w:sz w:val="32"/>
          <w:szCs w:val="32"/>
          <w:highlight w:val="none"/>
        </w:rPr>
      </w:pPr>
    </w:p>
    <w:p w14:paraId="1A87A0C7">
      <w:pPr>
        <w:pageBreakBefore w:val="0"/>
        <w:bidi w:val="0"/>
        <w:spacing w:line="360" w:lineRule="auto"/>
        <w:rPr>
          <w:rFonts w:hint="eastAsia" w:ascii="仿宋" w:hAnsi="仿宋" w:eastAsia="仿宋" w:cs="仿宋"/>
          <w:color w:val="auto"/>
          <w:kern w:val="0"/>
          <w:sz w:val="32"/>
          <w:szCs w:val="32"/>
          <w:highlight w:val="none"/>
        </w:rPr>
      </w:pPr>
    </w:p>
    <w:p w14:paraId="64FA4F9E">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投标单位名称（盖章）：</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17CCE909">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法人或委托代理人（签</w:t>
      </w:r>
      <w:r>
        <w:rPr>
          <w:rFonts w:hint="eastAsia" w:ascii="仿宋" w:hAnsi="仿宋" w:eastAsia="仿宋" w:cs="仿宋"/>
          <w:color w:val="auto"/>
          <w:kern w:val="0"/>
          <w:sz w:val="32"/>
          <w:szCs w:val="32"/>
          <w:highlight w:val="none"/>
          <w:lang w:val="en-US" w:eastAsia="zh-CN"/>
        </w:rPr>
        <w:t>字或盖章</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66ECDF5E">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单 位 地  址：</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59CBF1AA">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   系   人：</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6E2B9F29">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 系 电  话：</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5FCDFA2D">
      <w:pPr>
        <w:pageBreakBefore w:val="0"/>
        <w:bidi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32"/>
          <w:szCs w:val="32"/>
          <w:highlight w:val="none"/>
        </w:rPr>
        <w:t>邮  政 编 码：</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24"/>
          <w:szCs w:val="24"/>
          <w:highlight w:val="none"/>
        </w:rPr>
        <w:t xml:space="preserve"> </w:t>
      </w:r>
    </w:p>
    <w:p w14:paraId="6D968E0A">
      <w:pPr>
        <w:pageBreakBefore w:val="0"/>
        <w:bidi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年        月        日</w:t>
      </w:r>
    </w:p>
    <w:p w14:paraId="01CEFD2A">
      <w:pPr>
        <w:pStyle w:val="61"/>
        <w:pageBreakBefore w:val="0"/>
        <w:bidi w:val="0"/>
        <w:spacing w:line="360" w:lineRule="auto"/>
        <w:ind w:firstLine="200" w:firstLineChars="83"/>
        <w:jc w:val="center"/>
        <w:rPr>
          <w:rFonts w:hint="eastAsia" w:ascii="仿宋" w:hAnsi="仿宋" w:eastAsia="仿宋" w:cs="仿宋"/>
          <w:b/>
          <w:color w:val="auto"/>
          <w:sz w:val="24"/>
          <w:szCs w:val="24"/>
          <w:highlight w:val="none"/>
        </w:rPr>
      </w:pPr>
    </w:p>
    <w:p w14:paraId="2B1F4C16">
      <w:pPr>
        <w:pStyle w:val="61"/>
        <w:keepNext w:val="0"/>
        <w:keepLines w:val="0"/>
        <w:pageBreakBefore w:val="0"/>
        <w:widowControl w:val="0"/>
        <w:kinsoku/>
        <w:wordWrap/>
        <w:overflowPunct/>
        <w:topLinePunct w:val="0"/>
        <w:bidi w:val="0"/>
        <w:spacing w:line="360" w:lineRule="auto"/>
        <w:ind w:firstLine="267" w:firstLineChars="83"/>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投标文件目录</w:t>
      </w:r>
    </w:p>
    <w:p w14:paraId="17A44690">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（1）投标承诺书</w:t>
      </w:r>
    </w:p>
    <w:p w14:paraId="79AB6DEA">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（2）报价一览表</w:t>
      </w:r>
    </w:p>
    <w:p w14:paraId="1723E9B5">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）报价一览明细表</w:t>
      </w:r>
    </w:p>
    <w:p w14:paraId="4AB11D67">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）法定代表人身份证明</w:t>
      </w:r>
    </w:p>
    <w:p w14:paraId="1E0EAFE0">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）法定代表人授权委托书</w:t>
      </w:r>
    </w:p>
    <w:p w14:paraId="5AC6B6AC">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）投标保证金打款凭证或投标保函</w:t>
      </w:r>
    </w:p>
    <w:p w14:paraId="01F90D39">
      <w:pPr>
        <w:pStyle w:val="61"/>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en-US" w:eastAsia="zh-CN" w:bidi="ar-SA"/>
        </w:rPr>
        <w:t>）技术条件响应/偏离表</w:t>
      </w:r>
    </w:p>
    <w:p w14:paraId="397A2DB7">
      <w:pPr>
        <w:pStyle w:val="20"/>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（8）商务条件响应/偏离表</w:t>
      </w:r>
    </w:p>
    <w:p w14:paraId="05BE04A3">
      <w:pPr>
        <w:pStyle w:val="61"/>
        <w:keepNext w:val="0"/>
        <w:keepLines w:val="0"/>
        <w:pageBreakBefore w:val="0"/>
        <w:widowControl w:val="0"/>
        <w:kinsoku/>
        <w:wordWrap/>
        <w:overflowPunct/>
        <w:topLinePunct w:val="0"/>
        <w:bidi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9</w:t>
      </w:r>
      <w:r>
        <w:rPr>
          <w:rFonts w:hint="eastAsia" w:ascii="仿宋_GB2312" w:hAnsi="仿宋_GB2312" w:eastAsia="仿宋_GB2312" w:cs="仿宋_GB2312"/>
          <w:color w:val="auto"/>
          <w:kern w:val="2"/>
          <w:sz w:val="32"/>
          <w:szCs w:val="32"/>
          <w:highlight w:val="none"/>
          <w:lang w:val="en-US" w:eastAsia="zh-CN" w:bidi="ar-SA"/>
        </w:rPr>
        <w:t>）相应的资格证明文件以及商务因素、技术因素、服务因素所需证明资料（包括不限于企业简介、企业相关证件等）（格式自拟）</w:t>
      </w:r>
    </w:p>
    <w:p w14:paraId="047D9D16">
      <w:pPr>
        <w:pStyle w:val="61"/>
        <w:keepNext w:val="0"/>
        <w:keepLines w:val="0"/>
        <w:pageBreakBefore w:val="0"/>
        <w:widowControl w:val="0"/>
        <w:kinsoku/>
        <w:wordWrap/>
        <w:overflowPunct/>
        <w:topLinePunct w:val="0"/>
        <w:bidi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en-US" w:eastAsia="zh-CN" w:bidi="ar-SA"/>
        </w:rPr>
        <w:t>）投标人近三年（202</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年</w:t>
      </w:r>
      <w:r>
        <w:rPr>
          <w:rFonts w:hint="eastAsia" w:hAnsi="仿宋_GB2312" w:cs="仿宋_GB2312"/>
          <w:color w:val="auto"/>
          <w:kern w:val="2"/>
          <w:sz w:val="32"/>
          <w:szCs w:val="32"/>
          <w:highlight w:val="none"/>
          <w:lang w:val="en-US" w:eastAsia="zh-CN" w:bidi="ar-SA"/>
        </w:rPr>
        <w:t>04</w:t>
      </w:r>
      <w:r>
        <w:rPr>
          <w:rFonts w:hint="eastAsia" w:ascii="仿宋_GB2312" w:hAnsi="仿宋_GB2312" w:eastAsia="仿宋_GB2312" w:cs="仿宋_GB2312"/>
          <w:color w:val="auto"/>
          <w:kern w:val="2"/>
          <w:sz w:val="32"/>
          <w:szCs w:val="32"/>
          <w:highlight w:val="none"/>
          <w:lang w:val="en-US" w:eastAsia="zh-CN" w:bidi="ar-SA"/>
        </w:rPr>
        <w:t>月01日至今）类似项目业绩（附类似项目业绩中标通知书和合同）</w:t>
      </w:r>
    </w:p>
    <w:p w14:paraId="662A7E7D">
      <w:pPr>
        <w:pStyle w:val="61"/>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）技术部分包括但不限于以下内容：项目实施方案、售后服务方案</w:t>
      </w:r>
      <w:r>
        <w:rPr>
          <w:rFonts w:hint="eastAsia"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培训方案、安装调试方案、验收方案等内容（格式自拟）</w:t>
      </w:r>
    </w:p>
    <w:p w14:paraId="104885C0">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）投标人基本情况说明</w:t>
      </w:r>
    </w:p>
    <w:p w14:paraId="0216C320">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）项目人员配置情况表</w:t>
      </w:r>
    </w:p>
    <w:p w14:paraId="2F4C60DD">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）投标企业关联企业情况说明</w:t>
      </w:r>
    </w:p>
    <w:p w14:paraId="6ABBB11D">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）不参与围标串标承诺书</w:t>
      </w:r>
    </w:p>
    <w:p w14:paraId="59ADFE74">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）投标人认为需要提供的其他材料说明</w:t>
      </w:r>
    </w:p>
    <w:p w14:paraId="6DEC40F3">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附件1、在经营活动中没有重大违法记录的书面声明</w:t>
      </w:r>
    </w:p>
    <w:p w14:paraId="65411C37">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附件2、中小企业声明函（如有）</w:t>
      </w:r>
    </w:p>
    <w:p w14:paraId="32EBBB19">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附件3、残疾人福利性单位声明函（如有）</w:t>
      </w:r>
    </w:p>
    <w:p w14:paraId="33B3C0B3">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附件4、省级以上监狱管理局、戒毒管理局（含新疆生产建设兵团）出具的属于监狱企业证明文件（格式自拟）（如有）</w:t>
      </w:r>
    </w:p>
    <w:p w14:paraId="4578A93A">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59AACC7B">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6E43D1D3">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41CBDBE8">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3D987AC0">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3D8474D4">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6F5657C7">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515F034B">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67A4ED75">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05737856">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3D64FE98">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3C7CDD60">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3540201C">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652AAC8F">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0772E4D8">
      <w:pPr>
        <w:pStyle w:val="61"/>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7CD91472">
      <w:pPr>
        <w:pStyle w:val="61"/>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p>
    <w:p w14:paraId="718AA088">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rPr>
      </w:pPr>
      <w:bookmarkStart w:id="399" w:name="_Toc19393"/>
      <w:bookmarkStart w:id="400" w:name="_Toc11515"/>
      <w:bookmarkStart w:id="401" w:name="_Toc4030"/>
      <w:bookmarkStart w:id="402" w:name="_Toc50459034"/>
      <w:r>
        <w:rPr>
          <w:rStyle w:val="62"/>
          <w:rFonts w:hint="eastAsia" w:ascii="仿宋_GB2312" w:hAnsi="仿宋_GB2312" w:eastAsia="仿宋_GB2312" w:cs="仿宋_GB2312"/>
          <w:b/>
          <w:bCs w:val="0"/>
          <w:color w:val="auto"/>
          <w:sz w:val="32"/>
          <w:szCs w:val="32"/>
          <w:highlight w:val="none"/>
        </w:rPr>
        <w:t>1、投标承诺书</w:t>
      </w:r>
      <w:bookmarkEnd w:id="399"/>
      <w:bookmarkEnd w:id="400"/>
      <w:bookmarkEnd w:id="401"/>
      <w:bookmarkEnd w:id="402"/>
    </w:p>
    <w:p w14:paraId="6EC039E7">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致（采购人）：</w:t>
      </w:r>
    </w:p>
    <w:p w14:paraId="211D80F6">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根据已收到的</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，我单位经研究贵方的</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后：</w:t>
      </w:r>
    </w:p>
    <w:p w14:paraId="50078525">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1、我方愿以投标报价</w:t>
      </w:r>
      <w:r>
        <w:rPr>
          <w:rFonts w:hint="eastAsia" w:ascii="仿宋_GB2312" w:hAnsi="仿宋_GB2312" w:eastAsia="仿宋_GB2312" w:cs="仿宋_GB2312"/>
          <w:color w:val="auto"/>
          <w:sz w:val="32"/>
          <w:szCs w:val="32"/>
          <w:highlight w:val="none"/>
          <w:u w:val="single"/>
        </w:rPr>
        <w:t xml:space="preserve">           元（大写：                     ）             </w:t>
      </w:r>
      <w:r>
        <w:rPr>
          <w:rFonts w:hint="eastAsia" w:ascii="仿宋_GB2312" w:hAnsi="仿宋_GB2312" w:eastAsia="仿宋_GB2312" w:cs="仿宋_GB2312"/>
          <w:color w:val="auto"/>
          <w:sz w:val="32"/>
          <w:szCs w:val="32"/>
          <w:highlight w:val="none"/>
        </w:rPr>
        <w:t>及投标承诺书的承诺承包本</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中所述招标范围内的全部内容。</w:t>
      </w:r>
    </w:p>
    <w:p w14:paraId="2598CA69">
      <w:pPr>
        <w:pageBreakBefore w:val="0"/>
        <w:kinsoku/>
        <w:wordWrap/>
        <w:topLinePunct w:val="0"/>
        <w:autoSpaceDE w:val="0"/>
        <w:autoSpaceDN w:val="0"/>
        <w:bidi w:val="0"/>
        <w:spacing w:line="360" w:lineRule="auto"/>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合同履行期限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6D82136E">
      <w:pPr>
        <w:pageBreakBefore w:val="0"/>
        <w:kinsoku/>
        <w:wordWrap/>
        <w:topLinePunct w:val="0"/>
        <w:autoSpaceDE w:val="0"/>
        <w:autoSpaceDN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3、如果我方中标，非采购人原因，我方保证将按招标文件要求，完成本项目</w:t>
      </w: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 xml:space="preserve"> 。</w:t>
      </w:r>
    </w:p>
    <w:p w14:paraId="26E3298D">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4、如果我方中标，我方将按</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规定的时间内签订合同。如果违约，我方愿以投标保证金作为赔偿金，同时贵方有权终止我方中标并选择其它</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3BDFDDB4">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5、如果我方中标，完成项目的</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要求不一致的，服务达不到要求，我方将进行整改直至贵方对服务满意为止。</w:t>
      </w:r>
    </w:p>
    <w:p w14:paraId="524768F2">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6、贵方的</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、答疑文件、</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补充、成交通知书和本投标文件将做为合同附件，具有同等法律效力。</w:t>
      </w:r>
    </w:p>
    <w:p w14:paraId="1B0FB1F9">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7、如果我方未中标，贵方没有必要对我方做出任何解释和说明，我方将充分尊重和理解贵方的选择。</w:t>
      </w:r>
    </w:p>
    <w:p w14:paraId="69DF961E">
      <w:pPr>
        <w:pStyle w:val="63"/>
        <w:pageBreakBefore w:val="0"/>
        <w:kinsoku/>
        <w:wordWrap/>
        <w:topLinePunct w:val="0"/>
        <w:bidi w:val="0"/>
        <w:spacing w:line="360" w:lineRule="auto"/>
        <w:ind w:right="480" w:firstLine="4480" w:firstLineChars="1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（盖章）：</w:t>
      </w:r>
    </w:p>
    <w:p w14:paraId="43A12D6A">
      <w:pPr>
        <w:pStyle w:val="63"/>
        <w:pageBreakBefore w:val="0"/>
        <w:kinsoku/>
        <w:wordWrap/>
        <w:topLinePunct w:val="0"/>
        <w:bidi w:val="0"/>
        <w:spacing w:line="360" w:lineRule="auto"/>
        <w:ind w:right="84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法定代表人或委托代理人（签字或</w:t>
      </w:r>
      <w:r>
        <w:rPr>
          <w:rFonts w:hint="eastAsia" w:ascii="仿宋_GB2312" w:hAnsi="仿宋_GB2312" w:eastAsia="仿宋_GB2312" w:cs="仿宋_GB2312"/>
          <w:color w:val="auto"/>
          <w:sz w:val="32"/>
          <w:szCs w:val="32"/>
          <w:highlight w:val="none"/>
          <w:lang w:val="en-US" w:eastAsia="zh-CN"/>
        </w:rPr>
        <w:t>盖</w:t>
      </w:r>
      <w:r>
        <w:rPr>
          <w:rFonts w:hint="eastAsia" w:ascii="仿宋_GB2312" w:hAnsi="仿宋_GB2312" w:eastAsia="仿宋_GB2312" w:cs="仿宋_GB2312"/>
          <w:color w:val="auto"/>
          <w:sz w:val="32"/>
          <w:szCs w:val="32"/>
          <w:highlight w:val="none"/>
        </w:rPr>
        <w:t>章）：</w:t>
      </w:r>
    </w:p>
    <w:p w14:paraId="60E60B86">
      <w:pPr>
        <w:pStyle w:val="63"/>
        <w:pageBreakBefore w:val="0"/>
        <w:kinsoku/>
        <w:wordWrap/>
        <w:topLinePunct w:val="0"/>
        <w:bidi w:val="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 xml:space="preserve">日   期：  </w:t>
      </w:r>
      <w:bookmarkStart w:id="403" w:name="_Toc28014_WPSOffice_Level1"/>
      <w:bookmarkStart w:id="404" w:name="_Toc6735_WPSOffice_Level1"/>
      <w:bookmarkStart w:id="405" w:name="_Toc3064"/>
    </w:p>
    <w:p w14:paraId="368B2CB9">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rPr>
      </w:pPr>
      <w:r>
        <w:rPr>
          <w:rStyle w:val="62"/>
          <w:rFonts w:hint="eastAsia" w:ascii="仿宋_GB2312" w:hAnsi="仿宋_GB2312" w:eastAsia="仿宋_GB2312" w:cs="仿宋_GB2312"/>
          <w:b/>
          <w:bCs w:val="0"/>
          <w:color w:val="auto"/>
          <w:sz w:val="32"/>
          <w:szCs w:val="32"/>
          <w:highlight w:val="none"/>
        </w:rPr>
        <w:t>2、</w:t>
      </w:r>
      <w:bookmarkEnd w:id="403"/>
      <w:bookmarkEnd w:id="404"/>
      <w:r>
        <w:rPr>
          <w:rStyle w:val="62"/>
          <w:rFonts w:hint="eastAsia" w:ascii="仿宋_GB2312" w:hAnsi="仿宋_GB2312" w:eastAsia="仿宋_GB2312" w:cs="仿宋_GB2312"/>
          <w:b/>
          <w:bCs w:val="0"/>
          <w:color w:val="auto"/>
          <w:sz w:val="32"/>
          <w:szCs w:val="32"/>
          <w:highlight w:val="none"/>
        </w:rPr>
        <w:t>报价一览表</w:t>
      </w:r>
      <w:bookmarkEnd w:id="405"/>
    </w:p>
    <w:p w14:paraId="13D7BA20">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p w14:paraId="1C3A2B85">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招标编号：</w:t>
      </w:r>
    </w:p>
    <w:p w14:paraId="11E71EBB">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w:t>
      </w:r>
    </w:p>
    <w:p w14:paraId="59C9375E">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4235E5E5">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bl>
      <w:tblPr>
        <w:tblStyle w:val="28"/>
        <w:tblW w:w="9200" w:type="dxa"/>
        <w:jc w:val="center"/>
        <w:tblLayout w:type="fixed"/>
        <w:tblCellMar>
          <w:top w:w="0" w:type="dxa"/>
          <w:left w:w="0" w:type="dxa"/>
          <w:bottom w:w="0" w:type="dxa"/>
          <w:right w:w="0" w:type="dxa"/>
        </w:tblCellMar>
      </w:tblPr>
      <w:tblGrid>
        <w:gridCol w:w="912"/>
        <w:gridCol w:w="1664"/>
        <w:gridCol w:w="5928"/>
        <w:gridCol w:w="696"/>
      </w:tblGrid>
      <w:tr w14:paraId="0F02FDC4">
        <w:tblPrEx>
          <w:tblCellMar>
            <w:top w:w="0" w:type="dxa"/>
            <w:left w:w="0" w:type="dxa"/>
            <w:bottom w:w="0" w:type="dxa"/>
            <w:right w:w="0" w:type="dxa"/>
          </w:tblCellMar>
        </w:tblPrEx>
        <w:trPr>
          <w:trHeight w:val="68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2B940AD9">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738E12F0">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条款名称</w:t>
            </w:r>
          </w:p>
        </w:tc>
        <w:tc>
          <w:tcPr>
            <w:tcW w:w="5928" w:type="dxa"/>
            <w:tcBorders>
              <w:top w:val="single" w:color="auto" w:sz="4" w:space="0"/>
              <w:left w:val="single" w:color="auto" w:sz="4" w:space="0"/>
              <w:bottom w:val="single" w:color="auto" w:sz="4" w:space="0"/>
              <w:right w:val="single" w:color="auto" w:sz="4" w:space="0"/>
            </w:tcBorders>
            <w:vAlign w:val="center"/>
          </w:tcPr>
          <w:p w14:paraId="1DAF7A95">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内容</w:t>
            </w:r>
          </w:p>
        </w:tc>
        <w:tc>
          <w:tcPr>
            <w:tcW w:w="696" w:type="dxa"/>
            <w:tcBorders>
              <w:top w:val="single" w:color="auto" w:sz="4" w:space="0"/>
              <w:left w:val="single" w:color="auto" w:sz="4" w:space="0"/>
              <w:bottom w:val="single" w:color="auto" w:sz="4" w:space="0"/>
              <w:right w:val="single" w:color="auto" w:sz="4" w:space="0"/>
            </w:tcBorders>
            <w:vAlign w:val="center"/>
          </w:tcPr>
          <w:p w14:paraId="743EC9D6">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备注</w:t>
            </w:r>
          </w:p>
        </w:tc>
      </w:tr>
      <w:tr w14:paraId="6D03DD8E">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778F192">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1664" w:type="dxa"/>
            <w:tcBorders>
              <w:top w:val="single" w:color="auto" w:sz="4" w:space="0"/>
              <w:left w:val="single" w:color="auto" w:sz="4" w:space="0"/>
              <w:bottom w:val="single" w:color="auto" w:sz="4" w:space="0"/>
              <w:right w:val="single" w:color="auto" w:sz="4" w:space="0"/>
            </w:tcBorders>
            <w:vAlign w:val="center"/>
          </w:tcPr>
          <w:p w14:paraId="1A759AA5">
            <w:pPr>
              <w:pStyle w:val="45"/>
              <w:pageBreakBefore w:val="0"/>
              <w:kinsoku/>
              <w:wordWrap/>
              <w:topLinePunct w:val="0"/>
              <w:bidi w:val="0"/>
              <w:snapToGrid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采购内容</w:t>
            </w:r>
          </w:p>
        </w:tc>
        <w:tc>
          <w:tcPr>
            <w:tcW w:w="5928" w:type="dxa"/>
            <w:tcBorders>
              <w:top w:val="single" w:color="auto" w:sz="4" w:space="0"/>
              <w:left w:val="single" w:color="auto" w:sz="4" w:space="0"/>
              <w:bottom w:val="single" w:color="auto" w:sz="4" w:space="0"/>
              <w:right w:val="single" w:color="auto" w:sz="4" w:space="0"/>
            </w:tcBorders>
            <w:vAlign w:val="center"/>
          </w:tcPr>
          <w:p w14:paraId="68726BB7">
            <w:pPr>
              <w:pageBreakBefore w:val="0"/>
              <w:kinsoku/>
              <w:wordWrap/>
              <w:topLinePunct w:val="0"/>
              <w:bidi w:val="0"/>
              <w:spacing w:line="360" w:lineRule="auto"/>
              <w:jc w:val="left"/>
              <w:rPr>
                <w:rFonts w:hint="eastAsia" w:ascii="仿宋_GB2312" w:hAnsi="仿宋_GB2312" w:eastAsia="仿宋_GB2312" w:cs="仿宋_GB2312"/>
                <w:color w:val="auto"/>
                <w:kern w:val="0"/>
                <w:sz w:val="32"/>
                <w:szCs w:val="32"/>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1016F52">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p>
        </w:tc>
      </w:tr>
      <w:tr w14:paraId="600C319D">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62CC908">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1664" w:type="dxa"/>
            <w:tcBorders>
              <w:top w:val="single" w:color="auto" w:sz="4" w:space="0"/>
              <w:left w:val="single" w:color="auto" w:sz="4" w:space="0"/>
              <w:bottom w:val="single" w:color="auto" w:sz="4" w:space="0"/>
              <w:right w:val="single" w:color="auto" w:sz="4" w:space="0"/>
            </w:tcBorders>
            <w:vAlign w:val="center"/>
          </w:tcPr>
          <w:p w14:paraId="452F5803">
            <w:pPr>
              <w:pStyle w:val="45"/>
              <w:pageBreakBefore w:val="0"/>
              <w:kinsoku/>
              <w:wordWrap/>
              <w:topLinePunct w:val="0"/>
              <w:bidi w:val="0"/>
              <w:snapToGrid w:val="0"/>
              <w:spacing w:line="360" w:lineRule="auto"/>
              <w:jc w:val="center"/>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供货期</w:t>
            </w:r>
          </w:p>
        </w:tc>
        <w:tc>
          <w:tcPr>
            <w:tcW w:w="5928" w:type="dxa"/>
            <w:tcBorders>
              <w:top w:val="single" w:color="auto" w:sz="4" w:space="0"/>
              <w:left w:val="single" w:color="auto" w:sz="4" w:space="0"/>
              <w:bottom w:val="single" w:color="auto" w:sz="4" w:space="0"/>
              <w:right w:val="single" w:color="auto" w:sz="4" w:space="0"/>
            </w:tcBorders>
            <w:vAlign w:val="center"/>
          </w:tcPr>
          <w:p w14:paraId="6F7AD10B">
            <w:pPr>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color w:val="auto"/>
                <w:kern w:val="0"/>
                <w:sz w:val="32"/>
                <w:szCs w:val="32"/>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82AC355">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r w14:paraId="473B4A55">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22CA8A79">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1664" w:type="dxa"/>
            <w:tcBorders>
              <w:top w:val="single" w:color="auto" w:sz="4" w:space="0"/>
              <w:left w:val="single" w:color="auto" w:sz="4" w:space="0"/>
              <w:bottom w:val="single" w:color="auto" w:sz="4" w:space="0"/>
              <w:right w:val="single" w:color="auto" w:sz="4" w:space="0"/>
            </w:tcBorders>
            <w:vAlign w:val="center"/>
          </w:tcPr>
          <w:p w14:paraId="43D6814A">
            <w:pPr>
              <w:pStyle w:val="45"/>
              <w:pageBreakBefore w:val="0"/>
              <w:kinsoku/>
              <w:wordWrap/>
              <w:topLinePunct w:val="0"/>
              <w:bidi w:val="0"/>
              <w:snapToGrid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地点</w:t>
            </w:r>
          </w:p>
        </w:tc>
        <w:tc>
          <w:tcPr>
            <w:tcW w:w="5928" w:type="dxa"/>
            <w:tcBorders>
              <w:top w:val="single" w:color="auto" w:sz="4" w:space="0"/>
              <w:left w:val="single" w:color="auto" w:sz="4" w:space="0"/>
              <w:bottom w:val="single" w:color="auto" w:sz="4" w:space="0"/>
              <w:right w:val="single" w:color="auto" w:sz="4" w:space="0"/>
            </w:tcBorders>
            <w:vAlign w:val="center"/>
          </w:tcPr>
          <w:p w14:paraId="4A6CA3CC">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shd w:val="clear" w:color="auto" w:fill="FFFFFF"/>
                <w:lang w:eastAsia="zh-CN"/>
              </w:rPr>
            </w:pPr>
          </w:p>
        </w:tc>
        <w:tc>
          <w:tcPr>
            <w:tcW w:w="696" w:type="dxa"/>
            <w:tcBorders>
              <w:top w:val="single" w:color="auto" w:sz="4" w:space="0"/>
              <w:left w:val="single" w:color="auto" w:sz="4" w:space="0"/>
              <w:bottom w:val="single" w:color="auto" w:sz="4" w:space="0"/>
              <w:right w:val="single" w:color="auto" w:sz="4" w:space="0"/>
            </w:tcBorders>
            <w:vAlign w:val="center"/>
          </w:tcPr>
          <w:p w14:paraId="08865607">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r w14:paraId="084C54E3">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6ECFA939">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p>
        </w:tc>
        <w:tc>
          <w:tcPr>
            <w:tcW w:w="1664" w:type="dxa"/>
            <w:tcBorders>
              <w:top w:val="single" w:color="auto" w:sz="4" w:space="0"/>
              <w:left w:val="single" w:color="auto" w:sz="4" w:space="0"/>
              <w:bottom w:val="single" w:color="auto" w:sz="4" w:space="0"/>
              <w:right w:val="single" w:color="auto" w:sz="4" w:space="0"/>
            </w:tcBorders>
            <w:vAlign w:val="center"/>
          </w:tcPr>
          <w:p w14:paraId="6DF2866C">
            <w:pPr>
              <w:pStyle w:val="45"/>
              <w:pageBreakBefore w:val="0"/>
              <w:kinsoku/>
              <w:wordWrap/>
              <w:topLinePunct w:val="0"/>
              <w:bidi w:val="0"/>
              <w:snapToGrid w:val="0"/>
              <w:spacing w:line="360" w:lineRule="auto"/>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质保期</w:t>
            </w:r>
          </w:p>
        </w:tc>
        <w:tc>
          <w:tcPr>
            <w:tcW w:w="5928" w:type="dxa"/>
            <w:tcBorders>
              <w:top w:val="single" w:color="auto" w:sz="4" w:space="0"/>
              <w:left w:val="single" w:color="auto" w:sz="4" w:space="0"/>
              <w:bottom w:val="single" w:color="auto" w:sz="4" w:space="0"/>
              <w:right w:val="single" w:color="auto" w:sz="4" w:space="0"/>
            </w:tcBorders>
            <w:vAlign w:val="center"/>
          </w:tcPr>
          <w:p w14:paraId="68BE057D">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shd w:val="clear" w:color="auto" w:fill="FFFFFF"/>
                <w:lang w:eastAsia="zh-CN"/>
              </w:rPr>
            </w:pPr>
          </w:p>
        </w:tc>
        <w:tc>
          <w:tcPr>
            <w:tcW w:w="696" w:type="dxa"/>
            <w:tcBorders>
              <w:top w:val="single" w:color="auto" w:sz="4" w:space="0"/>
              <w:left w:val="single" w:color="auto" w:sz="4" w:space="0"/>
              <w:bottom w:val="single" w:color="auto" w:sz="4" w:space="0"/>
              <w:right w:val="single" w:color="auto" w:sz="4" w:space="0"/>
            </w:tcBorders>
            <w:vAlign w:val="center"/>
          </w:tcPr>
          <w:p w14:paraId="413BB3DD">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r w14:paraId="2BBF563F">
        <w:tblPrEx>
          <w:tblCellMar>
            <w:top w:w="0" w:type="dxa"/>
            <w:left w:w="0" w:type="dxa"/>
            <w:bottom w:w="0" w:type="dxa"/>
            <w:right w:w="0" w:type="dxa"/>
          </w:tblCellMar>
        </w:tblPrEx>
        <w:trPr>
          <w:trHeight w:val="1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52AD0A3C">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p>
        </w:tc>
        <w:tc>
          <w:tcPr>
            <w:tcW w:w="1664" w:type="dxa"/>
            <w:tcBorders>
              <w:top w:val="single" w:color="auto" w:sz="4" w:space="0"/>
              <w:left w:val="single" w:color="auto" w:sz="4" w:space="0"/>
              <w:bottom w:val="single" w:color="auto" w:sz="4" w:space="0"/>
              <w:right w:val="single" w:color="auto" w:sz="4" w:space="0"/>
            </w:tcBorders>
            <w:vAlign w:val="center"/>
          </w:tcPr>
          <w:p w14:paraId="7ED80328">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投标报价  （元）</w:t>
            </w:r>
          </w:p>
        </w:tc>
        <w:tc>
          <w:tcPr>
            <w:tcW w:w="5928" w:type="dxa"/>
            <w:tcBorders>
              <w:top w:val="single" w:color="auto" w:sz="4" w:space="0"/>
              <w:left w:val="single" w:color="auto" w:sz="4" w:space="0"/>
              <w:bottom w:val="single" w:color="auto" w:sz="4" w:space="0"/>
              <w:right w:val="single" w:color="auto" w:sz="4" w:space="0"/>
            </w:tcBorders>
            <w:vAlign w:val="center"/>
          </w:tcPr>
          <w:p w14:paraId="7DB9C2DB">
            <w:pPr>
              <w:pageBreakBefore w:val="0"/>
              <w:widowControl/>
              <w:kinsoku/>
              <w:wordWrap/>
              <w:topLinePunct w:val="0"/>
              <w:bidi w:val="0"/>
              <w:adjustRightInd w:val="0"/>
              <w:snapToGrid w:val="0"/>
              <w:spacing w:before="100" w:beforeAutospacing="1" w:after="100" w:afterAutospacing="1" w:line="360" w:lineRule="auto"/>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投标总价： 小写：</w:t>
            </w:r>
          </w:p>
          <w:p w14:paraId="5466915F">
            <w:pPr>
              <w:pageBreakBefore w:val="0"/>
              <w:widowControl/>
              <w:kinsoku/>
              <w:wordWrap/>
              <w:topLinePunct w:val="0"/>
              <w:bidi w:val="0"/>
              <w:adjustRightInd w:val="0"/>
              <w:snapToGrid w:val="0"/>
              <w:spacing w:before="100" w:beforeAutospacing="1" w:after="100" w:afterAutospacing="1" w:line="360" w:lineRule="auto"/>
              <w:ind w:firstLine="1600" w:firstLineChars="500"/>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 xml:space="preserve"> 大写：</w:t>
            </w:r>
          </w:p>
        </w:tc>
        <w:tc>
          <w:tcPr>
            <w:tcW w:w="696" w:type="dxa"/>
            <w:tcBorders>
              <w:top w:val="single" w:color="auto" w:sz="4" w:space="0"/>
              <w:left w:val="single" w:color="auto" w:sz="4" w:space="0"/>
              <w:bottom w:val="single" w:color="auto" w:sz="4" w:space="0"/>
              <w:right w:val="single" w:color="auto" w:sz="4" w:space="0"/>
            </w:tcBorders>
            <w:vAlign w:val="center"/>
          </w:tcPr>
          <w:p w14:paraId="3846D5B6">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bl>
    <w:p w14:paraId="020E9DC7">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0854B098">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7D68B8ED">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投标单位盖章：</w:t>
      </w:r>
    </w:p>
    <w:p w14:paraId="17D5C569">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48B297E9">
      <w:pPr>
        <w:pageBreakBefore w:val="0"/>
        <w:kinsoku/>
        <w:wordWrap/>
        <w:topLinePunct w:val="0"/>
        <w:bidi w:val="0"/>
        <w:spacing w:line="360" w:lineRule="auto"/>
        <w:ind w:left="7680" w:hanging="10240" w:hangingChars="3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投标单位法人或授权代表签字或盖章：                                                                     </w:t>
      </w:r>
    </w:p>
    <w:p w14:paraId="1E938222">
      <w:pPr>
        <w:pageBreakBefore w:val="0"/>
        <w:kinsoku/>
        <w:wordWrap/>
        <w:topLinePunct w:val="0"/>
        <w:bidi w:val="0"/>
        <w:spacing w:line="360" w:lineRule="auto"/>
        <w:ind w:left="7680" w:hanging="10240" w:hangingChars="3200"/>
        <w:jc w:val="right"/>
        <w:rPr>
          <w:rFonts w:hint="eastAsia" w:ascii="仿宋_GB2312" w:hAnsi="仿宋_GB2312" w:eastAsia="仿宋_GB2312" w:cs="仿宋_GB2312"/>
          <w:color w:val="auto"/>
          <w:sz w:val="32"/>
          <w:szCs w:val="32"/>
          <w:highlight w:val="none"/>
        </w:rPr>
        <w:sectPr>
          <w:headerReference r:id="rId10" w:type="default"/>
          <w:footerReference r:id="rId11" w:type="default"/>
          <w:pgSz w:w="11905" w:h="16838"/>
          <w:pgMar w:top="1531" w:right="1531" w:bottom="1531" w:left="1531" w:header="1134" w:footer="1134" w:gutter="0"/>
          <w:pgNumType w:fmt="decimal"/>
          <w:cols w:space="0" w:num="1"/>
          <w:rtlGutter w:val="0"/>
          <w:docGrid w:linePitch="319" w:charSpace="0"/>
        </w:sectPr>
      </w:pPr>
      <w:r>
        <w:rPr>
          <w:rFonts w:hint="eastAsia" w:ascii="仿宋_GB2312" w:hAnsi="仿宋_GB2312" w:eastAsia="仿宋_GB2312" w:cs="仿宋_GB2312"/>
          <w:color w:val="auto"/>
          <w:sz w:val="32"/>
          <w:szCs w:val="32"/>
          <w:highlight w:val="none"/>
        </w:rPr>
        <w:t>年   月   日</w:t>
      </w:r>
    </w:p>
    <w:p w14:paraId="62501600">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rPr>
      </w:pPr>
      <w:bookmarkStart w:id="406" w:name="_Toc8766"/>
      <w:bookmarkStart w:id="407" w:name="_Toc16901"/>
      <w:bookmarkStart w:id="408" w:name="_Toc30221_WPSOffice_Level1"/>
      <w:bookmarkStart w:id="409" w:name="_Toc12705"/>
      <w:bookmarkStart w:id="410" w:name="_Toc18030_WPSOffice_Level1"/>
      <w:bookmarkStart w:id="411" w:name="_Toc50459035"/>
      <w:bookmarkStart w:id="412" w:name="_Toc18663"/>
      <w:r>
        <w:rPr>
          <w:rStyle w:val="62"/>
          <w:rFonts w:hint="eastAsia" w:ascii="仿宋_GB2312" w:hAnsi="仿宋_GB2312" w:eastAsia="仿宋_GB2312" w:cs="仿宋_GB2312"/>
          <w:b/>
          <w:bCs w:val="0"/>
          <w:color w:val="auto"/>
          <w:sz w:val="32"/>
          <w:szCs w:val="32"/>
          <w:highlight w:val="none"/>
          <w:lang w:val="en-US" w:eastAsia="zh-CN"/>
        </w:rPr>
        <w:t>3、</w:t>
      </w:r>
      <w:r>
        <w:rPr>
          <w:rStyle w:val="62"/>
          <w:rFonts w:hint="eastAsia" w:ascii="仿宋_GB2312" w:hAnsi="仿宋_GB2312" w:eastAsia="仿宋_GB2312" w:cs="仿宋_GB2312"/>
          <w:b/>
          <w:bCs w:val="0"/>
          <w:color w:val="auto"/>
          <w:sz w:val="32"/>
          <w:szCs w:val="32"/>
          <w:highlight w:val="none"/>
        </w:rPr>
        <w:t>报价一览明细表</w:t>
      </w:r>
      <w:bookmarkEnd w:id="406"/>
    </w:p>
    <w:p w14:paraId="132DD977">
      <w:pPr>
        <w:pStyle w:val="17"/>
        <w:spacing w:line="480" w:lineRule="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投标人名称：</w:t>
      </w:r>
      <w:r>
        <w:rPr>
          <w:rFonts w:hint="eastAsia" w:ascii="仿宋" w:hAnsi="仿宋" w:eastAsia="仿宋" w:cs="仿宋"/>
          <w:color w:val="auto"/>
          <w:sz w:val="32"/>
          <w:szCs w:val="32"/>
          <w:highlight w:val="none"/>
          <w:u w:val="single"/>
        </w:rPr>
        <w:t xml:space="preserve">             </w:t>
      </w:r>
    </w:p>
    <w:p w14:paraId="273DFE81">
      <w:pPr>
        <w:pStyle w:val="17"/>
        <w:spacing w:line="480" w:lineRule="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招标编号：</w:t>
      </w:r>
      <w:r>
        <w:rPr>
          <w:rFonts w:hint="eastAsia" w:ascii="仿宋" w:hAnsi="仿宋" w:eastAsia="仿宋" w:cs="仿宋"/>
          <w:color w:val="auto"/>
          <w:sz w:val="32"/>
          <w:szCs w:val="32"/>
          <w:highlight w:val="none"/>
          <w:u w:val="single"/>
        </w:rPr>
        <w:t xml:space="preserve">               </w:t>
      </w:r>
    </w:p>
    <w:tbl>
      <w:tblPr>
        <w:tblStyle w:val="29"/>
        <w:tblW w:w="1083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25"/>
        <w:gridCol w:w="1000"/>
        <w:gridCol w:w="1149"/>
        <w:gridCol w:w="930"/>
        <w:gridCol w:w="1570"/>
        <w:gridCol w:w="1128"/>
        <w:gridCol w:w="2132"/>
        <w:gridCol w:w="545"/>
      </w:tblGrid>
      <w:tr w14:paraId="57A6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756" w:type="dxa"/>
            <w:vAlign w:val="center"/>
          </w:tcPr>
          <w:p w14:paraId="242E02DF">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1625" w:type="dxa"/>
            <w:vAlign w:val="center"/>
          </w:tcPr>
          <w:p w14:paraId="07056B38">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1000" w:type="dxa"/>
            <w:vAlign w:val="center"/>
          </w:tcPr>
          <w:p w14:paraId="238082FA">
            <w:pPr>
              <w:pStyle w:val="17"/>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生产</w:t>
            </w:r>
          </w:p>
          <w:p w14:paraId="5160D8A9">
            <w:pPr>
              <w:pStyle w:val="17"/>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厂家</w:t>
            </w:r>
          </w:p>
        </w:tc>
        <w:tc>
          <w:tcPr>
            <w:tcW w:w="1149" w:type="dxa"/>
            <w:vAlign w:val="center"/>
          </w:tcPr>
          <w:p w14:paraId="7D782D89">
            <w:pPr>
              <w:pStyle w:val="17"/>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品牌</w:t>
            </w:r>
          </w:p>
          <w:p w14:paraId="41E4D123">
            <w:pPr>
              <w:pStyle w:val="17"/>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型号</w:t>
            </w:r>
          </w:p>
        </w:tc>
        <w:tc>
          <w:tcPr>
            <w:tcW w:w="930" w:type="dxa"/>
            <w:vAlign w:val="center"/>
          </w:tcPr>
          <w:p w14:paraId="0D04F1C8">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数量</w:t>
            </w:r>
          </w:p>
        </w:tc>
        <w:tc>
          <w:tcPr>
            <w:tcW w:w="1570" w:type="dxa"/>
            <w:vAlign w:val="center"/>
          </w:tcPr>
          <w:p w14:paraId="091FDD78">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单价（元）</w:t>
            </w:r>
          </w:p>
        </w:tc>
        <w:tc>
          <w:tcPr>
            <w:tcW w:w="1128" w:type="dxa"/>
            <w:vAlign w:val="center"/>
          </w:tcPr>
          <w:p w14:paraId="6924F1BA">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总价（元）</w:t>
            </w:r>
          </w:p>
        </w:tc>
        <w:tc>
          <w:tcPr>
            <w:tcW w:w="2132" w:type="dxa"/>
            <w:vAlign w:val="center"/>
          </w:tcPr>
          <w:p w14:paraId="71FEAC8F">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是否属于小、微企业或监狱企业或残疾人福利性单位</w:t>
            </w:r>
          </w:p>
        </w:tc>
        <w:tc>
          <w:tcPr>
            <w:tcW w:w="545" w:type="dxa"/>
            <w:vAlign w:val="center"/>
          </w:tcPr>
          <w:p w14:paraId="0AC66C79">
            <w:pPr>
              <w:pStyle w:val="1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tc>
      </w:tr>
      <w:tr w14:paraId="722B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6" w:type="dxa"/>
            <w:vAlign w:val="center"/>
          </w:tcPr>
          <w:p w14:paraId="2E8A2FEB">
            <w:pPr>
              <w:pStyle w:val="17"/>
              <w:jc w:val="center"/>
              <w:rPr>
                <w:rFonts w:hint="eastAsia" w:ascii="仿宋" w:hAnsi="仿宋" w:eastAsia="仿宋" w:cs="仿宋"/>
                <w:color w:val="auto"/>
                <w:sz w:val="32"/>
                <w:szCs w:val="32"/>
                <w:highlight w:val="none"/>
              </w:rPr>
            </w:pPr>
          </w:p>
        </w:tc>
        <w:tc>
          <w:tcPr>
            <w:tcW w:w="1625" w:type="dxa"/>
            <w:vAlign w:val="center"/>
          </w:tcPr>
          <w:p w14:paraId="704F6C0F">
            <w:pPr>
              <w:pStyle w:val="17"/>
              <w:jc w:val="center"/>
              <w:rPr>
                <w:rFonts w:hint="eastAsia" w:ascii="仿宋" w:hAnsi="仿宋" w:eastAsia="仿宋" w:cs="仿宋"/>
                <w:color w:val="auto"/>
                <w:sz w:val="32"/>
                <w:szCs w:val="32"/>
                <w:highlight w:val="none"/>
              </w:rPr>
            </w:pPr>
          </w:p>
        </w:tc>
        <w:tc>
          <w:tcPr>
            <w:tcW w:w="1000" w:type="dxa"/>
            <w:vAlign w:val="center"/>
          </w:tcPr>
          <w:p w14:paraId="32337760">
            <w:pPr>
              <w:pStyle w:val="17"/>
              <w:jc w:val="center"/>
              <w:rPr>
                <w:rFonts w:hint="eastAsia" w:ascii="仿宋" w:hAnsi="仿宋" w:eastAsia="仿宋" w:cs="仿宋"/>
                <w:color w:val="auto"/>
                <w:sz w:val="32"/>
                <w:szCs w:val="32"/>
                <w:highlight w:val="none"/>
              </w:rPr>
            </w:pPr>
          </w:p>
        </w:tc>
        <w:tc>
          <w:tcPr>
            <w:tcW w:w="1149" w:type="dxa"/>
            <w:vAlign w:val="center"/>
          </w:tcPr>
          <w:p w14:paraId="5CB3FCD6">
            <w:pPr>
              <w:pStyle w:val="17"/>
              <w:jc w:val="center"/>
              <w:rPr>
                <w:rFonts w:hint="eastAsia" w:ascii="仿宋" w:hAnsi="仿宋" w:eastAsia="仿宋" w:cs="仿宋"/>
                <w:color w:val="auto"/>
                <w:sz w:val="32"/>
                <w:szCs w:val="32"/>
                <w:highlight w:val="none"/>
              </w:rPr>
            </w:pPr>
          </w:p>
        </w:tc>
        <w:tc>
          <w:tcPr>
            <w:tcW w:w="930" w:type="dxa"/>
            <w:vAlign w:val="center"/>
          </w:tcPr>
          <w:p w14:paraId="547E15F2">
            <w:pPr>
              <w:pStyle w:val="17"/>
              <w:jc w:val="center"/>
              <w:rPr>
                <w:rFonts w:hint="eastAsia" w:ascii="仿宋" w:hAnsi="仿宋" w:eastAsia="仿宋" w:cs="仿宋"/>
                <w:color w:val="auto"/>
                <w:sz w:val="32"/>
                <w:szCs w:val="32"/>
                <w:highlight w:val="none"/>
              </w:rPr>
            </w:pPr>
          </w:p>
        </w:tc>
        <w:tc>
          <w:tcPr>
            <w:tcW w:w="1570" w:type="dxa"/>
            <w:vAlign w:val="center"/>
          </w:tcPr>
          <w:p w14:paraId="0D81D1EC">
            <w:pPr>
              <w:pStyle w:val="17"/>
              <w:jc w:val="center"/>
              <w:rPr>
                <w:rFonts w:hint="eastAsia" w:ascii="仿宋" w:hAnsi="仿宋" w:eastAsia="仿宋" w:cs="仿宋"/>
                <w:color w:val="auto"/>
                <w:sz w:val="32"/>
                <w:szCs w:val="32"/>
                <w:highlight w:val="none"/>
              </w:rPr>
            </w:pPr>
          </w:p>
        </w:tc>
        <w:tc>
          <w:tcPr>
            <w:tcW w:w="1128" w:type="dxa"/>
            <w:vAlign w:val="center"/>
          </w:tcPr>
          <w:p w14:paraId="73C2436C">
            <w:pPr>
              <w:pStyle w:val="17"/>
              <w:jc w:val="center"/>
              <w:rPr>
                <w:rFonts w:hint="eastAsia" w:ascii="仿宋" w:hAnsi="仿宋" w:eastAsia="仿宋" w:cs="仿宋"/>
                <w:color w:val="auto"/>
                <w:sz w:val="32"/>
                <w:szCs w:val="32"/>
                <w:highlight w:val="none"/>
              </w:rPr>
            </w:pPr>
          </w:p>
        </w:tc>
        <w:tc>
          <w:tcPr>
            <w:tcW w:w="2132" w:type="dxa"/>
            <w:vMerge w:val="restart"/>
            <w:vAlign w:val="center"/>
          </w:tcPr>
          <w:p w14:paraId="4A0FE5F2">
            <w:pPr>
              <w:pStyle w:val="17"/>
              <w:jc w:val="center"/>
              <w:rPr>
                <w:rFonts w:hint="eastAsia" w:ascii="仿宋" w:hAnsi="仿宋" w:eastAsia="仿宋" w:cs="仿宋"/>
                <w:color w:val="auto"/>
                <w:sz w:val="32"/>
                <w:szCs w:val="32"/>
                <w:highlight w:val="none"/>
              </w:rPr>
            </w:pPr>
          </w:p>
        </w:tc>
        <w:tc>
          <w:tcPr>
            <w:tcW w:w="545" w:type="dxa"/>
            <w:vAlign w:val="center"/>
          </w:tcPr>
          <w:p w14:paraId="609161BC">
            <w:pPr>
              <w:pStyle w:val="17"/>
              <w:jc w:val="center"/>
              <w:rPr>
                <w:rFonts w:hint="eastAsia" w:ascii="仿宋" w:hAnsi="仿宋" w:eastAsia="仿宋" w:cs="仿宋"/>
                <w:color w:val="auto"/>
                <w:sz w:val="32"/>
                <w:szCs w:val="32"/>
                <w:highlight w:val="none"/>
              </w:rPr>
            </w:pPr>
          </w:p>
        </w:tc>
      </w:tr>
      <w:tr w14:paraId="15CD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6" w:type="dxa"/>
            <w:vAlign w:val="center"/>
          </w:tcPr>
          <w:p w14:paraId="4CA91BFD">
            <w:pPr>
              <w:pStyle w:val="17"/>
              <w:jc w:val="center"/>
              <w:rPr>
                <w:rFonts w:hint="eastAsia" w:ascii="仿宋" w:hAnsi="仿宋" w:eastAsia="仿宋" w:cs="仿宋"/>
                <w:color w:val="auto"/>
                <w:sz w:val="32"/>
                <w:szCs w:val="32"/>
                <w:highlight w:val="none"/>
              </w:rPr>
            </w:pPr>
          </w:p>
        </w:tc>
        <w:tc>
          <w:tcPr>
            <w:tcW w:w="1625" w:type="dxa"/>
            <w:vAlign w:val="center"/>
          </w:tcPr>
          <w:p w14:paraId="793EE811">
            <w:pPr>
              <w:pStyle w:val="17"/>
              <w:jc w:val="center"/>
              <w:rPr>
                <w:rFonts w:hint="eastAsia" w:ascii="仿宋" w:hAnsi="仿宋" w:eastAsia="仿宋" w:cs="仿宋"/>
                <w:color w:val="auto"/>
                <w:sz w:val="32"/>
                <w:szCs w:val="32"/>
                <w:highlight w:val="none"/>
              </w:rPr>
            </w:pPr>
          </w:p>
        </w:tc>
        <w:tc>
          <w:tcPr>
            <w:tcW w:w="1000" w:type="dxa"/>
            <w:vAlign w:val="center"/>
          </w:tcPr>
          <w:p w14:paraId="5D9DF93D">
            <w:pPr>
              <w:pStyle w:val="17"/>
              <w:jc w:val="center"/>
              <w:rPr>
                <w:rFonts w:hint="eastAsia" w:ascii="仿宋" w:hAnsi="仿宋" w:eastAsia="仿宋" w:cs="仿宋"/>
                <w:color w:val="auto"/>
                <w:sz w:val="32"/>
                <w:szCs w:val="32"/>
                <w:highlight w:val="none"/>
              </w:rPr>
            </w:pPr>
          </w:p>
        </w:tc>
        <w:tc>
          <w:tcPr>
            <w:tcW w:w="1149" w:type="dxa"/>
            <w:vAlign w:val="center"/>
          </w:tcPr>
          <w:p w14:paraId="19E491B1">
            <w:pPr>
              <w:pStyle w:val="17"/>
              <w:jc w:val="center"/>
              <w:rPr>
                <w:rFonts w:hint="eastAsia" w:ascii="仿宋" w:hAnsi="仿宋" w:eastAsia="仿宋" w:cs="仿宋"/>
                <w:color w:val="auto"/>
                <w:sz w:val="32"/>
                <w:szCs w:val="32"/>
                <w:highlight w:val="none"/>
              </w:rPr>
            </w:pPr>
          </w:p>
        </w:tc>
        <w:tc>
          <w:tcPr>
            <w:tcW w:w="930" w:type="dxa"/>
            <w:vAlign w:val="center"/>
          </w:tcPr>
          <w:p w14:paraId="4C112A22">
            <w:pPr>
              <w:pStyle w:val="17"/>
              <w:jc w:val="center"/>
              <w:rPr>
                <w:rFonts w:hint="eastAsia" w:ascii="仿宋" w:hAnsi="仿宋" w:eastAsia="仿宋" w:cs="仿宋"/>
                <w:color w:val="auto"/>
                <w:sz w:val="32"/>
                <w:szCs w:val="32"/>
                <w:highlight w:val="none"/>
              </w:rPr>
            </w:pPr>
          </w:p>
        </w:tc>
        <w:tc>
          <w:tcPr>
            <w:tcW w:w="1570" w:type="dxa"/>
            <w:vAlign w:val="center"/>
          </w:tcPr>
          <w:p w14:paraId="32C59D5D">
            <w:pPr>
              <w:pStyle w:val="17"/>
              <w:jc w:val="center"/>
              <w:rPr>
                <w:rFonts w:hint="eastAsia" w:ascii="仿宋" w:hAnsi="仿宋" w:eastAsia="仿宋" w:cs="仿宋"/>
                <w:color w:val="auto"/>
                <w:sz w:val="32"/>
                <w:szCs w:val="32"/>
                <w:highlight w:val="none"/>
              </w:rPr>
            </w:pPr>
          </w:p>
        </w:tc>
        <w:tc>
          <w:tcPr>
            <w:tcW w:w="1128" w:type="dxa"/>
            <w:vAlign w:val="center"/>
          </w:tcPr>
          <w:p w14:paraId="7303D181">
            <w:pPr>
              <w:pStyle w:val="17"/>
              <w:jc w:val="center"/>
              <w:rPr>
                <w:rFonts w:hint="eastAsia" w:ascii="仿宋" w:hAnsi="仿宋" w:eastAsia="仿宋" w:cs="仿宋"/>
                <w:color w:val="auto"/>
                <w:sz w:val="32"/>
                <w:szCs w:val="32"/>
                <w:highlight w:val="none"/>
              </w:rPr>
            </w:pPr>
          </w:p>
        </w:tc>
        <w:tc>
          <w:tcPr>
            <w:tcW w:w="2132" w:type="dxa"/>
            <w:vMerge w:val="continue"/>
            <w:vAlign w:val="center"/>
          </w:tcPr>
          <w:p w14:paraId="0D874192">
            <w:pPr>
              <w:pStyle w:val="17"/>
              <w:jc w:val="center"/>
              <w:rPr>
                <w:rFonts w:hint="eastAsia" w:ascii="仿宋" w:hAnsi="仿宋" w:eastAsia="仿宋" w:cs="仿宋"/>
                <w:color w:val="auto"/>
                <w:sz w:val="32"/>
                <w:szCs w:val="32"/>
                <w:highlight w:val="none"/>
              </w:rPr>
            </w:pPr>
          </w:p>
        </w:tc>
        <w:tc>
          <w:tcPr>
            <w:tcW w:w="545" w:type="dxa"/>
            <w:vAlign w:val="center"/>
          </w:tcPr>
          <w:p w14:paraId="52612316">
            <w:pPr>
              <w:pStyle w:val="17"/>
              <w:jc w:val="center"/>
              <w:rPr>
                <w:rFonts w:hint="eastAsia" w:ascii="仿宋" w:hAnsi="仿宋" w:eastAsia="仿宋" w:cs="仿宋"/>
                <w:color w:val="auto"/>
                <w:sz w:val="32"/>
                <w:szCs w:val="32"/>
                <w:highlight w:val="none"/>
              </w:rPr>
            </w:pPr>
          </w:p>
        </w:tc>
      </w:tr>
      <w:tr w14:paraId="4912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6" w:type="dxa"/>
            <w:vAlign w:val="center"/>
          </w:tcPr>
          <w:p w14:paraId="1A9902DD">
            <w:pPr>
              <w:pStyle w:val="17"/>
              <w:jc w:val="center"/>
              <w:rPr>
                <w:rFonts w:hint="eastAsia" w:ascii="仿宋" w:hAnsi="仿宋" w:eastAsia="仿宋" w:cs="仿宋"/>
                <w:color w:val="auto"/>
                <w:sz w:val="32"/>
                <w:szCs w:val="32"/>
                <w:highlight w:val="none"/>
              </w:rPr>
            </w:pPr>
          </w:p>
        </w:tc>
        <w:tc>
          <w:tcPr>
            <w:tcW w:w="1625" w:type="dxa"/>
            <w:vAlign w:val="center"/>
          </w:tcPr>
          <w:p w14:paraId="066A9AC3">
            <w:pPr>
              <w:pStyle w:val="17"/>
              <w:jc w:val="center"/>
              <w:rPr>
                <w:rFonts w:hint="eastAsia" w:ascii="仿宋" w:hAnsi="仿宋" w:eastAsia="仿宋" w:cs="仿宋"/>
                <w:color w:val="auto"/>
                <w:sz w:val="32"/>
                <w:szCs w:val="32"/>
                <w:highlight w:val="none"/>
              </w:rPr>
            </w:pPr>
          </w:p>
        </w:tc>
        <w:tc>
          <w:tcPr>
            <w:tcW w:w="1000" w:type="dxa"/>
            <w:vAlign w:val="center"/>
          </w:tcPr>
          <w:p w14:paraId="5D1E99F7">
            <w:pPr>
              <w:pStyle w:val="17"/>
              <w:jc w:val="center"/>
              <w:rPr>
                <w:rFonts w:hint="eastAsia" w:ascii="仿宋" w:hAnsi="仿宋" w:eastAsia="仿宋" w:cs="仿宋"/>
                <w:color w:val="auto"/>
                <w:sz w:val="32"/>
                <w:szCs w:val="32"/>
                <w:highlight w:val="none"/>
              </w:rPr>
            </w:pPr>
          </w:p>
        </w:tc>
        <w:tc>
          <w:tcPr>
            <w:tcW w:w="1149" w:type="dxa"/>
            <w:vAlign w:val="center"/>
          </w:tcPr>
          <w:p w14:paraId="1218F2DD">
            <w:pPr>
              <w:pStyle w:val="17"/>
              <w:jc w:val="center"/>
              <w:rPr>
                <w:rFonts w:hint="eastAsia" w:ascii="仿宋" w:hAnsi="仿宋" w:eastAsia="仿宋" w:cs="仿宋"/>
                <w:color w:val="auto"/>
                <w:sz w:val="32"/>
                <w:szCs w:val="32"/>
                <w:highlight w:val="none"/>
              </w:rPr>
            </w:pPr>
          </w:p>
        </w:tc>
        <w:tc>
          <w:tcPr>
            <w:tcW w:w="930" w:type="dxa"/>
            <w:vAlign w:val="center"/>
          </w:tcPr>
          <w:p w14:paraId="7CC28AE4">
            <w:pPr>
              <w:pStyle w:val="17"/>
              <w:jc w:val="center"/>
              <w:rPr>
                <w:rFonts w:hint="eastAsia" w:ascii="仿宋" w:hAnsi="仿宋" w:eastAsia="仿宋" w:cs="仿宋"/>
                <w:color w:val="auto"/>
                <w:sz w:val="32"/>
                <w:szCs w:val="32"/>
                <w:highlight w:val="none"/>
              </w:rPr>
            </w:pPr>
          </w:p>
        </w:tc>
        <w:tc>
          <w:tcPr>
            <w:tcW w:w="1570" w:type="dxa"/>
            <w:vAlign w:val="center"/>
          </w:tcPr>
          <w:p w14:paraId="4BC2B9A5">
            <w:pPr>
              <w:pStyle w:val="17"/>
              <w:jc w:val="center"/>
              <w:rPr>
                <w:rFonts w:hint="eastAsia" w:ascii="仿宋" w:hAnsi="仿宋" w:eastAsia="仿宋" w:cs="仿宋"/>
                <w:color w:val="auto"/>
                <w:sz w:val="32"/>
                <w:szCs w:val="32"/>
                <w:highlight w:val="none"/>
              </w:rPr>
            </w:pPr>
          </w:p>
        </w:tc>
        <w:tc>
          <w:tcPr>
            <w:tcW w:w="1128" w:type="dxa"/>
            <w:vAlign w:val="center"/>
          </w:tcPr>
          <w:p w14:paraId="27C08598">
            <w:pPr>
              <w:pStyle w:val="17"/>
              <w:jc w:val="center"/>
              <w:rPr>
                <w:rFonts w:hint="eastAsia" w:ascii="仿宋" w:hAnsi="仿宋" w:eastAsia="仿宋" w:cs="仿宋"/>
                <w:color w:val="auto"/>
                <w:sz w:val="32"/>
                <w:szCs w:val="32"/>
                <w:highlight w:val="none"/>
              </w:rPr>
            </w:pPr>
          </w:p>
        </w:tc>
        <w:tc>
          <w:tcPr>
            <w:tcW w:w="2132" w:type="dxa"/>
            <w:vMerge w:val="continue"/>
            <w:vAlign w:val="center"/>
          </w:tcPr>
          <w:p w14:paraId="43BAFB31">
            <w:pPr>
              <w:pStyle w:val="17"/>
              <w:jc w:val="center"/>
              <w:rPr>
                <w:rFonts w:hint="eastAsia" w:ascii="仿宋" w:hAnsi="仿宋" w:eastAsia="仿宋" w:cs="仿宋"/>
                <w:color w:val="auto"/>
                <w:sz w:val="32"/>
                <w:szCs w:val="32"/>
                <w:highlight w:val="none"/>
              </w:rPr>
            </w:pPr>
          </w:p>
        </w:tc>
        <w:tc>
          <w:tcPr>
            <w:tcW w:w="545" w:type="dxa"/>
            <w:vAlign w:val="center"/>
          </w:tcPr>
          <w:p w14:paraId="1F61F8DB">
            <w:pPr>
              <w:pStyle w:val="17"/>
              <w:jc w:val="center"/>
              <w:rPr>
                <w:rFonts w:hint="eastAsia" w:ascii="仿宋" w:hAnsi="仿宋" w:eastAsia="仿宋" w:cs="仿宋"/>
                <w:color w:val="auto"/>
                <w:sz w:val="32"/>
                <w:szCs w:val="32"/>
                <w:highlight w:val="none"/>
              </w:rPr>
            </w:pPr>
          </w:p>
        </w:tc>
      </w:tr>
      <w:tr w14:paraId="12D8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6" w:type="dxa"/>
            <w:vAlign w:val="center"/>
          </w:tcPr>
          <w:p w14:paraId="4D8E89FE">
            <w:pPr>
              <w:pStyle w:val="17"/>
              <w:jc w:val="center"/>
              <w:rPr>
                <w:rFonts w:hint="eastAsia" w:ascii="仿宋" w:hAnsi="仿宋" w:eastAsia="仿宋" w:cs="仿宋"/>
                <w:color w:val="auto"/>
                <w:sz w:val="32"/>
                <w:szCs w:val="32"/>
                <w:highlight w:val="none"/>
              </w:rPr>
            </w:pPr>
          </w:p>
        </w:tc>
        <w:tc>
          <w:tcPr>
            <w:tcW w:w="1625" w:type="dxa"/>
            <w:vAlign w:val="center"/>
          </w:tcPr>
          <w:p w14:paraId="20191E31">
            <w:pPr>
              <w:pStyle w:val="17"/>
              <w:jc w:val="center"/>
              <w:rPr>
                <w:rFonts w:hint="eastAsia" w:ascii="仿宋" w:hAnsi="仿宋" w:eastAsia="仿宋" w:cs="仿宋"/>
                <w:color w:val="auto"/>
                <w:sz w:val="32"/>
                <w:szCs w:val="32"/>
                <w:highlight w:val="none"/>
              </w:rPr>
            </w:pPr>
          </w:p>
        </w:tc>
        <w:tc>
          <w:tcPr>
            <w:tcW w:w="1000" w:type="dxa"/>
            <w:vAlign w:val="center"/>
          </w:tcPr>
          <w:p w14:paraId="4CFEFA0B">
            <w:pPr>
              <w:pStyle w:val="17"/>
              <w:jc w:val="center"/>
              <w:rPr>
                <w:rFonts w:hint="eastAsia" w:ascii="仿宋" w:hAnsi="仿宋" w:eastAsia="仿宋" w:cs="仿宋"/>
                <w:color w:val="auto"/>
                <w:sz w:val="32"/>
                <w:szCs w:val="32"/>
                <w:highlight w:val="none"/>
              </w:rPr>
            </w:pPr>
          </w:p>
        </w:tc>
        <w:tc>
          <w:tcPr>
            <w:tcW w:w="1149" w:type="dxa"/>
            <w:vAlign w:val="center"/>
          </w:tcPr>
          <w:p w14:paraId="3E186B81">
            <w:pPr>
              <w:pStyle w:val="17"/>
              <w:jc w:val="center"/>
              <w:rPr>
                <w:rFonts w:hint="eastAsia" w:ascii="仿宋" w:hAnsi="仿宋" w:eastAsia="仿宋" w:cs="仿宋"/>
                <w:color w:val="auto"/>
                <w:sz w:val="32"/>
                <w:szCs w:val="32"/>
                <w:highlight w:val="none"/>
              </w:rPr>
            </w:pPr>
          </w:p>
        </w:tc>
        <w:tc>
          <w:tcPr>
            <w:tcW w:w="930" w:type="dxa"/>
            <w:vAlign w:val="center"/>
          </w:tcPr>
          <w:p w14:paraId="334D6AE1">
            <w:pPr>
              <w:pStyle w:val="17"/>
              <w:jc w:val="center"/>
              <w:rPr>
                <w:rFonts w:hint="eastAsia" w:ascii="仿宋" w:hAnsi="仿宋" w:eastAsia="仿宋" w:cs="仿宋"/>
                <w:color w:val="auto"/>
                <w:sz w:val="32"/>
                <w:szCs w:val="32"/>
                <w:highlight w:val="none"/>
              </w:rPr>
            </w:pPr>
          </w:p>
        </w:tc>
        <w:tc>
          <w:tcPr>
            <w:tcW w:w="1570" w:type="dxa"/>
            <w:vAlign w:val="center"/>
          </w:tcPr>
          <w:p w14:paraId="0E594E12">
            <w:pPr>
              <w:pStyle w:val="17"/>
              <w:jc w:val="center"/>
              <w:rPr>
                <w:rFonts w:hint="eastAsia" w:ascii="仿宋" w:hAnsi="仿宋" w:eastAsia="仿宋" w:cs="仿宋"/>
                <w:color w:val="auto"/>
                <w:sz w:val="32"/>
                <w:szCs w:val="32"/>
                <w:highlight w:val="none"/>
              </w:rPr>
            </w:pPr>
          </w:p>
        </w:tc>
        <w:tc>
          <w:tcPr>
            <w:tcW w:w="1128" w:type="dxa"/>
            <w:vAlign w:val="center"/>
          </w:tcPr>
          <w:p w14:paraId="53CB8EB3">
            <w:pPr>
              <w:pStyle w:val="17"/>
              <w:jc w:val="center"/>
              <w:rPr>
                <w:rFonts w:hint="eastAsia" w:ascii="仿宋" w:hAnsi="仿宋" w:eastAsia="仿宋" w:cs="仿宋"/>
                <w:color w:val="auto"/>
                <w:sz w:val="32"/>
                <w:szCs w:val="32"/>
                <w:highlight w:val="none"/>
              </w:rPr>
            </w:pPr>
          </w:p>
        </w:tc>
        <w:tc>
          <w:tcPr>
            <w:tcW w:w="2132" w:type="dxa"/>
            <w:vMerge w:val="continue"/>
            <w:vAlign w:val="center"/>
          </w:tcPr>
          <w:p w14:paraId="70919AFC">
            <w:pPr>
              <w:pStyle w:val="17"/>
              <w:jc w:val="center"/>
              <w:rPr>
                <w:rFonts w:hint="eastAsia" w:ascii="仿宋" w:hAnsi="仿宋" w:eastAsia="仿宋" w:cs="仿宋"/>
                <w:color w:val="auto"/>
                <w:sz w:val="32"/>
                <w:szCs w:val="32"/>
                <w:highlight w:val="none"/>
              </w:rPr>
            </w:pPr>
          </w:p>
        </w:tc>
        <w:tc>
          <w:tcPr>
            <w:tcW w:w="545" w:type="dxa"/>
            <w:vAlign w:val="center"/>
          </w:tcPr>
          <w:p w14:paraId="0BF05A68">
            <w:pPr>
              <w:pStyle w:val="17"/>
              <w:jc w:val="center"/>
              <w:rPr>
                <w:rFonts w:hint="eastAsia" w:ascii="仿宋" w:hAnsi="仿宋" w:eastAsia="仿宋" w:cs="仿宋"/>
                <w:color w:val="auto"/>
                <w:sz w:val="32"/>
                <w:szCs w:val="32"/>
                <w:highlight w:val="none"/>
              </w:rPr>
            </w:pPr>
          </w:p>
        </w:tc>
      </w:tr>
      <w:tr w14:paraId="383C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6" w:type="dxa"/>
            <w:vAlign w:val="center"/>
          </w:tcPr>
          <w:p w14:paraId="11140F8A">
            <w:pPr>
              <w:pStyle w:val="17"/>
              <w:jc w:val="center"/>
              <w:rPr>
                <w:rFonts w:hint="eastAsia" w:ascii="仿宋" w:hAnsi="仿宋" w:eastAsia="仿宋" w:cs="仿宋"/>
                <w:color w:val="auto"/>
                <w:sz w:val="32"/>
                <w:szCs w:val="32"/>
                <w:highlight w:val="none"/>
              </w:rPr>
            </w:pPr>
          </w:p>
        </w:tc>
        <w:tc>
          <w:tcPr>
            <w:tcW w:w="1625" w:type="dxa"/>
            <w:vAlign w:val="center"/>
          </w:tcPr>
          <w:p w14:paraId="35D26BA9">
            <w:pPr>
              <w:pStyle w:val="17"/>
              <w:jc w:val="center"/>
              <w:rPr>
                <w:rFonts w:hint="eastAsia" w:ascii="仿宋" w:hAnsi="仿宋" w:eastAsia="仿宋" w:cs="仿宋"/>
                <w:color w:val="auto"/>
                <w:sz w:val="32"/>
                <w:szCs w:val="32"/>
                <w:highlight w:val="none"/>
              </w:rPr>
            </w:pPr>
          </w:p>
        </w:tc>
        <w:tc>
          <w:tcPr>
            <w:tcW w:w="1000" w:type="dxa"/>
            <w:vAlign w:val="center"/>
          </w:tcPr>
          <w:p w14:paraId="78A8F8AF">
            <w:pPr>
              <w:pStyle w:val="17"/>
              <w:jc w:val="center"/>
              <w:rPr>
                <w:rFonts w:hint="eastAsia" w:ascii="仿宋" w:hAnsi="仿宋" w:eastAsia="仿宋" w:cs="仿宋"/>
                <w:color w:val="auto"/>
                <w:sz w:val="32"/>
                <w:szCs w:val="32"/>
                <w:highlight w:val="none"/>
              </w:rPr>
            </w:pPr>
          </w:p>
        </w:tc>
        <w:tc>
          <w:tcPr>
            <w:tcW w:w="1149" w:type="dxa"/>
            <w:vAlign w:val="center"/>
          </w:tcPr>
          <w:p w14:paraId="69737796">
            <w:pPr>
              <w:pStyle w:val="17"/>
              <w:jc w:val="center"/>
              <w:rPr>
                <w:rFonts w:hint="eastAsia" w:ascii="仿宋" w:hAnsi="仿宋" w:eastAsia="仿宋" w:cs="仿宋"/>
                <w:color w:val="auto"/>
                <w:sz w:val="32"/>
                <w:szCs w:val="32"/>
                <w:highlight w:val="none"/>
              </w:rPr>
            </w:pPr>
          </w:p>
        </w:tc>
        <w:tc>
          <w:tcPr>
            <w:tcW w:w="930" w:type="dxa"/>
            <w:vAlign w:val="center"/>
          </w:tcPr>
          <w:p w14:paraId="7AF5BE4C">
            <w:pPr>
              <w:pStyle w:val="17"/>
              <w:jc w:val="center"/>
              <w:rPr>
                <w:rFonts w:hint="eastAsia" w:ascii="仿宋" w:hAnsi="仿宋" w:eastAsia="仿宋" w:cs="仿宋"/>
                <w:color w:val="auto"/>
                <w:sz w:val="32"/>
                <w:szCs w:val="32"/>
                <w:highlight w:val="none"/>
              </w:rPr>
            </w:pPr>
          </w:p>
        </w:tc>
        <w:tc>
          <w:tcPr>
            <w:tcW w:w="1570" w:type="dxa"/>
            <w:vAlign w:val="center"/>
          </w:tcPr>
          <w:p w14:paraId="3CC6281A">
            <w:pPr>
              <w:pStyle w:val="17"/>
              <w:jc w:val="center"/>
              <w:rPr>
                <w:rFonts w:hint="eastAsia" w:ascii="仿宋" w:hAnsi="仿宋" w:eastAsia="仿宋" w:cs="仿宋"/>
                <w:color w:val="auto"/>
                <w:sz w:val="32"/>
                <w:szCs w:val="32"/>
                <w:highlight w:val="none"/>
              </w:rPr>
            </w:pPr>
          </w:p>
        </w:tc>
        <w:tc>
          <w:tcPr>
            <w:tcW w:w="1128" w:type="dxa"/>
            <w:vAlign w:val="center"/>
          </w:tcPr>
          <w:p w14:paraId="00324736">
            <w:pPr>
              <w:pStyle w:val="17"/>
              <w:jc w:val="center"/>
              <w:rPr>
                <w:rFonts w:hint="eastAsia" w:ascii="仿宋" w:hAnsi="仿宋" w:eastAsia="仿宋" w:cs="仿宋"/>
                <w:color w:val="auto"/>
                <w:sz w:val="32"/>
                <w:szCs w:val="32"/>
                <w:highlight w:val="none"/>
              </w:rPr>
            </w:pPr>
          </w:p>
        </w:tc>
        <w:tc>
          <w:tcPr>
            <w:tcW w:w="2132" w:type="dxa"/>
            <w:vMerge w:val="continue"/>
            <w:vAlign w:val="center"/>
          </w:tcPr>
          <w:p w14:paraId="3E92FBEB">
            <w:pPr>
              <w:pStyle w:val="17"/>
              <w:jc w:val="center"/>
              <w:rPr>
                <w:rFonts w:hint="eastAsia" w:ascii="仿宋" w:hAnsi="仿宋" w:eastAsia="仿宋" w:cs="仿宋"/>
                <w:color w:val="auto"/>
                <w:sz w:val="32"/>
                <w:szCs w:val="32"/>
                <w:highlight w:val="none"/>
              </w:rPr>
            </w:pPr>
          </w:p>
        </w:tc>
        <w:tc>
          <w:tcPr>
            <w:tcW w:w="545" w:type="dxa"/>
            <w:vAlign w:val="center"/>
          </w:tcPr>
          <w:p w14:paraId="5B3997FF">
            <w:pPr>
              <w:pStyle w:val="17"/>
              <w:jc w:val="center"/>
              <w:rPr>
                <w:rFonts w:hint="eastAsia" w:ascii="仿宋" w:hAnsi="仿宋" w:eastAsia="仿宋" w:cs="仿宋"/>
                <w:color w:val="auto"/>
                <w:sz w:val="32"/>
                <w:szCs w:val="32"/>
                <w:highlight w:val="none"/>
              </w:rPr>
            </w:pPr>
          </w:p>
        </w:tc>
      </w:tr>
    </w:tbl>
    <w:p w14:paraId="78698DD1">
      <w:pPr>
        <w:pStyle w:val="17"/>
        <w:rPr>
          <w:rFonts w:hint="eastAsia" w:ascii="仿宋" w:hAnsi="仿宋" w:eastAsia="仿宋" w:cs="仿宋"/>
          <w:color w:val="auto"/>
          <w:sz w:val="32"/>
          <w:szCs w:val="32"/>
          <w:highlight w:val="none"/>
        </w:rPr>
      </w:pPr>
    </w:p>
    <w:p w14:paraId="69BB9DB2">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投标单位盖章：</w:t>
      </w:r>
    </w:p>
    <w:p w14:paraId="0F373873">
      <w:pPr>
        <w:pStyle w:val="20"/>
        <w:spacing w:line="360" w:lineRule="auto"/>
        <w:rPr>
          <w:rFonts w:hint="eastAsia" w:ascii="仿宋" w:hAnsi="仿宋" w:eastAsia="仿宋" w:cs="仿宋"/>
          <w:color w:val="auto"/>
          <w:sz w:val="32"/>
          <w:szCs w:val="32"/>
          <w:highlight w:val="none"/>
        </w:rPr>
      </w:pPr>
    </w:p>
    <w:p w14:paraId="509B8BC2">
      <w:pPr>
        <w:spacing w:line="360" w:lineRule="auto"/>
        <w:ind w:left="7680" w:hanging="10240" w:hangingChars="3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投标单位法人或授权代表签字或盖章：                                                                     </w:t>
      </w:r>
    </w:p>
    <w:p w14:paraId="15579D17">
      <w:pPr>
        <w:spacing w:line="360" w:lineRule="auto"/>
        <w:ind w:left="7680" w:hanging="10240" w:hangingChars="320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D8E7443">
      <w:pPr>
        <w:pStyle w:val="17"/>
        <w:rPr>
          <w:rFonts w:hint="eastAsia" w:ascii="仿宋" w:hAnsi="仿宋" w:eastAsia="仿宋" w:cs="仿宋"/>
          <w:color w:val="auto"/>
          <w:sz w:val="32"/>
          <w:szCs w:val="32"/>
          <w:highlight w:val="none"/>
        </w:rPr>
      </w:pPr>
    </w:p>
    <w:p w14:paraId="2B168B81">
      <w:pPr>
        <w:pStyle w:val="17"/>
        <w:rPr>
          <w:rFonts w:hint="eastAsia" w:ascii="仿宋" w:hAnsi="仿宋" w:eastAsia="仿宋" w:cs="仿宋"/>
          <w:color w:val="auto"/>
          <w:sz w:val="32"/>
          <w:szCs w:val="32"/>
          <w:highlight w:val="none"/>
        </w:rPr>
      </w:pPr>
    </w:p>
    <w:p w14:paraId="4244BF59">
      <w:pPr>
        <w:pStyle w:val="17"/>
        <w:rPr>
          <w:rFonts w:hint="eastAsia" w:ascii="仿宋" w:hAnsi="仿宋" w:eastAsia="仿宋" w:cs="仿宋"/>
          <w:color w:val="auto"/>
          <w:sz w:val="32"/>
          <w:szCs w:val="32"/>
          <w:highlight w:val="none"/>
        </w:rPr>
      </w:pPr>
    </w:p>
    <w:p w14:paraId="15151769">
      <w:pPr>
        <w:adjustRightInd w:val="0"/>
        <w:snapToGrid w:val="0"/>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上述报价包含设备清单中包含的设备的供货、运输、安装、调试、培训、售后服务等费用，分项报价合计应和总报价一致；</w:t>
      </w:r>
    </w:p>
    <w:p w14:paraId="548B97DE">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r>
        <w:rPr>
          <w:rStyle w:val="62"/>
          <w:rFonts w:hint="eastAsia" w:ascii="仿宋_GB2312" w:hAnsi="仿宋_GB2312" w:eastAsia="仿宋_GB2312" w:cs="仿宋_GB2312"/>
          <w:b/>
          <w:bCs w:val="0"/>
          <w:color w:val="auto"/>
          <w:sz w:val="32"/>
          <w:szCs w:val="32"/>
          <w:highlight w:val="none"/>
          <w:lang w:val="en-US" w:eastAsia="zh-CN"/>
        </w:rPr>
        <w:t>4、法定代表人身份证明</w:t>
      </w:r>
      <w:bookmarkEnd w:id="407"/>
      <w:bookmarkEnd w:id="408"/>
      <w:bookmarkEnd w:id="409"/>
      <w:bookmarkEnd w:id="410"/>
      <w:bookmarkEnd w:id="411"/>
      <w:bookmarkEnd w:id="412"/>
    </w:p>
    <w:p w14:paraId="6602E977">
      <w:pPr>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32"/>
          <w:szCs w:val="32"/>
          <w:highlight w:val="none"/>
        </w:rPr>
      </w:pPr>
    </w:p>
    <w:p w14:paraId="6D31BB6B">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单位名称：</w:t>
      </w:r>
      <w:r>
        <w:rPr>
          <w:rFonts w:hint="eastAsia" w:ascii="仿宋_GB2312" w:hAnsi="仿宋_GB2312" w:eastAsia="仿宋_GB2312" w:cs="仿宋_GB2312"/>
          <w:color w:val="auto"/>
          <w:sz w:val="32"/>
          <w:szCs w:val="32"/>
          <w:highlight w:val="none"/>
          <w:u w:val="single"/>
        </w:rPr>
        <w:t xml:space="preserve">                                                      </w:t>
      </w:r>
    </w:p>
    <w:p w14:paraId="3F117269">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单位性质：</w:t>
      </w:r>
      <w:r>
        <w:rPr>
          <w:rFonts w:hint="eastAsia" w:ascii="仿宋_GB2312" w:hAnsi="仿宋_GB2312" w:eastAsia="仿宋_GB2312" w:cs="仿宋_GB2312"/>
          <w:color w:val="auto"/>
          <w:sz w:val="32"/>
          <w:szCs w:val="32"/>
          <w:highlight w:val="none"/>
          <w:u w:val="single"/>
        </w:rPr>
        <w:t xml:space="preserve">                                                      </w:t>
      </w:r>
    </w:p>
    <w:p w14:paraId="58463C78">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7B8A47F1">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经营期限：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0C7BCD60">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p>
    <w:p w14:paraId="3DB15687">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的法定代表人。 </w:t>
      </w:r>
    </w:p>
    <w:p w14:paraId="6C2E701D">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特此证明。 </w:t>
      </w:r>
    </w:p>
    <w:p w14:paraId="5B74288C">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5F348176">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0ABC9F00">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6A64834E">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2966E198">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1226EF9E">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22B0AAF6">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62D6281F">
      <w:pPr>
        <w:pageBreakBefore w:val="0"/>
        <w:kinsoku/>
        <w:wordWrap/>
        <w:topLinePunct w:val="0"/>
        <w:bidi w:val="0"/>
        <w:spacing w:line="360" w:lineRule="auto"/>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（盖单位章） </w:t>
      </w:r>
    </w:p>
    <w:p w14:paraId="2E73C8FB">
      <w:pPr>
        <w:pageBreakBefore w:val="0"/>
        <w:kinsoku/>
        <w:wordWrap/>
        <w:topLinePunct w:val="0"/>
        <w:bidi w:val="0"/>
        <w:spacing w:line="360" w:lineRule="auto"/>
        <w:jc w:val="righ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b/>
          <w:color w:val="auto"/>
          <w:sz w:val="32"/>
          <w:szCs w:val="32"/>
          <w:highlight w:val="none"/>
        </w:rPr>
        <w:t xml:space="preserve"> </w:t>
      </w:r>
    </w:p>
    <w:p w14:paraId="672FE8BB">
      <w:pPr>
        <w:pStyle w:val="13"/>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777B01B6">
      <w:pPr>
        <w:pStyle w:val="26"/>
        <w:pageBreakBefore w:val="0"/>
        <w:kinsoku/>
        <w:wordWrap/>
        <w:topLinePunct w:val="0"/>
        <w:bidi w:val="0"/>
        <w:spacing w:line="360" w:lineRule="auto"/>
        <w:ind w:left="0" w:leftChars="0" w:firstLine="0" w:firstLineChars="0"/>
        <w:rPr>
          <w:rFonts w:hint="eastAsia" w:ascii="仿宋_GB2312" w:hAnsi="仿宋_GB2312" w:eastAsia="仿宋_GB2312" w:cs="仿宋_GB2312"/>
          <w:color w:val="auto"/>
          <w:sz w:val="32"/>
          <w:szCs w:val="32"/>
          <w:highlight w:val="none"/>
        </w:rPr>
      </w:pPr>
    </w:p>
    <w:p w14:paraId="0E2D40C4">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bookmarkStart w:id="413" w:name="_Toc24648"/>
      <w:bookmarkStart w:id="414" w:name="_Toc2043"/>
      <w:bookmarkStart w:id="415" w:name="_Toc18441"/>
      <w:bookmarkStart w:id="416" w:name="_Toc50459036"/>
      <w:r>
        <w:rPr>
          <w:rStyle w:val="62"/>
          <w:rFonts w:hint="eastAsia" w:ascii="仿宋_GB2312" w:hAnsi="仿宋_GB2312" w:eastAsia="仿宋_GB2312" w:cs="仿宋_GB2312"/>
          <w:b/>
          <w:bCs w:val="0"/>
          <w:color w:val="auto"/>
          <w:sz w:val="32"/>
          <w:szCs w:val="32"/>
          <w:highlight w:val="none"/>
          <w:lang w:val="en-US" w:eastAsia="zh-CN"/>
        </w:rPr>
        <w:t>5、法定代表人授权委托书</w:t>
      </w:r>
      <w:bookmarkEnd w:id="413"/>
      <w:bookmarkEnd w:id="414"/>
      <w:bookmarkEnd w:id="415"/>
      <w:bookmarkEnd w:id="416"/>
    </w:p>
    <w:p w14:paraId="2ABA85BA">
      <w:pPr>
        <w:pageBreakBefore w:val="0"/>
        <w:kinsoku/>
        <w:wordWrap/>
        <w:topLinePunct w:val="0"/>
        <w:bidi w:val="0"/>
        <w:spacing w:line="360" w:lineRule="auto"/>
        <w:jc w:val="center"/>
        <w:rPr>
          <w:rFonts w:hint="eastAsia" w:ascii="仿宋_GB2312" w:hAnsi="仿宋_GB2312" w:eastAsia="仿宋_GB2312" w:cs="仿宋_GB2312"/>
          <w:b/>
          <w:bCs/>
          <w:color w:val="auto"/>
          <w:sz w:val="32"/>
          <w:szCs w:val="32"/>
          <w:highlight w:val="none"/>
        </w:rPr>
      </w:pPr>
    </w:p>
    <w:p w14:paraId="2ABEDE3C">
      <w:pPr>
        <w:pageBreakBefore w:val="0"/>
        <w:kinsoku/>
        <w:wordWrap/>
        <w:topLinePunct w:val="0"/>
        <w:bidi w:val="0"/>
        <w:spacing w:line="360" w:lineRule="auto"/>
        <w:ind w:firstLine="604" w:firstLineChars="189"/>
        <w:jc w:val="left"/>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本授权委托书声明：我</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系</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的法定代表人，现授权委托</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为我的代理人，以本单位的名义参加</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投标活动。代理人在参加整个招标投标活动、合同</w:t>
      </w:r>
      <w:r>
        <w:rPr>
          <w:rFonts w:hint="eastAsia" w:ascii="仿宋_GB2312" w:hAnsi="仿宋_GB2312" w:eastAsia="仿宋_GB2312" w:cs="仿宋_GB2312"/>
          <w:bCs/>
          <w:color w:val="auto"/>
          <w:sz w:val="32"/>
          <w:szCs w:val="32"/>
          <w:highlight w:val="none"/>
          <w:lang w:val="en-US" w:eastAsia="zh-CN"/>
        </w:rPr>
        <w:t>签订</w:t>
      </w:r>
      <w:r>
        <w:rPr>
          <w:rFonts w:hint="eastAsia" w:ascii="仿宋_GB2312" w:hAnsi="仿宋_GB2312" w:eastAsia="仿宋_GB2312" w:cs="仿宋_GB2312"/>
          <w:bCs/>
          <w:color w:val="auto"/>
          <w:sz w:val="32"/>
          <w:szCs w:val="32"/>
          <w:highlight w:val="none"/>
        </w:rPr>
        <w:t>过程中所签署的一切文件和处理与之相关的一切事物，我均予承认。</w:t>
      </w:r>
    </w:p>
    <w:p w14:paraId="68B738FD">
      <w:pPr>
        <w:pageBreakBefore w:val="0"/>
        <w:kinsoku/>
        <w:wordWrap/>
        <w:topLinePunct w:val="0"/>
        <w:bidi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代理人：</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性别：</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6442D33D">
      <w:pPr>
        <w:pageBreakBefore w:val="0"/>
        <w:kinsoku/>
        <w:wordWrap/>
        <w:topLinePunct w:val="0"/>
        <w:bidi w:val="0"/>
        <w:spacing w:line="360" w:lineRule="auto"/>
        <w:ind w:firstLine="640" w:firstLineChars="200"/>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年龄：</w:t>
      </w:r>
      <w:r>
        <w:rPr>
          <w:rFonts w:hint="eastAsia" w:ascii="仿宋_GB2312" w:hAnsi="仿宋_GB2312" w:eastAsia="仿宋_GB2312" w:cs="仿宋_GB2312"/>
          <w:bCs/>
          <w:color w:val="auto"/>
          <w:sz w:val="32"/>
          <w:szCs w:val="32"/>
          <w:highlight w:val="none"/>
          <w:u w:val="single"/>
        </w:rPr>
        <w:t xml:space="preserve">             </w:t>
      </w:r>
    </w:p>
    <w:p w14:paraId="02A7882A">
      <w:pPr>
        <w:pageBreakBefore w:val="0"/>
        <w:kinsoku/>
        <w:wordWrap/>
        <w:topLinePunct w:val="0"/>
        <w:bidi w:val="0"/>
        <w:spacing w:line="360" w:lineRule="auto"/>
        <w:ind w:firstLine="320" w:firstLineChars="100"/>
        <w:jc w:val="left"/>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部  门：</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职务：</w:t>
      </w:r>
      <w:r>
        <w:rPr>
          <w:rFonts w:hint="eastAsia" w:ascii="仿宋_GB2312" w:hAnsi="仿宋_GB2312" w:eastAsia="仿宋_GB2312" w:cs="仿宋_GB2312"/>
          <w:bCs/>
          <w:color w:val="auto"/>
          <w:sz w:val="32"/>
          <w:szCs w:val="32"/>
          <w:highlight w:val="none"/>
          <w:u w:val="single"/>
        </w:rPr>
        <w:t xml:space="preserve">             </w:t>
      </w:r>
    </w:p>
    <w:p w14:paraId="5B107013">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6055DD">
                            <w:pPr>
                              <w:jc w:val="center"/>
                              <w:rPr>
                                <w:rFonts w:ascii="仿宋" w:hAnsi="仿宋" w:eastAsia="仿宋"/>
                                <w:sz w:val="36"/>
                                <w:szCs w:val="36"/>
                              </w:rPr>
                            </w:pPr>
                          </w:p>
                          <w:p w14:paraId="357ECB5A">
                            <w:pPr>
                              <w:jc w:val="center"/>
                              <w:rPr>
                                <w:rFonts w:ascii="仿宋" w:hAnsi="仿宋" w:eastAsia="仿宋"/>
                                <w:sz w:val="36"/>
                                <w:szCs w:val="36"/>
                              </w:rPr>
                            </w:pPr>
                          </w:p>
                          <w:p w14:paraId="2C4AE7B3">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36121D5E">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14:paraId="176055DD">
                      <w:pPr>
                        <w:jc w:val="center"/>
                        <w:rPr>
                          <w:rFonts w:ascii="仿宋" w:hAnsi="仿宋" w:eastAsia="仿宋"/>
                          <w:sz w:val="36"/>
                          <w:szCs w:val="36"/>
                        </w:rPr>
                      </w:pPr>
                    </w:p>
                    <w:p w14:paraId="357ECB5A">
                      <w:pPr>
                        <w:jc w:val="center"/>
                        <w:rPr>
                          <w:rFonts w:ascii="仿宋" w:hAnsi="仿宋" w:eastAsia="仿宋"/>
                          <w:sz w:val="36"/>
                          <w:szCs w:val="36"/>
                        </w:rPr>
                      </w:pPr>
                    </w:p>
                    <w:p w14:paraId="2C4AE7B3">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36121D5E">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ED4349">
                            <w:pPr>
                              <w:jc w:val="center"/>
                              <w:rPr>
                                <w:rFonts w:ascii="仿宋" w:hAnsi="仿宋" w:eastAsia="仿宋"/>
                                <w:sz w:val="36"/>
                                <w:szCs w:val="36"/>
                              </w:rPr>
                            </w:pPr>
                          </w:p>
                          <w:p w14:paraId="1CEA6F2C">
                            <w:pPr>
                              <w:jc w:val="center"/>
                              <w:rPr>
                                <w:rFonts w:ascii="仿宋" w:hAnsi="仿宋" w:eastAsia="仿宋"/>
                                <w:sz w:val="36"/>
                                <w:szCs w:val="36"/>
                              </w:rPr>
                            </w:pPr>
                          </w:p>
                          <w:p w14:paraId="52247DBA">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7785AC7B">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14:paraId="16ED4349">
                      <w:pPr>
                        <w:jc w:val="center"/>
                        <w:rPr>
                          <w:rFonts w:ascii="仿宋" w:hAnsi="仿宋" w:eastAsia="仿宋"/>
                          <w:sz w:val="36"/>
                          <w:szCs w:val="36"/>
                        </w:rPr>
                      </w:pPr>
                    </w:p>
                    <w:p w14:paraId="1CEA6F2C">
                      <w:pPr>
                        <w:jc w:val="center"/>
                        <w:rPr>
                          <w:rFonts w:ascii="仿宋" w:hAnsi="仿宋" w:eastAsia="仿宋"/>
                          <w:sz w:val="36"/>
                          <w:szCs w:val="36"/>
                        </w:rPr>
                      </w:pPr>
                    </w:p>
                    <w:p w14:paraId="52247DBA">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7785AC7B">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54715A28">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0DF979B0">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32102BAD">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2CBF3221">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0257A111">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22D657A9">
      <w:pPr>
        <w:pStyle w:val="20"/>
        <w:pageBreakBefore w:val="0"/>
        <w:kinsoku/>
        <w:wordWrap/>
        <w:topLinePunct w:val="0"/>
        <w:bidi w:val="0"/>
        <w:spacing w:line="360" w:lineRule="auto"/>
        <w:ind w:left="1620" w:hanging="420"/>
        <w:rPr>
          <w:rFonts w:hint="eastAsia" w:ascii="仿宋_GB2312" w:hAnsi="仿宋_GB2312" w:eastAsia="仿宋_GB2312" w:cs="仿宋_GB2312"/>
          <w:color w:val="auto"/>
          <w:sz w:val="32"/>
          <w:szCs w:val="32"/>
          <w:highlight w:val="none"/>
        </w:rPr>
      </w:pPr>
    </w:p>
    <w:p w14:paraId="33B3D49D">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  标  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（盖章）</w:t>
      </w:r>
    </w:p>
    <w:p w14:paraId="7C0F7D1E">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36C6E4A7">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法定代表人或其委托代理人：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（签字</w:t>
      </w:r>
      <w:r>
        <w:rPr>
          <w:rFonts w:hint="eastAsia" w:ascii="仿宋_GB2312" w:hAnsi="仿宋_GB2312" w:eastAsia="仿宋_GB2312" w:cs="仿宋_GB2312"/>
          <w:color w:val="auto"/>
          <w:sz w:val="32"/>
          <w:szCs w:val="32"/>
          <w:highlight w:val="none"/>
          <w:lang w:val="en-US" w:eastAsia="zh-CN"/>
        </w:rPr>
        <w:t>或盖章</w:t>
      </w:r>
      <w:r>
        <w:rPr>
          <w:rFonts w:hint="eastAsia" w:ascii="仿宋_GB2312" w:hAnsi="仿宋_GB2312" w:eastAsia="仿宋_GB2312" w:cs="仿宋_GB2312"/>
          <w:color w:val="auto"/>
          <w:sz w:val="32"/>
          <w:szCs w:val="32"/>
          <w:highlight w:val="none"/>
        </w:rPr>
        <w:t>）</w:t>
      </w:r>
    </w:p>
    <w:p w14:paraId="70C14EF2">
      <w:pPr>
        <w:pStyle w:val="20"/>
        <w:pageBreakBefore w:val="0"/>
        <w:kinsoku/>
        <w:wordWrap/>
        <w:topLinePunct w:val="0"/>
        <w:bidi w:val="0"/>
        <w:spacing w:line="360" w:lineRule="auto"/>
        <w:rPr>
          <w:rFonts w:hint="eastAsia" w:ascii="仿宋_GB2312" w:hAnsi="仿宋_GB2312" w:eastAsia="仿宋_GB2312" w:cs="仿宋_GB2312"/>
          <w:b/>
          <w:bCs/>
          <w:color w:val="auto"/>
          <w:sz w:val="32"/>
          <w:szCs w:val="32"/>
          <w:highlight w:val="none"/>
        </w:rPr>
      </w:pPr>
    </w:p>
    <w:p w14:paraId="60E0F348">
      <w:pPr>
        <w:pStyle w:val="20"/>
        <w:pageBreakBefore w:val="0"/>
        <w:kinsoku/>
        <w:wordWrap/>
        <w:topLinePunct w:val="0"/>
        <w:bidi w:val="0"/>
        <w:spacing w:line="360" w:lineRule="auto"/>
        <w:rPr>
          <w:rFonts w:hint="eastAsia" w:ascii="仿宋_GB2312" w:hAnsi="仿宋_GB2312" w:eastAsia="仿宋_GB2312" w:cs="仿宋_GB2312"/>
          <w:b/>
          <w:bCs/>
          <w:color w:val="auto"/>
          <w:sz w:val="32"/>
          <w:szCs w:val="32"/>
          <w:highlight w:val="none"/>
        </w:rPr>
      </w:pPr>
    </w:p>
    <w:p w14:paraId="50ADD06C">
      <w:pPr>
        <w:pStyle w:val="61"/>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仿宋_GB2312" w:hAnsi="仿宋_GB2312" w:eastAsia="仿宋_GB2312" w:cs="仿宋_GB2312"/>
          <w:color w:val="auto"/>
          <w:sz w:val="32"/>
          <w:szCs w:val="32"/>
          <w:highlight w:val="none"/>
        </w:rPr>
      </w:pPr>
      <w:bookmarkStart w:id="417" w:name="_Toc17805"/>
      <w:bookmarkStart w:id="418" w:name="_Toc9258"/>
      <w:bookmarkStart w:id="419" w:name="_Toc28582"/>
      <w:bookmarkStart w:id="420" w:name="_Toc50459038"/>
      <w:r>
        <w:rPr>
          <w:rStyle w:val="62"/>
          <w:rFonts w:hint="eastAsia" w:hAnsi="仿宋_GB2312" w:cs="仿宋_GB2312"/>
          <w:b/>
          <w:bCs w:val="0"/>
          <w:color w:val="auto"/>
          <w:sz w:val="32"/>
          <w:szCs w:val="32"/>
          <w:highlight w:val="none"/>
          <w:lang w:val="en-US" w:eastAsia="zh-CN"/>
        </w:rPr>
        <w:t>6</w:t>
      </w:r>
      <w:r>
        <w:rPr>
          <w:rStyle w:val="62"/>
          <w:rFonts w:hint="eastAsia" w:ascii="仿宋_GB2312" w:hAnsi="仿宋_GB2312" w:eastAsia="仿宋_GB2312" w:cs="仿宋_GB2312"/>
          <w:b/>
          <w:bCs w:val="0"/>
          <w:color w:val="auto"/>
          <w:sz w:val="32"/>
          <w:szCs w:val="32"/>
          <w:highlight w:val="none"/>
          <w:lang w:val="en-US" w:eastAsia="zh-CN"/>
        </w:rPr>
        <w:t>、</w:t>
      </w:r>
      <w:bookmarkEnd w:id="417"/>
      <w:bookmarkEnd w:id="418"/>
      <w:bookmarkEnd w:id="419"/>
      <w:bookmarkEnd w:id="420"/>
      <w:r>
        <w:rPr>
          <w:rFonts w:hint="eastAsia" w:ascii="仿宋_GB2312" w:hAnsi="仿宋_GB2312" w:eastAsia="仿宋_GB2312" w:cs="仿宋_GB2312"/>
          <w:b/>
          <w:bCs w:val="0"/>
          <w:color w:val="auto"/>
          <w:sz w:val="32"/>
          <w:szCs w:val="32"/>
          <w:highlight w:val="none"/>
          <w:lang w:val="en-US" w:eastAsia="zh-CN"/>
        </w:rPr>
        <w:t>投标保证金打款凭证或投标保函</w:t>
      </w:r>
    </w:p>
    <w:p w14:paraId="01E65C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新疆金斌工程项目管理有限公司</w:t>
      </w:r>
      <w:r>
        <w:rPr>
          <w:rFonts w:hint="eastAsia" w:ascii="仿宋_GB2312" w:hAnsi="仿宋_GB2312" w:eastAsia="仿宋_GB2312" w:cs="仿宋_GB2312"/>
          <w:color w:val="auto"/>
          <w:sz w:val="32"/>
          <w:szCs w:val="32"/>
          <w:highlight w:val="none"/>
        </w:rPr>
        <w:t>：</w:t>
      </w:r>
    </w:p>
    <w:p w14:paraId="1BE922B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本单位已按</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（项目名称）</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rPr>
        <w:t>（采购编号：</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要求，于年月日前以</w:t>
      </w:r>
      <w:r>
        <w:rPr>
          <w:rFonts w:hint="eastAsia" w:ascii="仿宋_GB2312" w:hAnsi="仿宋_GB2312" w:eastAsia="仿宋_GB2312" w:cs="仿宋_GB2312"/>
          <w:color w:val="auto"/>
          <w:sz w:val="32"/>
          <w:szCs w:val="32"/>
          <w:highlight w:val="none"/>
          <w:u w:val="single"/>
        </w:rPr>
        <w:t xml:space="preserve">  （付款形式 ）</w:t>
      </w:r>
      <w:r>
        <w:rPr>
          <w:rFonts w:hint="eastAsia" w:ascii="仿宋_GB2312" w:hAnsi="仿宋_GB2312" w:eastAsia="仿宋_GB2312" w:cs="仿宋_GB2312"/>
          <w:color w:val="auto"/>
          <w:sz w:val="32"/>
          <w:szCs w:val="32"/>
          <w:highlight w:val="none"/>
        </w:rPr>
        <w:t>方式汇入指定账户（账户名称：,账号,开户银行：。</w:t>
      </w:r>
    </w:p>
    <w:p w14:paraId="3AB5264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投标单位投标保证金的汇款情况：（详见附件一投标保证金进账单）</w:t>
      </w:r>
    </w:p>
    <w:p w14:paraId="20F579A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汇出时间：年月日：</w:t>
      </w:r>
    </w:p>
    <w:p w14:paraId="3500C61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汇款金额：（大写）人民币</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rPr>
        <w:t>元整</w:t>
      </w:r>
    </w:p>
    <w:p w14:paraId="391F50CA">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（小写：¥元）</w:t>
      </w:r>
    </w:p>
    <w:p w14:paraId="13A9FB5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汇款账户名称：</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（必须是投标时使用的单位名称）</w:t>
      </w:r>
    </w:p>
    <w:p w14:paraId="2182920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帐号：</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u w:val="single"/>
        </w:rPr>
        <w:t>（必须是投标时使用的账号）</w:t>
      </w:r>
    </w:p>
    <w:p w14:paraId="7F006DA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u w:val="single"/>
        </w:rPr>
        <w:t>（银行省市分行/支行）</w:t>
      </w:r>
    </w:p>
    <w:p w14:paraId="3750246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行 号:</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79F97F6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本单位谨承诺上述资料是正确、真实的，如因上述证明与事实不符导致的一切损失，本单位保证承担赔偿等一切法律责任。</w:t>
      </w:r>
    </w:p>
    <w:p w14:paraId="3F48DC1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投标保证金退回时，请按上述资料退回。</w:t>
      </w:r>
    </w:p>
    <w:p w14:paraId="2613C4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（单位公章）</w:t>
      </w:r>
    </w:p>
    <w:p w14:paraId="55186C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年月日</w:t>
      </w:r>
    </w:p>
    <w:p w14:paraId="41A94C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39BA0B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p w14:paraId="2E3C53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单位电话：</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ab/>
      </w:r>
    </w:p>
    <w:p w14:paraId="7FBB37B6">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bookmarkStart w:id="421" w:name="_Toc8056"/>
      <w:r>
        <w:rPr>
          <w:rStyle w:val="62"/>
          <w:rFonts w:hint="eastAsia" w:ascii="仿宋_GB2312" w:hAnsi="仿宋_GB2312" w:eastAsia="仿宋_GB2312" w:cs="仿宋_GB2312"/>
          <w:b/>
          <w:bCs w:val="0"/>
          <w:color w:val="auto"/>
          <w:sz w:val="32"/>
          <w:szCs w:val="32"/>
          <w:highlight w:val="none"/>
          <w:lang w:val="en-US" w:eastAsia="zh-CN"/>
        </w:rPr>
        <w:t>7、技术条件响应/偏离表</w:t>
      </w:r>
      <w:bookmarkEnd w:id="421"/>
    </w:p>
    <w:p w14:paraId="37E6908E">
      <w:pPr>
        <w:pageBreakBefore w:val="0"/>
        <w:kinsoku/>
        <w:wordWrap/>
        <w:topLinePunct w:val="0"/>
        <w:bidi w:val="0"/>
        <w:spacing w:after="156" w:afterLines="50"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编号：</w:t>
      </w:r>
      <w:r>
        <w:rPr>
          <w:rFonts w:hint="eastAsia" w:ascii="仿宋_GB2312" w:hAnsi="仿宋_GB2312" w:eastAsia="仿宋_GB2312" w:cs="仿宋_GB2312"/>
          <w:color w:val="auto"/>
          <w:sz w:val="32"/>
          <w:szCs w:val="32"/>
          <w:highlight w:val="none"/>
          <w:u w:val="single"/>
        </w:rPr>
        <w:t>　　　　　　　　　　</w:t>
      </w:r>
    </w:p>
    <w:tbl>
      <w:tblPr>
        <w:tblStyle w:val="28"/>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78E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vAlign w:val="center"/>
          </w:tcPr>
          <w:p w14:paraId="3B39A3CE">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vAlign w:val="center"/>
          </w:tcPr>
          <w:p w14:paraId="0321A6A1">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vAlign w:val="center"/>
          </w:tcPr>
          <w:p w14:paraId="4E35AE2B">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文件要求</w:t>
            </w:r>
          </w:p>
        </w:tc>
        <w:tc>
          <w:tcPr>
            <w:tcW w:w="2167" w:type="dxa"/>
            <w:vAlign w:val="center"/>
          </w:tcPr>
          <w:p w14:paraId="6614B0BC">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vAlign w:val="center"/>
          </w:tcPr>
          <w:p w14:paraId="61D7FCD9">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w:t>
            </w:r>
            <w:r>
              <w:rPr>
                <w:rFonts w:hint="eastAsia" w:ascii="仿宋_GB2312" w:hAnsi="仿宋_GB2312" w:eastAsia="仿宋_GB2312" w:cs="仿宋_GB2312"/>
                <w:sz w:val="32"/>
                <w:szCs w:val="32"/>
                <w:lang w:val="en-US" w:eastAsia="zh-CN"/>
              </w:rPr>
              <w:t>货物或服务</w:t>
            </w:r>
            <w:r>
              <w:rPr>
                <w:rFonts w:hint="eastAsia" w:ascii="仿宋_GB2312" w:hAnsi="仿宋_GB2312" w:eastAsia="仿宋_GB2312" w:cs="仿宋_GB2312"/>
                <w:sz w:val="32"/>
                <w:szCs w:val="32"/>
              </w:rPr>
              <w:t>的影响</w:t>
            </w:r>
          </w:p>
        </w:tc>
      </w:tr>
      <w:tr w14:paraId="790F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6FEAA7CD">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3A532B4B">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7E521819">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046AC9D4">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0B11F538">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2DE7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7AB1EC5A">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18986EE2">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70E3FDDC">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51E1095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468940E2">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23A3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48C61433">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6DB56D5B">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518E164A">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7AEA6FB8">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638C8D94">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7996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28CB10C1">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00415BD7">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03120116">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111E8036">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6A49E01D">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78A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3DD148F6">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139254AD">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3689693B">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368C732C">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5C9408C9">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0E66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38C19721">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07A46093">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65E85E2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6F74148A">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2F698DA9">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3B5F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vAlign w:val="top"/>
          </w:tcPr>
          <w:p w14:paraId="7ECC84E7">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73366ADE">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233DEE39">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2409176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05F848B6">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bl>
    <w:p w14:paraId="7731ECEB">
      <w:pPr>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lang w:val="en-US" w:eastAsia="zh-CN"/>
        </w:rPr>
        <w:t>技术参数</w:t>
      </w:r>
      <w:r>
        <w:rPr>
          <w:rFonts w:hint="eastAsia" w:ascii="仿宋_GB2312" w:hAnsi="仿宋_GB2312" w:eastAsia="仿宋_GB2312" w:cs="仿宋_GB2312"/>
          <w:color w:val="auto"/>
          <w:sz w:val="32"/>
          <w:szCs w:val="32"/>
          <w:highlight w:val="none"/>
        </w:rPr>
        <w:t>要求逐条对应填写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投标人必须</w:t>
      </w:r>
      <w:r>
        <w:rPr>
          <w:rFonts w:hint="eastAsia" w:ascii="仿宋_GB2312" w:hAnsi="仿宋_GB2312" w:eastAsia="仿宋_GB2312" w:cs="仿宋_GB2312"/>
          <w:color w:val="auto"/>
          <w:sz w:val="32"/>
          <w:szCs w:val="32"/>
          <w:lang w:val="en-US" w:eastAsia="zh-CN"/>
        </w:rPr>
        <w:t>根</w:t>
      </w:r>
      <w:r>
        <w:rPr>
          <w:rFonts w:hint="eastAsia" w:ascii="仿宋_GB2312" w:hAnsi="仿宋_GB2312" w:eastAsia="仿宋_GB2312" w:cs="仿宋_GB2312"/>
          <w:color w:val="auto"/>
          <w:sz w:val="32"/>
          <w:szCs w:val="32"/>
        </w:rPr>
        <w:t>据</w:t>
      </w:r>
      <w:r>
        <w:rPr>
          <w:rFonts w:hint="eastAsia" w:ascii="仿宋_GB2312" w:hAnsi="仿宋_GB2312" w:eastAsia="仿宋_GB2312" w:cs="仿宋_GB2312"/>
          <w:color w:val="auto"/>
          <w:sz w:val="32"/>
          <w:szCs w:val="32"/>
          <w:lang w:val="en-US" w:eastAsia="zh-CN"/>
        </w:rPr>
        <w:t>所提供的</w:t>
      </w:r>
      <w:r>
        <w:rPr>
          <w:rFonts w:hint="eastAsia" w:ascii="仿宋_GB2312" w:hAnsi="仿宋_GB2312" w:eastAsia="仿宋_GB2312" w:cs="仿宋_GB2312"/>
          <w:b w:val="0"/>
          <w:bCs/>
          <w:color w:val="auto"/>
          <w:sz w:val="32"/>
          <w:szCs w:val="32"/>
        </w:rPr>
        <w:t>相应</w:t>
      </w:r>
      <w:r>
        <w:rPr>
          <w:rFonts w:hint="eastAsia" w:ascii="仿宋_GB2312" w:hAnsi="仿宋_GB2312" w:eastAsia="仿宋_GB2312" w:cs="仿宋_GB2312"/>
          <w:b w:val="0"/>
          <w:bCs/>
          <w:color w:val="auto"/>
          <w:sz w:val="32"/>
          <w:szCs w:val="32"/>
          <w:lang w:val="en-US" w:eastAsia="zh-CN"/>
        </w:rPr>
        <w:t>服务内容如</w:t>
      </w:r>
      <w:r>
        <w:rPr>
          <w:rFonts w:hint="eastAsia" w:ascii="仿宋_GB2312" w:hAnsi="仿宋_GB2312" w:eastAsia="仿宋_GB2312" w:cs="仿宋_GB2312"/>
          <w:color w:val="auto"/>
          <w:sz w:val="32"/>
          <w:szCs w:val="32"/>
        </w:rPr>
        <w:t>实填写，不得虚假响应，否则将取消其投标或中标资格，并按有关规定进行处罚。</w:t>
      </w:r>
    </w:p>
    <w:p w14:paraId="5B6D1D06">
      <w:pPr>
        <w:pStyle w:val="6"/>
        <w:pageBreakBefore w:val="0"/>
        <w:kinsoku/>
        <w:wordWrap/>
        <w:topLinePunct w:val="0"/>
        <w:bidi w:val="0"/>
        <w:spacing w:line="360" w:lineRule="auto"/>
        <w:rPr>
          <w:rFonts w:hint="eastAsia" w:ascii="仿宋_GB2312" w:hAnsi="仿宋_GB2312" w:eastAsia="仿宋_GB2312" w:cs="仿宋_GB2312"/>
          <w:sz w:val="32"/>
          <w:szCs w:val="32"/>
        </w:rPr>
      </w:pPr>
    </w:p>
    <w:p w14:paraId="1860C07F">
      <w:pPr>
        <w:pageBreakBefore w:val="0"/>
        <w:kinsoku/>
        <w:wordWrap/>
        <w:topLinePunct w:val="0"/>
        <w:bidi w:val="0"/>
        <w:spacing w:line="360" w:lineRule="auto"/>
        <w:rPr>
          <w:rFonts w:hint="eastAsia" w:ascii="仿宋_GB2312" w:hAnsi="仿宋_GB2312" w:eastAsia="仿宋_GB2312" w:cs="仿宋_GB2312"/>
          <w:sz w:val="32"/>
          <w:szCs w:val="32"/>
        </w:rPr>
      </w:pPr>
    </w:p>
    <w:p w14:paraId="4A6AEAF0">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投标人代表签字</w:t>
      </w:r>
      <w:r>
        <w:rPr>
          <w:rFonts w:hint="eastAsia" w:ascii="仿宋_GB2312" w:hAnsi="仿宋_GB2312" w:eastAsia="仿宋_GB2312" w:cs="仿宋_GB2312"/>
          <w:color w:val="auto"/>
          <w:sz w:val="32"/>
          <w:szCs w:val="32"/>
          <w:highlight w:val="none"/>
          <w:lang w:val="en-US" w:eastAsia="zh-CN"/>
        </w:rPr>
        <w:t>或盖章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w:t>
      </w:r>
    </w:p>
    <w:p w14:paraId="2F441BDE">
      <w:pPr>
        <w:pStyle w:val="17"/>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33A0278C">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bookmarkStart w:id="422" w:name="_Toc7233"/>
      <w:r>
        <w:rPr>
          <w:rStyle w:val="62"/>
          <w:rFonts w:hint="eastAsia" w:ascii="仿宋_GB2312" w:hAnsi="仿宋_GB2312" w:eastAsia="仿宋_GB2312" w:cs="仿宋_GB2312"/>
          <w:b/>
          <w:bCs w:val="0"/>
          <w:color w:val="auto"/>
          <w:sz w:val="32"/>
          <w:szCs w:val="32"/>
          <w:highlight w:val="none"/>
          <w:lang w:val="en-US" w:eastAsia="zh-CN"/>
        </w:rPr>
        <w:t>8、商务条件响应/偏离表</w:t>
      </w:r>
      <w:bookmarkEnd w:id="422"/>
    </w:p>
    <w:p w14:paraId="5388B2A8">
      <w:pPr>
        <w:pageBreakBefore w:val="0"/>
        <w:kinsoku/>
        <w:wordWrap/>
        <w:topLinePunct w:val="0"/>
        <w:bidi w:val="0"/>
        <w:spacing w:after="156" w:afterLines="50"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编号：</w:t>
      </w:r>
      <w:r>
        <w:rPr>
          <w:rFonts w:hint="eastAsia" w:ascii="仿宋_GB2312" w:hAnsi="仿宋_GB2312" w:eastAsia="仿宋_GB2312" w:cs="仿宋_GB2312"/>
          <w:color w:val="auto"/>
          <w:sz w:val="32"/>
          <w:szCs w:val="32"/>
          <w:highlight w:val="none"/>
          <w:u w:val="single"/>
        </w:rPr>
        <w:t>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075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14:paraId="1262AAA2">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1704" w:type="dxa"/>
            <w:vAlign w:val="center"/>
          </w:tcPr>
          <w:p w14:paraId="7ACF177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color w:val="auto"/>
                <w:sz w:val="32"/>
                <w:szCs w:val="32"/>
                <w:highlight w:val="none"/>
              </w:rPr>
              <w:t>要求</w:t>
            </w:r>
          </w:p>
        </w:tc>
        <w:tc>
          <w:tcPr>
            <w:tcW w:w="1704" w:type="dxa"/>
            <w:vAlign w:val="center"/>
          </w:tcPr>
          <w:p w14:paraId="28E78DB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color w:val="auto"/>
                <w:sz w:val="32"/>
                <w:szCs w:val="32"/>
                <w:highlight w:val="none"/>
              </w:rPr>
              <w:t>响应</w:t>
            </w:r>
          </w:p>
        </w:tc>
        <w:tc>
          <w:tcPr>
            <w:tcW w:w="1705" w:type="dxa"/>
            <w:vAlign w:val="center"/>
          </w:tcPr>
          <w:p w14:paraId="147119B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响应/偏离</w:t>
            </w:r>
          </w:p>
        </w:tc>
        <w:tc>
          <w:tcPr>
            <w:tcW w:w="1705" w:type="dxa"/>
            <w:vAlign w:val="center"/>
          </w:tcPr>
          <w:p w14:paraId="1A90D61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w:t>
            </w:r>
          </w:p>
        </w:tc>
      </w:tr>
      <w:tr w14:paraId="4E7D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DCA48A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704" w:type="dxa"/>
          </w:tcPr>
          <w:p w14:paraId="4FCE84F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合同履行期限</w:t>
            </w:r>
          </w:p>
        </w:tc>
        <w:tc>
          <w:tcPr>
            <w:tcW w:w="1704" w:type="dxa"/>
          </w:tcPr>
          <w:p w14:paraId="23487C74">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581F05A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69903D08">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4778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1010096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704" w:type="dxa"/>
          </w:tcPr>
          <w:p w14:paraId="412DB58D">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供货地点</w:t>
            </w:r>
          </w:p>
        </w:tc>
        <w:tc>
          <w:tcPr>
            <w:tcW w:w="1704" w:type="dxa"/>
          </w:tcPr>
          <w:p w14:paraId="4F47935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176F7BDE">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0D431410">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0D64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267F4A12">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704" w:type="dxa"/>
          </w:tcPr>
          <w:p w14:paraId="2A4B5033">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付款方式</w:t>
            </w:r>
          </w:p>
        </w:tc>
        <w:tc>
          <w:tcPr>
            <w:tcW w:w="1704" w:type="dxa"/>
          </w:tcPr>
          <w:p w14:paraId="05A57D77">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133C417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154785C4">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2C2E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1579172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p>
        </w:tc>
        <w:tc>
          <w:tcPr>
            <w:tcW w:w="1704" w:type="dxa"/>
          </w:tcPr>
          <w:p w14:paraId="27F00748">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服务承诺</w:t>
            </w:r>
          </w:p>
        </w:tc>
        <w:tc>
          <w:tcPr>
            <w:tcW w:w="1704" w:type="dxa"/>
          </w:tcPr>
          <w:p w14:paraId="5CFCE096">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38445614">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67ADB8E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3D3B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81C3C4C">
            <w:pPr>
              <w:pageBreakBefore w:val="0"/>
              <w:kinsoku/>
              <w:wordWrap/>
              <w:topLinePunct w:val="0"/>
              <w:bidi w:val="0"/>
              <w:spacing w:line="360" w:lineRule="auto"/>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p>
        </w:tc>
        <w:tc>
          <w:tcPr>
            <w:tcW w:w="1704" w:type="dxa"/>
          </w:tcPr>
          <w:p w14:paraId="05755EA1">
            <w:pPr>
              <w:pageBreakBefore w:val="0"/>
              <w:kinsoku/>
              <w:wordWrap/>
              <w:topLinePunct w:val="0"/>
              <w:bidi w:val="0"/>
              <w:spacing w:line="360" w:lineRule="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质保期</w:t>
            </w:r>
          </w:p>
        </w:tc>
        <w:tc>
          <w:tcPr>
            <w:tcW w:w="1704" w:type="dxa"/>
          </w:tcPr>
          <w:p w14:paraId="17572793">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6BF2A91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51AF685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7F67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6BF2DEA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704" w:type="dxa"/>
          </w:tcPr>
          <w:p w14:paraId="4FEEF87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4" w:type="dxa"/>
          </w:tcPr>
          <w:p w14:paraId="130CE0A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4EF52C49">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232DD16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3856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40883C1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704" w:type="dxa"/>
          </w:tcPr>
          <w:p w14:paraId="313D28F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4" w:type="dxa"/>
          </w:tcPr>
          <w:p w14:paraId="138D9BF6">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41848C2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429D227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bl>
    <w:p w14:paraId="336B041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注：与</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要求逐条对应填写。</w:t>
      </w:r>
    </w:p>
    <w:p w14:paraId="73CF11D1">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投标人代表签字：</w:t>
      </w:r>
      <w:r>
        <w:rPr>
          <w:rFonts w:hint="eastAsia" w:ascii="仿宋_GB2312" w:hAnsi="仿宋_GB2312" w:eastAsia="仿宋_GB2312" w:cs="仿宋_GB2312"/>
          <w:color w:val="auto"/>
          <w:sz w:val="32"/>
          <w:szCs w:val="32"/>
          <w:highlight w:val="none"/>
          <w:u w:val="single"/>
        </w:rPr>
        <w:t>　　　　　　　　　　　　　　　</w:t>
      </w:r>
    </w:p>
    <w:p w14:paraId="2B04EB8D">
      <w:pPr>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p>
    <w:p w14:paraId="533DC9F3">
      <w:pPr>
        <w:pStyle w:val="5"/>
        <w:pageBreakBefore w:val="0"/>
        <w:kinsoku/>
        <w:wordWrap/>
        <w:topLinePunct w:val="0"/>
        <w:bidi w:val="0"/>
        <w:spacing w:line="360" w:lineRule="auto"/>
        <w:jc w:val="center"/>
        <w:rPr>
          <w:rFonts w:hint="eastAsia" w:ascii="仿宋_GB2312" w:hAnsi="仿宋_GB2312" w:eastAsia="仿宋_GB2312" w:cs="仿宋_GB2312"/>
          <w:sz w:val="32"/>
          <w:szCs w:val="32"/>
          <w:lang w:val="en-US" w:eastAsia="zh-CN"/>
        </w:rPr>
      </w:pPr>
      <w:r>
        <w:rPr>
          <w:rStyle w:val="62"/>
          <w:rFonts w:hint="eastAsia" w:ascii="仿宋_GB2312" w:hAnsi="仿宋_GB2312" w:eastAsia="仿宋_GB2312" w:cs="仿宋_GB2312"/>
          <w:b/>
          <w:bCs w:val="0"/>
          <w:color w:val="auto"/>
          <w:sz w:val="32"/>
          <w:szCs w:val="32"/>
          <w:highlight w:val="none"/>
          <w:lang w:val="en-US" w:eastAsia="zh-CN"/>
        </w:rPr>
        <w:t>9、相应的资格证明文件以及商务因素、技术因素、服务因素所需证明资料（包括不限于企业简介、企业相关证件等）（格式自拟）</w:t>
      </w:r>
    </w:p>
    <w:p w14:paraId="457910B8">
      <w:pPr>
        <w:pageBreakBefore w:val="0"/>
        <w:numPr>
          <w:ilvl w:val="0"/>
          <w:numId w:val="0"/>
        </w:numPr>
        <w:kinsoku/>
        <w:wordWrap/>
        <w:topLinePunct w:val="0"/>
        <w:bidi w:val="0"/>
        <w:spacing w:line="360" w:lineRule="auto"/>
        <w:rPr>
          <w:rFonts w:hint="eastAsia" w:ascii="仿宋_GB2312" w:hAnsi="仿宋_GB2312" w:eastAsia="仿宋_GB2312" w:cs="仿宋_GB2312"/>
          <w:sz w:val="32"/>
          <w:szCs w:val="32"/>
          <w:lang w:val="en-US" w:eastAsia="zh-CN"/>
        </w:rPr>
      </w:pPr>
    </w:p>
    <w:p w14:paraId="1628F2B9">
      <w:pPr>
        <w:pStyle w:val="17"/>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1E4B1622">
      <w:pPr>
        <w:pStyle w:val="61"/>
        <w:keepNext w:val="0"/>
        <w:keepLines w:val="0"/>
        <w:pageBreakBefore w:val="0"/>
        <w:widowControl w:val="0"/>
        <w:kinsoku/>
        <w:wordWrap/>
        <w:overflowPunct/>
        <w:topLinePunct w:val="0"/>
        <w:bidi w:val="0"/>
        <w:spacing w:line="360" w:lineRule="auto"/>
        <w:ind w:firstLine="482"/>
        <w:jc w:val="center"/>
        <w:textAlignment w:val="auto"/>
        <w:rPr>
          <w:rFonts w:hint="eastAsia" w:ascii="仿宋_GB2312" w:hAnsi="仿宋_GB2312" w:eastAsia="仿宋_GB2312" w:cs="仿宋_GB2312"/>
          <w:b/>
          <w:bCs w:val="0"/>
          <w:color w:val="auto"/>
          <w:sz w:val="32"/>
          <w:szCs w:val="32"/>
          <w:highlight w:val="none"/>
        </w:rPr>
      </w:pPr>
      <w:bookmarkStart w:id="423" w:name="_Toc5499"/>
      <w:r>
        <w:rPr>
          <w:rStyle w:val="62"/>
          <w:rFonts w:hint="eastAsia" w:hAnsi="仿宋_GB2312" w:cs="仿宋_GB2312"/>
          <w:b/>
          <w:bCs w:val="0"/>
          <w:color w:val="auto"/>
          <w:sz w:val="32"/>
          <w:szCs w:val="32"/>
          <w:highlight w:val="none"/>
          <w:lang w:val="en-US" w:eastAsia="zh-CN"/>
        </w:rPr>
        <w:t>10</w:t>
      </w:r>
      <w:r>
        <w:rPr>
          <w:rStyle w:val="62"/>
          <w:rFonts w:hint="eastAsia" w:ascii="仿宋_GB2312" w:hAnsi="仿宋_GB2312" w:eastAsia="仿宋_GB2312" w:cs="仿宋_GB2312"/>
          <w:b/>
          <w:bCs w:val="0"/>
          <w:color w:val="auto"/>
          <w:sz w:val="32"/>
          <w:szCs w:val="32"/>
          <w:highlight w:val="none"/>
          <w:lang w:val="en-US" w:eastAsia="zh-CN"/>
        </w:rPr>
        <w:t>、</w:t>
      </w:r>
      <w:bookmarkEnd w:id="423"/>
      <w:r>
        <w:rPr>
          <w:rFonts w:hint="eastAsia" w:ascii="仿宋_GB2312" w:hAnsi="仿宋_GB2312" w:eastAsia="仿宋_GB2312" w:cs="仿宋_GB2312"/>
          <w:b/>
          <w:bCs w:val="0"/>
          <w:color w:val="auto"/>
          <w:sz w:val="32"/>
          <w:szCs w:val="32"/>
          <w:highlight w:val="none"/>
        </w:rPr>
        <w:t>投标人近三年（20</w:t>
      </w:r>
      <w:r>
        <w:rPr>
          <w:rFonts w:hint="eastAsia" w:ascii="仿宋_GB2312" w:hAnsi="仿宋_GB2312" w:eastAsia="仿宋_GB2312" w:cs="仿宋_GB2312"/>
          <w:b/>
          <w:bCs w:val="0"/>
          <w:color w:val="auto"/>
          <w:sz w:val="32"/>
          <w:szCs w:val="32"/>
          <w:highlight w:val="none"/>
          <w:lang w:val="en-US" w:eastAsia="zh-CN"/>
        </w:rPr>
        <w:t>2</w:t>
      </w:r>
      <w:r>
        <w:rPr>
          <w:rFonts w:hint="eastAsia" w:hAnsi="仿宋_GB2312" w:cs="仿宋_GB2312"/>
          <w:b/>
          <w:bCs w:val="0"/>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rPr>
        <w:t>年</w:t>
      </w:r>
      <w:r>
        <w:rPr>
          <w:rFonts w:hint="eastAsia" w:hAnsi="仿宋_GB2312" w:cs="仿宋_GB2312"/>
          <w:b/>
          <w:bCs w:val="0"/>
          <w:color w:val="auto"/>
          <w:sz w:val="32"/>
          <w:szCs w:val="32"/>
          <w:highlight w:val="none"/>
          <w:lang w:val="en-US" w:eastAsia="zh-CN"/>
        </w:rPr>
        <w:t>04</w:t>
      </w:r>
      <w:r>
        <w:rPr>
          <w:rFonts w:hint="eastAsia" w:ascii="仿宋_GB2312" w:hAnsi="仿宋_GB2312" w:eastAsia="仿宋_GB2312" w:cs="仿宋_GB2312"/>
          <w:b/>
          <w:bCs w:val="0"/>
          <w:color w:val="auto"/>
          <w:sz w:val="32"/>
          <w:szCs w:val="32"/>
          <w:highlight w:val="none"/>
        </w:rPr>
        <w:t>月</w:t>
      </w:r>
      <w:r>
        <w:rPr>
          <w:rFonts w:hint="eastAsia" w:ascii="仿宋_GB2312" w:hAnsi="仿宋_GB2312" w:eastAsia="仿宋_GB2312" w:cs="仿宋_GB2312"/>
          <w:b/>
          <w:bCs w:val="0"/>
          <w:color w:val="auto"/>
          <w:sz w:val="32"/>
          <w:szCs w:val="32"/>
          <w:highlight w:val="none"/>
          <w:lang w:val="en-US" w:eastAsia="zh-CN"/>
        </w:rPr>
        <w:t>0</w:t>
      </w:r>
      <w:r>
        <w:rPr>
          <w:rFonts w:hint="eastAsia" w:ascii="仿宋_GB2312" w:hAnsi="仿宋_GB2312" w:eastAsia="仿宋_GB2312" w:cs="仿宋_GB2312"/>
          <w:b/>
          <w:bCs w:val="0"/>
          <w:color w:val="auto"/>
          <w:sz w:val="32"/>
          <w:szCs w:val="32"/>
          <w:highlight w:val="none"/>
        </w:rPr>
        <w:t>1日至今）类似项目业绩</w:t>
      </w:r>
      <w:r>
        <w:rPr>
          <w:rFonts w:hint="eastAsia" w:ascii="仿宋_GB2312" w:hAnsi="仿宋_GB2312" w:eastAsia="仿宋_GB2312" w:cs="仿宋_GB2312"/>
          <w:b/>
          <w:bCs w:val="0"/>
          <w:color w:val="auto"/>
          <w:sz w:val="32"/>
          <w:szCs w:val="32"/>
        </w:rPr>
        <w:t>（附</w:t>
      </w:r>
      <w:r>
        <w:rPr>
          <w:rFonts w:hint="eastAsia" w:ascii="仿宋_GB2312" w:hAnsi="仿宋_GB2312" w:eastAsia="仿宋_GB2312" w:cs="仿宋_GB2312"/>
          <w:b/>
          <w:bCs w:val="0"/>
          <w:color w:val="auto"/>
          <w:sz w:val="32"/>
          <w:szCs w:val="32"/>
          <w:lang w:val="en-US" w:eastAsia="zh-CN"/>
        </w:rPr>
        <w:t>类似</w:t>
      </w:r>
      <w:r>
        <w:rPr>
          <w:rFonts w:hint="eastAsia" w:ascii="仿宋_GB2312" w:hAnsi="仿宋_GB2312" w:eastAsia="仿宋_GB2312" w:cs="仿宋_GB2312"/>
          <w:b/>
          <w:bCs w:val="0"/>
          <w:color w:val="auto"/>
          <w:sz w:val="32"/>
          <w:szCs w:val="32"/>
        </w:rPr>
        <w:t>项目业绩</w:t>
      </w:r>
      <w:r>
        <w:rPr>
          <w:rFonts w:hint="eastAsia" w:ascii="仿宋_GB2312" w:hAnsi="仿宋_GB2312" w:eastAsia="仿宋_GB2312" w:cs="仿宋_GB2312"/>
          <w:b/>
          <w:bCs w:val="0"/>
          <w:color w:val="auto"/>
          <w:sz w:val="32"/>
          <w:szCs w:val="32"/>
          <w:lang w:val="en-US" w:eastAsia="zh-CN"/>
        </w:rPr>
        <w:t>中标通知书和</w:t>
      </w:r>
      <w:r>
        <w:rPr>
          <w:rFonts w:hint="eastAsia" w:ascii="仿宋_GB2312" w:hAnsi="仿宋_GB2312" w:eastAsia="仿宋_GB2312" w:cs="仿宋_GB2312"/>
          <w:b/>
          <w:bCs w:val="0"/>
          <w:color w:val="auto"/>
          <w:sz w:val="32"/>
          <w:szCs w:val="32"/>
        </w:rPr>
        <w:t>合同）</w:t>
      </w:r>
    </w:p>
    <w:tbl>
      <w:tblPr>
        <w:tblStyle w:val="2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6AAC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4FED1660">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1512" w:type="dxa"/>
            <w:vAlign w:val="center"/>
          </w:tcPr>
          <w:p w14:paraId="4AA60FB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1512" w:type="dxa"/>
            <w:vAlign w:val="center"/>
          </w:tcPr>
          <w:p w14:paraId="7FB390E3">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项目内容</w:t>
            </w:r>
          </w:p>
        </w:tc>
        <w:tc>
          <w:tcPr>
            <w:tcW w:w="1512" w:type="dxa"/>
            <w:vAlign w:val="center"/>
          </w:tcPr>
          <w:p w14:paraId="480670FB">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合同总价</w:t>
            </w:r>
          </w:p>
        </w:tc>
        <w:tc>
          <w:tcPr>
            <w:tcW w:w="1514" w:type="dxa"/>
            <w:vAlign w:val="center"/>
          </w:tcPr>
          <w:p w14:paraId="7AE9A10C">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完成时间</w:t>
            </w:r>
          </w:p>
        </w:tc>
        <w:tc>
          <w:tcPr>
            <w:tcW w:w="1514" w:type="dxa"/>
            <w:vAlign w:val="center"/>
          </w:tcPr>
          <w:p w14:paraId="4CB9DA3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3B55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1C981D43">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41DD102B">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043BCEFD">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6C570F5E">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8D9DA4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712B3964">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4CDE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297187B8">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157409F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0A82DEA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05154CF">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772628DE">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1E728A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24AE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4B61AFB8">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205707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78C0D3D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2A18F52">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29E92273">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574A131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41A0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5C9D7F3B">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F05372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7DA5422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E038FB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D966B4D">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2D7F26E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295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1BDFF30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4232C4D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62D33E82">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295B63A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11585AE3">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2B5EDF8">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68F4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380EA89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9EF892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285318C7">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220AD7D7">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0A203E0C">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486F407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5CD8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vAlign w:val="center"/>
          </w:tcPr>
          <w:p w14:paraId="7122917E">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40DF4C30">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1E7D3D62">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7A15183F">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4F47503">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4995D0D5">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bl>
    <w:p w14:paraId="2C41A99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注：1、</w:t>
      </w:r>
      <w:r>
        <w:rPr>
          <w:rFonts w:hint="eastAsia" w:ascii="仿宋_GB2312" w:hAnsi="仿宋_GB2312" w:eastAsia="仿宋_GB2312" w:cs="仿宋_GB2312"/>
          <w:b/>
          <w:bCs/>
          <w:color w:val="auto"/>
          <w:sz w:val="32"/>
          <w:szCs w:val="32"/>
          <w:highlight w:val="none"/>
        </w:rPr>
        <w:t>投标人填写本表的同时，须将</w:t>
      </w:r>
      <w:r>
        <w:rPr>
          <w:rFonts w:hint="eastAsia" w:ascii="仿宋_GB2312" w:hAnsi="仿宋_GB2312" w:eastAsia="仿宋_GB2312" w:cs="仿宋_GB2312"/>
          <w:b/>
          <w:bCs/>
          <w:color w:val="auto"/>
          <w:sz w:val="32"/>
          <w:szCs w:val="32"/>
        </w:rPr>
        <w:t>中标通知书</w:t>
      </w:r>
      <w:r>
        <w:rPr>
          <w:rFonts w:hint="eastAsia" w:ascii="仿宋_GB2312" w:hAnsi="仿宋_GB2312" w:eastAsia="仿宋_GB2312" w:cs="仿宋_GB2312"/>
          <w:b/>
          <w:bCs/>
          <w:color w:val="auto"/>
          <w:sz w:val="32"/>
          <w:szCs w:val="32"/>
          <w:lang w:val="en-US" w:eastAsia="zh-CN"/>
        </w:rPr>
        <w:t>和</w:t>
      </w:r>
      <w:r>
        <w:rPr>
          <w:rFonts w:hint="eastAsia" w:ascii="仿宋_GB2312" w:hAnsi="仿宋_GB2312" w:eastAsia="仿宋_GB2312" w:cs="仿宋_GB2312"/>
          <w:b/>
          <w:bCs/>
          <w:color w:val="auto"/>
          <w:sz w:val="32"/>
          <w:szCs w:val="32"/>
        </w:rPr>
        <w:t>合同</w:t>
      </w:r>
      <w:r>
        <w:rPr>
          <w:rFonts w:hint="eastAsia" w:ascii="仿宋_GB2312" w:hAnsi="仿宋_GB2312" w:eastAsia="仿宋_GB2312" w:cs="仿宋_GB2312"/>
          <w:b/>
          <w:bCs/>
          <w:color w:val="auto"/>
          <w:sz w:val="32"/>
          <w:szCs w:val="32"/>
          <w:lang w:val="en-US" w:eastAsia="zh-CN"/>
        </w:rPr>
        <w:t>扫描件</w:t>
      </w:r>
      <w:r>
        <w:rPr>
          <w:rFonts w:hint="eastAsia" w:ascii="仿宋_GB2312" w:hAnsi="仿宋_GB2312" w:eastAsia="仿宋_GB2312" w:cs="仿宋_GB2312"/>
          <w:b/>
          <w:bCs/>
          <w:color w:val="auto"/>
          <w:sz w:val="32"/>
          <w:szCs w:val="32"/>
          <w:highlight w:val="none"/>
        </w:rPr>
        <w:t>附于本表后；投标人填写的内容必须真实可靠，如有虚假或者隐瞒，一经查实投标将被否决</w:t>
      </w:r>
      <w:r>
        <w:rPr>
          <w:rFonts w:hint="eastAsia" w:ascii="仿宋_GB2312" w:hAnsi="仿宋_GB2312" w:eastAsia="仿宋_GB2312" w:cs="仿宋_GB2312"/>
          <w:color w:val="auto"/>
          <w:sz w:val="32"/>
          <w:szCs w:val="32"/>
          <w:highlight w:val="none"/>
          <w:lang w:eastAsia="zh-CN"/>
        </w:rPr>
        <w:t>。</w:t>
      </w:r>
    </w:p>
    <w:p w14:paraId="4D3364EC">
      <w:pPr>
        <w:pStyle w:val="17"/>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FE3D122">
      <w:pPr>
        <w:pStyle w:val="61"/>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center"/>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11、标项1技术部分包括但不限于以下内容：项目实施方案、售后服务方案、培训方案、安装调试方案、验收方案等内容（格式自拟）</w:t>
      </w:r>
    </w:p>
    <w:p w14:paraId="5513E4F8">
      <w:pPr>
        <w:pStyle w:val="61"/>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p>
    <w:p w14:paraId="4C48F857">
      <w:pPr>
        <w:pStyle w:val="61"/>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420" w:leftChars="0" w:firstLine="420" w:firstLineChars="0"/>
        <w:jc w:val="both"/>
        <w:textAlignment w:val="auto"/>
        <w:rPr>
          <w:rFonts w:hint="eastAsia" w:ascii="仿宋_GB2312" w:hAnsi="仿宋_GB2312" w:eastAsia="仿宋_GB2312" w:cs="仿宋_GB2312"/>
          <w:b/>
          <w:bCs w:val="0"/>
          <w:color w:val="auto"/>
          <w:sz w:val="32"/>
          <w:szCs w:val="32"/>
          <w:highlight w:val="none"/>
          <w:lang w:val="en-US" w:eastAsia="zh-CN"/>
        </w:rPr>
      </w:pPr>
    </w:p>
    <w:p w14:paraId="0F73A822">
      <w:pPr>
        <w:pStyle w:val="61"/>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420" w:leftChars="0" w:firstLine="420" w:firstLineChars="0"/>
        <w:jc w:val="both"/>
        <w:textAlignment w:val="auto"/>
        <w:rPr>
          <w:rFonts w:hint="eastAsia" w:ascii="仿宋_GB2312" w:hAnsi="仿宋_GB2312" w:eastAsia="仿宋_GB2312" w:cs="仿宋_GB2312"/>
          <w:b/>
          <w:bCs w:val="0"/>
          <w:color w:val="auto"/>
          <w:sz w:val="32"/>
          <w:szCs w:val="32"/>
          <w:highlight w:val="none"/>
          <w:lang w:val="en-US" w:eastAsia="zh-CN"/>
        </w:rPr>
      </w:pPr>
    </w:p>
    <w:p w14:paraId="7EFDB646">
      <w:pPr>
        <w:pStyle w:val="61"/>
        <w:keepNext w:val="0"/>
        <w:keepLines w:val="0"/>
        <w:pageBreakBefore w:val="0"/>
        <w:widowControl w:val="0"/>
        <w:kinsoku/>
        <w:wordWrap/>
        <w:overflowPunct/>
        <w:topLinePunct w:val="0"/>
        <w:bidi w:val="0"/>
        <w:spacing w:line="360" w:lineRule="auto"/>
        <w:ind w:firstLine="482"/>
        <w:jc w:val="center"/>
        <w:textAlignment w:val="auto"/>
        <w:rPr>
          <w:rFonts w:hint="eastAsia" w:ascii="仿宋_GB2312" w:hAnsi="仿宋_GB2312" w:eastAsia="仿宋_GB2312" w:cs="仿宋_GB2312"/>
          <w:b/>
          <w:bCs w:val="0"/>
          <w:color w:val="auto"/>
          <w:sz w:val="32"/>
          <w:szCs w:val="32"/>
          <w:highlight w:val="none"/>
        </w:rPr>
      </w:pPr>
    </w:p>
    <w:p w14:paraId="4EBDEB21">
      <w:pPr>
        <w:pageBreakBefore w:val="0"/>
        <w:widowControl/>
        <w:kinsoku/>
        <w:wordWrap/>
        <w:topLinePunct w:val="0"/>
        <w:bidi w:val="0"/>
        <w:spacing w:line="360" w:lineRule="auto"/>
        <w:ind w:firstLine="899"/>
        <w:jc w:val="left"/>
        <w:rPr>
          <w:rFonts w:hint="eastAsia" w:ascii="仿宋_GB2312" w:hAnsi="仿宋_GB2312" w:eastAsia="仿宋_GB2312" w:cs="仿宋_GB2312"/>
          <w:color w:val="auto"/>
          <w:kern w:val="0"/>
          <w:sz w:val="32"/>
          <w:szCs w:val="32"/>
          <w:highlight w:val="none"/>
        </w:rPr>
      </w:pPr>
    </w:p>
    <w:p w14:paraId="032DE630">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bookmarkStart w:id="424" w:name="_Toc1779"/>
      <w:bookmarkStart w:id="425" w:name="_Toc45795252"/>
    </w:p>
    <w:p w14:paraId="518236B8">
      <w:pPr>
        <w:pageBreakBefore w:val="0"/>
        <w:kinsoku/>
        <w:wordWrap/>
        <w:topLinePunct w:val="0"/>
        <w:bidi w:val="0"/>
        <w:spacing w:line="360" w:lineRule="auto"/>
        <w:rPr>
          <w:rStyle w:val="62"/>
          <w:rFonts w:hint="eastAsia" w:ascii="仿宋_GB2312" w:hAnsi="仿宋_GB2312" w:eastAsia="仿宋_GB2312" w:cs="仿宋_GB2312"/>
          <w:b/>
          <w:bCs w:val="0"/>
          <w:color w:val="auto"/>
          <w:sz w:val="32"/>
          <w:szCs w:val="32"/>
          <w:highlight w:val="none"/>
          <w:lang w:val="en-US" w:eastAsia="zh-CN"/>
        </w:rPr>
      </w:pPr>
    </w:p>
    <w:p w14:paraId="40686E11">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71A43274">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25B9CC8C">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45CCF8BF">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69939263">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408B9361">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6B45422C">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7AD02872">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320C34FB">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74A4612B">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144CAB52">
      <w:pPr>
        <w:pStyle w:val="18"/>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5623F1A8">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r>
        <w:rPr>
          <w:rStyle w:val="62"/>
          <w:rFonts w:hint="eastAsia" w:ascii="仿宋_GB2312" w:hAnsi="仿宋_GB2312" w:eastAsia="仿宋_GB2312" w:cs="仿宋_GB2312"/>
          <w:b/>
          <w:bCs w:val="0"/>
          <w:color w:val="auto"/>
          <w:sz w:val="32"/>
          <w:szCs w:val="32"/>
          <w:highlight w:val="none"/>
          <w:lang w:val="en-US" w:eastAsia="zh-CN"/>
        </w:rPr>
        <w:t>12、投标人基本情况说明</w:t>
      </w:r>
      <w:bookmarkEnd w:id="424"/>
    </w:p>
    <w:p w14:paraId="0A1276B5">
      <w:pPr>
        <w:pageBreakBefore w:val="0"/>
        <w:kinsoku/>
        <w:wordWrap/>
        <w:topLinePunct w:val="0"/>
        <w:bidi w:val="0"/>
        <w:spacing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公司简介：</w:t>
      </w:r>
    </w:p>
    <w:p w14:paraId="7B2A449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p>
    <w:p w14:paraId="4E14513D">
      <w:pPr>
        <w:pStyle w:val="17"/>
        <w:pageBreakBefore w:val="0"/>
        <w:kinsoku/>
        <w:wordWrap/>
        <w:topLinePunct w:val="0"/>
        <w:bidi w:val="0"/>
        <w:spacing w:line="360" w:lineRule="auto"/>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企业信息一览表</w:t>
      </w:r>
    </w:p>
    <w:tbl>
      <w:tblPr>
        <w:tblStyle w:val="29"/>
        <w:tblW w:w="9807"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1329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vAlign w:val="center"/>
          </w:tcPr>
          <w:p w14:paraId="284F0A49">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投标人名称</w:t>
            </w:r>
          </w:p>
        </w:tc>
        <w:tc>
          <w:tcPr>
            <w:tcW w:w="7611" w:type="dxa"/>
            <w:gridSpan w:val="7"/>
            <w:vAlign w:val="center"/>
          </w:tcPr>
          <w:p w14:paraId="7B2C1A70">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E91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vAlign w:val="center"/>
          </w:tcPr>
          <w:p w14:paraId="5CEB07AF">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注册地址</w:t>
            </w:r>
          </w:p>
        </w:tc>
        <w:tc>
          <w:tcPr>
            <w:tcW w:w="3316" w:type="dxa"/>
            <w:gridSpan w:val="3"/>
            <w:vAlign w:val="center"/>
          </w:tcPr>
          <w:p w14:paraId="2BE23BB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25" w:type="dxa"/>
            <w:gridSpan w:val="2"/>
            <w:vAlign w:val="center"/>
          </w:tcPr>
          <w:p w14:paraId="001AC3D0">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邮政编码</w:t>
            </w:r>
          </w:p>
        </w:tc>
        <w:tc>
          <w:tcPr>
            <w:tcW w:w="2770" w:type="dxa"/>
            <w:gridSpan w:val="2"/>
            <w:vAlign w:val="center"/>
          </w:tcPr>
          <w:p w14:paraId="6CFDF83A">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D5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vAlign w:val="center"/>
          </w:tcPr>
          <w:p w14:paraId="5D14386A">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联系方式</w:t>
            </w:r>
          </w:p>
        </w:tc>
        <w:tc>
          <w:tcPr>
            <w:tcW w:w="1309" w:type="dxa"/>
            <w:vAlign w:val="center"/>
          </w:tcPr>
          <w:p w14:paraId="20323581">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联系人</w:t>
            </w:r>
          </w:p>
        </w:tc>
        <w:tc>
          <w:tcPr>
            <w:tcW w:w="2007" w:type="dxa"/>
            <w:gridSpan w:val="2"/>
            <w:vAlign w:val="center"/>
          </w:tcPr>
          <w:p w14:paraId="624F67C5">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25" w:type="dxa"/>
            <w:gridSpan w:val="2"/>
            <w:vAlign w:val="center"/>
          </w:tcPr>
          <w:p w14:paraId="7BF41312">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联系电话</w:t>
            </w:r>
          </w:p>
        </w:tc>
        <w:tc>
          <w:tcPr>
            <w:tcW w:w="2770" w:type="dxa"/>
            <w:gridSpan w:val="2"/>
            <w:vAlign w:val="center"/>
          </w:tcPr>
          <w:p w14:paraId="61D4CBC0">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07A8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vAlign w:val="center"/>
          </w:tcPr>
          <w:p w14:paraId="5BEB6DC2">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p>
        </w:tc>
        <w:tc>
          <w:tcPr>
            <w:tcW w:w="1309" w:type="dxa"/>
            <w:vAlign w:val="center"/>
          </w:tcPr>
          <w:p w14:paraId="2E7DC504">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传真</w:t>
            </w:r>
          </w:p>
        </w:tc>
        <w:tc>
          <w:tcPr>
            <w:tcW w:w="2007" w:type="dxa"/>
            <w:gridSpan w:val="2"/>
            <w:vAlign w:val="center"/>
          </w:tcPr>
          <w:p w14:paraId="069EA398">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25" w:type="dxa"/>
            <w:gridSpan w:val="2"/>
            <w:vAlign w:val="center"/>
          </w:tcPr>
          <w:p w14:paraId="0927A94D">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邮箱</w:t>
            </w:r>
          </w:p>
        </w:tc>
        <w:tc>
          <w:tcPr>
            <w:tcW w:w="2770" w:type="dxa"/>
            <w:gridSpan w:val="2"/>
            <w:vAlign w:val="center"/>
          </w:tcPr>
          <w:p w14:paraId="441688F1">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5E5F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vAlign w:val="center"/>
          </w:tcPr>
          <w:p w14:paraId="2FF9FD23">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企业性质</w:t>
            </w:r>
          </w:p>
        </w:tc>
        <w:tc>
          <w:tcPr>
            <w:tcW w:w="7611" w:type="dxa"/>
            <w:gridSpan w:val="7"/>
            <w:vAlign w:val="center"/>
          </w:tcPr>
          <w:p w14:paraId="6DB7737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420C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vAlign w:val="center"/>
          </w:tcPr>
          <w:p w14:paraId="0C1BB058">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法定代表人</w:t>
            </w:r>
          </w:p>
        </w:tc>
        <w:tc>
          <w:tcPr>
            <w:tcW w:w="1309" w:type="dxa"/>
            <w:vAlign w:val="center"/>
          </w:tcPr>
          <w:p w14:paraId="5A27AD9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姓名</w:t>
            </w:r>
          </w:p>
        </w:tc>
        <w:tc>
          <w:tcPr>
            <w:tcW w:w="1064" w:type="dxa"/>
            <w:vAlign w:val="center"/>
          </w:tcPr>
          <w:p w14:paraId="36DAEB88">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40" w:type="dxa"/>
            <w:gridSpan w:val="2"/>
            <w:vAlign w:val="center"/>
          </w:tcPr>
          <w:p w14:paraId="2D96D3F6">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技术职称</w:t>
            </w:r>
          </w:p>
        </w:tc>
        <w:tc>
          <w:tcPr>
            <w:tcW w:w="928" w:type="dxa"/>
            <w:vAlign w:val="center"/>
          </w:tcPr>
          <w:p w14:paraId="4182B2C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309" w:type="dxa"/>
            <w:vAlign w:val="center"/>
          </w:tcPr>
          <w:p w14:paraId="4709AF9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电话</w:t>
            </w:r>
          </w:p>
        </w:tc>
        <w:tc>
          <w:tcPr>
            <w:tcW w:w="1461" w:type="dxa"/>
            <w:vAlign w:val="center"/>
          </w:tcPr>
          <w:p w14:paraId="61FDC131">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4803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vAlign w:val="center"/>
          </w:tcPr>
          <w:p w14:paraId="2872F1EF">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技术负责人</w:t>
            </w:r>
          </w:p>
        </w:tc>
        <w:tc>
          <w:tcPr>
            <w:tcW w:w="1309" w:type="dxa"/>
            <w:vAlign w:val="center"/>
          </w:tcPr>
          <w:p w14:paraId="7870BE7E">
            <w:pPr>
              <w:pStyle w:val="17"/>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姓名</w:t>
            </w:r>
          </w:p>
        </w:tc>
        <w:tc>
          <w:tcPr>
            <w:tcW w:w="1064" w:type="dxa"/>
            <w:vAlign w:val="center"/>
          </w:tcPr>
          <w:p w14:paraId="3E65D88D">
            <w:pPr>
              <w:pStyle w:val="17"/>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p>
        </w:tc>
        <w:tc>
          <w:tcPr>
            <w:tcW w:w="1540" w:type="dxa"/>
            <w:gridSpan w:val="2"/>
            <w:vAlign w:val="center"/>
          </w:tcPr>
          <w:p w14:paraId="0AD83A64">
            <w:pPr>
              <w:pStyle w:val="17"/>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技术职称</w:t>
            </w:r>
          </w:p>
        </w:tc>
        <w:tc>
          <w:tcPr>
            <w:tcW w:w="928" w:type="dxa"/>
            <w:vAlign w:val="center"/>
          </w:tcPr>
          <w:p w14:paraId="30BA5D6C">
            <w:pPr>
              <w:pStyle w:val="17"/>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p>
        </w:tc>
        <w:tc>
          <w:tcPr>
            <w:tcW w:w="1309" w:type="dxa"/>
            <w:vAlign w:val="center"/>
          </w:tcPr>
          <w:p w14:paraId="0EB934A2">
            <w:pPr>
              <w:pStyle w:val="17"/>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电话</w:t>
            </w:r>
          </w:p>
        </w:tc>
        <w:tc>
          <w:tcPr>
            <w:tcW w:w="1461" w:type="dxa"/>
            <w:vAlign w:val="center"/>
          </w:tcPr>
          <w:p w14:paraId="15B0D9EF">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333D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vAlign w:val="center"/>
          </w:tcPr>
          <w:p w14:paraId="511AD864">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成立时间</w:t>
            </w:r>
          </w:p>
        </w:tc>
        <w:tc>
          <w:tcPr>
            <w:tcW w:w="2373" w:type="dxa"/>
            <w:gridSpan w:val="2"/>
            <w:vAlign w:val="center"/>
          </w:tcPr>
          <w:p w14:paraId="3C4310F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5238" w:type="dxa"/>
            <w:gridSpan w:val="5"/>
            <w:vAlign w:val="center"/>
          </w:tcPr>
          <w:p w14:paraId="2F17F8D6">
            <w:pPr>
              <w:pStyle w:val="17"/>
              <w:pageBreakBefore w:val="0"/>
              <w:kinsoku/>
              <w:wordWrap/>
              <w:topLinePunct w:val="0"/>
              <w:bidi w:val="0"/>
              <w:spacing w:line="360" w:lineRule="auto"/>
              <w:jc w:val="both"/>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员工总人数：</w:t>
            </w:r>
          </w:p>
        </w:tc>
      </w:tr>
      <w:tr w14:paraId="73DF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Align w:val="center"/>
          </w:tcPr>
          <w:p w14:paraId="2D240263">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营业执照号</w:t>
            </w:r>
          </w:p>
        </w:tc>
        <w:tc>
          <w:tcPr>
            <w:tcW w:w="7611" w:type="dxa"/>
            <w:gridSpan w:val="7"/>
            <w:vAlign w:val="center"/>
          </w:tcPr>
          <w:p w14:paraId="47D5A3B7">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2CE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vAlign w:val="center"/>
          </w:tcPr>
          <w:p w14:paraId="13EBE3A6">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注册时间</w:t>
            </w:r>
          </w:p>
        </w:tc>
        <w:tc>
          <w:tcPr>
            <w:tcW w:w="7611" w:type="dxa"/>
            <w:gridSpan w:val="7"/>
            <w:vAlign w:val="center"/>
          </w:tcPr>
          <w:p w14:paraId="0F431233">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704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vAlign w:val="center"/>
          </w:tcPr>
          <w:p w14:paraId="4A5439DF">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开户银行</w:t>
            </w:r>
          </w:p>
        </w:tc>
        <w:tc>
          <w:tcPr>
            <w:tcW w:w="7611" w:type="dxa"/>
            <w:gridSpan w:val="7"/>
            <w:vAlign w:val="center"/>
          </w:tcPr>
          <w:p w14:paraId="00DA0BF5">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0BA8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vAlign w:val="center"/>
          </w:tcPr>
          <w:p w14:paraId="6C5D70B1">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银行账号</w:t>
            </w:r>
          </w:p>
        </w:tc>
        <w:tc>
          <w:tcPr>
            <w:tcW w:w="7611" w:type="dxa"/>
            <w:gridSpan w:val="7"/>
            <w:vAlign w:val="center"/>
          </w:tcPr>
          <w:p w14:paraId="70C460A0">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243A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vAlign w:val="center"/>
          </w:tcPr>
          <w:p w14:paraId="2EC2FECE">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经营范围备注</w:t>
            </w:r>
          </w:p>
        </w:tc>
        <w:tc>
          <w:tcPr>
            <w:tcW w:w="7611" w:type="dxa"/>
            <w:gridSpan w:val="7"/>
            <w:vAlign w:val="center"/>
          </w:tcPr>
          <w:p w14:paraId="7F364418">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bl>
    <w:p w14:paraId="30C7C420">
      <w:pPr>
        <w:pageBreakBefore w:val="0"/>
        <w:kinsoku/>
        <w:wordWrap/>
        <w:topLinePunct w:val="0"/>
        <w:bidi w:val="0"/>
        <w:spacing w:line="360" w:lineRule="auto"/>
        <w:ind w:right="56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名称（加盖公章）：</w:t>
      </w:r>
    </w:p>
    <w:p w14:paraId="4B7A80B8">
      <w:pPr>
        <w:pageBreakBefore w:val="0"/>
        <w:kinsoku/>
        <w:wordWrap/>
        <w:topLinePunct w:val="0"/>
        <w:bidi w:val="0"/>
        <w:spacing w:line="360" w:lineRule="auto"/>
        <w:ind w:right="56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5CD7C6EF">
      <w:pPr>
        <w:pageBreakBefore w:val="0"/>
        <w:kinsoku/>
        <w:wordWrap/>
        <w:topLinePunct w:val="0"/>
        <w:bidi w:val="0"/>
        <w:spacing w:line="360" w:lineRule="auto"/>
        <w:ind w:right="56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58AA0159">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bookmarkStart w:id="426" w:name="_Toc14849"/>
      <w:r>
        <w:rPr>
          <w:rStyle w:val="62"/>
          <w:rFonts w:hint="eastAsia" w:ascii="仿宋_GB2312" w:hAnsi="仿宋_GB2312" w:eastAsia="仿宋_GB2312" w:cs="仿宋_GB2312"/>
          <w:b/>
          <w:bCs w:val="0"/>
          <w:color w:val="auto"/>
          <w:sz w:val="32"/>
          <w:szCs w:val="32"/>
          <w:highlight w:val="none"/>
          <w:lang w:val="en-US" w:eastAsia="zh-CN"/>
        </w:rPr>
        <w:t>13、项目人员配置情况表</w:t>
      </w:r>
      <w:bookmarkEnd w:id="426"/>
    </w:p>
    <w:p w14:paraId="788D74DD">
      <w:pPr>
        <w:pStyle w:val="68"/>
        <w:pageBreakBefore w:val="0"/>
        <w:kinsoku/>
        <w:wordWrap/>
        <w:topLinePunct w:val="0"/>
        <w:bidi w:val="0"/>
        <w:spacing w:line="360" w:lineRule="auto"/>
        <w:ind w:left="638" w:hanging="928" w:hangingChars="29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项目名称：                                项目编号：                 </w:t>
      </w:r>
    </w:p>
    <w:tbl>
      <w:tblPr>
        <w:tblStyle w:val="28"/>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14:paraId="6BF52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vAlign w:val="center"/>
          </w:tcPr>
          <w:p w14:paraId="0F903C73">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1050" w:type="dxa"/>
            <w:vMerge w:val="restart"/>
            <w:vAlign w:val="center"/>
          </w:tcPr>
          <w:p w14:paraId="34CC753C">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姓名</w:t>
            </w:r>
          </w:p>
        </w:tc>
        <w:tc>
          <w:tcPr>
            <w:tcW w:w="1260" w:type="dxa"/>
            <w:vMerge w:val="restart"/>
            <w:vAlign w:val="center"/>
          </w:tcPr>
          <w:p w14:paraId="008ABB6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职务</w:t>
            </w:r>
          </w:p>
        </w:tc>
        <w:tc>
          <w:tcPr>
            <w:tcW w:w="5040" w:type="dxa"/>
            <w:gridSpan w:val="4"/>
            <w:vAlign w:val="center"/>
          </w:tcPr>
          <w:p w14:paraId="1BDC066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执业或职业资格证明</w:t>
            </w:r>
          </w:p>
        </w:tc>
        <w:tc>
          <w:tcPr>
            <w:tcW w:w="876" w:type="dxa"/>
            <w:vMerge w:val="restart"/>
            <w:vAlign w:val="center"/>
          </w:tcPr>
          <w:p w14:paraId="7C0A2780">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经验年限</w:t>
            </w:r>
          </w:p>
        </w:tc>
      </w:tr>
      <w:tr w14:paraId="705D0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vAlign w:val="center"/>
          </w:tcPr>
          <w:p w14:paraId="42D19055">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c>
          <w:tcPr>
            <w:tcW w:w="1050" w:type="dxa"/>
            <w:vMerge w:val="continue"/>
            <w:vAlign w:val="center"/>
          </w:tcPr>
          <w:p w14:paraId="17EDDF89">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c>
          <w:tcPr>
            <w:tcW w:w="1260" w:type="dxa"/>
            <w:vMerge w:val="continue"/>
            <w:vAlign w:val="center"/>
          </w:tcPr>
          <w:p w14:paraId="4EC24CC0">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c>
          <w:tcPr>
            <w:tcW w:w="1575" w:type="dxa"/>
            <w:vAlign w:val="center"/>
          </w:tcPr>
          <w:p w14:paraId="69ACD97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证书名称</w:t>
            </w:r>
          </w:p>
        </w:tc>
        <w:tc>
          <w:tcPr>
            <w:tcW w:w="1365" w:type="dxa"/>
            <w:vAlign w:val="center"/>
          </w:tcPr>
          <w:p w14:paraId="427D37CE">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证号</w:t>
            </w:r>
          </w:p>
        </w:tc>
        <w:tc>
          <w:tcPr>
            <w:tcW w:w="1050" w:type="dxa"/>
            <w:vAlign w:val="center"/>
          </w:tcPr>
          <w:p w14:paraId="08CBCED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级别</w:t>
            </w:r>
          </w:p>
        </w:tc>
        <w:tc>
          <w:tcPr>
            <w:tcW w:w="1050" w:type="dxa"/>
            <w:vAlign w:val="center"/>
          </w:tcPr>
          <w:p w14:paraId="5414A6E6">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专业</w:t>
            </w:r>
          </w:p>
        </w:tc>
        <w:tc>
          <w:tcPr>
            <w:tcW w:w="876" w:type="dxa"/>
            <w:vMerge w:val="continue"/>
            <w:vAlign w:val="center"/>
          </w:tcPr>
          <w:p w14:paraId="18748032">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r>
      <w:tr w14:paraId="2A19B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6849A4E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3557203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7E37949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358A880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32CE698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4A954B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0A725E7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5EC3DA9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0A92A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6A48F552">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41B87DC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4322F77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2CCCE71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70A95B8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1963D54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7031400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247D0DA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04120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54185D8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702974D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3B31307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58CC779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26E1394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3437791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38F7B88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560530D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4232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6860EBF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3772E25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0DDFB7E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6B31B4C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53E169F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13417A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2637246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1FA258F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03327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5639BB7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1F5BC30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0C77B85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25E61C0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3907761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60C9407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2246EBA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2A9367C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1692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48EFF81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AEB434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3ED4B81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477BF54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5FCED65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0421626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65FFFAC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5B051ED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bl>
    <w:p w14:paraId="52721193">
      <w:pPr>
        <w:pStyle w:val="16"/>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23BA1DD2">
      <w:pPr>
        <w:pStyle w:val="13"/>
        <w:pageBreakBefore w:val="0"/>
        <w:kinsoku/>
        <w:wordWrap/>
        <w:overflowPunct w:val="0"/>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我方承诺上述材料真实有效且具备履行合同所必需的专业技术能力。 </w:t>
      </w:r>
    </w:p>
    <w:p w14:paraId="31B4B03A">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p>
    <w:p w14:paraId="28E81433">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51B9DD95">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7802F024">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日       期：</w:t>
      </w:r>
    </w:p>
    <w:p w14:paraId="5A8575AC">
      <w:pPr>
        <w:pStyle w:val="16"/>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452696E6">
      <w:pPr>
        <w:pStyle w:val="16"/>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7E3D3496">
      <w:pPr>
        <w:pStyle w:val="16"/>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6ED11C56">
      <w:pPr>
        <w:pStyle w:val="16"/>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546FC9D2">
      <w:pPr>
        <w:pageBreakBefore w:val="0"/>
        <w:numPr>
          <w:ilvl w:val="0"/>
          <w:numId w:val="54"/>
        </w:numPr>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主要人员简历表</w:t>
      </w:r>
    </w:p>
    <w:p w14:paraId="7F8E5466">
      <w:pPr>
        <w:pageBreakBefore w:val="0"/>
        <w:numPr>
          <w:ilvl w:val="0"/>
          <w:numId w:val="0"/>
        </w:numPr>
        <w:kinsoku/>
        <w:wordWrap/>
        <w:topLinePunct w:val="0"/>
        <w:bidi w:val="0"/>
        <w:spacing w:line="360" w:lineRule="auto"/>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项目名称：                                项目编号：</w:t>
      </w:r>
    </w:p>
    <w:tbl>
      <w:tblPr>
        <w:tblStyle w:val="28"/>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0B8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vAlign w:val="center"/>
          </w:tcPr>
          <w:p w14:paraId="323FA36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vAlign w:val="center"/>
          </w:tcPr>
          <w:p w14:paraId="674734D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29" w:type="dxa"/>
            <w:tcBorders>
              <w:top w:val="single" w:color="auto" w:sz="12" w:space="0"/>
              <w:left w:val="single" w:color="auto" w:sz="6" w:space="0"/>
              <w:bottom w:val="single" w:color="auto" w:sz="6" w:space="0"/>
              <w:right w:val="single" w:color="auto" w:sz="6" w:space="0"/>
            </w:tcBorders>
            <w:vAlign w:val="center"/>
          </w:tcPr>
          <w:p w14:paraId="6268A5F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vAlign w:val="center"/>
          </w:tcPr>
          <w:p w14:paraId="1B322D5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156" w:type="dxa"/>
            <w:gridSpan w:val="2"/>
            <w:tcBorders>
              <w:top w:val="single" w:color="auto" w:sz="12" w:space="0"/>
              <w:left w:val="single" w:color="auto" w:sz="6" w:space="0"/>
              <w:bottom w:val="single" w:color="auto" w:sz="6" w:space="0"/>
              <w:right w:val="single" w:color="auto" w:sz="6" w:space="0"/>
            </w:tcBorders>
            <w:vAlign w:val="center"/>
          </w:tcPr>
          <w:p w14:paraId="6835041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年龄</w:t>
            </w:r>
          </w:p>
        </w:tc>
        <w:tc>
          <w:tcPr>
            <w:tcW w:w="1158" w:type="dxa"/>
            <w:tcBorders>
              <w:top w:val="single" w:color="auto" w:sz="12" w:space="0"/>
              <w:left w:val="single" w:color="auto" w:sz="6" w:space="0"/>
              <w:bottom w:val="single" w:color="auto" w:sz="6" w:space="0"/>
              <w:right w:val="single" w:color="auto" w:sz="12" w:space="0"/>
            </w:tcBorders>
            <w:vAlign w:val="center"/>
          </w:tcPr>
          <w:p w14:paraId="5F3E4A3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6B9B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vAlign w:val="center"/>
          </w:tcPr>
          <w:p w14:paraId="2D8C911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vAlign w:val="center"/>
          </w:tcPr>
          <w:p w14:paraId="6548739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4E11C3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vAlign w:val="center"/>
          </w:tcPr>
          <w:p w14:paraId="65ACC5F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156" w:type="dxa"/>
            <w:gridSpan w:val="2"/>
            <w:tcBorders>
              <w:top w:val="single" w:color="auto" w:sz="6" w:space="0"/>
              <w:left w:val="single" w:color="auto" w:sz="6" w:space="0"/>
              <w:bottom w:val="single" w:color="auto" w:sz="6" w:space="0"/>
              <w:right w:val="single" w:color="auto" w:sz="6" w:space="0"/>
            </w:tcBorders>
            <w:vAlign w:val="center"/>
          </w:tcPr>
          <w:p w14:paraId="1F59E85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学历</w:t>
            </w:r>
          </w:p>
        </w:tc>
        <w:tc>
          <w:tcPr>
            <w:tcW w:w="1158" w:type="dxa"/>
            <w:tcBorders>
              <w:top w:val="single" w:color="auto" w:sz="6" w:space="0"/>
              <w:left w:val="single" w:color="auto" w:sz="6" w:space="0"/>
              <w:bottom w:val="single" w:color="auto" w:sz="6" w:space="0"/>
              <w:right w:val="single" w:color="auto" w:sz="12" w:space="0"/>
            </w:tcBorders>
            <w:vAlign w:val="center"/>
          </w:tcPr>
          <w:p w14:paraId="52FB84D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5501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vAlign w:val="center"/>
          </w:tcPr>
          <w:p w14:paraId="49AF0B0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vAlign w:val="center"/>
          </w:tcPr>
          <w:p w14:paraId="631D24A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634" w:type="dxa"/>
            <w:gridSpan w:val="4"/>
            <w:tcBorders>
              <w:top w:val="single" w:color="auto" w:sz="6" w:space="0"/>
              <w:left w:val="single" w:color="auto" w:sz="6" w:space="0"/>
              <w:bottom w:val="single" w:color="auto" w:sz="6" w:space="0"/>
              <w:right w:val="single" w:color="auto" w:sz="6" w:space="0"/>
            </w:tcBorders>
            <w:vAlign w:val="center"/>
          </w:tcPr>
          <w:p w14:paraId="5CC477C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vAlign w:val="center"/>
          </w:tcPr>
          <w:p w14:paraId="4726AF1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D32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vAlign w:val="center"/>
          </w:tcPr>
          <w:p w14:paraId="1644322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vAlign w:val="center"/>
          </w:tcPr>
          <w:p w14:paraId="169B381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2C99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vAlign w:val="center"/>
          </w:tcPr>
          <w:p w14:paraId="707D90D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目前在任及以往服务项目情况</w:t>
            </w:r>
          </w:p>
        </w:tc>
      </w:tr>
      <w:tr w14:paraId="4E79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7CBFA65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64FC20A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2E516F0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36D28F1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63B60EF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起止时间</w:t>
            </w:r>
          </w:p>
        </w:tc>
      </w:tr>
      <w:tr w14:paraId="5688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25D94B8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576A7FA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693C051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581B9CA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22093A3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7271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6D8DEB1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2AAF048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38290E4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043C249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20BF446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5F0E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vAlign w:val="center"/>
          </w:tcPr>
          <w:p w14:paraId="79CD89E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00" w:type="dxa"/>
            <w:gridSpan w:val="2"/>
            <w:tcBorders>
              <w:top w:val="single" w:color="auto" w:sz="6" w:space="0"/>
              <w:left w:val="single" w:color="auto" w:sz="6" w:space="0"/>
              <w:bottom w:val="single" w:color="auto" w:sz="12" w:space="0"/>
              <w:right w:val="single" w:color="auto" w:sz="6" w:space="0"/>
            </w:tcBorders>
            <w:vAlign w:val="center"/>
          </w:tcPr>
          <w:p w14:paraId="3BBA7B9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9" w:type="dxa"/>
            <w:gridSpan w:val="3"/>
            <w:tcBorders>
              <w:top w:val="single" w:color="auto" w:sz="6" w:space="0"/>
              <w:left w:val="single" w:color="auto" w:sz="6" w:space="0"/>
              <w:bottom w:val="single" w:color="auto" w:sz="12" w:space="0"/>
              <w:right w:val="single" w:color="auto" w:sz="6" w:space="0"/>
            </w:tcBorders>
            <w:vAlign w:val="center"/>
          </w:tcPr>
          <w:p w14:paraId="0ECC54F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59" w:type="dxa"/>
            <w:gridSpan w:val="2"/>
            <w:tcBorders>
              <w:top w:val="single" w:color="auto" w:sz="6" w:space="0"/>
              <w:left w:val="single" w:color="auto" w:sz="6" w:space="0"/>
              <w:bottom w:val="single" w:color="auto" w:sz="12" w:space="0"/>
              <w:right w:val="single" w:color="auto" w:sz="6" w:space="0"/>
            </w:tcBorders>
            <w:vAlign w:val="center"/>
          </w:tcPr>
          <w:p w14:paraId="4DF1B49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18" w:type="dxa"/>
            <w:gridSpan w:val="2"/>
            <w:tcBorders>
              <w:top w:val="single" w:color="auto" w:sz="6" w:space="0"/>
              <w:left w:val="single" w:color="auto" w:sz="6" w:space="0"/>
              <w:bottom w:val="single" w:color="auto" w:sz="12" w:space="0"/>
              <w:right w:val="single" w:color="auto" w:sz="12" w:space="0"/>
            </w:tcBorders>
            <w:vAlign w:val="center"/>
          </w:tcPr>
          <w:p w14:paraId="09435AF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bl>
    <w:p w14:paraId="71A56552">
      <w:pPr>
        <w:pStyle w:val="68"/>
        <w:pageBreakBefore w:val="0"/>
        <w:kinsoku/>
        <w:wordWrap/>
        <w:topLinePunct w:val="0"/>
        <w:bidi w:val="0"/>
        <w:spacing w:line="360" w:lineRule="auto"/>
        <w:ind w:left="638" w:hanging="928" w:hangingChars="29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75E0C2B9">
      <w:pPr>
        <w:pStyle w:val="13"/>
        <w:pageBreakBefore w:val="0"/>
        <w:kinsoku/>
        <w:wordWrap/>
        <w:overflowPunct w:val="0"/>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我方承诺上述材料真实有效且具备履行合同所必需的专业技术能力。 </w:t>
      </w:r>
    </w:p>
    <w:p w14:paraId="740F70C6">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p>
    <w:p w14:paraId="397F1D3C">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60D2C681">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61E152E0">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日       期：</w:t>
      </w:r>
    </w:p>
    <w:p w14:paraId="463E7D0E">
      <w:pPr>
        <w:pageBreakBefore w:val="0"/>
        <w:kinsoku/>
        <w:wordWrap/>
        <w:topLinePunct w:val="0"/>
        <w:bidi w:val="0"/>
        <w:spacing w:before="75" w:line="360" w:lineRule="auto"/>
        <w:jc w:val="center"/>
        <w:outlineLvl w:val="1"/>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bookmarkStart w:id="427" w:name="_Toc17664"/>
    </w:p>
    <w:p w14:paraId="078A8E4B">
      <w:pPr>
        <w:pStyle w:val="27"/>
        <w:spacing w:line="360" w:lineRule="auto"/>
        <w:ind w:left="0" w:leftChars="0" w:firstLine="0" w:firstLineChars="0"/>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p>
    <w:p w14:paraId="78CADD48">
      <w:pPr>
        <w:keepNext w:val="0"/>
        <w:keepLines w:val="0"/>
        <w:pageBreakBefore w:val="0"/>
        <w:widowControl w:val="0"/>
        <w:kinsoku/>
        <w:wordWrap/>
        <w:overflowPunct/>
        <w:topLinePunct w:val="0"/>
        <w:autoSpaceDE/>
        <w:autoSpaceDN/>
        <w:bidi w:val="0"/>
        <w:adjustRightInd/>
        <w:snapToGrid/>
        <w:spacing w:before="75" w:line="360" w:lineRule="auto"/>
        <w:jc w:val="center"/>
        <w:textAlignment w:val="auto"/>
        <w:outlineLvl w:val="1"/>
        <w:rPr>
          <w:rFonts w:hint="eastAsia" w:ascii="仿宋_GB2312" w:hAnsi="仿宋_GB2312" w:eastAsia="仿宋_GB2312" w:cs="仿宋_GB2312"/>
          <w:snapToGrid w:val="0"/>
          <w:color w:val="000000"/>
          <w:spacing w:val="4"/>
          <w:kern w:val="0"/>
          <w:sz w:val="32"/>
          <w:szCs w:val="32"/>
          <w:lang w:val="en-US" w:eastAsia="zh-CN"/>
          <w14:textOutline w14:w="4358" w14:cap="sq" w14:cmpd="sng">
            <w14:solidFill>
              <w14:srgbClr w14:val="000000"/>
            </w14:solidFill>
            <w14:prstDash w14:val="solid"/>
            <w14:bevel/>
          </w14:textOutline>
        </w:rPr>
      </w:pPr>
      <w:r>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t>14</w:t>
      </w:r>
      <w:r>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t>、</w:t>
      </w:r>
      <w:r>
        <w:rPr>
          <w:rFonts w:hint="eastAsia" w:ascii="仿宋_GB2312" w:hAnsi="仿宋_GB2312" w:eastAsia="仿宋_GB2312" w:cs="仿宋_GB2312"/>
          <w:snapToGrid w:val="0"/>
          <w:color w:val="000000"/>
          <w:spacing w:val="4"/>
          <w:kern w:val="0"/>
          <w:sz w:val="32"/>
          <w:szCs w:val="32"/>
          <w:lang w:val="en-US" w:eastAsia="zh-CN"/>
          <w14:textOutline w14:w="4358" w14:cap="sq" w14:cmpd="sng">
            <w14:solidFill>
              <w14:srgbClr w14:val="000000"/>
            </w14:solidFill>
            <w14:prstDash w14:val="solid"/>
            <w14:bevel/>
          </w14:textOutline>
        </w:rPr>
        <w:t>投标企业关联企业情况说明</w:t>
      </w:r>
    </w:p>
    <w:p w14:paraId="326B14B8">
      <w:pPr>
        <w:keepNext w:val="0"/>
        <w:keepLines w:val="0"/>
        <w:pageBreakBefore w:val="0"/>
        <w:widowControl w:val="0"/>
        <w:kinsoku/>
        <w:wordWrap/>
        <w:overflowPunct/>
        <w:topLinePunct w:val="0"/>
        <w:autoSpaceDE/>
        <w:autoSpaceDN/>
        <w:bidi w:val="0"/>
        <w:adjustRightInd/>
        <w:snapToGrid/>
        <w:spacing w:before="164"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我公司郑重声明如下：</w:t>
      </w:r>
    </w:p>
    <w:p w14:paraId="47BCACE6">
      <w:pPr>
        <w:keepNext w:val="0"/>
        <w:keepLines w:val="0"/>
        <w:pageBreakBefore w:val="0"/>
        <w:widowControl w:val="0"/>
        <w:kinsoku/>
        <w:wordWrap/>
        <w:overflowPunct/>
        <w:topLinePunct w:val="0"/>
        <w:autoSpaceDE/>
        <w:autoSpaceDN/>
        <w:bidi w:val="0"/>
        <w:adjustRightInd/>
        <w:snapToGrid/>
        <w:spacing w:before="179"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1、投标人名称（按营业执照的全称填写</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z w:val="32"/>
          <w:szCs w:val="32"/>
          <w:u w:val="single" w:color="auto"/>
        </w:rPr>
        <w:tab/>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single" w:color="auto"/>
        </w:rPr>
        <w:t>。</w:t>
      </w:r>
    </w:p>
    <w:p w14:paraId="3029AD11">
      <w:pPr>
        <w:keepNext w:val="0"/>
        <w:keepLines w:val="0"/>
        <w:pageBreakBefore w:val="0"/>
        <w:widowControl w:val="0"/>
        <w:kinsoku/>
        <w:wordWrap/>
        <w:overflowPunct/>
        <w:topLinePunct w:val="0"/>
        <w:autoSpaceDE/>
        <w:autoSpaceDN/>
        <w:bidi w:val="0"/>
        <w:adjustRightInd/>
        <w:snapToGrid/>
        <w:spacing w:before="173"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2、本公司的直接上级控股/管理单位和直接下级控股/管理单位情况：</w:t>
      </w:r>
    </w:p>
    <w:tbl>
      <w:tblPr>
        <w:tblStyle w:val="82"/>
        <w:tblW w:w="104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1846A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vAlign w:val="center"/>
          </w:tcPr>
          <w:p w14:paraId="09BE896E">
            <w:pPr>
              <w:keepNext w:val="0"/>
              <w:keepLines w:val="0"/>
              <w:pageBreakBefore w:val="0"/>
              <w:widowControl w:val="0"/>
              <w:kinsoku/>
              <w:wordWrap/>
              <w:overflowPunct/>
              <w:topLinePunct w:val="0"/>
              <w:autoSpaceDE/>
              <w:autoSpaceDN/>
              <w:bidi w:val="0"/>
              <w:adjustRightInd/>
              <w:snapToGrid/>
              <w:spacing w:before="169" w:line="360" w:lineRule="auto"/>
              <w:ind w:right="19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直接上级控股/管理单</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2"/>
                <w:sz w:val="32"/>
                <w:szCs w:val="32"/>
              </w:rPr>
              <w:t>位名称</w:t>
            </w:r>
          </w:p>
        </w:tc>
        <w:tc>
          <w:tcPr>
            <w:tcW w:w="2236" w:type="dxa"/>
            <w:vAlign w:val="center"/>
          </w:tcPr>
          <w:p w14:paraId="7DB6B086">
            <w:pPr>
              <w:keepNext w:val="0"/>
              <w:keepLines w:val="0"/>
              <w:pageBreakBefore w:val="0"/>
              <w:widowControl w:val="0"/>
              <w:kinsoku/>
              <w:wordWrap/>
              <w:overflowPunct/>
              <w:topLinePunct w:val="0"/>
              <w:autoSpaceDE/>
              <w:autoSpaceDN/>
              <w:bidi w:val="0"/>
              <w:adjustRightInd/>
              <w:snapToGrid/>
              <w:spacing w:before="194" w:line="360" w:lineRule="auto"/>
              <w:ind w:right="10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对本单位的控股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2"/>
                <w:sz w:val="32"/>
                <w:szCs w:val="32"/>
              </w:rPr>
              <w:t>（出资）比例(%)</w:t>
            </w:r>
          </w:p>
        </w:tc>
        <w:tc>
          <w:tcPr>
            <w:tcW w:w="1590" w:type="dxa"/>
            <w:vAlign w:val="center"/>
          </w:tcPr>
          <w:p w14:paraId="23A640BD">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05" w:type="dxa"/>
            <w:vAlign w:val="center"/>
          </w:tcPr>
          <w:p w14:paraId="51950854">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72" w:type="dxa"/>
            <w:vAlign w:val="center"/>
          </w:tcPr>
          <w:p w14:paraId="0D907C8C">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5128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vAlign w:val="top"/>
          </w:tcPr>
          <w:p w14:paraId="242783DE">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2236" w:type="dxa"/>
            <w:vAlign w:val="top"/>
          </w:tcPr>
          <w:p w14:paraId="653F128D">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29A19CE7">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2D5EFDB6">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6F106378">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4C77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vAlign w:val="top"/>
          </w:tcPr>
          <w:p w14:paraId="634BBE86">
            <w:pPr>
              <w:keepNext w:val="0"/>
              <w:keepLines w:val="0"/>
              <w:pageBreakBefore w:val="0"/>
              <w:widowControl w:val="0"/>
              <w:kinsoku/>
              <w:wordWrap/>
              <w:overflowPunct/>
              <w:topLinePunct w:val="0"/>
              <w:autoSpaceDE/>
              <w:autoSpaceDN/>
              <w:bidi w:val="0"/>
              <w:adjustRightInd/>
              <w:snapToGrid/>
              <w:spacing w:before="151" w:line="360" w:lineRule="auto"/>
              <w:ind w:left="1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236" w:type="dxa"/>
            <w:vAlign w:val="top"/>
          </w:tcPr>
          <w:p w14:paraId="2B33398C">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64693C87">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286C72D7">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70E9515A">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0CAB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vAlign w:val="top"/>
          </w:tcPr>
          <w:p w14:paraId="7F961EE6">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1FDE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vAlign w:val="top"/>
          </w:tcPr>
          <w:p w14:paraId="0AA4354E">
            <w:pPr>
              <w:keepNext w:val="0"/>
              <w:keepLines w:val="0"/>
              <w:pageBreakBefore w:val="0"/>
              <w:widowControl w:val="0"/>
              <w:kinsoku/>
              <w:wordWrap/>
              <w:overflowPunct/>
              <w:topLinePunct w:val="0"/>
              <w:autoSpaceDE/>
              <w:autoSpaceDN/>
              <w:bidi w:val="0"/>
              <w:adjustRightInd/>
              <w:snapToGrid/>
              <w:spacing w:before="169" w:line="360" w:lineRule="auto"/>
              <w:ind w:left="998" w:right="198" w:hanging="779"/>
              <w:jc w:val="center"/>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直接下级控股/</w:t>
            </w:r>
          </w:p>
          <w:p w14:paraId="39ED64E6">
            <w:pPr>
              <w:keepNext w:val="0"/>
              <w:keepLines w:val="0"/>
              <w:pageBreakBefore w:val="0"/>
              <w:widowControl w:val="0"/>
              <w:kinsoku/>
              <w:wordWrap/>
              <w:overflowPunct/>
              <w:topLinePunct w:val="0"/>
              <w:autoSpaceDE/>
              <w:autoSpaceDN/>
              <w:bidi w:val="0"/>
              <w:adjustRightInd/>
              <w:snapToGrid/>
              <w:spacing w:before="169" w:line="360" w:lineRule="auto"/>
              <w:ind w:left="998" w:right="198" w:hanging="779"/>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管理单</w:t>
            </w:r>
            <w:r>
              <w:rPr>
                <w:rFonts w:hint="eastAsia" w:ascii="仿宋_GB2312" w:hAnsi="仿宋_GB2312" w:eastAsia="仿宋_GB2312" w:cs="仿宋_GB2312"/>
                <w:color w:val="auto"/>
                <w:spacing w:val="-2"/>
                <w:sz w:val="32"/>
                <w:szCs w:val="32"/>
              </w:rPr>
              <w:t>位名称</w:t>
            </w:r>
          </w:p>
        </w:tc>
        <w:tc>
          <w:tcPr>
            <w:tcW w:w="2236" w:type="dxa"/>
            <w:vAlign w:val="top"/>
          </w:tcPr>
          <w:p w14:paraId="0D7CD051">
            <w:pPr>
              <w:keepNext w:val="0"/>
              <w:keepLines w:val="0"/>
              <w:pageBreakBefore w:val="0"/>
              <w:widowControl w:val="0"/>
              <w:kinsoku/>
              <w:wordWrap/>
              <w:overflowPunct/>
              <w:topLinePunct w:val="0"/>
              <w:autoSpaceDE/>
              <w:autoSpaceDN/>
              <w:bidi w:val="0"/>
              <w:adjustRightInd/>
              <w:snapToGrid/>
              <w:spacing w:before="193" w:line="360" w:lineRule="auto"/>
              <w:ind w:left="328" w:right="149" w:hanging="157"/>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本单位控股（出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3"/>
                <w:sz w:val="32"/>
                <w:szCs w:val="32"/>
              </w:rPr>
              <w:t>资）比例(%)</w:t>
            </w:r>
          </w:p>
        </w:tc>
        <w:tc>
          <w:tcPr>
            <w:tcW w:w="1590" w:type="dxa"/>
            <w:vAlign w:val="top"/>
          </w:tcPr>
          <w:p w14:paraId="274F9BDD">
            <w:pPr>
              <w:pStyle w:val="8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p>
          <w:p w14:paraId="20B0A78D">
            <w:pPr>
              <w:keepNext w:val="0"/>
              <w:keepLines w:val="0"/>
              <w:pageBreakBefore w:val="0"/>
              <w:widowControl w:val="0"/>
              <w:kinsoku/>
              <w:wordWrap/>
              <w:overflowPunct/>
              <w:topLinePunct w:val="0"/>
              <w:autoSpaceDE/>
              <w:autoSpaceDN/>
              <w:bidi w:val="0"/>
              <w:adjustRightInd/>
              <w:snapToGrid/>
              <w:spacing w:before="78" w:line="360" w:lineRule="auto"/>
              <w:ind w:left="13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05" w:type="dxa"/>
            <w:vAlign w:val="top"/>
          </w:tcPr>
          <w:p w14:paraId="76591D3A">
            <w:pPr>
              <w:pStyle w:val="8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p>
          <w:p w14:paraId="37935458">
            <w:pPr>
              <w:keepNext w:val="0"/>
              <w:keepLines w:val="0"/>
              <w:pageBreakBefore w:val="0"/>
              <w:widowControl w:val="0"/>
              <w:kinsoku/>
              <w:wordWrap/>
              <w:overflowPunct/>
              <w:topLinePunct w:val="0"/>
              <w:autoSpaceDE/>
              <w:autoSpaceDN/>
              <w:bidi w:val="0"/>
              <w:adjustRightInd/>
              <w:snapToGrid/>
              <w:spacing w:before="78" w:line="360" w:lineRule="auto"/>
              <w:ind w:left="176"/>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72" w:type="dxa"/>
            <w:vAlign w:val="top"/>
          </w:tcPr>
          <w:p w14:paraId="2DF45AE8">
            <w:pPr>
              <w:pStyle w:val="8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p>
          <w:p w14:paraId="0000E9A6">
            <w:pPr>
              <w:keepNext w:val="0"/>
              <w:keepLines w:val="0"/>
              <w:pageBreakBefore w:val="0"/>
              <w:widowControl w:val="0"/>
              <w:kinsoku/>
              <w:wordWrap/>
              <w:overflowPunct/>
              <w:topLinePunct w:val="0"/>
              <w:autoSpaceDE/>
              <w:autoSpaceDN/>
              <w:bidi w:val="0"/>
              <w:adjustRightInd/>
              <w:snapToGrid/>
              <w:spacing w:before="78" w:line="360" w:lineRule="auto"/>
              <w:ind w:left="616"/>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44819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vAlign w:val="top"/>
          </w:tcPr>
          <w:p w14:paraId="381B7E3A">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2236" w:type="dxa"/>
            <w:vAlign w:val="top"/>
          </w:tcPr>
          <w:p w14:paraId="7C31A7E1">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25092AC3">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21FD8215">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3F6C7BA0">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6844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vAlign w:val="top"/>
          </w:tcPr>
          <w:p w14:paraId="0287F603">
            <w:pPr>
              <w:keepNext w:val="0"/>
              <w:keepLines w:val="0"/>
              <w:pageBreakBefore w:val="0"/>
              <w:widowControl w:val="0"/>
              <w:kinsoku/>
              <w:wordWrap/>
              <w:overflowPunct/>
              <w:topLinePunct w:val="0"/>
              <w:autoSpaceDE/>
              <w:autoSpaceDN/>
              <w:bidi w:val="0"/>
              <w:adjustRightInd/>
              <w:snapToGrid/>
              <w:spacing w:before="145" w:line="360" w:lineRule="auto"/>
              <w:ind w:left="1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236" w:type="dxa"/>
            <w:vAlign w:val="top"/>
          </w:tcPr>
          <w:p w14:paraId="07BC3BE2">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16620100">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651E4E2F">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27DA3DA3">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bl>
    <w:p w14:paraId="361EB80B">
      <w:pPr>
        <w:keepNext w:val="0"/>
        <w:keepLines w:val="0"/>
        <w:pageBreakBefore w:val="0"/>
        <w:widowControl w:val="0"/>
        <w:kinsoku/>
        <w:wordWrap/>
        <w:overflowPunct/>
        <w:topLinePunct w:val="0"/>
        <w:autoSpaceDE/>
        <w:autoSpaceDN/>
        <w:bidi w:val="0"/>
        <w:adjustRightInd/>
        <w:snapToGrid/>
        <w:spacing w:before="154"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3、属于同一直接上级控股/管理单位的其他兄弟单位</w:t>
      </w:r>
      <w:r>
        <w:rPr>
          <w:rFonts w:hint="eastAsia" w:ascii="仿宋_GB2312" w:hAnsi="仿宋_GB2312" w:eastAsia="仿宋_GB2312" w:cs="仿宋_GB2312"/>
          <w:color w:val="auto"/>
          <w:spacing w:val="-3"/>
          <w:sz w:val="32"/>
          <w:szCs w:val="32"/>
        </w:rPr>
        <w:t>情况</w:t>
      </w:r>
    </w:p>
    <w:tbl>
      <w:tblPr>
        <w:tblStyle w:val="82"/>
        <w:tblW w:w="103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274F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vAlign w:val="top"/>
          </w:tcPr>
          <w:p w14:paraId="525D11E0">
            <w:pPr>
              <w:keepNext w:val="0"/>
              <w:keepLines w:val="0"/>
              <w:pageBreakBefore w:val="0"/>
              <w:widowControl w:val="0"/>
              <w:kinsoku/>
              <w:wordWrap/>
              <w:overflowPunct/>
              <w:topLinePunct w:val="0"/>
              <w:autoSpaceDE/>
              <w:autoSpaceDN/>
              <w:bidi w:val="0"/>
              <w:adjustRightInd/>
              <w:snapToGrid/>
              <w:spacing w:before="169" w:line="360" w:lineRule="auto"/>
              <w:ind w:left="998" w:right="198" w:hanging="77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直接上级控股/管理单位名称</w:t>
            </w:r>
          </w:p>
        </w:tc>
        <w:tc>
          <w:tcPr>
            <w:tcW w:w="2340" w:type="dxa"/>
            <w:vAlign w:val="top"/>
          </w:tcPr>
          <w:p w14:paraId="65CF104F">
            <w:pPr>
              <w:keepNext w:val="0"/>
              <w:keepLines w:val="0"/>
              <w:pageBreakBefore w:val="0"/>
              <w:widowControl w:val="0"/>
              <w:kinsoku/>
              <w:wordWrap/>
              <w:overflowPunct/>
              <w:topLinePunct w:val="0"/>
              <w:autoSpaceDE/>
              <w:autoSpaceDN/>
              <w:bidi w:val="0"/>
              <w:adjustRightInd/>
              <w:snapToGrid/>
              <w:spacing w:before="193" w:line="360" w:lineRule="auto"/>
              <w:ind w:left="328" w:right="149" w:hanging="15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对本单位控股（出 资）比例(%)</w:t>
            </w:r>
          </w:p>
        </w:tc>
        <w:tc>
          <w:tcPr>
            <w:tcW w:w="1455" w:type="dxa"/>
            <w:vAlign w:val="center"/>
          </w:tcPr>
          <w:p w14:paraId="1BB214B2">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20" w:type="dxa"/>
            <w:vAlign w:val="center"/>
          </w:tcPr>
          <w:p w14:paraId="0F6E5E61">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29" w:type="dxa"/>
            <w:vAlign w:val="center"/>
          </w:tcPr>
          <w:p w14:paraId="40A2F7D7">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16E0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vAlign w:val="top"/>
          </w:tcPr>
          <w:p w14:paraId="1C84DB2A">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2340" w:type="dxa"/>
            <w:vAlign w:val="top"/>
          </w:tcPr>
          <w:p w14:paraId="098B5EE8">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455" w:type="dxa"/>
            <w:vAlign w:val="top"/>
          </w:tcPr>
          <w:p w14:paraId="26A1FA0F">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0" w:type="dxa"/>
            <w:vAlign w:val="top"/>
          </w:tcPr>
          <w:p w14:paraId="2F278614">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9" w:type="dxa"/>
            <w:vAlign w:val="top"/>
          </w:tcPr>
          <w:p w14:paraId="2C54060B">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5B62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vAlign w:val="top"/>
          </w:tcPr>
          <w:p w14:paraId="50B6B15D">
            <w:pPr>
              <w:keepNext w:val="0"/>
              <w:keepLines w:val="0"/>
              <w:pageBreakBefore w:val="0"/>
              <w:widowControl w:val="0"/>
              <w:kinsoku/>
              <w:wordWrap/>
              <w:overflowPunct/>
              <w:topLinePunct w:val="0"/>
              <w:autoSpaceDE/>
              <w:autoSpaceDN/>
              <w:bidi w:val="0"/>
              <w:adjustRightInd/>
              <w:snapToGrid/>
              <w:spacing w:before="150" w:line="360" w:lineRule="auto"/>
              <w:ind w:left="1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40" w:type="dxa"/>
            <w:vAlign w:val="top"/>
          </w:tcPr>
          <w:p w14:paraId="5F2DA658">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455" w:type="dxa"/>
            <w:vAlign w:val="top"/>
          </w:tcPr>
          <w:p w14:paraId="2F50FFE4">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0" w:type="dxa"/>
            <w:vAlign w:val="top"/>
          </w:tcPr>
          <w:p w14:paraId="3D9D849B">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9" w:type="dxa"/>
            <w:vAlign w:val="top"/>
          </w:tcPr>
          <w:p w14:paraId="7D2EA365">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24357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vAlign w:val="top"/>
          </w:tcPr>
          <w:p w14:paraId="39E27956">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5183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vAlign w:val="top"/>
          </w:tcPr>
          <w:p w14:paraId="7230727C">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0CB57FB4">
            <w:pPr>
              <w:keepNext w:val="0"/>
              <w:keepLines w:val="0"/>
              <w:pageBreakBefore w:val="0"/>
              <w:widowControl w:val="0"/>
              <w:kinsoku/>
              <w:wordWrap/>
              <w:overflowPunct/>
              <w:topLinePunct w:val="0"/>
              <w:autoSpaceDE/>
              <w:autoSpaceDN/>
              <w:bidi w:val="0"/>
              <w:adjustRightInd/>
              <w:snapToGrid/>
              <w:spacing w:before="78" w:line="360" w:lineRule="auto"/>
              <w:ind w:left="113"/>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vAlign w:val="top"/>
          </w:tcPr>
          <w:p w14:paraId="0E63DAC3">
            <w:pPr>
              <w:keepNext w:val="0"/>
              <w:keepLines w:val="0"/>
              <w:pageBreakBefore w:val="0"/>
              <w:widowControl w:val="0"/>
              <w:kinsoku/>
              <w:wordWrap/>
              <w:overflowPunct/>
              <w:topLinePunct w:val="0"/>
              <w:autoSpaceDE/>
              <w:autoSpaceDN/>
              <w:bidi w:val="0"/>
              <w:adjustRightInd/>
              <w:snapToGrid/>
              <w:spacing w:before="168" w:line="360" w:lineRule="auto"/>
              <w:ind w:left="118" w:right="115" w:hanging="9"/>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vAlign w:val="center"/>
          </w:tcPr>
          <w:p w14:paraId="1B30FE49">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vAlign w:val="center"/>
          </w:tcPr>
          <w:p w14:paraId="382F10AB">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vAlign w:val="center"/>
          </w:tcPr>
          <w:p w14:paraId="4D7760F0">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586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vAlign w:val="top"/>
          </w:tcPr>
          <w:p w14:paraId="13202D1F">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2340" w:type="dxa"/>
            <w:vAlign w:val="top"/>
          </w:tcPr>
          <w:p w14:paraId="4087B2C1">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455" w:type="dxa"/>
            <w:vAlign w:val="top"/>
          </w:tcPr>
          <w:p w14:paraId="287FAAAF">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0" w:type="dxa"/>
            <w:vAlign w:val="top"/>
          </w:tcPr>
          <w:p w14:paraId="7847A7EE">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9" w:type="dxa"/>
            <w:vAlign w:val="top"/>
          </w:tcPr>
          <w:p w14:paraId="6E83A014">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r>
      <w:tr w14:paraId="3921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vAlign w:val="top"/>
          </w:tcPr>
          <w:p w14:paraId="347CDE10">
            <w:pPr>
              <w:keepNext w:val="0"/>
              <w:keepLines w:val="0"/>
              <w:pageBreakBefore w:val="0"/>
              <w:widowControl w:val="0"/>
              <w:kinsoku/>
              <w:wordWrap/>
              <w:overflowPunct/>
              <w:topLinePunct w:val="0"/>
              <w:autoSpaceDE/>
              <w:autoSpaceDN/>
              <w:bidi w:val="0"/>
              <w:adjustRightInd/>
              <w:snapToGrid/>
              <w:spacing w:before="160" w:line="360" w:lineRule="auto"/>
              <w:ind w:left="12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vAlign w:val="top"/>
          </w:tcPr>
          <w:p w14:paraId="219B445F">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455" w:type="dxa"/>
            <w:vAlign w:val="top"/>
          </w:tcPr>
          <w:p w14:paraId="76F03DEB">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0" w:type="dxa"/>
            <w:vAlign w:val="top"/>
          </w:tcPr>
          <w:p w14:paraId="6F753F6E">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9" w:type="dxa"/>
            <w:vAlign w:val="top"/>
          </w:tcPr>
          <w:p w14:paraId="7A146F71">
            <w:pPr>
              <w:pStyle w:val="8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r>
    </w:tbl>
    <w:p w14:paraId="0C833D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46E71F63">
      <w:pPr>
        <w:pStyle w:val="6"/>
        <w:rPr>
          <w:rFonts w:hint="eastAsia" w:ascii="仿宋_GB2312" w:hAnsi="仿宋_GB2312" w:eastAsia="仿宋_GB2312" w:cs="仿宋_GB2312"/>
          <w:b/>
          <w:bCs/>
          <w:sz w:val="32"/>
          <w:szCs w:val="32"/>
        </w:rPr>
      </w:pPr>
    </w:p>
    <w:p w14:paraId="5139F348">
      <w:pPr>
        <w:rPr>
          <w:rFonts w:hint="eastAsia" w:ascii="仿宋_GB2312" w:hAnsi="仿宋_GB2312" w:eastAsia="仿宋_GB2312" w:cs="仿宋_GB2312"/>
          <w:b/>
          <w:bCs/>
          <w:sz w:val="32"/>
          <w:szCs w:val="32"/>
        </w:rPr>
      </w:pPr>
    </w:p>
    <w:p w14:paraId="3BEA562B">
      <w:pPr>
        <w:pStyle w:val="6"/>
        <w:rPr>
          <w:rFonts w:hint="eastAsia"/>
        </w:rPr>
      </w:pPr>
    </w:p>
    <w:p w14:paraId="21940E53">
      <w:pPr>
        <w:keepNext w:val="0"/>
        <w:keepLines w:val="0"/>
        <w:pageBreakBefore w:val="0"/>
        <w:widowControl w:val="0"/>
        <w:kinsoku/>
        <w:wordWrap/>
        <w:overflowPunct/>
        <w:topLinePunct w:val="0"/>
        <w:autoSpaceDE/>
        <w:autoSpaceDN/>
        <w:bidi w:val="0"/>
        <w:adjustRightInd/>
        <w:snapToGrid/>
        <w:spacing w:line="360" w:lineRule="auto"/>
        <w:ind w:right="56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名称（加盖公章）：</w:t>
      </w:r>
    </w:p>
    <w:p w14:paraId="460DF27A">
      <w:pPr>
        <w:keepNext w:val="0"/>
        <w:keepLines w:val="0"/>
        <w:pageBreakBefore w:val="0"/>
        <w:widowControl w:val="0"/>
        <w:kinsoku/>
        <w:wordWrap/>
        <w:overflowPunct/>
        <w:topLinePunct w:val="0"/>
        <w:autoSpaceDE/>
        <w:autoSpaceDN/>
        <w:bidi w:val="0"/>
        <w:adjustRightInd/>
        <w:snapToGrid/>
        <w:spacing w:line="360" w:lineRule="auto"/>
        <w:ind w:right="56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567CA06A">
      <w:pPr>
        <w:keepNext w:val="0"/>
        <w:keepLines w:val="0"/>
        <w:pageBreakBefore w:val="0"/>
        <w:widowControl w:val="0"/>
        <w:kinsoku/>
        <w:wordWrap/>
        <w:overflowPunct/>
        <w:topLinePunct w:val="0"/>
        <w:autoSpaceDE/>
        <w:autoSpaceDN/>
        <w:bidi w:val="0"/>
        <w:adjustRightInd/>
        <w:snapToGrid/>
        <w:spacing w:line="360" w:lineRule="auto"/>
        <w:ind w:right="561"/>
        <w:textAlignment w:val="auto"/>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r>
        <w:rPr>
          <w:rFonts w:hint="eastAsia" w:ascii="仿宋_GB2312" w:hAnsi="仿宋_GB2312" w:eastAsia="仿宋_GB2312" w:cs="仿宋_GB2312"/>
          <w:color w:val="auto"/>
          <w:sz w:val="32"/>
          <w:szCs w:val="32"/>
          <w:highlight w:val="none"/>
        </w:rPr>
        <w:t>日      期：</w:t>
      </w:r>
    </w:p>
    <w:p w14:paraId="7B9A2DB8">
      <w:pPr>
        <w:pageBreakBefore w:val="0"/>
        <w:kinsoku/>
        <w:wordWrap/>
        <w:topLinePunct w:val="0"/>
        <w:bidi w:val="0"/>
        <w:spacing w:before="75" w:line="360" w:lineRule="auto"/>
        <w:jc w:val="center"/>
        <w:outlineLvl w:val="1"/>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p>
    <w:p w14:paraId="7EE3E80D">
      <w:pPr>
        <w:pageBreakBefore w:val="0"/>
        <w:kinsoku/>
        <w:wordWrap/>
        <w:topLinePunct w:val="0"/>
        <w:bidi w:val="0"/>
        <w:spacing w:before="75" w:line="360" w:lineRule="auto"/>
        <w:jc w:val="center"/>
        <w:outlineLvl w:val="1"/>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p>
    <w:p w14:paraId="05FAEE23">
      <w:pPr>
        <w:pageBreakBefore w:val="0"/>
        <w:numPr>
          <w:ilvl w:val="0"/>
          <w:numId w:val="55"/>
        </w:numPr>
        <w:kinsoku/>
        <w:wordWrap/>
        <w:topLinePunct w:val="0"/>
        <w:bidi w:val="0"/>
        <w:spacing w:before="75" w:line="360" w:lineRule="auto"/>
        <w:jc w:val="center"/>
        <w:outlineLvl w:val="1"/>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pPr>
      <w:r>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t>不参与围标串标承诺书</w:t>
      </w:r>
    </w:p>
    <w:p w14:paraId="709458B9">
      <w:pPr>
        <w:pStyle w:val="2"/>
        <w:numPr>
          <w:ilvl w:val="0"/>
          <w:numId w:val="0"/>
        </w:numPr>
        <w:rPr>
          <w:rFonts w:hint="eastAsia"/>
        </w:rPr>
      </w:pPr>
    </w:p>
    <w:p w14:paraId="14211ED0">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本人作为经授权的供应商代表,清楚知晓我单位参与本项目公开招投标活动,对以下事项作出承诺：</w:t>
      </w:r>
    </w:p>
    <w:p w14:paraId="2951C1F0">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一、我单位和我本人遵循公开透明、公平竞争、公正和诚实信用的原则,依法依规参与本项目竞标。</w:t>
      </w:r>
    </w:p>
    <w:p w14:paraId="5AC9F1DF">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二、我单位和我本人在本项目公开招投标活动中,未参与围标串标。</w:t>
      </w:r>
    </w:p>
    <w:p w14:paraId="0382C43B">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三、我单位如被查实在本项目政府采购公开招投标活动中存在围标串标的，递交响应文件行为作为实施串通投标违法行为的关键环节,由我单位及法定代表人承担相应的法律责任，接受相应行政处罚和失信惩戒。</w:t>
      </w:r>
    </w:p>
    <w:p w14:paraId="135E3FF7">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lang w:val="en-US" w:eastAsia="zh-CN"/>
        </w:rPr>
      </w:pPr>
    </w:p>
    <w:p w14:paraId="54F839AF">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rPr>
      </w:pPr>
    </w:p>
    <w:p w14:paraId="0BE696BE">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w:t>
      </w:r>
    </w:p>
    <w:p w14:paraId="27EF1184">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签字或印章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4E93FDF">
      <w:pPr>
        <w:pageBreakBefore w:val="0"/>
        <w:kinsoku/>
        <w:wordWrap/>
        <w:topLinePunct w:val="0"/>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4BC32D9C">
      <w:pPr>
        <w:pStyle w:val="27"/>
        <w:spacing w:line="360" w:lineRule="auto"/>
        <w:ind w:left="0" w:leftChars="0" w:firstLine="0" w:firstLineChars="0"/>
        <w:jc w:val="both"/>
        <w:rPr>
          <w:rFonts w:hint="eastAsia" w:ascii="仿宋_GB2312" w:hAnsi="仿宋_GB2312" w:eastAsia="仿宋_GB2312" w:cs="仿宋_GB2312"/>
          <w:sz w:val="32"/>
          <w:szCs w:val="32"/>
          <w:lang w:val="en-US" w:eastAsia="zh-CN"/>
        </w:rPr>
      </w:pPr>
    </w:p>
    <w:p w14:paraId="2628290D">
      <w:pPr>
        <w:rPr>
          <w:rFonts w:hint="eastAsia" w:ascii="仿宋_GB2312" w:hAnsi="仿宋_GB2312" w:eastAsia="仿宋_GB2312" w:cs="仿宋_GB2312"/>
          <w:sz w:val="32"/>
          <w:szCs w:val="32"/>
          <w:lang w:val="en-US" w:eastAsia="zh-CN"/>
        </w:rPr>
      </w:pPr>
    </w:p>
    <w:p w14:paraId="2710CCEC">
      <w:pPr>
        <w:pStyle w:val="2"/>
        <w:rPr>
          <w:rFonts w:hint="eastAsia" w:ascii="仿宋_GB2312" w:hAnsi="仿宋_GB2312" w:eastAsia="仿宋_GB2312" w:cs="仿宋_GB2312"/>
          <w:sz w:val="32"/>
          <w:szCs w:val="32"/>
          <w:lang w:val="en-US" w:eastAsia="zh-CN"/>
        </w:rPr>
      </w:pPr>
    </w:p>
    <w:p w14:paraId="312854AA">
      <w:pPr>
        <w:pStyle w:val="2"/>
        <w:rPr>
          <w:rFonts w:hint="eastAsia" w:ascii="仿宋_GB2312" w:hAnsi="仿宋_GB2312" w:eastAsia="仿宋_GB2312" w:cs="仿宋_GB2312"/>
          <w:sz w:val="32"/>
          <w:szCs w:val="32"/>
          <w:lang w:val="en-US" w:eastAsia="zh-CN"/>
        </w:rPr>
      </w:pPr>
    </w:p>
    <w:p w14:paraId="69FF9520">
      <w:pPr>
        <w:pStyle w:val="2"/>
        <w:rPr>
          <w:rFonts w:hint="eastAsia" w:ascii="仿宋_GB2312" w:hAnsi="仿宋_GB2312" w:eastAsia="仿宋_GB2312" w:cs="仿宋_GB2312"/>
          <w:sz w:val="32"/>
          <w:szCs w:val="32"/>
          <w:lang w:val="en-US" w:eastAsia="zh-CN"/>
        </w:rPr>
      </w:pPr>
    </w:p>
    <w:p w14:paraId="7F2D82E7">
      <w:pPr>
        <w:pStyle w:val="5"/>
        <w:pageBreakBefore w:val="0"/>
        <w:kinsoku/>
        <w:wordWrap/>
        <w:topLinePunct w:val="0"/>
        <w:bidi w:val="0"/>
        <w:spacing w:line="360" w:lineRule="auto"/>
        <w:jc w:val="center"/>
        <w:rPr>
          <w:rStyle w:val="62"/>
          <w:rFonts w:hint="eastAsia" w:ascii="仿宋_GB2312" w:hAnsi="仿宋_GB2312" w:eastAsia="仿宋_GB2312" w:cs="仿宋_GB2312"/>
          <w:b/>
          <w:bCs w:val="0"/>
          <w:color w:val="auto"/>
          <w:sz w:val="32"/>
          <w:szCs w:val="32"/>
          <w:highlight w:val="none"/>
          <w:lang w:val="en-US" w:eastAsia="zh-CN"/>
        </w:rPr>
      </w:pPr>
      <w:r>
        <w:rPr>
          <w:rStyle w:val="62"/>
          <w:rFonts w:hint="eastAsia" w:ascii="仿宋_GB2312" w:hAnsi="仿宋_GB2312" w:eastAsia="仿宋_GB2312" w:cs="仿宋_GB2312"/>
          <w:b/>
          <w:bCs w:val="0"/>
          <w:color w:val="auto"/>
          <w:sz w:val="32"/>
          <w:szCs w:val="32"/>
          <w:highlight w:val="none"/>
          <w:lang w:val="en-US" w:eastAsia="zh-CN"/>
        </w:rPr>
        <w:t>16、投标人认为需要提供的其他材料说明</w:t>
      </w:r>
      <w:bookmarkEnd w:id="427"/>
    </w:p>
    <w:p w14:paraId="17B22B9E">
      <w:pPr>
        <w:pStyle w:val="17"/>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9C5CD0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附件1、</w:t>
      </w:r>
      <w:r>
        <w:rPr>
          <w:rFonts w:hint="eastAsia" w:ascii="仿宋_GB2312" w:hAnsi="仿宋_GB2312" w:eastAsia="仿宋_GB2312" w:cs="仿宋_GB2312"/>
          <w:b/>
          <w:color w:val="auto"/>
          <w:sz w:val="32"/>
          <w:szCs w:val="32"/>
          <w:highlight w:val="none"/>
        </w:rPr>
        <w:t xml:space="preserve">在经营活动中没有重大违法记录的书面声明 </w:t>
      </w:r>
    </w:p>
    <w:p w14:paraId="2FF765BF">
      <w:pPr>
        <w:pStyle w:val="68"/>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63526DA8">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新疆金斌工程项目管理有限公司</w:t>
      </w:r>
      <w:r>
        <w:rPr>
          <w:rFonts w:hint="eastAsia" w:ascii="仿宋_GB2312" w:hAnsi="仿宋_GB2312" w:eastAsia="仿宋_GB2312" w:cs="仿宋_GB2312"/>
          <w:b/>
          <w:color w:val="auto"/>
          <w:sz w:val="32"/>
          <w:szCs w:val="32"/>
          <w:highlight w:val="none"/>
        </w:rPr>
        <w:t>:</w:t>
      </w:r>
    </w:p>
    <w:p w14:paraId="468163F3">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项目（项目编号：　      　　　）的政府采购活动，并声明：</w:t>
      </w:r>
    </w:p>
    <w:p w14:paraId="79C448BD">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我方参加本采购项目政府采购前3年内在经营活动中没有因违法经营受到刑事处罚或者责令停产停业、吊销许可证或者执照、较大数额罚款等行政处罚。</w:t>
      </w:r>
    </w:p>
    <w:p w14:paraId="55053340">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061603F7">
      <w:pPr>
        <w:pStyle w:val="68"/>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58608AC5">
      <w:pPr>
        <w:pStyle w:val="68"/>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5714424A">
      <w:pPr>
        <w:pStyle w:val="68"/>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712E9F64">
      <w:pPr>
        <w:pStyle w:val="68"/>
        <w:pageBreakBefore w:val="0"/>
        <w:kinsoku/>
        <w:wordWrap/>
        <w:topLinePunct w:val="0"/>
        <w:bidi w:val="0"/>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48D689BF">
      <w:pPr>
        <w:pStyle w:val="68"/>
        <w:pageBreakBefore w:val="0"/>
        <w:kinsoku/>
        <w:wordWrap/>
        <w:topLinePunct w:val="0"/>
        <w:bidi w:val="0"/>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10D40248">
      <w:pPr>
        <w:pStyle w:val="68"/>
        <w:pageBreakBefore w:val="0"/>
        <w:kinsoku/>
        <w:wordWrap/>
        <w:topLinePunct w:val="0"/>
        <w:bidi w:val="0"/>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014CD3B2">
      <w:pPr>
        <w:pStyle w:val="17"/>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32"/>
          <w:szCs w:val="32"/>
          <w:highlight w:val="none"/>
          <w:lang w:val="en-US" w:eastAsia="zh-CN"/>
        </w:rPr>
        <w:t>附件2、</w:t>
      </w:r>
      <w:r>
        <w:rPr>
          <w:rFonts w:hint="eastAsia" w:ascii="仿宋_GB2312" w:hAnsi="仿宋_GB2312" w:eastAsia="仿宋_GB2312" w:cs="仿宋_GB2312"/>
          <w:b/>
          <w:color w:val="auto"/>
          <w:sz w:val="32"/>
          <w:szCs w:val="32"/>
          <w:highlight w:val="none"/>
        </w:rPr>
        <w:t>中小企业声明函</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货物</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（如有）</w:t>
      </w:r>
    </w:p>
    <w:p w14:paraId="0BE3E3F9">
      <w:pPr>
        <w:pageBreakBefore w:val="0"/>
        <w:kinsoku/>
        <w:wordWrap/>
        <w:topLinePunct w:val="0"/>
        <w:bidi w:val="0"/>
        <w:snapToGrid w:val="0"/>
        <w:spacing w:before="0" w:beforeAutospacing="0" w:after="0" w:afterAutospacing="0" w:line="360" w:lineRule="auto"/>
        <w:jc w:val="center"/>
        <w:textAlignment w:val="baseline"/>
        <w:rPr>
          <w:rFonts w:hint="eastAsia"/>
          <w:sz w:val="32"/>
          <w:szCs w:val="32"/>
        </w:rPr>
      </w:pPr>
      <w:r>
        <w:rPr>
          <w:rStyle w:val="72"/>
          <w:rFonts w:hint="eastAsia" w:ascii="仿宋_GB2312" w:hAnsi="仿宋_GB2312" w:eastAsia="仿宋_GB2312" w:cs="仿宋_GB2312"/>
          <w:b w:val="0"/>
          <w:i w:val="0"/>
          <w:caps w:val="0"/>
          <w:color w:val="auto"/>
          <w:spacing w:val="0"/>
          <w:w w:val="100"/>
          <w:kern w:val="2"/>
          <w:sz w:val="32"/>
          <w:szCs w:val="32"/>
          <w:highlight w:val="none"/>
          <w:lang w:val="en-US" w:eastAsia="zh-CN" w:bidi="ar-SA"/>
        </w:rPr>
        <w:t>（若有请如实填写，如不是无需附此函）</w:t>
      </w:r>
    </w:p>
    <w:p w14:paraId="0C183006">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本公司郑重声明，根据《政府采购促进中小企业发展管理办法》（财库〔2020〕46 号）的规定，本公司（联合体）参加 </w:t>
      </w:r>
      <w:r>
        <w:rPr>
          <w:rFonts w:hint="eastAsia" w:ascii="仿宋" w:hAnsi="仿宋" w:eastAsia="仿宋" w:cs="仿宋"/>
          <w:color w:val="auto"/>
          <w:sz w:val="32"/>
          <w:szCs w:val="32"/>
          <w:highlight w:val="none"/>
          <w:u w:val="single"/>
        </w:rPr>
        <w:t xml:space="preserve">（单位名称） </w:t>
      </w:r>
      <w:r>
        <w:rPr>
          <w:rFonts w:hint="eastAsia" w:ascii="仿宋" w:hAnsi="仿宋" w:eastAsia="仿宋" w:cs="仿宋"/>
          <w:color w:val="auto"/>
          <w:sz w:val="32"/>
          <w:szCs w:val="32"/>
          <w:highlight w:val="none"/>
        </w:rPr>
        <w:t xml:space="preserve">的 </w:t>
      </w:r>
      <w:r>
        <w:rPr>
          <w:rFonts w:hint="eastAsia" w:ascii="仿宋" w:hAnsi="仿宋" w:eastAsia="仿宋" w:cs="仿宋"/>
          <w:color w:val="auto"/>
          <w:sz w:val="32"/>
          <w:szCs w:val="32"/>
          <w:highlight w:val="none"/>
          <w:u w:val="single"/>
        </w:rPr>
        <w:t xml:space="preserve">（项目名称） </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565749CA">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w:t>
      </w:r>
      <w:bookmarkStart w:id="428" w:name="_Toc387147344"/>
      <w:bookmarkStart w:id="429" w:name="_Toc387658050"/>
      <w:bookmarkStart w:id="430" w:name="_Toc413748654"/>
      <w:bookmarkStart w:id="431" w:name="_Toc419811733"/>
      <w:bookmarkStart w:id="432" w:name="_Toc417911732"/>
      <w:r>
        <w:rPr>
          <w:rFonts w:hint="eastAsia" w:ascii="仿宋" w:hAnsi="仿宋" w:eastAsia="仿宋" w:cs="仿宋"/>
          <w:color w:val="auto"/>
          <w:sz w:val="32"/>
          <w:szCs w:val="32"/>
          <w:highlight w:val="none"/>
        </w:rPr>
        <w:t xml:space="preserve">1. </w:t>
      </w:r>
      <w:r>
        <w:rPr>
          <w:rFonts w:hint="eastAsia" w:ascii="仿宋" w:hAnsi="仿宋" w:eastAsia="仿宋" w:cs="仿宋"/>
          <w:color w:val="auto"/>
          <w:sz w:val="32"/>
          <w:szCs w:val="32"/>
          <w:highlight w:val="none"/>
          <w:u w:val="single"/>
        </w:rPr>
        <w:t xml:space="preserve">（标的名称） </w:t>
      </w:r>
      <w:r>
        <w:rPr>
          <w:rFonts w:hint="eastAsia" w:ascii="仿宋" w:hAnsi="仿宋" w:eastAsia="仿宋" w:cs="仿宋"/>
          <w:color w:val="auto"/>
          <w:sz w:val="32"/>
          <w:szCs w:val="32"/>
          <w:highlight w:val="none"/>
        </w:rPr>
        <w:t>，属于</w:t>
      </w:r>
      <w:r>
        <w:rPr>
          <w:rFonts w:hint="eastAsia" w:ascii="仿宋" w:hAnsi="仿宋" w:eastAsia="仿宋" w:cs="仿宋"/>
          <w:color w:val="auto"/>
          <w:sz w:val="32"/>
          <w:szCs w:val="32"/>
          <w:highlight w:val="none"/>
          <w:u w:val="single"/>
        </w:rPr>
        <w:t xml:space="preserve"> （采购文件中明确的所属行业） </w:t>
      </w:r>
      <w:r>
        <w:rPr>
          <w:rFonts w:hint="eastAsia" w:ascii="仿宋" w:hAnsi="仿宋" w:eastAsia="仿宋" w:cs="仿宋"/>
          <w:color w:val="auto"/>
          <w:sz w:val="32"/>
          <w:szCs w:val="32"/>
          <w:highlight w:val="none"/>
        </w:rPr>
        <w:t>；制造商为</w:t>
      </w:r>
      <w:r>
        <w:rPr>
          <w:rFonts w:hint="eastAsia" w:ascii="仿宋" w:hAnsi="仿宋" w:eastAsia="仿宋" w:cs="仿宋"/>
          <w:color w:val="auto"/>
          <w:sz w:val="32"/>
          <w:szCs w:val="32"/>
          <w:highlight w:val="none"/>
          <w:u w:val="single"/>
        </w:rPr>
        <w:t xml:space="preserve"> （企业名称） </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color w:val="auto"/>
          <w:sz w:val="32"/>
          <w:szCs w:val="32"/>
          <w:highlight w:val="none"/>
          <w:u w:val="single"/>
        </w:rPr>
        <w:t xml:space="preserve"> （中型企业、小型企业、微型企业） </w:t>
      </w:r>
      <w:r>
        <w:rPr>
          <w:rFonts w:hint="eastAsia" w:ascii="仿宋" w:hAnsi="仿宋" w:eastAsia="仿宋" w:cs="仿宋"/>
          <w:color w:val="auto"/>
          <w:sz w:val="32"/>
          <w:szCs w:val="32"/>
          <w:highlight w:val="none"/>
        </w:rPr>
        <w:t>；</w:t>
      </w:r>
    </w:p>
    <w:p w14:paraId="0837E7B8">
      <w:pPr>
        <w:spacing w:line="360" w:lineRule="auto"/>
        <w:ind w:firstLine="800" w:firstLineChars="25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u w:val="single"/>
        </w:rPr>
        <w:t xml:space="preserve"> （标的名称） </w:t>
      </w:r>
      <w:r>
        <w:rPr>
          <w:rFonts w:hint="eastAsia" w:ascii="仿宋" w:hAnsi="仿宋" w:eastAsia="仿宋" w:cs="仿宋"/>
          <w:color w:val="auto"/>
          <w:sz w:val="32"/>
          <w:szCs w:val="32"/>
          <w:highlight w:val="none"/>
        </w:rPr>
        <w:t>，属于</w:t>
      </w:r>
      <w:r>
        <w:rPr>
          <w:rFonts w:hint="eastAsia" w:ascii="仿宋" w:hAnsi="仿宋" w:eastAsia="仿宋" w:cs="仿宋"/>
          <w:color w:val="auto"/>
          <w:sz w:val="32"/>
          <w:szCs w:val="32"/>
          <w:highlight w:val="none"/>
          <w:u w:val="single"/>
        </w:rPr>
        <w:t xml:space="preserve"> （采购文件中明确的所属行业） </w:t>
      </w:r>
      <w:r>
        <w:rPr>
          <w:rFonts w:hint="eastAsia" w:ascii="仿宋" w:hAnsi="仿宋" w:eastAsia="仿宋" w:cs="仿宋"/>
          <w:color w:val="auto"/>
          <w:sz w:val="32"/>
          <w:szCs w:val="32"/>
          <w:highlight w:val="none"/>
        </w:rPr>
        <w:t>；制造商为</w:t>
      </w:r>
      <w:r>
        <w:rPr>
          <w:rFonts w:hint="eastAsia" w:ascii="仿宋" w:hAnsi="仿宋" w:eastAsia="仿宋" w:cs="仿宋"/>
          <w:color w:val="auto"/>
          <w:sz w:val="32"/>
          <w:szCs w:val="32"/>
          <w:highlight w:val="none"/>
          <w:u w:val="single"/>
        </w:rPr>
        <w:t xml:space="preserve"> （企业名称） </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color w:val="auto"/>
          <w:sz w:val="32"/>
          <w:szCs w:val="32"/>
          <w:highlight w:val="none"/>
          <w:u w:val="single"/>
        </w:rPr>
        <w:t xml:space="preserve"> （中型企业、小型企业、微型企业） </w:t>
      </w:r>
      <w:r>
        <w:rPr>
          <w:rFonts w:hint="eastAsia" w:ascii="仿宋" w:hAnsi="仿宋" w:eastAsia="仿宋" w:cs="仿宋"/>
          <w:color w:val="auto"/>
          <w:sz w:val="32"/>
          <w:szCs w:val="32"/>
          <w:highlight w:val="none"/>
        </w:rPr>
        <w:t>；</w:t>
      </w:r>
    </w:p>
    <w:p w14:paraId="61F13A6E">
      <w:pPr>
        <w:spacing w:line="360" w:lineRule="auto"/>
        <w:ind w:firstLine="800" w:firstLineChars="25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0E3B4394">
      <w:pPr>
        <w:spacing w:line="360" w:lineRule="auto"/>
        <w:ind w:firstLine="800" w:firstLineChars="25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2E8B60E2">
      <w:pPr>
        <w:spacing w:line="360" w:lineRule="auto"/>
        <w:ind w:firstLine="800" w:firstLineChars="25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本企业对上述声明内容的真实性负责。如有虚假，将依法承担相应责任。                                </w:t>
      </w:r>
      <w:r>
        <w:rPr>
          <w:rFonts w:hint="eastAsia" w:ascii="仿宋" w:hAnsi="仿宋" w:eastAsia="仿宋" w:cs="仿宋"/>
          <w:color w:val="auto"/>
          <w:sz w:val="32"/>
          <w:szCs w:val="32"/>
          <w:highlight w:val="none"/>
          <w:lang w:val="en-US" w:eastAsia="zh-CN"/>
        </w:rPr>
        <w:t xml:space="preserve">  </w:t>
      </w:r>
    </w:p>
    <w:p w14:paraId="0709FD43">
      <w:pPr>
        <w:spacing w:line="360" w:lineRule="auto"/>
        <w:jc w:val="center"/>
        <w:rPr>
          <w:rFonts w:hint="eastAsia" w:ascii="仿宋" w:hAnsi="仿宋" w:eastAsia="仿宋" w:cs="仿宋"/>
          <w:color w:val="auto"/>
          <w:sz w:val="32"/>
          <w:szCs w:val="32"/>
          <w:highlight w:val="none"/>
          <w:lang w:val="en-US" w:eastAsia="zh-CN"/>
        </w:rPr>
      </w:pPr>
    </w:p>
    <w:p w14:paraId="21D620E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企业名称（盖章）：                       </w:t>
      </w:r>
    </w:p>
    <w:p w14:paraId="17375A1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日 期：</w:t>
      </w:r>
    </w:p>
    <w:bookmarkEnd w:id="428"/>
    <w:bookmarkEnd w:id="429"/>
    <w:bookmarkEnd w:id="430"/>
    <w:bookmarkEnd w:id="431"/>
    <w:bookmarkEnd w:id="432"/>
    <w:p w14:paraId="40E58E0A">
      <w:pPr>
        <w:pageBreakBefore w:val="0"/>
        <w:kinsoku/>
        <w:wordWrap/>
        <w:topLinePunct w:val="0"/>
        <w:bidi w:val="0"/>
        <w:spacing w:before="75" w:line="360" w:lineRule="auto"/>
        <w:ind w:left="26" w:right="74" w:firstLine="7"/>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pacing w:val="13"/>
          <w:sz w:val="32"/>
          <w:szCs w:val="32"/>
          <w14:textOutline w14:w="4358" w14:cap="sq" w14:cmpd="sng">
            <w14:solidFill>
              <w14:srgbClr w14:val="000000"/>
            </w14:solidFill>
            <w14:prstDash w14:val="solid"/>
            <w14:bevel/>
          </w14:textOutline>
        </w:rPr>
        <w:t>注</w:t>
      </w:r>
      <w:r>
        <w:rPr>
          <w:rFonts w:hint="eastAsia" w:ascii="仿宋_GB2312" w:hAnsi="仿宋_GB2312" w:eastAsia="仿宋_GB2312" w:cs="仿宋_GB2312"/>
          <w:spacing w:val="10"/>
          <w:sz w:val="32"/>
          <w:szCs w:val="32"/>
          <w14:textOutline w14:w="4358" w14:cap="sq" w14:cmpd="sng">
            <w14:solidFill>
              <w14:srgbClr w14:val="000000"/>
            </w14:solidFill>
            <w14:prstDash w14:val="solid"/>
            <w14:bevel/>
          </w14:textOutline>
        </w:rPr>
        <w:t>：1、从业人员、营业收入、资产总额填报上一年度数据，无上一年度数据的新</w:t>
      </w:r>
      <w:r>
        <w:rPr>
          <w:rFonts w:hint="eastAsia" w:ascii="仿宋_GB2312" w:hAnsi="仿宋_GB2312" w:eastAsia="仿宋_GB2312" w:cs="仿宋_GB2312"/>
          <w:spacing w:val="8"/>
          <w:sz w:val="32"/>
          <w:szCs w:val="32"/>
          <w14:textOutline w14:w="4358" w14:cap="sq" w14:cmpd="sng">
            <w14:solidFill>
              <w14:srgbClr w14:val="000000"/>
            </w14:solidFill>
            <w14:prstDash w14:val="solid"/>
            <w14:bevel/>
          </w14:textOutline>
        </w:rPr>
        <w:t>成立企业可不填报。</w:t>
      </w:r>
    </w:p>
    <w:p w14:paraId="57849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附件2.1</w:t>
      </w:r>
    </w:p>
    <w:p w14:paraId="510A48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1"/>
          <w:rFonts w:hint="eastAsia" w:ascii="仿宋_GB2312" w:hAnsi="仿宋_GB2312" w:eastAsia="仿宋_GB2312" w:cs="仿宋_GB2312"/>
          <w:color w:val="auto"/>
          <w:kern w:val="0"/>
          <w:sz w:val="32"/>
          <w:szCs w:val="32"/>
          <w:highlight w:val="none"/>
          <w:lang w:val="en-US" w:eastAsia="zh-CN" w:bidi="ar"/>
        </w:rPr>
      </w:pPr>
    </w:p>
    <w:p w14:paraId="2C305FE8">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Style w:val="31"/>
          <w:rFonts w:hint="eastAsia" w:ascii="仿宋_GB2312" w:hAnsi="仿宋_GB2312" w:eastAsia="仿宋_GB2312" w:cs="仿宋_GB2312"/>
          <w:color w:val="auto"/>
          <w:kern w:val="0"/>
          <w:sz w:val="32"/>
          <w:szCs w:val="32"/>
          <w:highlight w:val="none"/>
          <w:lang w:val="en-US" w:eastAsia="zh-CN" w:bidi="ar"/>
        </w:rPr>
      </w:pPr>
      <w:r>
        <w:rPr>
          <w:rStyle w:val="31"/>
          <w:rFonts w:hint="eastAsia" w:ascii="仿宋_GB2312" w:hAnsi="仿宋_GB2312" w:eastAsia="仿宋_GB2312" w:cs="仿宋_GB2312"/>
          <w:color w:val="auto"/>
          <w:kern w:val="0"/>
          <w:sz w:val="32"/>
          <w:szCs w:val="32"/>
          <w:highlight w:val="none"/>
          <w:lang w:val="en-US" w:eastAsia="zh-CN" w:bidi="ar"/>
        </w:rPr>
        <w:t>（一）关于“中小企业声明函”的填写要求</w:t>
      </w:r>
    </w:p>
    <w:p w14:paraId="6EC752D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“中小企业声明函”具体填写要求如下：</w:t>
      </w:r>
    </w:p>
    <w:p w14:paraId="1666420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1.“单位名称”应填写采购人名称。</w:t>
      </w:r>
    </w:p>
    <w:p w14:paraId="692C728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4E6257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24546B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D54B1F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0E320F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549968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5.“企业名称”应填写投标（响应）的货物制造商/服务承接商/工程承建商（根据项目属性确定）。</w:t>
      </w:r>
    </w:p>
    <w:p w14:paraId="5195DF9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对于分包方式面向中小企业采购的项目，“企业名称”应填写分包部分采购标的对应的货物制造商/服务承接商/工程承建商（根据项目属性确定）。</w:t>
      </w:r>
    </w:p>
    <w:p w14:paraId="2AB579D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747EACA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6.从业人员、资产总额指标以上年度末数据为依据，营业收入指标以上年度累计数据为依据。无上年度数据的新成立企业可不填报。</w:t>
      </w:r>
    </w:p>
    <w:p w14:paraId="206B8D3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DB1211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D426F0D">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Style w:val="31"/>
          <w:rFonts w:hint="eastAsia" w:ascii="仿宋_GB2312" w:hAnsi="仿宋_GB2312" w:eastAsia="仿宋_GB2312" w:cs="仿宋_GB2312"/>
          <w:color w:val="auto"/>
          <w:kern w:val="0"/>
          <w:sz w:val="32"/>
          <w:szCs w:val="32"/>
          <w:highlight w:val="none"/>
          <w:lang w:val="en-US" w:eastAsia="zh-CN" w:bidi="ar"/>
        </w:rPr>
      </w:pPr>
      <w:r>
        <w:rPr>
          <w:rStyle w:val="31"/>
          <w:rFonts w:hint="eastAsia" w:ascii="仿宋_GB2312" w:hAnsi="仿宋_GB2312" w:eastAsia="仿宋_GB2312" w:cs="仿宋_GB2312"/>
          <w:color w:val="auto"/>
          <w:kern w:val="0"/>
          <w:sz w:val="32"/>
          <w:szCs w:val="32"/>
          <w:highlight w:val="none"/>
          <w:lang w:val="en-US" w:eastAsia="zh-CN" w:bidi="ar"/>
        </w:rPr>
        <w:t>（二）关于“中小企业声明函”的提交要求</w:t>
      </w:r>
    </w:p>
    <w:p w14:paraId="0128C9C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8CA703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2.鼓励供应商在投标（响应）时一并提供对货物制造商、服务承接商、工程承建商相关信息的核实核验情况以及其他佐证材料。</w:t>
      </w:r>
    </w:p>
    <w:p w14:paraId="0F20187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C60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B495C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B06D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C2B83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2DF47E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66496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4213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7409D4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2D9F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79B5A6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090DE5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7A10AB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37108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B6DF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5E4B4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4EAF33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6542F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088732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1EF9AD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附件2.2：</w:t>
      </w:r>
    </w:p>
    <w:p w14:paraId="5F195CD0">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关于印发中小企业划型标准规定的通知</w:t>
      </w:r>
    </w:p>
    <w:p w14:paraId="2306B0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1"/>
          <w:rFonts w:hint="eastAsia" w:ascii="仿宋_GB2312" w:hAnsi="仿宋_GB2312" w:eastAsia="仿宋_GB2312" w:cs="仿宋_GB2312"/>
          <w:b w:val="0"/>
          <w:color w:val="auto"/>
          <w:sz w:val="32"/>
          <w:szCs w:val="32"/>
          <w:highlight w:val="none"/>
        </w:rPr>
      </w:pPr>
      <w:r>
        <w:rPr>
          <w:rStyle w:val="31"/>
          <w:rFonts w:hint="eastAsia" w:ascii="仿宋_GB2312" w:hAnsi="仿宋_GB2312" w:eastAsia="仿宋_GB2312" w:cs="仿宋_GB2312"/>
          <w:b w:val="0"/>
          <w:color w:val="auto"/>
          <w:sz w:val="32"/>
          <w:szCs w:val="32"/>
          <w:highlight w:val="none"/>
        </w:rPr>
        <w:t>工信部联企业〔2011〕300号</w:t>
      </w:r>
    </w:p>
    <w:p w14:paraId="3B545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1"/>
          <w:rFonts w:hint="eastAsia" w:ascii="仿宋_GB2312" w:hAnsi="仿宋_GB2312" w:eastAsia="仿宋_GB2312" w:cs="仿宋_GB2312"/>
          <w:b w:val="0"/>
          <w:color w:val="auto"/>
          <w:sz w:val="32"/>
          <w:szCs w:val="32"/>
          <w:highlight w:val="none"/>
        </w:rPr>
      </w:pPr>
    </w:p>
    <w:p w14:paraId="1E952CC3">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color w:val="auto"/>
          <w:sz w:val="32"/>
          <w:szCs w:val="32"/>
          <w:highlight w:val="none"/>
        </w:rPr>
      </w:pPr>
      <w:r>
        <w:rPr>
          <w:rStyle w:val="31"/>
          <w:rFonts w:hint="eastAsia" w:ascii="仿宋_GB2312" w:hAnsi="仿宋_GB2312" w:eastAsia="仿宋_GB2312" w:cs="仿宋_GB2312"/>
          <w:b w:val="0"/>
          <w:color w:val="auto"/>
          <w:sz w:val="32"/>
          <w:szCs w:val="32"/>
          <w:highlight w:val="none"/>
        </w:rPr>
        <w:t>各省、自治区、直辖市人民政府，国务院各部委、各直属机构及有关单位：</w:t>
      </w:r>
    </w:p>
    <w:p w14:paraId="6AEF5E01">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7048E5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工业和信息化部　国家统计局</w:t>
      </w:r>
    </w:p>
    <w:p w14:paraId="37FF65D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国家发展和改革委员会　财政部</w:t>
      </w:r>
    </w:p>
    <w:p w14:paraId="46114F3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二○一一年六月十八日</w:t>
      </w:r>
    </w:p>
    <w:p w14:paraId="215EEC94">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xml:space="preserve"> </w:t>
      </w:r>
    </w:p>
    <w:p w14:paraId="1DB86A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1"/>
          <w:rFonts w:hint="eastAsia" w:ascii="仿宋_GB2312" w:hAnsi="仿宋_GB2312" w:eastAsia="仿宋_GB2312" w:cs="仿宋_GB2312"/>
          <w:b/>
          <w:bCs w:val="0"/>
          <w:color w:val="auto"/>
          <w:sz w:val="32"/>
          <w:szCs w:val="32"/>
          <w:highlight w:val="none"/>
        </w:rPr>
      </w:pPr>
      <w:r>
        <w:rPr>
          <w:rStyle w:val="31"/>
          <w:rFonts w:hint="eastAsia" w:ascii="仿宋_GB2312" w:hAnsi="仿宋_GB2312" w:eastAsia="仿宋_GB2312" w:cs="仿宋_GB2312"/>
          <w:b/>
          <w:bCs w:val="0"/>
          <w:color w:val="auto"/>
          <w:sz w:val="32"/>
          <w:szCs w:val="32"/>
          <w:highlight w:val="none"/>
        </w:rPr>
        <w:t>中小企业划型标准规定</w:t>
      </w:r>
    </w:p>
    <w:p w14:paraId="4B223B3E">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一、根据《中华人民共和国中小企业促进法》和《国务院关于进一步促进中小企业发展的若干意见》(国发〔2009〕36号)，制定本规定。</w:t>
      </w:r>
    </w:p>
    <w:p w14:paraId="30343E7E">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二、中小企业划分为中型、小型、微型三种类型，具体标准根据企业从业人员、营业收入、资产总额等指标，结合行业特点制定。</w:t>
      </w:r>
    </w:p>
    <w:p w14:paraId="10109985">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A0E20D">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四、各行业划型标准为：</w:t>
      </w:r>
    </w:p>
    <w:p w14:paraId="612A007D">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（一）农、林、牧、渔业。营业收入20000万元以下的为中小微型企业。其中，营业收入500万元及以上的为中型企业，营业收入50万元及以上的为小型企业，营业收入50万元以下的为微型企业。</w:t>
      </w:r>
    </w:p>
    <w:p w14:paraId="61FD82A7">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04DFFED">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534802">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7C0F6E">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FC2194">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7895BD8">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E864C1D">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84DD47">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88F5C4">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D870A5">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E61D54">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7A6CCF">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4E207A">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C2045E7">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0004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（十六）其他未列明行业。从业人员300人以下的为中小微型企业。其中，从业人员100人及以上的为中型企业；从业人员10人及以上的为小型企业；从业人员10人以下的为微型企业。　　</w:t>
      </w:r>
    </w:p>
    <w:p w14:paraId="2F2D6CBD">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五、企业类型的划分以统计部门的统计数据为依据。</w:t>
      </w:r>
    </w:p>
    <w:p w14:paraId="461A56B4">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六、本规定适用于在中华人民共和国境内依法设立的各类所有制和各种组织形式的企业。个体工商户和本规定以外的行业，参照本规定进行划型。</w:t>
      </w:r>
    </w:p>
    <w:p w14:paraId="697137B1">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A152D5A">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　　八、本规定由工业和信息化部、国家统计局会同有关部门根据《国民经济行业分类》修订情况和企业发展变化情况适时修订。</w:t>
      </w:r>
    </w:p>
    <w:p w14:paraId="6FD401C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31"/>
          <w:rFonts w:hint="eastAsia" w:ascii="仿宋_GB2312" w:hAnsi="仿宋_GB2312" w:eastAsia="仿宋_GB2312" w:cs="仿宋_GB2312"/>
          <w:b w:val="0"/>
          <w:bCs w:val="0"/>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九、本规定由工业和信息化部、国家统计局会同有关部门负责解释。</w:t>
      </w:r>
    </w:p>
    <w:p w14:paraId="05C1FEAD">
      <w:pPr>
        <w:pStyle w:val="16"/>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Style w:val="31"/>
          <w:rFonts w:hint="eastAsia" w:ascii="仿宋_GB2312" w:hAnsi="仿宋_GB2312" w:eastAsia="仿宋_GB2312" w:cs="仿宋_GB2312"/>
          <w:b w:val="0"/>
          <w:bCs w:val="0"/>
          <w:color w:val="auto"/>
          <w:sz w:val="32"/>
          <w:szCs w:val="32"/>
          <w:highlight w:val="none"/>
        </w:rPr>
        <w:t>十、本规定自发布之日起执行，原国家经贸委、原国家计委、财政部和国家统计局2003年颁布的《中小企业标准暂行规定》同时废止。</w:t>
      </w:r>
    </w:p>
    <w:p w14:paraId="3D999EC7">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61AC11C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04995692">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41DBC406">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709E3193">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0E79FAA7">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5FB52856">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2AA5A8B6">
      <w:pPr>
        <w:pageBreakBefore w:val="0"/>
        <w:kinsoku/>
        <w:wordWrap/>
        <w:topLinePunct w:val="0"/>
        <w:bidi w:val="0"/>
        <w:spacing w:line="360" w:lineRule="auto"/>
        <w:jc w:val="both"/>
        <w:rPr>
          <w:rFonts w:hint="eastAsia" w:ascii="仿宋_GB2312" w:hAnsi="仿宋_GB2312" w:eastAsia="仿宋_GB2312" w:cs="仿宋_GB2312"/>
          <w:b/>
          <w:color w:val="auto"/>
          <w:sz w:val="32"/>
          <w:szCs w:val="32"/>
          <w:highlight w:val="none"/>
          <w:lang w:val="en-US" w:eastAsia="zh-CN"/>
        </w:rPr>
      </w:pPr>
    </w:p>
    <w:p w14:paraId="43207D9F">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附件3、</w:t>
      </w:r>
      <w:r>
        <w:rPr>
          <w:rFonts w:hint="eastAsia" w:ascii="仿宋_GB2312" w:hAnsi="仿宋_GB2312" w:eastAsia="仿宋_GB2312" w:cs="仿宋_GB2312"/>
          <w:b/>
          <w:color w:val="auto"/>
          <w:sz w:val="32"/>
          <w:szCs w:val="32"/>
          <w:highlight w:val="none"/>
        </w:rPr>
        <w:t>残疾人福利性单位声明函</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如有</w:t>
      </w:r>
      <w:r>
        <w:rPr>
          <w:rFonts w:hint="eastAsia" w:ascii="仿宋_GB2312" w:hAnsi="仿宋_GB2312" w:eastAsia="仿宋_GB2312" w:cs="仿宋_GB2312"/>
          <w:b/>
          <w:color w:val="auto"/>
          <w:sz w:val="32"/>
          <w:szCs w:val="32"/>
          <w:highlight w:val="none"/>
          <w:lang w:eastAsia="zh-CN"/>
        </w:rPr>
        <w:t>）</w:t>
      </w:r>
    </w:p>
    <w:p w14:paraId="0A94C6BB">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3F1937C2">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color w:val="auto"/>
          <w:sz w:val="32"/>
          <w:szCs w:val="32"/>
          <w:highlight w:val="none"/>
          <w:u w:val="single"/>
        </w:rPr>
        <w:t>____                __</w:t>
      </w:r>
      <w:r>
        <w:rPr>
          <w:rFonts w:hint="eastAsia" w:ascii="仿宋_GB2312" w:hAnsi="仿宋_GB2312" w:eastAsia="仿宋_GB2312" w:cs="仿宋_GB2312"/>
          <w:color w:val="auto"/>
          <w:sz w:val="32"/>
          <w:szCs w:val="32"/>
          <w:highlight w:val="none"/>
        </w:rPr>
        <w:t>单位的__                    ____项目采购活动提供本单位制造的货物（由本单位承担工程/提供服务），或者提供其他残疾人福利性单位制造的货物（不包括使用非残疾人福利性单位注册商标的货物）。</w:t>
      </w:r>
    </w:p>
    <w:p w14:paraId="0EC96030">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本单位对上述声明的真实性负责。如有虚假，将依法承担相应责任。</w:t>
      </w:r>
    </w:p>
    <w:p w14:paraId="6117AFB3">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3471E6CA">
      <w:pPr>
        <w:pageBreakBefore w:val="0"/>
        <w:tabs>
          <w:tab w:val="left" w:pos="465"/>
          <w:tab w:val="left" w:pos="780"/>
        </w:tabs>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注：此函随同价格文件和技术商务文件一起装订，非残疾人福利性单位投标时</w:t>
      </w:r>
      <w:r>
        <w:rPr>
          <w:rFonts w:hint="eastAsia" w:ascii="仿宋_GB2312" w:hAnsi="仿宋_GB2312" w:eastAsia="仿宋_GB2312" w:cs="仿宋_GB2312"/>
          <w:b/>
          <w:color w:val="auto"/>
          <w:sz w:val="32"/>
          <w:szCs w:val="32"/>
          <w:highlight w:val="none"/>
        </w:rPr>
        <w:t>不需要提供此声明函。</w:t>
      </w:r>
    </w:p>
    <w:p w14:paraId="6FD20AE6">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323CE9E7">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3B4DCCF8">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29E91CFB">
      <w:pPr>
        <w:pStyle w:val="13"/>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010939F8">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53FEB9F0">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34C4F038">
      <w:pPr>
        <w:pageBreakBefore w:val="0"/>
        <w:kinsoku/>
        <w:wordWrap/>
        <w:topLinePunct w:val="0"/>
        <w:bidi w:val="0"/>
        <w:spacing w:line="360" w:lineRule="auto"/>
        <w:jc w:val="both"/>
        <w:rPr>
          <w:rFonts w:hint="eastAsia" w:ascii="仿宋_GB2312" w:hAnsi="仿宋_GB2312" w:eastAsia="仿宋_GB2312" w:cs="仿宋_GB2312"/>
          <w:b/>
          <w:color w:val="auto"/>
          <w:sz w:val="32"/>
          <w:szCs w:val="32"/>
          <w:highlight w:val="none"/>
          <w:lang w:val="en-US" w:eastAsia="zh-CN"/>
        </w:rPr>
      </w:pPr>
    </w:p>
    <w:p w14:paraId="543E6731">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附件4</w:t>
      </w:r>
      <w:r>
        <w:rPr>
          <w:rFonts w:hint="eastAsia" w:ascii="仿宋_GB2312" w:hAnsi="仿宋_GB2312" w:eastAsia="仿宋_GB2312" w:cs="仿宋_GB2312"/>
          <w:b/>
          <w:color w:val="auto"/>
          <w:sz w:val="32"/>
          <w:szCs w:val="32"/>
          <w:highlight w:val="none"/>
        </w:rPr>
        <w:t>省级以上监狱管理局、戒毒管理局（含新疆生产建设兵团）出具的属于监狱企业证明文件（格式自拟）</w:t>
      </w:r>
    </w:p>
    <w:p w14:paraId="577E95E9">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3FE3B541">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3B6F816D">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7AE1B552">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5AE66600">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57387860">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5F19CC52">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7A955C22">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6AB6E3E2">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6A0382C0">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bookmarkStart w:id="433" w:name="_Toc24440"/>
    </w:p>
    <w:p w14:paraId="5D8B53D3">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215E386E">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5B156FB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1E5331DC">
      <w:pPr>
        <w:pStyle w:val="4"/>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附表1 </w:t>
      </w:r>
      <w:r>
        <w:rPr>
          <w:rFonts w:hint="eastAsia" w:ascii="仿宋_GB2312" w:hAnsi="仿宋_GB2312" w:eastAsia="仿宋_GB2312" w:cs="仿宋_GB2312"/>
          <w:color w:val="auto"/>
          <w:sz w:val="32"/>
          <w:szCs w:val="32"/>
          <w:highlight w:val="none"/>
          <w:lang w:val="en-US" w:eastAsia="zh-CN"/>
        </w:rPr>
        <w:t xml:space="preserve">                    资格审查</w:t>
      </w:r>
      <w:r>
        <w:rPr>
          <w:rFonts w:hint="eastAsia" w:ascii="仿宋_GB2312" w:hAnsi="仿宋_GB2312" w:eastAsia="仿宋_GB2312" w:cs="仿宋_GB2312"/>
          <w:color w:val="auto"/>
          <w:sz w:val="32"/>
          <w:szCs w:val="32"/>
          <w:highlight w:val="none"/>
        </w:rPr>
        <w:t>标准表</w:t>
      </w:r>
      <w:bookmarkEnd w:id="425"/>
      <w:bookmarkEnd w:id="433"/>
    </w:p>
    <w:tbl>
      <w:tblPr>
        <w:tblStyle w:val="28"/>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34CF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vAlign w:val="center"/>
          </w:tcPr>
          <w:p w14:paraId="4FC57DD7">
            <w:pPr>
              <w:tabs>
                <w:tab w:val="left" w:pos="0"/>
              </w:tabs>
              <w:adjustRightInd w:val="0"/>
              <w:snapToGrid w:val="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序号</w:t>
            </w:r>
          </w:p>
        </w:tc>
        <w:tc>
          <w:tcPr>
            <w:tcW w:w="6405" w:type="dxa"/>
            <w:vAlign w:val="center"/>
          </w:tcPr>
          <w:p w14:paraId="1D7E2A56">
            <w:pPr>
              <w:tabs>
                <w:tab w:val="left" w:pos="0"/>
              </w:tabs>
              <w:adjustRightInd w:val="0"/>
              <w:snapToGrid w:val="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审查因素</w:t>
            </w:r>
          </w:p>
        </w:tc>
        <w:tc>
          <w:tcPr>
            <w:tcW w:w="3195" w:type="dxa"/>
            <w:vAlign w:val="center"/>
          </w:tcPr>
          <w:p w14:paraId="484E6F03">
            <w:pPr>
              <w:tabs>
                <w:tab w:val="left" w:pos="0"/>
              </w:tabs>
              <w:adjustRightInd w:val="0"/>
              <w:snapToGrid w:val="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审查标准</w:t>
            </w:r>
          </w:p>
        </w:tc>
        <w:tc>
          <w:tcPr>
            <w:tcW w:w="1132" w:type="dxa"/>
            <w:vAlign w:val="center"/>
          </w:tcPr>
          <w:p w14:paraId="1D341B3C">
            <w:pPr>
              <w:tabs>
                <w:tab w:val="left" w:pos="0"/>
              </w:tabs>
              <w:adjustRightInd w:val="0"/>
              <w:snapToGrid w:val="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备注</w:t>
            </w:r>
          </w:p>
        </w:tc>
      </w:tr>
      <w:tr w14:paraId="3A6F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14FEAAFD">
            <w:pPr>
              <w:tabs>
                <w:tab w:val="left" w:pos="0"/>
              </w:tabs>
              <w:adjustRightInd w:val="0"/>
              <w:snapToGrid w:val="0"/>
              <w:jc w:val="center"/>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lang w:val="en-US" w:eastAsia="zh-CN"/>
              </w:rPr>
              <w:t>1</w:t>
            </w:r>
          </w:p>
        </w:tc>
        <w:tc>
          <w:tcPr>
            <w:tcW w:w="6405" w:type="dxa"/>
            <w:vAlign w:val="center"/>
          </w:tcPr>
          <w:p w14:paraId="69134CF1">
            <w:pPr>
              <w:tabs>
                <w:tab w:val="left" w:pos="0"/>
              </w:tabs>
              <w:adjustRightInd w:val="0"/>
              <w:snapToGrid w:val="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（1）法定代表人身份证或法定代表人授权委托书和委托代理人的身份证，法定代表人授权委托书应当与响应文件中所提供的相一致；</w:t>
            </w:r>
          </w:p>
          <w:p w14:paraId="2826464A">
            <w:pPr>
              <w:tabs>
                <w:tab w:val="left" w:pos="0"/>
              </w:tabs>
              <w:adjustRightInd w:val="0"/>
              <w:snapToGrid w:val="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rPr>
              <w:t>（2）投标人为制造商的须提供《医疗器械生产许可证》；投标人为经销商的须提供《医疗器械经营许可证》或者《医疗器械经营备案凭证》；投标人须提供所投产品的《医疗器械注册证》(含注册登记表)和《医疗器械生产许可证》，证件应在有效期内。（不属于医疗器械范畴或国家另有规定的除外）</w:t>
            </w:r>
          </w:p>
        </w:tc>
        <w:tc>
          <w:tcPr>
            <w:tcW w:w="3195" w:type="dxa"/>
            <w:vAlign w:val="center"/>
          </w:tcPr>
          <w:p w14:paraId="361553F9">
            <w:pPr>
              <w:tabs>
                <w:tab w:val="left" w:pos="0"/>
              </w:tabs>
              <w:adjustRightInd w:val="0"/>
              <w:snapToGrid w:val="0"/>
              <w:spacing w:line="240" w:lineRule="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color w:val="auto"/>
                <w:kern w:val="0"/>
                <w:sz w:val="32"/>
                <w:szCs w:val="32"/>
                <w:highlight w:val="none"/>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w:t>
            </w:r>
            <w:r>
              <w:rPr>
                <w:rFonts w:hint="eastAsia" w:ascii="仿宋" w:hAnsi="仿宋" w:eastAsia="仿宋" w:cs="仿宋"/>
                <w:b/>
                <w:color w:val="auto"/>
                <w:kern w:val="0"/>
                <w:sz w:val="32"/>
                <w:szCs w:val="32"/>
                <w:highlight w:val="none"/>
                <w:lang w:val="en-US" w:eastAsia="zh-CN"/>
              </w:rPr>
              <w:t>招标</w:t>
            </w:r>
            <w:r>
              <w:rPr>
                <w:rFonts w:hint="eastAsia" w:ascii="仿宋" w:hAnsi="仿宋" w:eastAsia="仿宋" w:cs="仿宋"/>
                <w:b/>
                <w:color w:val="auto"/>
                <w:kern w:val="0"/>
                <w:sz w:val="32"/>
                <w:szCs w:val="32"/>
                <w:highlight w:val="none"/>
              </w:rPr>
              <w:t>文件资格审查内容的不响应，投标将被拒绝。</w:t>
            </w:r>
          </w:p>
        </w:tc>
        <w:tc>
          <w:tcPr>
            <w:tcW w:w="1132" w:type="dxa"/>
            <w:vAlign w:val="center"/>
          </w:tcPr>
          <w:p w14:paraId="5A9358D2">
            <w:pPr>
              <w:tabs>
                <w:tab w:val="left" w:pos="0"/>
              </w:tabs>
              <w:adjustRightInd w:val="0"/>
              <w:snapToGrid w:val="0"/>
              <w:jc w:val="center"/>
              <w:rPr>
                <w:rFonts w:hint="eastAsia" w:ascii="仿宋" w:hAnsi="仿宋" w:eastAsia="仿宋" w:cs="仿宋"/>
                <w:b/>
                <w:color w:val="auto"/>
                <w:kern w:val="0"/>
                <w:sz w:val="32"/>
                <w:szCs w:val="32"/>
                <w:highlight w:val="none"/>
              </w:rPr>
            </w:pPr>
          </w:p>
        </w:tc>
      </w:tr>
      <w:tr w14:paraId="56C0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5A0AEEE3">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w:t>
            </w:r>
          </w:p>
        </w:tc>
        <w:tc>
          <w:tcPr>
            <w:tcW w:w="6405" w:type="dxa"/>
            <w:vAlign w:val="center"/>
          </w:tcPr>
          <w:p w14:paraId="2F1EEDA7">
            <w:pPr>
              <w:tabs>
                <w:tab w:val="left" w:pos="0"/>
              </w:tabs>
              <w:adjustRightInd w:val="0"/>
              <w:snapToGrid w:val="0"/>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kern w:val="0"/>
                <w:sz w:val="32"/>
                <w:szCs w:val="32"/>
                <w:highlight w:val="none"/>
                <w:lang w:eastAsia="zh-CN"/>
              </w:rPr>
              <w:t>；</w:t>
            </w:r>
          </w:p>
        </w:tc>
        <w:tc>
          <w:tcPr>
            <w:tcW w:w="3195" w:type="dxa"/>
            <w:vAlign w:val="center"/>
          </w:tcPr>
          <w:p w14:paraId="18936441">
            <w:pPr>
              <w:adjustRightInd w:val="0"/>
              <w:snapToGrid w:val="0"/>
              <w:jc w:val="center"/>
              <w:rPr>
                <w:rFonts w:hint="default" w:ascii="仿宋" w:hAnsi="仿宋" w:eastAsia="仿宋" w:cs="仿宋"/>
                <w:b/>
                <w:color w:val="auto"/>
                <w:kern w:val="0"/>
                <w:sz w:val="32"/>
                <w:szCs w:val="32"/>
                <w:highlight w:val="none"/>
                <w:lang w:val="en-US" w:eastAsia="zh-CN"/>
              </w:rPr>
            </w:pPr>
            <w:bookmarkStart w:id="434" w:name="OLE_LINK10"/>
            <w:r>
              <w:rPr>
                <w:rFonts w:hint="eastAsia" w:ascii="仿宋" w:hAnsi="仿宋" w:eastAsia="仿宋" w:cs="仿宋"/>
                <w:color w:val="auto"/>
                <w:kern w:val="0"/>
                <w:sz w:val="32"/>
                <w:szCs w:val="32"/>
                <w:highlight w:val="none"/>
                <w:lang w:val="en-US" w:eastAsia="zh-CN"/>
              </w:rPr>
              <w:t>上传有效的营业执照扫描件</w:t>
            </w:r>
            <w:bookmarkEnd w:id="434"/>
          </w:p>
        </w:tc>
        <w:tc>
          <w:tcPr>
            <w:tcW w:w="1132" w:type="dxa"/>
            <w:vAlign w:val="center"/>
          </w:tcPr>
          <w:p w14:paraId="7477A330">
            <w:pPr>
              <w:tabs>
                <w:tab w:val="left" w:pos="0"/>
              </w:tabs>
              <w:adjustRightInd w:val="0"/>
              <w:snapToGrid w:val="0"/>
              <w:jc w:val="center"/>
              <w:rPr>
                <w:rFonts w:hint="eastAsia" w:ascii="仿宋" w:hAnsi="仿宋" w:eastAsia="仿宋" w:cs="仿宋"/>
                <w:b/>
                <w:color w:val="auto"/>
                <w:kern w:val="0"/>
                <w:sz w:val="32"/>
                <w:szCs w:val="32"/>
                <w:highlight w:val="none"/>
              </w:rPr>
            </w:pPr>
          </w:p>
        </w:tc>
      </w:tr>
      <w:tr w14:paraId="13BB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27136CE7">
            <w:pPr>
              <w:tabs>
                <w:tab w:val="left" w:pos="0"/>
              </w:tabs>
              <w:adjustRightInd w:val="0"/>
              <w:snapToGrid w:val="0"/>
              <w:jc w:val="center"/>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p>
        </w:tc>
        <w:tc>
          <w:tcPr>
            <w:tcW w:w="6405" w:type="dxa"/>
            <w:vAlign w:val="center"/>
          </w:tcPr>
          <w:p w14:paraId="0E955876">
            <w:pPr>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b w:val="0"/>
                <w:bCs w:val="0"/>
                <w:color w:val="auto"/>
                <w:kern w:val="2"/>
                <w:sz w:val="32"/>
                <w:szCs w:val="32"/>
                <w:u w:val="none"/>
                <w:lang w:val="en-US" w:eastAsia="zh-CN" w:bidi="ar-SA"/>
              </w:rPr>
              <w:t>供应商提供本单位近一年内任意六个月社保缴纳证明材料和法人或授权委托人近一年内任意六个月的社保缴纳证明材料。（①</w:t>
            </w:r>
            <w:r>
              <w:rPr>
                <w:rFonts w:hint="eastAsia" w:ascii="仿宋" w:hAnsi="仿宋" w:eastAsia="仿宋" w:cs="仿宋"/>
                <w:b/>
                <w:bCs/>
                <w:color w:val="auto"/>
                <w:kern w:val="2"/>
                <w:sz w:val="32"/>
                <w:szCs w:val="32"/>
                <w:u w:val="none"/>
                <w:lang w:val="en-US" w:eastAsia="zh-CN" w:bidi="ar-SA"/>
              </w:rPr>
              <w:t>法人参加投标的只需提供法人的社保证明材料，授权委托人参加的只需提供授权委托人社保证明；②证明材料需提供：社会保障资金缴存单据或社保机构开具的社会保险参保缴费情况证明，依法不需要缴纳社会保障资金的供应商应提供相关文件证明；</w:t>
            </w:r>
            <w:r>
              <w:rPr>
                <w:rFonts w:hint="eastAsia" w:ascii="仿宋" w:hAnsi="仿宋" w:eastAsia="仿宋" w:cs="仿宋"/>
                <w:b w:val="0"/>
                <w:bCs w:val="0"/>
                <w:color w:val="auto"/>
                <w:kern w:val="2"/>
                <w:sz w:val="32"/>
                <w:szCs w:val="32"/>
                <w:u w:val="none"/>
                <w:lang w:val="en-US" w:eastAsia="zh-CN" w:bidi="ar-SA"/>
              </w:rPr>
              <w:t>）</w:t>
            </w:r>
          </w:p>
        </w:tc>
        <w:tc>
          <w:tcPr>
            <w:tcW w:w="3195" w:type="dxa"/>
            <w:vAlign w:val="center"/>
          </w:tcPr>
          <w:p w14:paraId="4A46D6E5">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上传有效的证明材料</w:t>
            </w:r>
          </w:p>
        </w:tc>
        <w:tc>
          <w:tcPr>
            <w:tcW w:w="1132" w:type="dxa"/>
            <w:vAlign w:val="center"/>
          </w:tcPr>
          <w:p w14:paraId="6A0F12F2">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p>
        </w:tc>
      </w:tr>
      <w:tr w14:paraId="3732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773E0E2D">
            <w:pPr>
              <w:tabs>
                <w:tab w:val="left" w:pos="0"/>
              </w:tabs>
              <w:adjustRightInd w:val="0"/>
              <w:snapToGrid w:val="0"/>
              <w:jc w:val="center"/>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w:t>
            </w:r>
          </w:p>
        </w:tc>
        <w:tc>
          <w:tcPr>
            <w:tcW w:w="6405" w:type="dxa"/>
            <w:vAlign w:val="center"/>
          </w:tcPr>
          <w:p w14:paraId="65FAD980">
            <w:pPr>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vAlign w:val="center"/>
          </w:tcPr>
          <w:p w14:paraId="30BB6414">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上传有效的证明材料</w:t>
            </w:r>
          </w:p>
        </w:tc>
        <w:tc>
          <w:tcPr>
            <w:tcW w:w="1132" w:type="dxa"/>
            <w:vAlign w:val="center"/>
          </w:tcPr>
          <w:p w14:paraId="3961B8A8">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p>
        </w:tc>
      </w:tr>
      <w:tr w14:paraId="1F62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1C7C8183">
            <w:pPr>
              <w:tabs>
                <w:tab w:val="left" w:pos="0"/>
              </w:tabs>
              <w:adjustRightInd w:val="0"/>
              <w:snapToGrid w:val="0"/>
              <w:jc w:val="center"/>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w:t>
            </w:r>
          </w:p>
        </w:tc>
        <w:tc>
          <w:tcPr>
            <w:tcW w:w="6405" w:type="dxa"/>
            <w:vAlign w:val="center"/>
          </w:tcPr>
          <w:p w14:paraId="2DE922FD">
            <w:pPr>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供应商提供近半年内已缴纳的至少一个月的纳税证明或完税证明需加盖单位公章，依法免税的供应商应提供相关文件证明；</w:t>
            </w:r>
          </w:p>
        </w:tc>
        <w:tc>
          <w:tcPr>
            <w:tcW w:w="3195" w:type="dxa"/>
            <w:vAlign w:val="center"/>
          </w:tcPr>
          <w:p w14:paraId="34BF075E">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bookmarkStart w:id="435" w:name="OLE_LINK11"/>
            <w:r>
              <w:rPr>
                <w:rFonts w:hint="eastAsia" w:ascii="仿宋" w:hAnsi="仿宋" w:eastAsia="仿宋" w:cs="仿宋"/>
                <w:color w:val="auto"/>
                <w:kern w:val="0"/>
                <w:sz w:val="32"/>
                <w:szCs w:val="32"/>
                <w:highlight w:val="none"/>
                <w:lang w:val="en-US" w:eastAsia="zh-CN"/>
              </w:rPr>
              <w:t>上传有效的证明材料</w:t>
            </w:r>
            <w:bookmarkEnd w:id="435"/>
          </w:p>
        </w:tc>
        <w:tc>
          <w:tcPr>
            <w:tcW w:w="1132" w:type="dxa"/>
            <w:vAlign w:val="center"/>
          </w:tcPr>
          <w:p w14:paraId="1FBF42C9">
            <w:pPr>
              <w:tabs>
                <w:tab w:val="left" w:pos="0"/>
              </w:tabs>
              <w:adjustRightInd w:val="0"/>
              <w:snapToGrid w:val="0"/>
              <w:jc w:val="center"/>
              <w:rPr>
                <w:rFonts w:hint="eastAsia" w:ascii="仿宋" w:hAnsi="仿宋" w:eastAsia="仿宋" w:cs="仿宋"/>
                <w:color w:val="auto"/>
                <w:kern w:val="0"/>
                <w:sz w:val="32"/>
                <w:szCs w:val="32"/>
                <w:highlight w:val="none"/>
                <w:lang w:val="en-US" w:eastAsia="zh-CN"/>
              </w:rPr>
            </w:pPr>
          </w:p>
        </w:tc>
      </w:tr>
      <w:tr w14:paraId="47CF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vAlign w:val="center"/>
          </w:tcPr>
          <w:p w14:paraId="1EDE23EE">
            <w:pPr>
              <w:tabs>
                <w:tab w:val="left" w:pos="0"/>
              </w:tabs>
              <w:adjustRightInd w:val="0"/>
              <w:snapToGrid w:val="0"/>
              <w:jc w:val="center"/>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w:t>
            </w:r>
          </w:p>
        </w:tc>
        <w:tc>
          <w:tcPr>
            <w:tcW w:w="6405" w:type="dxa"/>
            <w:vAlign w:val="center"/>
          </w:tcPr>
          <w:p w14:paraId="254ECBA4">
            <w:pPr>
              <w:tabs>
                <w:tab w:val="left" w:pos="0"/>
              </w:tabs>
              <w:adjustRightInd w:val="0"/>
              <w:snapToGrid w:val="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供应商应为中小企业</w:t>
            </w:r>
          </w:p>
        </w:tc>
        <w:tc>
          <w:tcPr>
            <w:tcW w:w="3195" w:type="dxa"/>
            <w:vAlign w:val="center"/>
          </w:tcPr>
          <w:p w14:paraId="6E7F1EE8">
            <w:pPr>
              <w:tabs>
                <w:tab w:val="left" w:pos="0"/>
              </w:tabs>
              <w:adjustRightInd w:val="0"/>
              <w:snapToGrid w:val="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请根据要求单独上传《中小企业声明函》。格式以采购文件要求为准。</w:t>
            </w:r>
          </w:p>
        </w:tc>
        <w:tc>
          <w:tcPr>
            <w:tcW w:w="1132" w:type="dxa"/>
            <w:vAlign w:val="center"/>
          </w:tcPr>
          <w:p w14:paraId="4CD8082F">
            <w:pPr>
              <w:tabs>
                <w:tab w:val="left" w:pos="0"/>
              </w:tabs>
              <w:adjustRightInd w:val="0"/>
              <w:snapToGrid w:val="0"/>
              <w:jc w:val="center"/>
              <w:rPr>
                <w:rFonts w:hint="eastAsia" w:ascii="仿宋" w:hAnsi="仿宋" w:eastAsia="仿宋" w:cs="仿宋"/>
                <w:b/>
                <w:color w:val="auto"/>
                <w:kern w:val="0"/>
                <w:sz w:val="32"/>
                <w:szCs w:val="32"/>
                <w:highlight w:val="none"/>
                <w:lang w:val="en-US" w:eastAsia="zh-CN" w:bidi="ar-SA"/>
              </w:rPr>
            </w:pPr>
          </w:p>
        </w:tc>
      </w:tr>
    </w:tbl>
    <w:p w14:paraId="1F1E03D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highlight w:val="none"/>
        </w:rPr>
      </w:pPr>
    </w:p>
    <w:p w14:paraId="3461F2FC">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highlight w:val="none"/>
        </w:rPr>
      </w:pPr>
    </w:p>
    <w:p w14:paraId="62571C1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highlight w:val="none"/>
        </w:rPr>
      </w:pPr>
    </w:p>
    <w:p w14:paraId="3C50D784">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highlight w:val="none"/>
        </w:rPr>
      </w:pPr>
    </w:p>
    <w:p w14:paraId="4858D04D">
      <w:pPr>
        <w:rPr>
          <w:rFonts w:hint="eastAsia" w:ascii="仿宋_GB2312" w:hAnsi="仿宋_GB2312" w:eastAsia="仿宋_GB2312" w:cs="仿宋_GB2312"/>
          <w:color w:val="auto"/>
          <w:sz w:val="32"/>
          <w:szCs w:val="32"/>
          <w:highlight w:val="none"/>
        </w:rPr>
      </w:pPr>
    </w:p>
    <w:p w14:paraId="232042A7">
      <w:pPr>
        <w:rPr>
          <w:rFonts w:hint="eastAsia" w:ascii="仿宋_GB2312" w:hAnsi="仿宋_GB2312" w:eastAsia="仿宋_GB2312" w:cs="仿宋_GB2312"/>
          <w:color w:val="auto"/>
          <w:sz w:val="32"/>
          <w:szCs w:val="32"/>
          <w:highlight w:val="none"/>
        </w:rPr>
      </w:pPr>
    </w:p>
    <w:p w14:paraId="2606EF7A">
      <w:pPr>
        <w:rPr>
          <w:rFonts w:hint="eastAsia" w:ascii="仿宋_GB2312" w:hAnsi="仿宋_GB2312" w:eastAsia="仿宋_GB2312" w:cs="仿宋_GB2312"/>
          <w:color w:val="auto"/>
          <w:sz w:val="32"/>
          <w:szCs w:val="32"/>
          <w:highlight w:val="none"/>
        </w:rPr>
      </w:pPr>
    </w:p>
    <w:p w14:paraId="4DE8376C">
      <w:pPr>
        <w:rPr>
          <w:rFonts w:hint="eastAsia" w:ascii="仿宋_GB2312" w:hAnsi="仿宋_GB2312" w:eastAsia="仿宋_GB2312" w:cs="仿宋_GB2312"/>
          <w:color w:val="auto"/>
          <w:sz w:val="32"/>
          <w:szCs w:val="32"/>
          <w:highlight w:val="none"/>
        </w:rPr>
      </w:pPr>
    </w:p>
    <w:p w14:paraId="32E4D305">
      <w:pPr>
        <w:rPr>
          <w:rFonts w:hint="eastAsia" w:ascii="仿宋_GB2312" w:hAnsi="仿宋_GB2312" w:eastAsia="仿宋_GB2312" w:cs="仿宋_GB2312"/>
          <w:color w:val="auto"/>
          <w:sz w:val="32"/>
          <w:szCs w:val="32"/>
          <w:highlight w:val="none"/>
        </w:rPr>
      </w:pPr>
    </w:p>
    <w:p w14:paraId="3A66B138">
      <w:pPr>
        <w:rPr>
          <w:rFonts w:hint="eastAsia" w:ascii="仿宋_GB2312" w:hAnsi="仿宋_GB2312" w:eastAsia="仿宋_GB2312" w:cs="仿宋_GB2312"/>
          <w:color w:val="auto"/>
          <w:sz w:val="32"/>
          <w:szCs w:val="32"/>
          <w:highlight w:val="none"/>
        </w:rPr>
      </w:pPr>
    </w:p>
    <w:p w14:paraId="6214B861">
      <w:pPr>
        <w:rPr>
          <w:rFonts w:hint="eastAsia" w:ascii="仿宋_GB2312" w:hAnsi="仿宋_GB2312" w:eastAsia="仿宋_GB2312" w:cs="仿宋_GB2312"/>
          <w:color w:val="auto"/>
          <w:sz w:val="32"/>
          <w:szCs w:val="32"/>
          <w:highlight w:val="none"/>
        </w:rPr>
      </w:pPr>
    </w:p>
    <w:p w14:paraId="548F53CD">
      <w:pPr>
        <w:pStyle w:val="2"/>
        <w:rPr>
          <w:rFonts w:hint="eastAsia"/>
        </w:rPr>
      </w:pPr>
    </w:p>
    <w:p w14:paraId="1E82FDD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符合性审查</w:t>
      </w:r>
      <w:r>
        <w:rPr>
          <w:rFonts w:hint="eastAsia" w:ascii="仿宋_GB2312" w:hAnsi="仿宋_GB2312" w:eastAsia="仿宋_GB2312" w:cs="仿宋_GB2312"/>
          <w:color w:val="auto"/>
          <w:sz w:val="32"/>
          <w:szCs w:val="32"/>
          <w:highlight w:val="none"/>
        </w:rPr>
        <w:t>标准表</w:t>
      </w:r>
    </w:p>
    <w:tbl>
      <w:tblPr>
        <w:tblStyle w:val="28"/>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1F91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vAlign w:val="center"/>
          </w:tcPr>
          <w:p w14:paraId="2ECA3D74">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3077" w:type="dxa"/>
            <w:vAlign w:val="center"/>
          </w:tcPr>
          <w:p w14:paraId="3FCD9DA0">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审查项目</w:t>
            </w:r>
          </w:p>
        </w:tc>
        <w:tc>
          <w:tcPr>
            <w:tcW w:w="5556" w:type="dxa"/>
            <w:vAlign w:val="center"/>
          </w:tcPr>
          <w:p w14:paraId="67C5D01E">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eastAsia="zh-CN"/>
              </w:rPr>
              <w:t>审查要求</w:t>
            </w:r>
          </w:p>
        </w:tc>
      </w:tr>
      <w:tr w14:paraId="082C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vAlign w:val="center"/>
          </w:tcPr>
          <w:p w14:paraId="0D764E22">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3077" w:type="dxa"/>
            <w:vAlign w:val="center"/>
          </w:tcPr>
          <w:p w14:paraId="1BCCC204">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签署、盖章</w:t>
            </w:r>
          </w:p>
        </w:tc>
        <w:tc>
          <w:tcPr>
            <w:tcW w:w="5556" w:type="dxa"/>
            <w:vAlign w:val="center"/>
          </w:tcPr>
          <w:p w14:paraId="56B2732A">
            <w:pPr>
              <w:pStyle w:val="13"/>
              <w:keepNext w:val="0"/>
              <w:keepLines w:val="0"/>
              <w:pageBreakBefore w:val="0"/>
              <w:widowControl w:val="0"/>
              <w:tabs>
                <w:tab w:val="left" w:pos="567"/>
              </w:tabs>
              <w:kinsoku/>
              <w:wordWrap/>
              <w:overflowPunct/>
              <w:topLinePunct w:val="0"/>
              <w:autoSpaceDE/>
              <w:autoSpaceDN/>
              <w:bidi w:val="0"/>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投标文件按</w:t>
            </w:r>
            <w:r>
              <w:rPr>
                <w:rFonts w:hint="eastAsia" w:ascii="仿宋_GB2312" w:hAnsi="仿宋_GB2312" w:eastAsia="仿宋_GB2312" w:cs="仿宋_GB2312"/>
                <w:color w:val="auto"/>
                <w:sz w:val="32"/>
                <w:szCs w:val="32"/>
                <w:lang w:val="en-US" w:eastAsia="zh-CN"/>
              </w:rPr>
              <w:t>招标</w:t>
            </w:r>
            <w:r>
              <w:rPr>
                <w:rFonts w:hint="eastAsia" w:ascii="仿宋_GB2312" w:hAnsi="仿宋_GB2312" w:eastAsia="仿宋_GB2312" w:cs="仿宋_GB2312"/>
                <w:color w:val="auto"/>
                <w:sz w:val="32"/>
                <w:szCs w:val="32"/>
              </w:rPr>
              <w:t>文件要求签署、盖章的</w:t>
            </w:r>
          </w:p>
        </w:tc>
      </w:tr>
      <w:tr w14:paraId="5F67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vAlign w:val="center"/>
          </w:tcPr>
          <w:p w14:paraId="2A5A7FED">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3077" w:type="dxa"/>
            <w:vAlign w:val="center"/>
          </w:tcPr>
          <w:p w14:paraId="063A1C61">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投标报价</w:t>
            </w:r>
          </w:p>
        </w:tc>
        <w:tc>
          <w:tcPr>
            <w:tcW w:w="5556" w:type="dxa"/>
            <w:vAlign w:val="center"/>
          </w:tcPr>
          <w:p w14:paraId="7107E022">
            <w:pPr>
              <w:pStyle w:val="13"/>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投标人投标报价</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超出采购预算或最高限价的</w:t>
            </w:r>
          </w:p>
        </w:tc>
      </w:tr>
      <w:tr w14:paraId="74B4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vAlign w:val="center"/>
          </w:tcPr>
          <w:p w14:paraId="6FBC64A8">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3077" w:type="dxa"/>
            <w:vAlign w:val="center"/>
          </w:tcPr>
          <w:p w14:paraId="1135BD0C">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报价合理性</w:t>
            </w:r>
          </w:p>
        </w:tc>
        <w:tc>
          <w:tcPr>
            <w:tcW w:w="5556" w:type="dxa"/>
            <w:vAlign w:val="center"/>
          </w:tcPr>
          <w:p w14:paraId="740F7E83">
            <w:pPr>
              <w:pStyle w:val="13"/>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投标人的报价</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明显低于其他通过符合性审查投标人的报价，</w:t>
            </w: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rPr>
              <w:t>影响产品质量或者能诚信履约的，且投标人</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证明其报价合理性的</w:t>
            </w:r>
          </w:p>
        </w:tc>
      </w:tr>
      <w:tr w14:paraId="16DF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vAlign w:val="center"/>
          </w:tcPr>
          <w:p w14:paraId="714C83BE">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3077" w:type="dxa"/>
            <w:vAlign w:val="center"/>
          </w:tcPr>
          <w:p w14:paraId="559FB821">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bookmarkStart w:id="436" w:name="OLE_LINK12"/>
            <w:r>
              <w:rPr>
                <w:rFonts w:hint="eastAsia" w:ascii="仿宋_GB2312" w:hAnsi="仿宋_GB2312" w:eastAsia="仿宋_GB2312" w:cs="仿宋_GB2312"/>
                <w:color w:val="auto"/>
                <w:sz w:val="32"/>
                <w:szCs w:val="32"/>
              </w:rPr>
              <w:t>投标保证金</w:t>
            </w:r>
            <w:bookmarkEnd w:id="436"/>
          </w:p>
        </w:tc>
        <w:tc>
          <w:tcPr>
            <w:tcW w:w="5556" w:type="dxa"/>
            <w:vAlign w:val="center"/>
          </w:tcPr>
          <w:p w14:paraId="4BE81F42">
            <w:pPr>
              <w:pStyle w:val="13"/>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投标保证金提交或金额、形式</w:t>
            </w:r>
            <w:r>
              <w:rPr>
                <w:rFonts w:hint="eastAsia" w:ascii="仿宋_GB2312" w:hAnsi="仿宋_GB2312" w:eastAsia="仿宋_GB2312" w:cs="仿宋_GB2312"/>
                <w:color w:val="auto"/>
                <w:sz w:val="32"/>
                <w:szCs w:val="32"/>
                <w:lang w:eastAsia="zh-CN"/>
              </w:rPr>
              <w:t>完全</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val="en-US" w:eastAsia="zh-CN"/>
              </w:rPr>
              <w:t>招标</w:t>
            </w:r>
            <w:r>
              <w:rPr>
                <w:rFonts w:hint="eastAsia" w:ascii="仿宋_GB2312" w:hAnsi="仿宋_GB2312" w:eastAsia="仿宋_GB2312" w:cs="仿宋_GB2312"/>
                <w:color w:val="auto"/>
                <w:sz w:val="32"/>
                <w:szCs w:val="32"/>
              </w:rPr>
              <w:t>文件要求的</w:t>
            </w:r>
          </w:p>
        </w:tc>
      </w:tr>
      <w:tr w14:paraId="64C2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vAlign w:val="center"/>
          </w:tcPr>
          <w:p w14:paraId="29F74CDE">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3077" w:type="dxa"/>
            <w:vAlign w:val="center"/>
          </w:tcPr>
          <w:p w14:paraId="697B76EA">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投标内容</w:t>
            </w:r>
          </w:p>
        </w:tc>
        <w:tc>
          <w:tcPr>
            <w:tcW w:w="5556" w:type="dxa"/>
            <w:vAlign w:val="center"/>
          </w:tcPr>
          <w:p w14:paraId="2200D52E">
            <w:pPr>
              <w:pStyle w:val="13"/>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投标内容</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出现漏项或数量与要求</w:t>
            </w:r>
            <w:r>
              <w:rPr>
                <w:rFonts w:hint="eastAsia" w:ascii="仿宋_GB2312" w:hAnsi="仿宋_GB2312" w:eastAsia="仿宋_GB2312" w:cs="仿宋_GB2312"/>
                <w:color w:val="auto"/>
                <w:sz w:val="32"/>
                <w:szCs w:val="32"/>
                <w:lang w:eastAsia="zh-CN"/>
              </w:rPr>
              <w:t>不符</w:t>
            </w:r>
            <w:r>
              <w:rPr>
                <w:rFonts w:hint="eastAsia" w:ascii="仿宋_GB2312" w:hAnsi="仿宋_GB2312" w:eastAsia="仿宋_GB2312" w:cs="仿宋_GB2312"/>
                <w:color w:val="auto"/>
                <w:sz w:val="32"/>
                <w:szCs w:val="32"/>
              </w:rPr>
              <w:t>或投标内容的技术指标</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达到</w:t>
            </w:r>
            <w:r>
              <w:rPr>
                <w:rFonts w:hint="eastAsia" w:ascii="仿宋_GB2312" w:hAnsi="仿宋_GB2312" w:eastAsia="仿宋_GB2312" w:cs="仿宋_GB2312"/>
                <w:color w:val="auto"/>
                <w:sz w:val="32"/>
                <w:szCs w:val="32"/>
                <w:lang w:val="en-US" w:eastAsia="zh-CN"/>
              </w:rPr>
              <w:t>招标</w:t>
            </w:r>
            <w:r>
              <w:rPr>
                <w:rFonts w:hint="eastAsia" w:ascii="仿宋_GB2312" w:hAnsi="仿宋_GB2312" w:eastAsia="仿宋_GB2312" w:cs="仿宋_GB2312"/>
                <w:color w:val="auto"/>
                <w:sz w:val="32"/>
                <w:szCs w:val="32"/>
              </w:rPr>
              <w:t>文件要求，</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造成采购档次降低或影响采购性能、功能</w:t>
            </w:r>
          </w:p>
        </w:tc>
      </w:tr>
      <w:tr w14:paraId="7A53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vAlign w:val="center"/>
          </w:tcPr>
          <w:p w14:paraId="5B052DBB">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3077" w:type="dxa"/>
            <w:vAlign w:val="center"/>
          </w:tcPr>
          <w:p w14:paraId="34011FEE">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合同履行期限</w:t>
            </w:r>
          </w:p>
        </w:tc>
        <w:tc>
          <w:tcPr>
            <w:tcW w:w="5556" w:type="dxa"/>
            <w:vAlign w:val="center"/>
          </w:tcPr>
          <w:p w14:paraId="51CB1C8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应满足招标文件中要求的合同履行期限</w:t>
            </w:r>
          </w:p>
        </w:tc>
      </w:tr>
      <w:tr w14:paraId="71AB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vAlign w:val="center"/>
          </w:tcPr>
          <w:p w14:paraId="4F8034B5">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p>
        </w:tc>
        <w:tc>
          <w:tcPr>
            <w:tcW w:w="3077" w:type="dxa"/>
            <w:vAlign w:val="center"/>
          </w:tcPr>
          <w:p w14:paraId="65FA3C86">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其它情形</w:t>
            </w:r>
          </w:p>
        </w:tc>
        <w:tc>
          <w:tcPr>
            <w:tcW w:w="5556" w:type="dxa"/>
            <w:vAlign w:val="center"/>
          </w:tcPr>
          <w:p w14:paraId="420032B0">
            <w:pPr>
              <w:pStyle w:val="13"/>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rPr>
              <w:t>存在其它不符合法律法规或招标文件规定的投标无效条款</w:t>
            </w:r>
          </w:p>
        </w:tc>
      </w:tr>
      <w:tr w14:paraId="7768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vAlign w:val="center"/>
          </w:tcPr>
          <w:p w14:paraId="172FE08E">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p>
        </w:tc>
        <w:tc>
          <w:tcPr>
            <w:tcW w:w="3077" w:type="dxa"/>
            <w:vAlign w:val="center"/>
          </w:tcPr>
          <w:p w14:paraId="6F9DF4D3">
            <w:pPr>
              <w:pStyle w:val="13"/>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★为核心</w:t>
            </w:r>
            <w:r>
              <w:rPr>
                <w:rFonts w:hint="eastAsia" w:ascii="仿宋_GB2312" w:hAnsi="仿宋_GB2312" w:eastAsia="仿宋_GB2312" w:cs="仿宋_GB2312"/>
                <w:color w:val="auto"/>
                <w:sz w:val="32"/>
                <w:szCs w:val="32"/>
                <w:lang w:val="en-US" w:eastAsia="zh-CN"/>
              </w:rPr>
              <w:t>商务要求</w:t>
            </w:r>
          </w:p>
        </w:tc>
        <w:tc>
          <w:tcPr>
            <w:tcW w:w="5556" w:type="dxa"/>
            <w:vAlign w:val="center"/>
          </w:tcPr>
          <w:p w14:paraId="034BB063">
            <w:pPr>
              <w:pStyle w:val="13"/>
              <w:keepNext w:val="0"/>
              <w:keepLines w:val="0"/>
              <w:pageBreakBefore w:val="0"/>
              <w:widowControl w:val="0"/>
              <w:tabs>
                <w:tab w:val="left" w:pos="567"/>
              </w:tabs>
              <w:kinsoku/>
              <w:wordWrap/>
              <w:overflowPunct/>
              <w:topLinePunct w:val="0"/>
              <w:autoSpaceDE/>
              <w:autoSpaceDN/>
              <w:bidi w:val="0"/>
              <w:spacing w:before="0"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★为核心</w:t>
            </w:r>
            <w:r>
              <w:rPr>
                <w:rFonts w:hint="eastAsia" w:ascii="仿宋_GB2312" w:hAnsi="仿宋_GB2312" w:eastAsia="仿宋_GB2312" w:cs="仿宋_GB2312"/>
                <w:color w:val="auto"/>
                <w:sz w:val="32"/>
                <w:szCs w:val="32"/>
                <w:lang w:val="en-US" w:eastAsia="zh-CN"/>
              </w:rPr>
              <w:t>商务要求</w:t>
            </w:r>
            <w:r>
              <w:rPr>
                <w:rFonts w:hint="eastAsia" w:ascii="仿宋_GB2312" w:hAnsi="仿宋_GB2312" w:eastAsia="仿宋_GB2312" w:cs="仿宋_GB2312"/>
                <w:color w:val="auto"/>
                <w:sz w:val="32"/>
                <w:szCs w:val="32"/>
              </w:rPr>
              <w:t>(属于不允许偏离的实质性要求,投标人需实质性响应)</w:t>
            </w:r>
            <w:r>
              <w:rPr>
                <w:rFonts w:hint="eastAsia" w:ascii="仿宋_GB2312" w:hAnsi="仿宋_GB2312" w:eastAsia="仿宋_GB2312" w:cs="仿宋_GB2312"/>
                <w:color w:val="auto"/>
                <w:sz w:val="32"/>
                <w:szCs w:val="32"/>
                <w:lang w:val="en-US" w:eastAsia="zh-CN"/>
              </w:rPr>
              <w:t>供应商根据招标文件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项提供相关佐证资料或承诺函，承诺函格式自拟。</w:t>
            </w:r>
          </w:p>
        </w:tc>
      </w:tr>
    </w:tbl>
    <w:p w14:paraId="2B9739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7B18DF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 xml:space="preserve">小组（签字）：   </w:t>
      </w:r>
    </w:p>
    <w:p w14:paraId="656EE74F">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rPr>
        <w:t>注：未通过</w:t>
      </w:r>
      <w:r>
        <w:rPr>
          <w:rFonts w:hint="eastAsia" w:ascii="仿宋_GB2312" w:hAnsi="仿宋_GB2312" w:eastAsia="仿宋_GB2312" w:cs="仿宋_GB2312"/>
          <w:b/>
          <w:color w:val="auto"/>
          <w:sz w:val="32"/>
          <w:szCs w:val="32"/>
          <w:lang w:val="en-US" w:eastAsia="zh-CN"/>
        </w:rPr>
        <w:t>资格审查、符合性</w:t>
      </w:r>
      <w:r>
        <w:rPr>
          <w:rFonts w:hint="eastAsia" w:ascii="仿宋_GB2312" w:hAnsi="仿宋_GB2312" w:eastAsia="仿宋_GB2312" w:cs="仿宋_GB2312"/>
          <w:b/>
          <w:color w:val="auto"/>
          <w:sz w:val="32"/>
          <w:szCs w:val="32"/>
        </w:rPr>
        <w:t>审查的投标文件，其投标文件作为无效投标文件，不进入下一步评审</w:t>
      </w:r>
      <w:bookmarkStart w:id="437" w:name="_Toc9700"/>
      <w:bookmarkStart w:id="438" w:name="_Toc45795253"/>
    </w:p>
    <w:p w14:paraId="70631CDD">
      <w:pPr>
        <w:pStyle w:val="4"/>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p>
    <w:p w14:paraId="685709E3">
      <w:pPr>
        <w:pStyle w:val="4"/>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p>
    <w:p w14:paraId="11652DC1">
      <w:pPr>
        <w:rPr>
          <w:rFonts w:hint="eastAsia" w:ascii="仿宋_GB2312" w:hAnsi="仿宋_GB2312" w:eastAsia="仿宋_GB2312" w:cs="仿宋_GB2312"/>
          <w:color w:val="auto"/>
          <w:sz w:val="32"/>
          <w:szCs w:val="32"/>
          <w:highlight w:val="none"/>
        </w:rPr>
      </w:pPr>
    </w:p>
    <w:p w14:paraId="1E0E8582">
      <w:pPr>
        <w:rPr>
          <w:rFonts w:hint="eastAsia" w:ascii="仿宋_GB2312" w:hAnsi="仿宋_GB2312" w:eastAsia="仿宋_GB2312" w:cs="仿宋_GB2312"/>
          <w:color w:val="auto"/>
          <w:sz w:val="32"/>
          <w:szCs w:val="32"/>
          <w:highlight w:val="none"/>
        </w:rPr>
      </w:pPr>
    </w:p>
    <w:p w14:paraId="114B149D">
      <w:pPr>
        <w:rPr>
          <w:rFonts w:hint="eastAsia" w:ascii="仿宋_GB2312" w:hAnsi="仿宋_GB2312" w:eastAsia="仿宋_GB2312" w:cs="仿宋_GB2312"/>
          <w:color w:val="auto"/>
          <w:sz w:val="32"/>
          <w:szCs w:val="32"/>
          <w:highlight w:val="none"/>
        </w:rPr>
      </w:pPr>
    </w:p>
    <w:p w14:paraId="3491FAF5">
      <w:pPr>
        <w:pStyle w:val="4"/>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附表</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 xml:space="preserve">            </w:t>
      </w:r>
    </w:p>
    <w:p w14:paraId="432E581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一标段评分细则</w:t>
      </w:r>
      <w:bookmarkEnd w:id="437"/>
      <w:bookmarkEnd w:id="438"/>
    </w:p>
    <w:tbl>
      <w:tblPr>
        <w:tblStyle w:val="28"/>
        <w:tblpPr w:leftFromText="180" w:rightFromText="180" w:vertAnchor="text" w:horzAnchor="page" w:tblpX="764" w:tblpY="579"/>
        <w:tblOverlap w:val="never"/>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785"/>
        <w:gridCol w:w="6090"/>
        <w:gridCol w:w="1280"/>
      </w:tblGrid>
      <w:tr w14:paraId="18BD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603" w:type="dxa"/>
            <w:vAlign w:val="center"/>
          </w:tcPr>
          <w:p w14:paraId="3933F281">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评标</w:t>
            </w:r>
          </w:p>
          <w:p w14:paraId="0F07F791">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指标</w:t>
            </w:r>
          </w:p>
        </w:tc>
        <w:tc>
          <w:tcPr>
            <w:tcW w:w="7875" w:type="dxa"/>
            <w:gridSpan w:val="2"/>
            <w:tcBorders>
              <w:right w:val="single" w:color="auto" w:sz="4" w:space="0"/>
            </w:tcBorders>
            <w:vAlign w:val="center"/>
          </w:tcPr>
          <w:p w14:paraId="10B037F1">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评议内容</w:t>
            </w:r>
          </w:p>
        </w:tc>
        <w:tc>
          <w:tcPr>
            <w:tcW w:w="1280" w:type="dxa"/>
            <w:tcBorders>
              <w:right w:val="single" w:color="auto" w:sz="4" w:space="0"/>
            </w:tcBorders>
            <w:vAlign w:val="center"/>
          </w:tcPr>
          <w:p w14:paraId="01B78834">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分值</w:t>
            </w:r>
          </w:p>
        </w:tc>
      </w:tr>
      <w:tr w14:paraId="7488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atLeast"/>
        </w:trPr>
        <w:tc>
          <w:tcPr>
            <w:tcW w:w="1603" w:type="dxa"/>
            <w:vAlign w:val="center"/>
          </w:tcPr>
          <w:p w14:paraId="68676DDE">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报价得分（</w:t>
            </w:r>
            <w:r>
              <w:rPr>
                <w:rFonts w:hint="eastAsia" w:ascii="仿宋" w:hAnsi="仿宋" w:eastAsia="仿宋" w:cs="仿宋"/>
                <w:b/>
                <w:color w:val="auto"/>
                <w:sz w:val="32"/>
                <w:szCs w:val="32"/>
                <w:highlight w:val="none"/>
                <w:lang w:val="en-US" w:eastAsia="zh-CN"/>
              </w:rPr>
              <w:t>30</w:t>
            </w:r>
            <w:r>
              <w:rPr>
                <w:rFonts w:hint="eastAsia" w:ascii="仿宋" w:hAnsi="仿宋" w:eastAsia="仿宋" w:cs="仿宋"/>
                <w:b/>
                <w:color w:val="auto"/>
                <w:sz w:val="32"/>
                <w:szCs w:val="32"/>
                <w:highlight w:val="none"/>
              </w:rPr>
              <w:t>分）</w:t>
            </w:r>
          </w:p>
        </w:tc>
        <w:tc>
          <w:tcPr>
            <w:tcW w:w="7875" w:type="dxa"/>
            <w:gridSpan w:val="2"/>
            <w:tcBorders>
              <w:right w:val="single" w:color="auto" w:sz="4" w:space="0"/>
            </w:tcBorders>
            <w:vAlign w:val="center"/>
          </w:tcPr>
          <w:p w14:paraId="77ECAD26">
            <w:pPr>
              <w:spacing w:before="50" w:after="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价格分应当采用低价优先法计算，即满足</w:t>
            </w:r>
            <w:r>
              <w:rPr>
                <w:rFonts w:hint="eastAsia" w:ascii="仿宋" w:hAnsi="仿宋" w:eastAsia="仿宋" w:cs="仿宋"/>
                <w:color w:val="auto"/>
                <w:sz w:val="32"/>
                <w:szCs w:val="32"/>
                <w:highlight w:val="none"/>
                <w:lang w:eastAsia="zh-CN"/>
              </w:rPr>
              <w:t>招标文件</w:t>
            </w:r>
            <w:r>
              <w:rPr>
                <w:rFonts w:hint="eastAsia" w:ascii="仿宋" w:hAnsi="仿宋" w:eastAsia="仿宋" w:cs="仿宋"/>
                <w:color w:val="auto"/>
                <w:sz w:val="32"/>
                <w:szCs w:val="32"/>
                <w:highlight w:val="none"/>
              </w:rPr>
              <w:t>要求且最终投标价格最低的有效投标报价为评标基准价，其价格分为满分。其他</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的价格分统一按照下列公式计算：</w:t>
            </w:r>
          </w:p>
          <w:p w14:paraId="2F392308">
            <w:pPr>
              <w:spacing w:before="50" w:after="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投标报价得分=(评标基准价/投标报价)×100*</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w:t>
            </w:r>
          </w:p>
        </w:tc>
        <w:tc>
          <w:tcPr>
            <w:tcW w:w="1280" w:type="dxa"/>
            <w:tcBorders>
              <w:right w:val="single" w:color="auto" w:sz="4" w:space="0"/>
            </w:tcBorders>
            <w:vAlign w:val="center"/>
          </w:tcPr>
          <w:p w14:paraId="5ACD731A">
            <w:pPr>
              <w:spacing w:before="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w:t>
            </w:r>
          </w:p>
        </w:tc>
      </w:tr>
      <w:tr w14:paraId="6437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603" w:type="dxa"/>
            <w:vMerge w:val="restart"/>
            <w:vAlign w:val="center"/>
          </w:tcPr>
          <w:p w14:paraId="18BC3543">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w:t>
            </w:r>
          </w:p>
          <w:p w14:paraId="7FE131BA">
            <w:pPr>
              <w:jc w:val="center"/>
              <w:rPr>
                <w:rFonts w:hint="eastAsia" w:ascii="仿宋" w:hAnsi="仿宋" w:eastAsia="仿宋" w:cs="仿宋"/>
                <w:b/>
                <w:color w:val="auto"/>
                <w:sz w:val="32"/>
                <w:szCs w:val="32"/>
                <w:highlight w:val="none"/>
              </w:rPr>
            </w:pPr>
          </w:p>
          <w:p w14:paraId="234B5FC6">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务</w:t>
            </w:r>
          </w:p>
          <w:p w14:paraId="74D687F4">
            <w:pPr>
              <w:jc w:val="center"/>
              <w:rPr>
                <w:rFonts w:hint="eastAsia" w:ascii="仿宋" w:hAnsi="仿宋" w:eastAsia="仿宋" w:cs="仿宋"/>
                <w:b/>
                <w:color w:val="auto"/>
                <w:sz w:val="32"/>
                <w:szCs w:val="32"/>
                <w:highlight w:val="none"/>
              </w:rPr>
            </w:pPr>
          </w:p>
          <w:p w14:paraId="4360FE7F">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w:t>
            </w:r>
          </w:p>
          <w:p w14:paraId="53FD9EFB">
            <w:pPr>
              <w:jc w:val="center"/>
              <w:rPr>
                <w:rFonts w:hint="eastAsia" w:ascii="仿宋" w:hAnsi="仿宋" w:eastAsia="仿宋" w:cs="仿宋"/>
                <w:b/>
                <w:color w:val="auto"/>
                <w:sz w:val="32"/>
                <w:szCs w:val="32"/>
                <w:highlight w:val="none"/>
              </w:rPr>
            </w:pPr>
          </w:p>
          <w:p w14:paraId="6F7B1EE7">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术</w:t>
            </w:r>
          </w:p>
          <w:p w14:paraId="44313501">
            <w:pPr>
              <w:jc w:val="center"/>
              <w:rPr>
                <w:rFonts w:hint="eastAsia" w:ascii="仿宋" w:hAnsi="仿宋" w:eastAsia="仿宋" w:cs="仿宋"/>
                <w:b/>
                <w:color w:val="auto"/>
                <w:sz w:val="32"/>
                <w:szCs w:val="32"/>
                <w:highlight w:val="none"/>
              </w:rPr>
            </w:pPr>
          </w:p>
          <w:p w14:paraId="483C71F9">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w:t>
            </w:r>
          </w:p>
          <w:p w14:paraId="2F204C47">
            <w:pPr>
              <w:jc w:val="center"/>
              <w:rPr>
                <w:rFonts w:hint="eastAsia" w:ascii="仿宋" w:hAnsi="仿宋" w:eastAsia="仿宋" w:cs="仿宋"/>
                <w:b/>
                <w:color w:val="auto"/>
                <w:sz w:val="32"/>
                <w:szCs w:val="32"/>
                <w:highlight w:val="none"/>
              </w:rPr>
            </w:pPr>
          </w:p>
          <w:p w14:paraId="718752A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审</w:t>
            </w:r>
          </w:p>
          <w:p w14:paraId="2D66C765">
            <w:pPr>
              <w:jc w:val="center"/>
              <w:rPr>
                <w:rFonts w:hint="eastAsia" w:ascii="仿宋" w:hAnsi="仿宋" w:eastAsia="仿宋" w:cs="仿宋"/>
                <w:b/>
                <w:color w:val="auto"/>
                <w:sz w:val="32"/>
                <w:szCs w:val="32"/>
                <w:highlight w:val="none"/>
              </w:rPr>
            </w:pPr>
          </w:p>
          <w:p w14:paraId="566B1D3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70</w:t>
            </w:r>
            <w:r>
              <w:rPr>
                <w:rFonts w:hint="eastAsia" w:ascii="仿宋" w:hAnsi="仿宋" w:eastAsia="仿宋" w:cs="仿宋"/>
                <w:b/>
                <w:color w:val="auto"/>
                <w:sz w:val="32"/>
                <w:szCs w:val="32"/>
                <w:highlight w:val="none"/>
              </w:rPr>
              <w:t>分）</w:t>
            </w:r>
          </w:p>
        </w:tc>
        <w:tc>
          <w:tcPr>
            <w:tcW w:w="1785" w:type="dxa"/>
            <w:vAlign w:val="center"/>
          </w:tcPr>
          <w:p w14:paraId="467E956A">
            <w:pPr>
              <w:spacing w:before="50" w:after="50"/>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类似业绩</w:t>
            </w:r>
          </w:p>
        </w:tc>
        <w:tc>
          <w:tcPr>
            <w:tcW w:w="6090" w:type="dxa"/>
            <w:vAlign w:val="top"/>
          </w:tcPr>
          <w:p w14:paraId="06D87B47">
            <w:pPr>
              <w:numPr>
                <w:ilvl w:val="0"/>
                <w:numId w:val="0"/>
              </w:numPr>
              <w:spacing w:line="240" w:lineRule="auto"/>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提供</w:t>
            </w:r>
            <w:r>
              <w:rPr>
                <w:rFonts w:hint="eastAsia" w:ascii="仿宋" w:hAnsi="仿宋" w:eastAsia="仿宋" w:cs="仿宋"/>
                <w:color w:val="auto"/>
                <w:sz w:val="32"/>
                <w:szCs w:val="32"/>
                <w:highlight w:val="none"/>
                <w:lang w:val="en-US" w:eastAsia="zh-CN"/>
              </w:rPr>
              <w:t>本单位</w:t>
            </w:r>
            <w:r>
              <w:rPr>
                <w:rFonts w:hint="eastAsia" w:ascii="仿宋" w:hAnsi="仿宋" w:eastAsia="仿宋" w:cs="仿宋"/>
                <w:color w:val="auto"/>
                <w:sz w:val="32"/>
                <w:szCs w:val="32"/>
                <w:highlight w:val="none"/>
              </w:rPr>
              <w:t>近3年</w:t>
            </w:r>
            <w:r>
              <w:rPr>
                <w:rFonts w:hint="eastAsia" w:ascii="仿宋" w:hAnsi="仿宋" w:eastAsia="仿宋" w:cs="仿宋"/>
                <w:color w:val="auto"/>
                <w:sz w:val="32"/>
                <w:szCs w:val="32"/>
                <w:highlight w:val="none"/>
                <w:lang w:eastAsia="zh-CN"/>
              </w:rPr>
              <w:t>企业类似业绩</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1日至</w:t>
            </w:r>
            <w:r>
              <w:rPr>
                <w:rFonts w:hint="eastAsia" w:ascii="仿宋" w:hAnsi="仿宋" w:eastAsia="仿宋" w:cs="仿宋"/>
                <w:color w:val="auto"/>
                <w:sz w:val="32"/>
                <w:szCs w:val="32"/>
                <w:highlight w:val="none"/>
                <w:lang w:val="en-US" w:eastAsia="zh-CN"/>
              </w:rPr>
              <w:t>今</w:t>
            </w:r>
            <w:r>
              <w:rPr>
                <w:rFonts w:hint="eastAsia" w:ascii="仿宋" w:hAnsi="仿宋" w:eastAsia="仿宋" w:cs="仿宋"/>
                <w:color w:val="auto"/>
                <w:sz w:val="32"/>
                <w:szCs w:val="32"/>
                <w:highlight w:val="none"/>
              </w:rPr>
              <w:t>）业绩</w:t>
            </w:r>
            <w:r>
              <w:rPr>
                <w:rFonts w:hint="eastAsia" w:ascii="仿宋" w:hAnsi="仿宋" w:eastAsia="仿宋" w:cs="仿宋"/>
                <w:color w:val="auto"/>
                <w:sz w:val="32"/>
                <w:szCs w:val="32"/>
                <w:highlight w:val="none"/>
                <w:lang w:val="en-US" w:eastAsia="zh-CN"/>
              </w:rPr>
              <w:t>证明材料</w:t>
            </w:r>
            <w:r>
              <w:rPr>
                <w:rFonts w:hint="eastAsia" w:ascii="仿宋" w:hAnsi="仿宋" w:eastAsia="仿宋" w:cs="仿宋"/>
                <w:color w:val="auto"/>
                <w:sz w:val="32"/>
                <w:szCs w:val="32"/>
                <w:highlight w:val="none"/>
              </w:rPr>
              <w:t>，每</w:t>
            </w:r>
            <w:r>
              <w:rPr>
                <w:rFonts w:hint="eastAsia" w:ascii="仿宋" w:hAnsi="仿宋" w:eastAsia="仿宋" w:cs="仿宋"/>
                <w:color w:val="auto"/>
                <w:sz w:val="32"/>
                <w:szCs w:val="32"/>
                <w:highlight w:val="none"/>
                <w:lang w:val="en-US" w:eastAsia="zh-CN"/>
              </w:rPr>
              <w:t>提供一项</w:t>
            </w:r>
            <w:r>
              <w:rPr>
                <w:rFonts w:hint="eastAsia" w:ascii="仿宋" w:hAnsi="仿宋" w:eastAsia="仿宋" w:cs="仿宋"/>
                <w:color w:val="auto"/>
                <w:sz w:val="32"/>
                <w:szCs w:val="32"/>
                <w:highlight w:val="none"/>
              </w:rPr>
              <w:t>得</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分，最多</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w:t>
            </w:r>
          </w:p>
          <w:p w14:paraId="6D7D13C9">
            <w:pPr>
              <w:numPr>
                <w:ilvl w:val="0"/>
                <w:numId w:val="0"/>
              </w:numPr>
              <w:spacing w:line="240" w:lineRule="auto"/>
              <w:ind w:leftChars="0"/>
              <w:rPr>
                <w:rFonts w:hint="eastAsia"/>
                <w:color w:val="auto"/>
                <w:sz w:val="32"/>
                <w:szCs w:val="32"/>
                <w:lang w:val="en-US" w:eastAsia="zh-CN"/>
              </w:rPr>
            </w:pPr>
            <w:r>
              <w:rPr>
                <w:rFonts w:hint="eastAsia" w:ascii="仿宋" w:hAnsi="仿宋" w:eastAsia="仿宋" w:cs="仿宋"/>
                <w:b/>
                <w:bCs/>
                <w:color w:val="auto"/>
                <w:sz w:val="32"/>
                <w:szCs w:val="32"/>
                <w:highlight w:val="none"/>
              </w:rPr>
              <w:t>注：投标人需提供采购合同（含首页、项目内容、签字盖章页）</w:t>
            </w:r>
            <w:r>
              <w:rPr>
                <w:rFonts w:hint="eastAsia" w:ascii="仿宋" w:hAnsi="仿宋" w:eastAsia="仿宋" w:cs="仿宋"/>
                <w:b/>
                <w:bCs/>
                <w:color w:val="auto"/>
                <w:sz w:val="32"/>
                <w:szCs w:val="32"/>
                <w:highlight w:val="none"/>
                <w:lang w:eastAsia="zh-CN"/>
              </w:rPr>
              <w:t>和</w:t>
            </w:r>
            <w:r>
              <w:rPr>
                <w:rFonts w:hint="eastAsia" w:ascii="仿宋" w:hAnsi="仿宋" w:eastAsia="仿宋" w:cs="仿宋"/>
                <w:b/>
                <w:bCs/>
                <w:color w:val="auto"/>
                <w:sz w:val="32"/>
                <w:szCs w:val="32"/>
                <w:highlight w:val="none"/>
              </w:rPr>
              <w:t>中标通知书复印件，否则业绩不予认可。</w:t>
            </w:r>
          </w:p>
        </w:tc>
        <w:tc>
          <w:tcPr>
            <w:tcW w:w="1280" w:type="dxa"/>
            <w:tcBorders>
              <w:right w:val="single" w:color="auto" w:sz="4" w:space="0"/>
            </w:tcBorders>
            <w:vAlign w:val="center"/>
          </w:tcPr>
          <w:p w14:paraId="713B6E55">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分</w:t>
            </w:r>
          </w:p>
        </w:tc>
      </w:tr>
      <w:tr w14:paraId="6A5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603" w:type="dxa"/>
            <w:vMerge w:val="continue"/>
            <w:vAlign w:val="center"/>
          </w:tcPr>
          <w:p w14:paraId="06976140">
            <w:pPr>
              <w:jc w:val="left"/>
              <w:rPr>
                <w:rFonts w:hint="eastAsia" w:ascii="仿宋" w:hAnsi="仿宋" w:eastAsia="仿宋" w:cs="仿宋"/>
                <w:b/>
                <w:color w:val="auto"/>
                <w:sz w:val="32"/>
                <w:szCs w:val="32"/>
                <w:highlight w:val="none"/>
              </w:rPr>
            </w:pPr>
          </w:p>
        </w:tc>
        <w:tc>
          <w:tcPr>
            <w:tcW w:w="1785" w:type="dxa"/>
            <w:vAlign w:val="center"/>
          </w:tcPr>
          <w:p w14:paraId="01039FE6">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重要参数响应</w:t>
            </w:r>
          </w:p>
        </w:tc>
        <w:tc>
          <w:tcPr>
            <w:tcW w:w="6090" w:type="dxa"/>
            <w:vAlign w:val="center"/>
          </w:tcPr>
          <w:p w14:paraId="4309A5A3">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投标产品的技术指标评审：</w:t>
            </w:r>
          </w:p>
          <w:p w14:paraId="4209946D">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①所投产品性能指标完全满足招标文件指标，无负偏离得</w:t>
            </w:r>
            <w:r>
              <w:rPr>
                <w:rFonts w:hint="eastAsia" w:ascii="仿宋" w:hAnsi="仿宋" w:eastAsia="仿宋" w:cs="仿宋"/>
                <w:color w:val="auto"/>
                <w:kern w:val="2"/>
                <w:sz w:val="32"/>
                <w:szCs w:val="32"/>
                <w:highlight w:val="none"/>
                <w:lang w:val="en-US" w:eastAsia="zh-CN" w:bidi="ar-SA"/>
              </w:rPr>
              <w:t>24</w:t>
            </w:r>
            <w:r>
              <w:rPr>
                <w:rFonts w:hint="eastAsia" w:ascii="仿宋" w:hAnsi="仿宋" w:eastAsia="仿宋" w:cs="仿宋"/>
                <w:color w:val="auto"/>
                <w:kern w:val="2"/>
                <w:sz w:val="32"/>
                <w:szCs w:val="32"/>
                <w:highlight w:val="none"/>
                <w:lang w:val="zh-CN" w:eastAsia="zh-CN" w:bidi="ar-SA"/>
              </w:rPr>
              <w:t>分；如有负偏离，正偏离不得加分。</w:t>
            </w:r>
          </w:p>
          <w:p w14:paraId="4805F76D">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②“</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”号技术参数一项不满足扣</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分；非“</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”号技术指标参数一项不满足扣</w:t>
            </w:r>
            <w:r>
              <w:rPr>
                <w:rFonts w:hint="eastAsia" w:ascii="仿宋" w:hAnsi="仿宋" w:eastAsia="仿宋" w:cs="仿宋"/>
                <w:color w:val="auto"/>
                <w:kern w:val="2"/>
                <w:sz w:val="32"/>
                <w:szCs w:val="32"/>
                <w:highlight w:val="none"/>
                <w:lang w:val="en-US" w:eastAsia="zh-CN" w:bidi="ar-SA"/>
              </w:rPr>
              <w:t>0.5</w:t>
            </w:r>
            <w:r>
              <w:rPr>
                <w:rFonts w:hint="eastAsia" w:ascii="仿宋" w:hAnsi="仿宋" w:eastAsia="仿宋" w:cs="仿宋"/>
                <w:color w:val="auto"/>
                <w:kern w:val="2"/>
                <w:sz w:val="32"/>
                <w:szCs w:val="32"/>
                <w:highlight w:val="none"/>
                <w:lang w:val="zh-CN" w:eastAsia="zh-CN" w:bidi="ar-SA"/>
              </w:rPr>
              <w:t>分，（基准分</w:t>
            </w:r>
            <w:r>
              <w:rPr>
                <w:rFonts w:hint="eastAsia" w:ascii="仿宋" w:hAnsi="仿宋" w:eastAsia="仿宋" w:cs="仿宋"/>
                <w:color w:val="auto"/>
                <w:kern w:val="2"/>
                <w:sz w:val="32"/>
                <w:szCs w:val="32"/>
                <w:highlight w:val="none"/>
                <w:lang w:val="en-US" w:eastAsia="zh-CN" w:bidi="ar-SA"/>
              </w:rPr>
              <w:t>24</w:t>
            </w:r>
            <w:r>
              <w:rPr>
                <w:rFonts w:hint="eastAsia" w:ascii="仿宋" w:hAnsi="仿宋" w:eastAsia="仿宋" w:cs="仿宋"/>
                <w:color w:val="auto"/>
                <w:kern w:val="2"/>
                <w:sz w:val="32"/>
                <w:szCs w:val="32"/>
                <w:highlight w:val="none"/>
                <w:lang w:val="zh-CN" w:eastAsia="zh-CN" w:bidi="ar-SA"/>
              </w:rPr>
              <w:t>分，最低得分0分）；</w:t>
            </w:r>
          </w:p>
          <w:p w14:paraId="54BC3D5E">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③完全满足招标文件指标的情况下，“</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”号技术参数一项优于招标文件参数加1分；非“</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”号技术指标参数一项优于招标文件加0.5分，本项最多加10分。</w:t>
            </w:r>
          </w:p>
          <w:p w14:paraId="52D499E6">
            <w:pPr>
              <w:autoSpaceDE w:val="0"/>
              <w:autoSpaceDN w:val="0"/>
              <w:adjustRightInd w:val="0"/>
              <w:snapToGrid w:val="0"/>
              <w:spacing w:line="240" w:lineRule="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zh-CN" w:eastAsia="zh-CN" w:bidi="ar-SA"/>
              </w:rPr>
              <w:t>（说明：以投标人提供响应招标文件的国家法定检测机构出具的关于本次招标主要产品的检测报告中的检测结果数据及产品官方宣传彩页、产品说明书及相关体系证书、商务要求是否响应符合；根据以上提供相关证明材料为依据，未提供或不符合要求的，视为不响应技术参数。）</w:t>
            </w:r>
          </w:p>
        </w:tc>
        <w:tc>
          <w:tcPr>
            <w:tcW w:w="1280" w:type="dxa"/>
            <w:tcBorders>
              <w:right w:val="single" w:color="auto" w:sz="4" w:space="0"/>
            </w:tcBorders>
            <w:vAlign w:val="center"/>
          </w:tcPr>
          <w:p w14:paraId="3DEAB405">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0-34</w:t>
            </w:r>
            <w:r>
              <w:rPr>
                <w:rFonts w:hint="eastAsia" w:ascii="仿宋" w:hAnsi="仿宋" w:eastAsia="仿宋" w:cs="仿宋"/>
                <w:color w:val="auto"/>
                <w:sz w:val="32"/>
                <w:szCs w:val="32"/>
                <w:highlight w:val="none"/>
              </w:rPr>
              <w:t>分</w:t>
            </w:r>
          </w:p>
        </w:tc>
      </w:tr>
      <w:tr w14:paraId="717C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1603" w:type="dxa"/>
            <w:vMerge w:val="continue"/>
            <w:vAlign w:val="center"/>
          </w:tcPr>
          <w:p w14:paraId="72DE4D05">
            <w:pPr>
              <w:jc w:val="left"/>
              <w:rPr>
                <w:rFonts w:hint="eastAsia" w:ascii="仿宋" w:hAnsi="仿宋" w:eastAsia="仿宋" w:cs="仿宋"/>
                <w:b/>
                <w:color w:val="auto"/>
                <w:sz w:val="32"/>
                <w:szCs w:val="32"/>
                <w:highlight w:val="none"/>
              </w:rPr>
            </w:pPr>
          </w:p>
        </w:tc>
        <w:tc>
          <w:tcPr>
            <w:tcW w:w="1785" w:type="dxa"/>
            <w:vAlign w:val="center"/>
          </w:tcPr>
          <w:p w14:paraId="7FB3636A">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技术先进性</w:t>
            </w:r>
          </w:p>
        </w:tc>
        <w:tc>
          <w:tcPr>
            <w:tcW w:w="6090" w:type="dxa"/>
            <w:vAlign w:val="center"/>
          </w:tcPr>
          <w:p w14:paraId="565E11B9">
            <w:pPr>
              <w:pStyle w:val="11"/>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1.提供医疗器械注册证近三年的得1分；2.提供设备生产日期近6个月的得1分（需提供承诺函）</w:t>
            </w:r>
          </w:p>
        </w:tc>
        <w:tc>
          <w:tcPr>
            <w:tcW w:w="1280" w:type="dxa"/>
            <w:tcBorders>
              <w:right w:val="single" w:color="auto" w:sz="4" w:space="0"/>
            </w:tcBorders>
            <w:vAlign w:val="center"/>
          </w:tcPr>
          <w:p w14:paraId="4E81543F">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0-2分</w:t>
            </w:r>
          </w:p>
        </w:tc>
      </w:tr>
      <w:tr w14:paraId="2AEC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603" w:type="dxa"/>
            <w:vMerge w:val="continue"/>
            <w:vAlign w:val="center"/>
          </w:tcPr>
          <w:p w14:paraId="27AD24DA">
            <w:pPr>
              <w:jc w:val="left"/>
              <w:rPr>
                <w:rFonts w:hint="eastAsia" w:ascii="仿宋" w:hAnsi="仿宋" w:eastAsia="仿宋" w:cs="仿宋"/>
                <w:b/>
                <w:color w:val="auto"/>
                <w:sz w:val="32"/>
                <w:szCs w:val="32"/>
                <w:highlight w:val="none"/>
              </w:rPr>
            </w:pPr>
          </w:p>
        </w:tc>
        <w:tc>
          <w:tcPr>
            <w:tcW w:w="1785" w:type="dxa"/>
            <w:vAlign w:val="center"/>
          </w:tcPr>
          <w:p w14:paraId="6B47A979">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项目实施</w:t>
            </w:r>
          </w:p>
          <w:p w14:paraId="765701A8">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方案</w:t>
            </w:r>
          </w:p>
        </w:tc>
        <w:tc>
          <w:tcPr>
            <w:tcW w:w="6090" w:type="dxa"/>
            <w:vAlign w:val="center"/>
          </w:tcPr>
          <w:p w14:paraId="2DC3E765">
            <w:p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zh-CN" w:eastAsia="zh-CN" w:bidi="ar-SA"/>
              </w:rPr>
              <w:t>评标委员会根据投标人提供的项目实施方案进行综合比较打分：方案内容全面、完整</w:t>
            </w:r>
            <w:r>
              <w:rPr>
                <w:rFonts w:hint="eastAsia" w:ascii="仿宋" w:hAnsi="仿宋" w:eastAsia="仿宋" w:cs="仿宋"/>
                <w:color w:val="auto"/>
                <w:kern w:val="2"/>
                <w:sz w:val="32"/>
                <w:szCs w:val="32"/>
                <w:highlight w:val="none"/>
                <w:lang w:val="en-US" w:eastAsia="zh-CN" w:bidi="ar-SA"/>
              </w:rPr>
              <w:t>且优于其他供应商</w:t>
            </w:r>
            <w:r>
              <w:rPr>
                <w:rFonts w:hint="eastAsia" w:ascii="仿宋" w:hAnsi="仿宋" w:eastAsia="仿宋" w:cs="仿宋"/>
                <w:color w:val="auto"/>
                <w:kern w:val="2"/>
                <w:sz w:val="32"/>
                <w:szCs w:val="32"/>
                <w:highlight w:val="none"/>
                <w:lang w:val="zh-CN" w:eastAsia="zh-CN" w:bidi="ar-SA"/>
              </w:rPr>
              <w:t>得</w:t>
            </w:r>
            <w:r>
              <w:rPr>
                <w:rFonts w:hint="eastAsia" w:ascii="仿宋" w:hAnsi="仿宋" w:eastAsia="仿宋" w:cs="仿宋"/>
                <w:color w:val="auto"/>
                <w:kern w:val="2"/>
                <w:sz w:val="32"/>
                <w:szCs w:val="32"/>
                <w:highlight w:val="none"/>
                <w:lang w:val="en-US" w:eastAsia="zh-CN" w:bidi="ar-SA"/>
              </w:rPr>
              <w:t>5</w:t>
            </w:r>
            <w:r>
              <w:rPr>
                <w:rFonts w:hint="eastAsia" w:ascii="仿宋" w:hAnsi="仿宋" w:eastAsia="仿宋" w:cs="仿宋"/>
                <w:color w:val="auto"/>
                <w:kern w:val="2"/>
                <w:sz w:val="32"/>
                <w:szCs w:val="32"/>
                <w:highlight w:val="none"/>
                <w:lang w:val="zh-CN" w:eastAsia="zh-CN" w:bidi="ar-SA"/>
              </w:rPr>
              <w:t>分；方案内容全面、完整得</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分；方案内容基本全面、基本完整得</w:t>
            </w: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分；方案内容较全面、较完整得</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分；方案较差或不提供方案不得分。</w:t>
            </w:r>
          </w:p>
        </w:tc>
        <w:tc>
          <w:tcPr>
            <w:tcW w:w="1280" w:type="dxa"/>
            <w:tcBorders>
              <w:right w:val="single" w:color="auto" w:sz="4" w:space="0"/>
            </w:tcBorders>
            <w:vAlign w:val="center"/>
          </w:tcPr>
          <w:p w14:paraId="4FFF0137">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0-5分</w:t>
            </w:r>
          </w:p>
        </w:tc>
      </w:tr>
      <w:tr w14:paraId="1E3A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603" w:type="dxa"/>
            <w:vMerge w:val="continue"/>
            <w:vAlign w:val="center"/>
          </w:tcPr>
          <w:p w14:paraId="25E94854">
            <w:pPr>
              <w:jc w:val="left"/>
              <w:rPr>
                <w:rFonts w:hint="eastAsia" w:ascii="仿宋" w:hAnsi="仿宋" w:eastAsia="仿宋" w:cs="仿宋"/>
                <w:b/>
                <w:color w:val="auto"/>
                <w:sz w:val="32"/>
                <w:szCs w:val="32"/>
                <w:highlight w:val="none"/>
              </w:rPr>
            </w:pPr>
          </w:p>
        </w:tc>
        <w:tc>
          <w:tcPr>
            <w:tcW w:w="1785" w:type="dxa"/>
            <w:vAlign w:val="center"/>
          </w:tcPr>
          <w:p w14:paraId="71080441">
            <w:pPr>
              <w:widowControl/>
              <w:spacing w:line="3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售后</w:t>
            </w:r>
            <w:r>
              <w:rPr>
                <w:rFonts w:hint="eastAsia" w:ascii="仿宋" w:hAnsi="仿宋" w:eastAsia="仿宋" w:cs="仿宋"/>
                <w:color w:val="auto"/>
                <w:sz w:val="32"/>
                <w:szCs w:val="32"/>
                <w:highlight w:val="none"/>
                <w:lang w:val="zh-CN"/>
              </w:rPr>
              <w:t>服务</w:t>
            </w:r>
          </w:p>
        </w:tc>
        <w:tc>
          <w:tcPr>
            <w:tcW w:w="6090" w:type="dxa"/>
            <w:vAlign w:val="center"/>
          </w:tcPr>
          <w:p w14:paraId="125FD46F">
            <w:pPr>
              <w:autoSpaceDE w:val="0"/>
              <w:autoSpaceDN w:val="0"/>
              <w:adjustRightInd w:val="0"/>
              <w:snapToGrid w:val="0"/>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针对该项目有厂家承诺和经销商承诺有详尽售后服务，售后服务计划、售后服务措施、有售后服务机构，出具相关证明材料，按其响应程度计0-3分。</w:t>
            </w:r>
          </w:p>
        </w:tc>
        <w:tc>
          <w:tcPr>
            <w:tcW w:w="1280" w:type="dxa"/>
            <w:tcBorders>
              <w:right w:val="single" w:color="auto" w:sz="4" w:space="0"/>
            </w:tcBorders>
            <w:vAlign w:val="center"/>
          </w:tcPr>
          <w:p w14:paraId="50169DD1">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分</w:t>
            </w:r>
          </w:p>
        </w:tc>
      </w:tr>
      <w:tr w14:paraId="1B08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trPr>
        <w:tc>
          <w:tcPr>
            <w:tcW w:w="1603" w:type="dxa"/>
            <w:vMerge w:val="continue"/>
            <w:vAlign w:val="center"/>
          </w:tcPr>
          <w:p w14:paraId="06C57D34">
            <w:pPr>
              <w:jc w:val="left"/>
              <w:rPr>
                <w:rFonts w:hint="eastAsia" w:ascii="仿宋" w:hAnsi="仿宋" w:eastAsia="仿宋" w:cs="仿宋"/>
                <w:b/>
                <w:color w:val="auto"/>
                <w:sz w:val="32"/>
                <w:szCs w:val="32"/>
                <w:highlight w:val="none"/>
              </w:rPr>
            </w:pPr>
          </w:p>
        </w:tc>
        <w:tc>
          <w:tcPr>
            <w:tcW w:w="1785" w:type="dxa"/>
            <w:vAlign w:val="center"/>
          </w:tcPr>
          <w:p w14:paraId="08AF3889">
            <w:pPr>
              <w:autoSpaceDE w:val="0"/>
              <w:autoSpaceDN w:val="0"/>
              <w:adjustRightInd w:val="0"/>
              <w:snapToGrid w:val="0"/>
              <w:spacing w:line="24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质保期后维护方案及费用情况</w:t>
            </w:r>
          </w:p>
        </w:tc>
        <w:tc>
          <w:tcPr>
            <w:tcW w:w="6090" w:type="dxa"/>
            <w:vAlign w:val="center"/>
          </w:tcPr>
          <w:p w14:paraId="06D079BE">
            <w:pPr>
              <w:numPr>
                <w:ilvl w:val="0"/>
                <w:numId w:val="56"/>
              </w:num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投标人需提供备品备件价目表、配套耗材价目表，提供一项得1.5分，本项满分3分，不提供不得分。</w:t>
            </w:r>
          </w:p>
          <w:p w14:paraId="78CDC403">
            <w:pPr>
              <w:numPr>
                <w:ilvl w:val="0"/>
                <w:numId w:val="56"/>
              </w:num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投标人承诺质保期后的维修仍然按照备品备件、配套耗材表内价格收取费用，提供承诺得2分，不提供不得分。</w:t>
            </w:r>
          </w:p>
        </w:tc>
        <w:tc>
          <w:tcPr>
            <w:tcW w:w="1280" w:type="dxa"/>
            <w:tcBorders>
              <w:right w:val="single" w:color="auto" w:sz="4" w:space="0"/>
            </w:tcBorders>
            <w:vAlign w:val="center"/>
          </w:tcPr>
          <w:p w14:paraId="54FA775A">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0-5分</w:t>
            </w:r>
          </w:p>
        </w:tc>
      </w:tr>
      <w:tr w14:paraId="4B35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5" w:hRule="atLeast"/>
        </w:trPr>
        <w:tc>
          <w:tcPr>
            <w:tcW w:w="1603" w:type="dxa"/>
            <w:vMerge w:val="continue"/>
          </w:tcPr>
          <w:p w14:paraId="06E99D69">
            <w:pPr>
              <w:jc w:val="left"/>
              <w:rPr>
                <w:rFonts w:hint="eastAsia" w:ascii="仿宋" w:hAnsi="仿宋" w:eastAsia="仿宋" w:cs="仿宋"/>
                <w:color w:val="auto"/>
                <w:sz w:val="32"/>
                <w:szCs w:val="32"/>
                <w:highlight w:val="none"/>
              </w:rPr>
            </w:pPr>
          </w:p>
        </w:tc>
        <w:tc>
          <w:tcPr>
            <w:tcW w:w="1785" w:type="dxa"/>
            <w:vAlign w:val="center"/>
          </w:tcPr>
          <w:p w14:paraId="273A993E">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培训方案</w:t>
            </w:r>
          </w:p>
        </w:tc>
        <w:tc>
          <w:tcPr>
            <w:tcW w:w="6090" w:type="dxa"/>
            <w:vAlign w:val="center"/>
          </w:tcPr>
          <w:p w14:paraId="3B2724D0">
            <w:pPr>
              <w:numPr>
                <w:ilvl w:val="0"/>
                <w:numId w:val="0"/>
              </w:numPr>
              <w:spacing w:line="240" w:lineRule="auto"/>
              <w:ind w:left="0" w:leftChars="0" w:firstLine="0" w:firstLineChars="0"/>
              <w:rPr>
                <w:rFonts w:hint="default"/>
                <w:color w:val="auto"/>
                <w:sz w:val="32"/>
                <w:szCs w:val="32"/>
                <w:highlight w:val="none"/>
                <w:lang w:val="en-US" w:eastAsia="zh-CN"/>
              </w:rPr>
            </w:pPr>
            <w:r>
              <w:rPr>
                <w:rFonts w:hint="eastAsia" w:ascii="仿宋" w:hAnsi="仿宋" w:eastAsia="仿宋" w:cs="仿宋"/>
                <w:color w:val="auto"/>
                <w:sz w:val="32"/>
                <w:szCs w:val="32"/>
              </w:rPr>
              <w:t>投标人提供完整的项目培训方案，方案方法得当、条理清晰，安排合理，能够充分保障项目培训效果，得</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分；方案基本能够保证项目培训效果，并能体现相关培训规划，得</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分；投标人不能提供项目培训方案，或方案内容粗浅单一，不得分。</w:t>
            </w:r>
          </w:p>
        </w:tc>
        <w:tc>
          <w:tcPr>
            <w:tcW w:w="1280" w:type="dxa"/>
            <w:tcBorders>
              <w:right w:val="single" w:color="auto" w:sz="4" w:space="0"/>
            </w:tcBorders>
            <w:vAlign w:val="center"/>
          </w:tcPr>
          <w:p w14:paraId="39691661">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分</w:t>
            </w:r>
          </w:p>
        </w:tc>
      </w:tr>
      <w:tr w14:paraId="418D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trPr>
        <w:tc>
          <w:tcPr>
            <w:tcW w:w="1603" w:type="dxa"/>
            <w:vMerge w:val="continue"/>
          </w:tcPr>
          <w:p w14:paraId="7E64088B">
            <w:pPr>
              <w:jc w:val="left"/>
              <w:rPr>
                <w:rFonts w:hint="eastAsia" w:ascii="仿宋" w:hAnsi="仿宋" w:eastAsia="仿宋" w:cs="仿宋"/>
                <w:color w:val="auto"/>
                <w:sz w:val="32"/>
                <w:szCs w:val="32"/>
                <w:highlight w:val="none"/>
              </w:rPr>
            </w:pPr>
          </w:p>
        </w:tc>
        <w:tc>
          <w:tcPr>
            <w:tcW w:w="1785" w:type="dxa"/>
            <w:vAlign w:val="center"/>
          </w:tcPr>
          <w:p w14:paraId="11D2B682">
            <w:pPr>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供货、安装、调试</w:t>
            </w:r>
            <w:r>
              <w:rPr>
                <w:rFonts w:hint="default" w:ascii="仿宋" w:hAnsi="仿宋" w:eastAsia="仿宋" w:cs="仿宋"/>
                <w:color w:val="auto"/>
                <w:sz w:val="32"/>
                <w:szCs w:val="32"/>
                <w:highlight w:val="none"/>
                <w:lang w:val="en-US" w:eastAsia="zh-CN"/>
              </w:rPr>
              <w:t>方案</w:t>
            </w:r>
          </w:p>
        </w:tc>
        <w:tc>
          <w:tcPr>
            <w:tcW w:w="6090" w:type="dxa"/>
            <w:vAlign w:val="center"/>
          </w:tcPr>
          <w:p w14:paraId="71A6188F">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lang w:val="en-US" w:eastAsia="zh-CN"/>
              </w:rPr>
              <w:t>供货、安装、调试及应急保证方案计划详细有针对性、</w:t>
            </w:r>
            <w:r>
              <w:rPr>
                <w:rFonts w:hint="default" w:ascii="仿宋" w:hAnsi="仿宋" w:eastAsia="仿宋" w:cs="仿宋"/>
                <w:color w:val="auto"/>
                <w:sz w:val="32"/>
                <w:szCs w:val="32"/>
                <w:lang w:val="en-US" w:eastAsia="zh-CN"/>
              </w:rPr>
              <w:t>供货进度保证措施合理且切实可行，产品安装、调试的技术保证措施完善，能够保证供应货物的履约时间。有具体的供货安装调试时间进度计划表，得</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分；有缺漏项的，每有一项缺漏扣</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分，直至扣完为止。</w:t>
            </w:r>
          </w:p>
        </w:tc>
        <w:tc>
          <w:tcPr>
            <w:tcW w:w="1280" w:type="dxa"/>
            <w:tcBorders>
              <w:right w:val="single" w:color="auto" w:sz="4" w:space="0"/>
            </w:tcBorders>
            <w:vAlign w:val="center"/>
          </w:tcPr>
          <w:p w14:paraId="6B056310">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分</w:t>
            </w:r>
          </w:p>
        </w:tc>
      </w:tr>
      <w:tr w14:paraId="0C0A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603" w:type="dxa"/>
          </w:tcPr>
          <w:p w14:paraId="67BC6862">
            <w:pPr>
              <w:jc w:val="left"/>
              <w:rPr>
                <w:rFonts w:hint="eastAsia" w:ascii="仿宋" w:hAnsi="仿宋" w:eastAsia="仿宋" w:cs="仿宋"/>
                <w:color w:val="auto"/>
                <w:sz w:val="32"/>
                <w:szCs w:val="32"/>
                <w:highlight w:val="none"/>
              </w:rPr>
            </w:pPr>
          </w:p>
        </w:tc>
        <w:tc>
          <w:tcPr>
            <w:tcW w:w="1785" w:type="dxa"/>
            <w:vAlign w:val="center"/>
          </w:tcPr>
          <w:p w14:paraId="4DB7ABFA">
            <w:pPr>
              <w:jc w:val="center"/>
              <w:rPr>
                <w:color w:val="auto"/>
              </w:rPr>
            </w:pPr>
            <w:r>
              <w:rPr>
                <w:rFonts w:hint="eastAsia" w:ascii="仿宋" w:hAnsi="仿宋" w:eastAsia="仿宋" w:cs="仿宋"/>
                <w:color w:val="auto"/>
                <w:kern w:val="2"/>
                <w:sz w:val="32"/>
                <w:szCs w:val="32"/>
                <w:highlight w:val="none"/>
                <w:lang w:val="en-US" w:eastAsia="zh-CN" w:bidi="ar-SA"/>
              </w:rPr>
              <w:t>应急方案</w:t>
            </w:r>
          </w:p>
          <w:p w14:paraId="7D73CD66">
            <w:pPr>
              <w:jc w:val="center"/>
              <w:rPr>
                <w:color w:val="auto"/>
              </w:rPr>
            </w:pPr>
          </w:p>
          <w:p w14:paraId="6F596347">
            <w:pPr>
              <w:jc w:val="center"/>
              <w:rPr>
                <w:rFonts w:hint="default"/>
                <w:color w:val="auto"/>
                <w:lang w:val="en-US" w:eastAsia="zh-CN"/>
              </w:rPr>
            </w:pPr>
          </w:p>
        </w:tc>
        <w:tc>
          <w:tcPr>
            <w:tcW w:w="6090" w:type="dxa"/>
            <w:vAlign w:val="center"/>
          </w:tcPr>
          <w:p w14:paraId="171230BF">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综合考虑供应商提供的本项目应急处理方案对采购需求的响应程度，从方案内容完整、科学合理、具有可行性3项内容进行评价，且在应急情况下(自然灾害等不可抗力因素情况除外)，中标方能承诺在</w:t>
            </w:r>
            <w:r>
              <w:rPr>
                <w:rFonts w:hint="eastAsia" w:ascii="仿宋" w:hAnsi="仿宋" w:eastAsia="仿宋" w:cs="仿宋"/>
                <w:color w:val="auto"/>
                <w:kern w:val="2"/>
                <w:sz w:val="32"/>
                <w:szCs w:val="32"/>
                <w:highlight w:val="none"/>
                <w:lang w:val="en-US" w:eastAsia="zh-CN" w:bidi="ar-SA"/>
              </w:rPr>
              <w:t>24</w:t>
            </w:r>
            <w:r>
              <w:rPr>
                <w:rFonts w:hint="eastAsia" w:ascii="仿宋" w:hAnsi="仿宋" w:eastAsia="仿宋" w:cs="仿宋"/>
                <w:color w:val="auto"/>
                <w:kern w:val="2"/>
                <w:sz w:val="32"/>
                <w:szCs w:val="32"/>
                <w:highlight w:val="none"/>
                <w:lang w:val="zh-CN" w:eastAsia="zh-CN" w:bidi="ar-SA"/>
              </w:rPr>
              <w:t>小时内到达</w:t>
            </w:r>
            <w:r>
              <w:rPr>
                <w:rFonts w:hint="eastAsia" w:ascii="仿宋" w:hAnsi="仿宋" w:eastAsia="仿宋" w:cs="仿宋"/>
                <w:color w:val="auto"/>
                <w:kern w:val="2"/>
                <w:sz w:val="32"/>
                <w:szCs w:val="32"/>
                <w:highlight w:val="none"/>
                <w:lang w:val="en-US" w:eastAsia="zh-CN" w:bidi="ar-SA"/>
              </w:rPr>
              <w:t>伊犁州友谊医院</w:t>
            </w:r>
            <w:r>
              <w:rPr>
                <w:rFonts w:hint="eastAsia" w:ascii="仿宋" w:hAnsi="仿宋" w:eastAsia="仿宋" w:cs="仿宋"/>
                <w:color w:val="auto"/>
                <w:kern w:val="2"/>
                <w:sz w:val="32"/>
                <w:szCs w:val="32"/>
                <w:highlight w:val="none"/>
                <w:lang w:val="zh-CN" w:eastAsia="zh-CN" w:bidi="ar-SA"/>
              </w:rPr>
              <w:t>配合解决(含节假日)。如相关负责的专职人员、应急配送车辆，应急库存</w:t>
            </w:r>
            <w:r>
              <w:rPr>
                <w:rFonts w:hint="eastAsia" w:ascii="仿宋" w:hAnsi="仿宋" w:eastAsia="仿宋" w:cs="仿宋"/>
                <w:color w:val="auto"/>
                <w:kern w:val="2"/>
                <w:sz w:val="32"/>
                <w:szCs w:val="32"/>
                <w:highlight w:val="none"/>
                <w:lang w:val="en-US" w:eastAsia="zh-CN" w:bidi="ar-SA"/>
              </w:rPr>
              <w:t>备品备件</w:t>
            </w:r>
            <w:r>
              <w:rPr>
                <w:rFonts w:hint="eastAsia" w:ascii="仿宋" w:hAnsi="仿宋" w:eastAsia="仿宋" w:cs="仿宋"/>
                <w:color w:val="auto"/>
                <w:kern w:val="2"/>
                <w:sz w:val="32"/>
                <w:szCs w:val="32"/>
                <w:highlight w:val="none"/>
                <w:lang w:val="zh-CN" w:eastAsia="zh-CN" w:bidi="ar-SA"/>
              </w:rPr>
              <w:t>数量等。</w:t>
            </w:r>
          </w:p>
          <w:p w14:paraId="62D572DA">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方案内容全面、完整</w:t>
            </w:r>
            <w:r>
              <w:rPr>
                <w:rFonts w:hint="eastAsia" w:ascii="仿宋" w:hAnsi="仿宋" w:eastAsia="仿宋" w:cs="仿宋"/>
                <w:color w:val="auto"/>
                <w:kern w:val="2"/>
                <w:sz w:val="32"/>
                <w:szCs w:val="32"/>
                <w:highlight w:val="none"/>
                <w:lang w:val="en-US" w:eastAsia="zh-CN" w:bidi="ar-SA"/>
              </w:rPr>
              <w:t>且优于其他供应商</w:t>
            </w:r>
            <w:r>
              <w:rPr>
                <w:rFonts w:hint="eastAsia" w:ascii="仿宋" w:hAnsi="仿宋" w:eastAsia="仿宋" w:cs="仿宋"/>
                <w:color w:val="auto"/>
                <w:kern w:val="2"/>
                <w:sz w:val="32"/>
                <w:szCs w:val="32"/>
                <w:highlight w:val="none"/>
                <w:lang w:val="zh-CN" w:eastAsia="zh-CN" w:bidi="ar-SA"/>
              </w:rPr>
              <w:t>得</w:t>
            </w:r>
            <w:r>
              <w:rPr>
                <w:rFonts w:hint="eastAsia" w:ascii="仿宋" w:hAnsi="仿宋" w:eastAsia="仿宋" w:cs="仿宋"/>
                <w:color w:val="auto"/>
                <w:kern w:val="2"/>
                <w:sz w:val="32"/>
                <w:szCs w:val="32"/>
                <w:highlight w:val="none"/>
                <w:lang w:val="en-US" w:eastAsia="zh-CN" w:bidi="ar-SA"/>
              </w:rPr>
              <w:t>5</w:t>
            </w:r>
            <w:r>
              <w:rPr>
                <w:rFonts w:hint="eastAsia" w:ascii="仿宋" w:hAnsi="仿宋" w:eastAsia="仿宋" w:cs="仿宋"/>
                <w:color w:val="auto"/>
                <w:kern w:val="2"/>
                <w:sz w:val="32"/>
                <w:szCs w:val="32"/>
                <w:highlight w:val="none"/>
                <w:lang w:val="zh-CN" w:eastAsia="zh-CN" w:bidi="ar-SA"/>
              </w:rPr>
              <w:t>分；</w:t>
            </w:r>
          </w:p>
          <w:p w14:paraId="75E1C036">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方案内容全面、完整得</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分；</w:t>
            </w:r>
          </w:p>
          <w:p w14:paraId="6EEE0136">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方案内容基本全面、基本完整得</w:t>
            </w: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分；方案内容较全面、较完整得</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w:t>
            </w:r>
          </w:p>
          <w:p w14:paraId="08799034">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zh-CN" w:eastAsia="zh-CN" w:bidi="ar-SA"/>
              </w:rPr>
              <w:t>方案较差或不提供方案不得分。</w:t>
            </w:r>
          </w:p>
        </w:tc>
        <w:tc>
          <w:tcPr>
            <w:tcW w:w="1280" w:type="dxa"/>
            <w:tcBorders>
              <w:right w:val="single" w:color="auto" w:sz="4" w:space="0"/>
            </w:tcBorders>
            <w:vAlign w:val="center"/>
          </w:tcPr>
          <w:p w14:paraId="69950D55">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0-5分</w:t>
            </w:r>
          </w:p>
        </w:tc>
      </w:tr>
      <w:tr w14:paraId="334B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603" w:type="dxa"/>
          </w:tcPr>
          <w:p w14:paraId="5787A285">
            <w:pPr>
              <w:jc w:val="left"/>
              <w:rPr>
                <w:rFonts w:hint="eastAsia" w:ascii="仿宋" w:hAnsi="仿宋" w:eastAsia="仿宋" w:cs="仿宋"/>
                <w:color w:val="auto"/>
                <w:sz w:val="32"/>
                <w:szCs w:val="32"/>
                <w:highlight w:val="none"/>
              </w:rPr>
            </w:pPr>
          </w:p>
        </w:tc>
        <w:tc>
          <w:tcPr>
            <w:tcW w:w="1785" w:type="dxa"/>
            <w:vAlign w:val="center"/>
          </w:tcPr>
          <w:p w14:paraId="07412D94">
            <w:pPr>
              <w:jc w:val="center"/>
              <w:rPr>
                <w:color w:val="auto"/>
              </w:rPr>
            </w:pPr>
            <w:r>
              <w:rPr>
                <w:rFonts w:hint="eastAsia" w:ascii="仿宋" w:hAnsi="仿宋" w:eastAsia="仿宋" w:cs="仿宋"/>
                <w:color w:val="auto"/>
                <w:kern w:val="2"/>
                <w:sz w:val="32"/>
                <w:szCs w:val="32"/>
                <w:highlight w:val="none"/>
                <w:lang w:val="en-US" w:eastAsia="zh-CN" w:bidi="ar-SA"/>
              </w:rPr>
              <w:t>投标设备可操作性</w:t>
            </w:r>
          </w:p>
        </w:tc>
        <w:tc>
          <w:tcPr>
            <w:tcW w:w="6090" w:type="dxa"/>
            <w:vAlign w:val="center"/>
          </w:tcPr>
          <w:p w14:paraId="2769BCCA">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1、设备操作步骤简化、流程规范，具备常用参数预设、一键操作、模式快速切换等功能，培训成本低，得3分；</w:t>
            </w:r>
          </w:p>
          <w:p w14:paraId="1E46D567">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2、操作流程一般，功能基本满足，需一定培训方可熟练使用，得2分；</w:t>
            </w:r>
          </w:p>
          <w:p w14:paraId="0E6A57BE">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3、操作复杂、步骤繁琐，上手难度大，得1分。</w:t>
            </w:r>
          </w:p>
          <w:p w14:paraId="1B42DA98">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注：需提供所投产品的图片资料及产品说明书，不提供的不得分。</w:t>
            </w:r>
          </w:p>
        </w:tc>
        <w:tc>
          <w:tcPr>
            <w:tcW w:w="1280" w:type="dxa"/>
            <w:tcBorders>
              <w:right w:val="single" w:color="auto" w:sz="4" w:space="0"/>
            </w:tcBorders>
            <w:vAlign w:val="center"/>
          </w:tcPr>
          <w:p w14:paraId="5A2D3271">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0-3分</w:t>
            </w:r>
          </w:p>
        </w:tc>
      </w:tr>
      <w:tr w14:paraId="5B11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603" w:type="dxa"/>
          </w:tcPr>
          <w:p w14:paraId="7B7FE890">
            <w:pPr>
              <w:jc w:val="left"/>
              <w:rPr>
                <w:rFonts w:hint="eastAsia" w:ascii="仿宋" w:hAnsi="仿宋" w:eastAsia="仿宋" w:cs="仿宋"/>
                <w:color w:val="auto"/>
                <w:sz w:val="32"/>
                <w:szCs w:val="32"/>
                <w:highlight w:val="none"/>
              </w:rPr>
            </w:pPr>
          </w:p>
        </w:tc>
        <w:tc>
          <w:tcPr>
            <w:tcW w:w="1785" w:type="dxa"/>
            <w:vAlign w:val="center"/>
          </w:tcPr>
          <w:p w14:paraId="0D01A78C">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投标设备可维护性</w:t>
            </w:r>
          </w:p>
        </w:tc>
        <w:tc>
          <w:tcPr>
            <w:tcW w:w="6090" w:type="dxa"/>
            <w:vAlign w:val="center"/>
          </w:tcPr>
          <w:p w14:paraId="5299CF11">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1、具备自诊断、故障代码显示、维护提醒、日志记录功能，便于快速定位故障，得2分；</w:t>
            </w:r>
          </w:p>
          <w:p w14:paraId="41505B79">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2、具备基本故障提示功能，得1分；</w:t>
            </w:r>
          </w:p>
          <w:p w14:paraId="2F8ECFC4">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3、无故障诊断及维护提示功能，得0分。</w:t>
            </w:r>
          </w:p>
          <w:p w14:paraId="4DCB571C">
            <w:pP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注：需提供所投产品的图片资料及产品说明书，不提供的不得分。</w:t>
            </w:r>
          </w:p>
        </w:tc>
        <w:tc>
          <w:tcPr>
            <w:tcW w:w="1280" w:type="dxa"/>
            <w:tcBorders>
              <w:right w:val="single" w:color="auto" w:sz="4" w:space="0"/>
            </w:tcBorders>
            <w:vAlign w:val="center"/>
          </w:tcPr>
          <w:p w14:paraId="59E76754">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0-2分</w:t>
            </w:r>
          </w:p>
        </w:tc>
      </w:tr>
      <w:tr w14:paraId="4443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758" w:type="dxa"/>
            <w:gridSpan w:val="4"/>
            <w:tcBorders>
              <w:right w:val="single" w:color="auto" w:sz="4" w:space="0"/>
            </w:tcBorders>
            <w:vAlign w:val="center"/>
          </w:tcPr>
          <w:p w14:paraId="3761B756">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p w14:paraId="23E84624">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1、专家根据投标文件中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 xml:space="preserve">提供的资料在分值范围内进行评议； </w:t>
            </w:r>
          </w:p>
          <w:p w14:paraId="42ACA5BD">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2、得分保留两位小数。</w:t>
            </w:r>
          </w:p>
        </w:tc>
      </w:tr>
    </w:tbl>
    <w:p w14:paraId="2B321F33">
      <w:pPr>
        <w:pStyle w:val="20"/>
        <w:pageBreakBefore w:val="0"/>
        <w:kinsoku/>
        <w:wordWrap/>
        <w:topLinePunct w:val="0"/>
        <w:bidi w:val="0"/>
        <w:spacing w:line="360" w:lineRule="auto"/>
        <w:jc w:val="both"/>
        <w:rPr>
          <w:rFonts w:hint="eastAsia" w:ascii="仿宋_GB2312" w:hAnsi="仿宋_GB2312" w:eastAsia="仿宋_GB2312" w:cs="仿宋_GB2312"/>
          <w:color w:val="auto"/>
          <w:sz w:val="32"/>
          <w:szCs w:val="32"/>
          <w:highlight w:val="none"/>
          <w:lang w:val="en-US" w:eastAsia="zh-CN"/>
        </w:rPr>
      </w:pPr>
    </w:p>
    <w:p w14:paraId="0A970492">
      <w:pPr>
        <w:pStyle w:val="20"/>
        <w:pageBreakBefore w:val="0"/>
        <w:kinsoku/>
        <w:wordWrap/>
        <w:topLinePunct w:val="0"/>
        <w:bidi w:val="0"/>
        <w:spacing w:line="360" w:lineRule="auto"/>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附表</w:t>
      </w:r>
      <w:r>
        <w:rPr>
          <w:rFonts w:hint="eastAsia" w:ascii="仿宋_GB2312" w:hAnsi="仿宋_GB2312" w:eastAsia="仿宋_GB2312" w:cs="仿宋_GB2312"/>
          <w:b/>
          <w:bCs/>
          <w:color w:val="auto"/>
          <w:sz w:val="32"/>
          <w:szCs w:val="32"/>
          <w:highlight w:val="none"/>
          <w:lang w:val="en-US" w:eastAsia="zh-CN"/>
        </w:rPr>
        <w:t>3.2</w:t>
      </w:r>
    </w:p>
    <w:p w14:paraId="2B50316E">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二标段评分细则</w:t>
      </w:r>
    </w:p>
    <w:tbl>
      <w:tblPr>
        <w:tblStyle w:val="28"/>
        <w:tblpPr w:leftFromText="180" w:rightFromText="180" w:vertAnchor="text" w:horzAnchor="page" w:tblpX="764" w:tblpY="579"/>
        <w:tblOverlap w:val="never"/>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774"/>
        <w:gridCol w:w="6090"/>
        <w:gridCol w:w="1280"/>
      </w:tblGrid>
      <w:tr w14:paraId="487D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614" w:type="dxa"/>
            <w:vAlign w:val="center"/>
          </w:tcPr>
          <w:p w14:paraId="2E72E9C5">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评标</w:t>
            </w:r>
          </w:p>
          <w:p w14:paraId="000DA462">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指标</w:t>
            </w:r>
          </w:p>
        </w:tc>
        <w:tc>
          <w:tcPr>
            <w:tcW w:w="7864" w:type="dxa"/>
            <w:gridSpan w:val="2"/>
            <w:tcBorders>
              <w:right w:val="single" w:color="auto" w:sz="4" w:space="0"/>
            </w:tcBorders>
            <w:vAlign w:val="center"/>
          </w:tcPr>
          <w:p w14:paraId="07F86FB4">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评议内容</w:t>
            </w:r>
          </w:p>
        </w:tc>
        <w:tc>
          <w:tcPr>
            <w:tcW w:w="1280" w:type="dxa"/>
            <w:tcBorders>
              <w:right w:val="single" w:color="auto" w:sz="4" w:space="0"/>
            </w:tcBorders>
            <w:vAlign w:val="center"/>
          </w:tcPr>
          <w:p w14:paraId="20EC9CD1">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分值</w:t>
            </w:r>
          </w:p>
        </w:tc>
      </w:tr>
      <w:tr w14:paraId="088F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atLeast"/>
        </w:trPr>
        <w:tc>
          <w:tcPr>
            <w:tcW w:w="1614" w:type="dxa"/>
            <w:vAlign w:val="center"/>
          </w:tcPr>
          <w:p w14:paraId="4A0FE530">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报价得分（</w:t>
            </w:r>
            <w:r>
              <w:rPr>
                <w:rFonts w:hint="eastAsia" w:ascii="仿宋" w:hAnsi="仿宋" w:eastAsia="仿宋" w:cs="仿宋"/>
                <w:b/>
                <w:color w:val="auto"/>
                <w:sz w:val="32"/>
                <w:szCs w:val="32"/>
                <w:highlight w:val="none"/>
                <w:lang w:val="en-US" w:eastAsia="zh-CN"/>
              </w:rPr>
              <w:t>30</w:t>
            </w:r>
            <w:r>
              <w:rPr>
                <w:rFonts w:hint="eastAsia" w:ascii="仿宋" w:hAnsi="仿宋" w:eastAsia="仿宋" w:cs="仿宋"/>
                <w:b/>
                <w:color w:val="auto"/>
                <w:sz w:val="32"/>
                <w:szCs w:val="32"/>
                <w:highlight w:val="none"/>
              </w:rPr>
              <w:t>分）</w:t>
            </w:r>
          </w:p>
        </w:tc>
        <w:tc>
          <w:tcPr>
            <w:tcW w:w="7864" w:type="dxa"/>
            <w:gridSpan w:val="2"/>
            <w:tcBorders>
              <w:right w:val="single" w:color="auto" w:sz="4" w:space="0"/>
            </w:tcBorders>
            <w:vAlign w:val="center"/>
          </w:tcPr>
          <w:p w14:paraId="302C7B51">
            <w:pPr>
              <w:spacing w:before="50" w:after="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价格分应当采用低价优先法计算，即满足</w:t>
            </w:r>
            <w:r>
              <w:rPr>
                <w:rFonts w:hint="eastAsia" w:ascii="仿宋" w:hAnsi="仿宋" w:eastAsia="仿宋" w:cs="仿宋"/>
                <w:color w:val="auto"/>
                <w:sz w:val="32"/>
                <w:szCs w:val="32"/>
                <w:highlight w:val="none"/>
                <w:lang w:eastAsia="zh-CN"/>
              </w:rPr>
              <w:t>招标文件</w:t>
            </w:r>
            <w:r>
              <w:rPr>
                <w:rFonts w:hint="eastAsia" w:ascii="仿宋" w:hAnsi="仿宋" w:eastAsia="仿宋" w:cs="仿宋"/>
                <w:color w:val="auto"/>
                <w:sz w:val="32"/>
                <w:szCs w:val="32"/>
                <w:highlight w:val="none"/>
              </w:rPr>
              <w:t>要求且最终投标价格最低的有效投标报价为评标基准价，其价格分为满分。其他</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的价格分统一按照下列公式计算：</w:t>
            </w:r>
          </w:p>
          <w:p w14:paraId="3FD09F2C">
            <w:pPr>
              <w:spacing w:before="50" w:after="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投标报价得分=(评标基准价/投标报价)×100*</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w:t>
            </w:r>
          </w:p>
        </w:tc>
        <w:tc>
          <w:tcPr>
            <w:tcW w:w="1280" w:type="dxa"/>
            <w:tcBorders>
              <w:right w:val="single" w:color="auto" w:sz="4" w:space="0"/>
            </w:tcBorders>
            <w:vAlign w:val="center"/>
          </w:tcPr>
          <w:p w14:paraId="5B2CB16F">
            <w:pPr>
              <w:spacing w:before="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w:t>
            </w:r>
          </w:p>
        </w:tc>
      </w:tr>
      <w:tr w14:paraId="473C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614" w:type="dxa"/>
            <w:vMerge w:val="restart"/>
            <w:vAlign w:val="center"/>
          </w:tcPr>
          <w:p w14:paraId="4F7D5F6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w:t>
            </w:r>
          </w:p>
          <w:p w14:paraId="31E35C0F">
            <w:pPr>
              <w:jc w:val="center"/>
              <w:rPr>
                <w:rFonts w:hint="eastAsia" w:ascii="仿宋" w:hAnsi="仿宋" w:eastAsia="仿宋" w:cs="仿宋"/>
                <w:b/>
                <w:color w:val="auto"/>
                <w:sz w:val="32"/>
                <w:szCs w:val="32"/>
                <w:highlight w:val="none"/>
              </w:rPr>
            </w:pPr>
          </w:p>
          <w:p w14:paraId="0839F7C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务</w:t>
            </w:r>
          </w:p>
          <w:p w14:paraId="23CBDB69">
            <w:pPr>
              <w:jc w:val="center"/>
              <w:rPr>
                <w:rFonts w:hint="eastAsia" w:ascii="仿宋" w:hAnsi="仿宋" w:eastAsia="仿宋" w:cs="仿宋"/>
                <w:b/>
                <w:color w:val="auto"/>
                <w:sz w:val="32"/>
                <w:szCs w:val="32"/>
                <w:highlight w:val="none"/>
              </w:rPr>
            </w:pPr>
          </w:p>
          <w:p w14:paraId="35EAB173">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w:t>
            </w:r>
          </w:p>
          <w:p w14:paraId="6ABA2713">
            <w:pPr>
              <w:jc w:val="center"/>
              <w:rPr>
                <w:rFonts w:hint="eastAsia" w:ascii="仿宋" w:hAnsi="仿宋" w:eastAsia="仿宋" w:cs="仿宋"/>
                <w:b/>
                <w:color w:val="auto"/>
                <w:sz w:val="32"/>
                <w:szCs w:val="32"/>
                <w:highlight w:val="none"/>
              </w:rPr>
            </w:pPr>
          </w:p>
          <w:p w14:paraId="3D00C484">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术</w:t>
            </w:r>
          </w:p>
          <w:p w14:paraId="21533E2E">
            <w:pPr>
              <w:jc w:val="center"/>
              <w:rPr>
                <w:rFonts w:hint="eastAsia" w:ascii="仿宋" w:hAnsi="仿宋" w:eastAsia="仿宋" w:cs="仿宋"/>
                <w:b/>
                <w:color w:val="auto"/>
                <w:sz w:val="32"/>
                <w:szCs w:val="32"/>
                <w:highlight w:val="none"/>
              </w:rPr>
            </w:pPr>
          </w:p>
          <w:p w14:paraId="7D60902A">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w:t>
            </w:r>
          </w:p>
          <w:p w14:paraId="36A57F41">
            <w:pPr>
              <w:jc w:val="center"/>
              <w:rPr>
                <w:rFonts w:hint="eastAsia" w:ascii="仿宋" w:hAnsi="仿宋" w:eastAsia="仿宋" w:cs="仿宋"/>
                <w:b/>
                <w:color w:val="auto"/>
                <w:sz w:val="32"/>
                <w:szCs w:val="32"/>
                <w:highlight w:val="none"/>
              </w:rPr>
            </w:pPr>
          </w:p>
          <w:p w14:paraId="0A1DFAD7">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审</w:t>
            </w:r>
          </w:p>
          <w:p w14:paraId="77C1AD52">
            <w:pPr>
              <w:jc w:val="center"/>
              <w:rPr>
                <w:rFonts w:hint="eastAsia" w:ascii="仿宋" w:hAnsi="仿宋" w:eastAsia="仿宋" w:cs="仿宋"/>
                <w:b/>
                <w:color w:val="auto"/>
                <w:sz w:val="32"/>
                <w:szCs w:val="32"/>
                <w:highlight w:val="none"/>
              </w:rPr>
            </w:pPr>
          </w:p>
          <w:p w14:paraId="4F1397C5">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70</w:t>
            </w:r>
            <w:r>
              <w:rPr>
                <w:rFonts w:hint="eastAsia" w:ascii="仿宋" w:hAnsi="仿宋" w:eastAsia="仿宋" w:cs="仿宋"/>
                <w:b/>
                <w:color w:val="auto"/>
                <w:sz w:val="32"/>
                <w:szCs w:val="32"/>
                <w:highlight w:val="none"/>
              </w:rPr>
              <w:t>分）</w:t>
            </w:r>
          </w:p>
        </w:tc>
        <w:tc>
          <w:tcPr>
            <w:tcW w:w="1774" w:type="dxa"/>
            <w:vAlign w:val="center"/>
          </w:tcPr>
          <w:p w14:paraId="502BD904">
            <w:pPr>
              <w:spacing w:before="50" w:after="50"/>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类似业绩</w:t>
            </w:r>
          </w:p>
        </w:tc>
        <w:tc>
          <w:tcPr>
            <w:tcW w:w="6090" w:type="dxa"/>
            <w:vAlign w:val="top"/>
          </w:tcPr>
          <w:p w14:paraId="619DC3D9">
            <w:pPr>
              <w:numPr>
                <w:ilvl w:val="0"/>
                <w:numId w:val="0"/>
              </w:numPr>
              <w:spacing w:line="240" w:lineRule="auto"/>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提供</w:t>
            </w:r>
            <w:r>
              <w:rPr>
                <w:rFonts w:hint="eastAsia" w:ascii="仿宋" w:hAnsi="仿宋" w:eastAsia="仿宋" w:cs="仿宋"/>
                <w:color w:val="auto"/>
                <w:sz w:val="32"/>
                <w:szCs w:val="32"/>
                <w:highlight w:val="none"/>
                <w:lang w:val="en-US" w:eastAsia="zh-CN"/>
              </w:rPr>
              <w:t>本单位</w:t>
            </w:r>
            <w:r>
              <w:rPr>
                <w:rFonts w:hint="eastAsia" w:ascii="仿宋" w:hAnsi="仿宋" w:eastAsia="仿宋" w:cs="仿宋"/>
                <w:color w:val="auto"/>
                <w:sz w:val="32"/>
                <w:szCs w:val="32"/>
                <w:highlight w:val="none"/>
              </w:rPr>
              <w:t>近3年</w:t>
            </w:r>
            <w:r>
              <w:rPr>
                <w:rFonts w:hint="eastAsia" w:ascii="仿宋" w:hAnsi="仿宋" w:eastAsia="仿宋" w:cs="仿宋"/>
                <w:color w:val="auto"/>
                <w:sz w:val="32"/>
                <w:szCs w:val="32"/>
                <w:highlight w:val="none"/>
                <w:lang w:eastAsia="zh-CN"/>
              </w:rPr>
              <w:t>企业类似业绩</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1日至</w:t>
            </w:r>
            <w:r>
              <w:rPr>
                <w:rFonts w:hint="eastAsia" w:ascii="仿宋" w:hAnsi="仿宋" w:eastAsia="仿宋" w:cs="仿宋"/>
                <w:color w:val="auto"/>
                <w:sz w:val="32"/>
                <w:szCs w:val="32"/>
                <w:highlight w:val="none"/>
                <w:lang w:val="en-US" w:eastAsia="zh-CN"/>
              </w:rPr>
              <w:t>今</w:t>
            </w:r>
            <w:r>
              <w:rPr>
                <w:rFonts w:hint="eastAsia" w:ascii="仿宋" w:hAnsi="仿宋" w:eastAsia="仿宋" w:cs="仿宋"/>
                <w:color w:val="auto"/>
                <w:sz w:val="32"/>
                <w:szCs w:val="32"/>
                <w:highlight w:val="none"/>
              </w:rPr>
              <w:t>）业绩</w:t>
            </w:r>
            <w:r>
              <w:rPr>
                <w:rFonts w:hint="eastAsia" w:ascii="仿宋" w:hAnsi="仿宋" w:eastAsia="仿宋" w:cs="仿宋"/>
                <w:color w:val="auto"/>
                <w:sz w:val="32"/>
                <w:szCs w:val="32"/>
                <w:highlight w:val="none"/>
                <w:lang w:val="en-US" w:eastAsia="zh-CN"/>
              </w:rPr>
              <w:t>证明材料</w:t>
            </w:r>
            <w:r>
              <w:rPr>
                <w:rFonts w:hint="eastAsia" w:ascii="仿宋" w:hAnsi="仿宋" w:eastAsia="仿宋" w:cs="仿宋"/>
                <w:color w:val="auto"/>
                <w:sz w:val="32"/>
                <w:szCs w:val="32"/>
                <w:highlight w:val="none"/>
              </w:rPr>
              <w:t>，每</w:t>
            </w:r>
            <w:r>
              <w:rPr>
                <w:rFonts w:hint="eastAsia" w:ascii="仿宋" w:hAnsi="仿宋" w:eastAsia="仿宋" w:cs="仿宋"/>
                <w:color w:val="auto"/>
                <w:sz w:val="32"/>
                <w:szCs w:val="32"/>
                <w:highlight w:val="none"/>
                <w:lang w:val="en-US" w:eastAsia="zh-CN"/>
              </w:rPr>
              <w:t>提供一项</w:t>
            </w:r>
            <w:r>
              <w:rPr>
                <w:rFonts w:hint="eastAsia" w:ascii="仿宋" w:hAnsi="仿宋" w:eastAsia="仿宋" w:cs="仿宋"/>
                <w:color w:val="auto"/>
                <w:sz w:val="32"/>
                <w:szCs w:val="32"/>
                <w:highlight w:val="none"/>
              </w:rPr>
              <w:t>得</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分，最多</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w:t>
            </w:r>
          </w:p>
          <w:p w14:paraId="4FE6971D">
            <w:pPr>
              <w:numPr>
                <w:ilvl w:val="0"/>
                <w:numId w:val="0"/>
              </w:numPr>
              <w:spacing w:line="240" w:lineRule="auto"/>
              <w:ind w:leftChars="0"/>
              <w:rPr>
                <w:rFonts w:hint="eastAsia"/>
                <w:color w:val="auto"/>
                <w:sz w:val="32"/>
                <w:szCs w:val="32"/>
                <w:lang w:val="en-US" w:eastAsia="zh-CN"/>
              </w:rPr>
            </w:pPr>
            <w:r>
              <w:rPr>
                <w:rFonts w:hint="eastAsia" w:ascii="仿宋" w:hAnsi="仿宋" w:eastAsia="仿宋" w:cs="仿宋"/>
                <w:b/>
                <w:bCs/>
                <w:color w:val="auto"/>
                <w:sz w:val="32"/>
                <w:szCs w:val="32"/>
                <w:highlight w:val="none"/>
              </w:rPr>
              <w:t>注：投标人需提供采购合同（含首页、项目内容、签字盖章页）</w:t>
            </w:r>
            <w:r>
              <w:rPr>
                <w:rFonts w:hint="eastAsia" w:ascii="仿宋" w:hAnsi="仿宋" w:eastAsia="仿宋" w:cs="仿宋"/>
                <w:b/>
                <w:bCs/>
                <w:color w:val="auto"/>
                <w:sz w:val="32"/>
                <w:szCs w:val="32"/>
                <w:highlight w:val="none"/>
                <w:lang w:eastAsia="zh-CN"/>
              </w:rPr>
              <w:t>和</w:t>
            </w:r>
            <w:r>
              <w:rPr>
                <w:rFonts w:hint="eastAsia" w:ascii="仿宋" w:hAnsi="仿宋" w:eastAsia="仿宋" w:cs="仿宋"/>
                <w:b/>
                <w:bCs/>
                <w:color w:val="auto"/>
                <w:sz w:val="32"/>
                <w:szCs w:val="32"/>
                <w:highlight w:val="none"/>
              </w:rPr>
              <w:t>中标通知书复印件，否则业绩不予认可。</w:t>
            </w:r>
          </w:p>
        </w:tc>
        <w:tc>
          <w:tcPr>
            <w:tcW w:w="1280" w:type="dxa"/>
            <w:tcBorders>
              <w:right w:val="single" w:color="auto" w:sz="4" w:space="0"/>
            </w:tcBorders>
            <w:vAlign w:val="center"/>
          </w:tcPr>
          <w:p w14:paraId="6882AC32">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分</w:t>
            </w:r>
          </w:p>
        </w:tc>
      </w:tr>
      <w:tr w14:paraId="7F0F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614" w:type="dxa"/>
            <w:vMerge w:val="continue"/>
            <w:vAlign w:val="center"/>
          </w:tcPr>
          <w:p w14:paraId="579DD083">
            <w:pPr>
              <w:jc w:val="left"/>
              <w:rPr>
                <w:rFonts w:hint="eastAsia" w:ascii="仿宋" w:hAnsi="仿宋" w:eastAsia="仿宋" w:cs="仿宋"/>
                <w:b/>
                <w:color w:val="auto"/>
                <w:sz w:val="32"/>
                <w:szCs w:val="32"/>
                <w:highlight w:val="none"/>
              </w:rPr>
            </w:pPr>
          </w:p>
        </w:tc>
        <w:tc>
          <w:tcPr>
            <w:tcW w:w="1774" w:type="dxa"/>
            <w:vAlign w:val="center"/>
          </w:tcPr>
          <w:p w14:paraId="49559A37">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重要参数响应</w:t>
            </w:r>
          </w:p>
        </w:tc>
        <w:tc>
          <w:tcPr>
            <w:tcW w:w="6090" w:type="dxa"/>
            <w:vAlign w:val="center"/>
          </w:tcPr>
          <w:p w14:paraId="3EFDD500">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投标产品的技术指标评审：</w:t>
            </w:r>
          </w:p>
          <w:p w14:paraId="72F0D3A7">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①所投产品性能指标完全满足招标文件指标，无负偏离得</w:t>
            </w:r>
            <w:r>
              <w:rPr>
                <w:rFonts w:hint="eastAsia" w:ascii="仿宋" w:hAnsi="仿宋" w:eastAsia="仿宋" w:cs="仿宋"/>
                <w:color w:val="auto"/>
                <w:kern w:val="2"/>
                <w:sz w:val="32"/>
                <w:szCs w:val="32"/>
                <w:highlight w:val="none"/>
                <w:lang w:val="en-US" w:eastAsia="zh-CN" w:bidi="ar-SA"/>
              </w:rPr>
              <w:t>24</w:t>
            </w:r>
            <w:r>
              <w:rPr>
                <w:rFonts w:hint="eastAsia" w:ascii="仿宋" w:hAnsi="仿宋" w:eastAsia="仿宋" w:cs="仿宋"/>
                <w:color w:val="auto"/>
                <w:kern w:val="2"/>
                <w:sz w:val="32"/>
                <w:szCs w:val="32"/>
                <w:highlight w:val="none"/>
                <w:lang w:val="zh-CN" w:eastAsia="zh-CN" w:bidi="ar-SA"/>
              </w:rPr>
              <w:t>分；如有负偏离，正偏离不得加分。</w:t>
            </w:r>
          </w:p>
          <w:p w14:paraId="3BB19078">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②“</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”号技术参数一项不满足扣</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分；非“</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”号技术指标参数一项不满足扣</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分，（基准分</w:t>
            </w:r>
            <w:r>
              <w:rPr>
                <w:rFonts w:hint="eastAsia" w:ascii="仿宋" w:hAnsi="仿宋" w:eastAsia="仿宋" w:cs="仿宋"/>
                <w:color w:val="auto"/>
                <w:kern w:val="2"/>
                <w:sz w:val="32"/>
                <w:szCs w:val="32"/>
                <w:highlight w:val="none"/>
                <w:lang w:val="en-US" w:eastAsia="zh-CN" w:bidi="ar-SA"/>
              </w:rPr>
              <w:t>24</w:t>
            </w:r>
            <w:r>
              <w:rPr>
                <w:rFonts w:hint="eastAsia" w:ascii="仿宋" w:hAnsi="仿宋" w:eastAsia="仿宋" w:cs="仿宋"/>
                <w:color w:val="auto"/>
                <w:kern w:val="2"/>
                <w:sz w:val="32"/>
                <w:szCs w:val="32"/>
                <w:highlight w:val="none"/>
                <w:lang w:val="zh-CN" w:eastAsia="zh-CN" w:bidi="ar-SA"/>
              </w:rPr>
              <w:t>分，最低得分0分）；</w:t>
            </w:r>
          </w:p>
          <w:p w14:paraId="4A9388D6">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③完全满足招标文件指标的情况下，“</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”号技术参数一项优于招标文件参数加1分；非“</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”号技术指标参数一项优于招标文件加0.5分，本项最多加10分。</w:t>
            </w:r>
          </w:p>
          <w:p w14:paraId="5968E192">
            <w:pPr>
              <w:autoSpaceDE w:val="0"/>
              <w:autoSpaceDN w:val="0"/>
              <w:adjustRightInd w:val="0"/>
              <w:snapToGrid w:val="0"/>
              <w:spacing w:line="240" w:lineRule="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zh-CN" w:eastAsia="zh-CN" w:bidi="ar-SA"/>
              </w:rPr>
              <w:t>（说明：以投标人提供响应招标文件的国家法定检测机构出具的关于本次招标主要产品的检测报告中的检测结果数据及产品官方宣传彩页、产品说明书及相关体系证书、商务要求是否响应符合；根据以上提供相关证明材料为依据，未提供或不符合要求的，视为不响应技术参数。）</w:t>
            </w:r>
          </w:p>
        </w:tc>
        <w:tc>
          <w:tcPr>
            <w:tcW w:w="1280" w:type="dxa"/>
            <w:tcBorders>
              <w:right w:val="single" w:color="auto" w:sz="4" w:space="0"/>
            </w:tcBorders>
            <w:vAlign w:val="center"/>
          </w:tcPr>
          <w:p w14:paraId="117E4B0F">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0-34</w:t>
            </w:r>
            <w:r>
              <w:rPr>
                <w:rFonts w:hint="eastAsia" w:ascii="仿宋" w:hAnsi="仿宋" w:eastAsia="仿宋" w:cs="仿宋"/>
                <w:color w:val="auto"/>
                <w:sz w:val="32"/>
                <w:szCs w:val="32"/>
                <w:highlight w:val="none"/>
              </w:rPr>
              <w:t>分</w:t>
            </w:r>
          </w:p>
        </w:tc>
      </w:tr>
      <w:tr w14:paraId="685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14" w:type="dxa"/>
            <w:vMerge w:val="continue"/>
            <w:vAlign w:val="center"/>
          </w:tcPr>
          <w:p w14:paraId="7466878A">
            <w:pPr>
              <w:jc w:val="left"/>
              <w:rPr>
                <w:rFonts w:hint="eastAsia" w:ascii="仿宋" w:hAnsi="仿宋" w:eastAsia="仿宋" w:cs="仿宋"/>
                <w:b/>
                <w:color w:val="auto"/>
                <w:sz w:val="32"/>
                <w:szCs w:val="32"/>
                <w:highlight w:val="none"/>
              </w:rPr>
            </w:pPr>
          </w:p>
        </w:tc>
        <w:tc>
          <w:tcPr>
            <w:tcW w:w="1774" w:type="dxa"/>
            <w:vAlign w:val="center"/>
          </w:tcPr>
          <w:p w14:paraId="3BB3DE19">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技术先进性</w:t>
            </w:r>
          </w:p>
        </w:tc>
        <w:tc>
          <w:tcPr>
            <w:tcW w:w="6090" w:type="dxa"/>
            <w:vAlign w:val="center"/>
          </w:tcPr>
          <w:p w14:paraId="1F84CFA1">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1.提供医疗器械注册证近三年的得1分；2.提供设备生产日期近6个月的得1分（需提供承诺函）</w:t>
            </w:r>
          </w:p>
        </w:tc>
        <w:tc>
          <w:tcPr>
            <w:tcW w:w="1280" w:type="dxa"/>
            <w:tcBorders>
              <w:right w:val="single" w:color="auto" w:sz="4" w:space="0"/>
            </w:tcBorders>
            <w:vAlign w:val="center"/>
          </w:tcPr>
          <w:p w14:paraId="79A53F4F">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0-2分</w:t>
            </w:r>
          </w:p>
        </w:tc>
      </w:tr>
      <w:tr w14:paraId="73EC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614" w:type="dxa"/>
            <w:vMerge w:val="continue"/>
            <w:vAlign w:val="center"/>
          </w:tcPr>
          <w:p w14:paraId="3BF2E54F">
            <w:pPr>
              <w:jc w:val="left"/>
              <w:rPr>
                <w:rFonts w:hint="eastAsia" w:ascii="仿宋" w:hAnsi="仿宋" w:eastAsia="仿宋" w:cs="仿宋"/>
                <w:b/>
                <w:color w:val="auto"/>
                <w:sz w:val="32"/>
                <w:szCs w:val="32"/>
                <w:highlight w:val="none"/>
              </w:rPr>
            </w:pPr>
          </w:p>
        </w:tc>
        <w:tc>
          <w:tcPr>
            <w:tcW w:w="1774" w:type="dxa"/>
            <w:vAlign w:val="center"/>
          </w:tcPr>
          <w:p w14:paraId="617615E5">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项目实施</w:t>
            </w:r>
          </w:p>
          <w:p w14:paraId="3A8B3BC0">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方案</w:t>
            </w:r>
          </w:p>
        </w:tc>
        <w:tc>
          <w:tcPr>
            <w:tcW w:w="6090" w:type="dxa"/>
            <w:vAlign w:val="center"/>
          </w:tcPr>
          <w:p w14:paraId="2649B0E3">
            <w:p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zh-CN" w:eastAsia="zh-CN" w:bidi="ar-SA"/>
              </w:rPr>
              <w:t>评标委员会根据投标人提供的项目实施方案进行综合比较打分：方案内容全面、完整</w:t>
            </w:r>
            <w:r>
              <w:rPr>
                <w:rFonts w:hint="eastAsia" w:ascii="仿宋" w:hAnsi="仿宋" w:eastAsia="仿宋" w:cs="仿宋"/>
                <w:color w:val="auto"/>
                <w:kern w:val="2"/>
                <w:sz w:val="32"/>
                <w:szCs w:val="32"/>
                <w:highlight w:val="none"/>
                <w:lang w:val="en-US" w:eastAsia="zh-CN" w:bidi="ar-SA"/>
              </w:rPr>
              <w:t>且优于其他供应商</w:t>
            </w:r>
            <w:r>
              <w:rPr>
                <w:rFonts w:hint="eastAsia" w:ascii="仿宋" w:hAnsi="仿宋" w:eastAsia="仿宋" w:cs="仿宋"/>
                <w:color w:val="auto"/>
                <w:kern w:val="2"/>
                <w:sz w:val="32"/>
                <w:szCs w:val="32"/>
                <w:highlight w:val="none"/>
                <w:lang w:val="zh-CN" w:eastAsia="zh-CN" w:bidi="ar-SA"/>
              </w:rPr>
              <w:t>得</w:t>
            </w:r>
            <w:r>
              <w:rPr>
                <w:rFonts w:hint="eastAsia" w:ascii="仿宋" w:hAnsi="仿宋" w:eastAsia="仿宋" w:cs="仿宋"/>
                <w:color w:val="auto"/>
                <w:kern w:val="2"/>
                <w:sz w:val="32"/>
                <w:szCs w:val="32"/>
                <w:highlight w:val="none"/>
                <w:lang w:val="en-US" w:eastAsia="zh-CN" w:bidi="ar-SA"/>
              </w:rPr>
              <w:t>5</w:t>
            </w:r>
            <w:r>
              <w:rPr>
                <w:rFonts w:hint="eastAsia" w:ascii="仿宋" w:hAnsi="仿宋" w:eastAsia="仿宋" w:cs="仿宋"/>
                <w:color w:val="auto"/>
                <w:kern w:val="2"/>
                <w:sz w:val="32"/>
                <w:szCs w:val="32"/>
                <w:highlight w:val="none"/>
                <w:lang w:val="zh-CN" w:eastAsia="zh-CN" w:bidi="ar-SA"/>
              </w:rPr>
              <w:t>分；方案内容全面、完整得</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分；方案内容基本全面、基本完整得</w:t>
            </w: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分；方案内容较全面、较完整得</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分；方案较差或不提供方案不得分。</w:t>
            </w:r>
          </w:p>
        </w:tc>
        <w:tc>
          <w:tcPr>
            <w:tcW w:w="1280" w:type="dxa"/>
            <w:tcBorders>
              <w:right w:val="single" w:color="auto" w:sz="4" w:space="0"/>
            </w:tcBorders>
            <w:vAlign w:val="center"/>
          </w:tcPr>
          <w:p w14:paraId="5D71864E">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0-5分</w:t>
            </w:r>
          </w:p>
        </w:tc>
      </w:tr>
      <w:tr w14:paraId="18EC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614" w:type="dxa"/>
            <w:vMerge w:val="continue"/>
            <w:vAlign w:val="center"/>
          </w:tcPr>
          <w:p w14:paraId="0FCBC3FB">
            <w:pPr>
              <w:jc w:val="left"/>
              <w:rPr>
                <w:rFonts w:hint="eastAsia" w:ascii="仿宋" w:hAnsi="仿宋" w:eastAsia="仿宋" w:cs="仿宋"/>
                <w:b/>
                <w:color w:val="auto"/>
                <w:sz w:val="32"/>
                <w:szCs w:val="32"/>
                <w:highlight w:val="none"/>
              </w:rPr>
            </w:pPr>
          </w:p>
        </w:tc>
        <w:tc>
          <w:tcPr>
            <w:tcW w:w="1774" w:type="dxa"/>
            <w:vAlign w:val="center"/>
          </w:tcPr>
          <w:p w14:paraId="0413F8F1">
            <w:pPr>
              <w:widowControl/>
              <w:spacing w:line="3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售后</w:t>
            </w:r>
            <w:r>
              <w:rPr>
                <w:rFonts w:hint="eastAsia" w:ascii="仿宋" w:hAnsi="仿宋" w:eastAsia="仿宋" w:cs="仿宋"/>
                <w:color w:val="auto"/>
                <w:sz w:val="32"/>
                <w:szCs w:val="32"/>
                <w:highlight w:val="none"/>
                <w:lang w:val="zh-CN"/>
              </w:rPr>
              <w:t>服务</w:t>
            </w:r>
          </w:p>
        </w:tc>
        <w:tc>
          <w:tcPr>
            <w:tcW w:w="6090" w:type="dxa"/>
            <w:vAlign w:val="center"/>
          </w:tcPr>
          <w:p w14:paraId="51829650">
            <w:pPr>
              <w:autoSpaceDE w:val="0"/>
              <w:autoSpaceDN w:val="0"/>
              <w:adjustRightInd w:val="0"/>
              <w:snapToGrid w:val="0"/>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针对该项目有厂家承诺和经销商承诺有详尽售后服务，售后服务计划、售后服务措施、有售后服务机构，出具相关证明材料，按其响应程度计0-3分。</w:t>
            </w:r>
          </w:p>
        </w:tc>
        <w:tc>
          <w:tcPr>
            <w:tcW w:w="1280" w:type="dxa"/>
            <w:tcBorders>
              <w:right w:val="single" w:color="auto" w:sz="4" w:space="0"/>
            </w:tcBorders>
            <w:vAlign w:val="center"/>
          </w:tcPr>
          <w:p w14:paraId="7CA098BF">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分</w:t>
            </w:r>
          </w:p>
        </w:tc>
      </w:tr>
      <w:tr w14:paraId="7BB9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trPr>
        <w:tc>
          <w:tcPr>
            <w:tcW w:w="1614" w:type="dxa"/>
            <w:vMerge w:val="continue"/>
            <w:vAlign w:val="center"/>
          </w:tcPr>
          <w:p w14:paraId="70C0CEFB">
            <w:pPr>
              <w:jc w:val="left"/>
              <w:rPr>
                <w:rFonts w:hint="eastAsia" w:ascii="仿宋" w:hAnsi="仿宋" w:eastAsia="仿宋" w:cs="仿宋"/>
                <w:b/>
                <w:color w:val="auto"/>
                <w:sz w:val="32"/>
                <w:szCs w:val="32"/>
                <w:highlight w:val="none"/>
              </w:rPr>
            </w:pPr>
          </w:p>
        </w:tc>
        <w:tc>
          <w:tcPr>
            <w:tcW w:w="1774" w:type="dxa"/>
            <w:vAlign w:val="center"/>
          </w:tcPr>
          <w:p w14:paraId="5CBDE0F5">
            <w:pPr>
              <w:autoSpaceDE w:val="0"/>
              <w:autoSpaceDN w:val="0"/>
              <w:adjustRightInd w:val="0"/>
              <w:snapToGrid w:val="0"/>
              <w:spacing w:line="24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质保期后维护方案及费用情况</w:t>
            </w:r>
          </w:p>
        </w:tc>
        <w:tc>
          <w:tcPr>
            <w:tcW w:w="6090" w:type="dxa"/>
            <w:vAlign w:val="center"/>
          </w:tcPr>
          <w:p w14:paraId="2F5A9665">
            <w:pPr>
              <w:numPr>
                <w:ilvl w:val="0"/>
                <w:numId w:val="56"/>
              </w:num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投标人需提供备品备件价目表、配套耗材价目表，提供一项得1.5分，本项满分3分，不提供不得分。</w:t>
            </w:r>
          </w:p>
          <w:p w14:paraId="0E7F0C47">
            <w:pPr>
              <w:numPr>
                <w:ilvl w:val="0"/>
                <w:numId w:val="56"/>
              </w:num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投标人承诺质保期后的维修仍然按照备品备件、配套耗材表内价格收取费用，提供承诺得2分，不提供不得分。</w:t>
            </w:r>
          </w:p>
        </w:tc>
        <w:tc>
          <w:tcPr>
            <w:tcW w:w="1280" w:type="dxa"/>
            <w:tcBorders>
              <w:right w:val="single" w:color="auto" w:sz="4" w:space="0"/>
            </w:tcBorders>
            <w:vAlign w:val="center"/>
          </w:tcPr>
          <w:p w14:paraId="7FD0B314">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0-5分</w:t>
            </w:r>
          </w:p>
        </w:tc>
      </w:tr>
      <w:tr w14:paraId="43D3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5" w:hRule="atLeast"/>
        </w:trPr>
        <w:tc>
          <w:tcPr>
            <w:tcW w:w="1614" w:type="dxa"/>
            <w:vMerge w:val="continue"/>
          </w:tcPr>
          <w:p w14:paraId="50189EC8">
            <w:pPr>
              <w:jc w:val="left"/>
              <w:rPr>
                <w:rFonts w:hint="eastAsia" w:ascii="仿宋" w:hAnsi="仿宋" w:eastAsia="仿宋" w:cs="仿宋"/>
                <w:color w:val="auto"/>
                <w:sz w:val="32"/>
                <w:szCs w:val="32"/>
                <w:highlight w:val="none"/>
              </w:rPr>
            </w:pPr>
          </w:p>
        </w:tc>
        <w:tc>
          <w:tcPr>
            <w:tcW w:w="1774" w:type="dxa"/>
            <w:vAlign w:val="center"/>
          </w:tcPr>
          <w:p w14:paraId="3595D545">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培训方案</w:t>
            </w:r>
          </w:p>
        </w:tc>
        <w:tc>
          <w:tcPr>
            <w:tcW w:w="6090" w:type="dxa"/>
            <w:vAlign w:val="center"/>
          </w:tcPr>
          <w:p w14:paraId="3E59E63B">
            <w:pPr>
              <w:numPr>
                <w:ilvl w:val="0"/>
                <w:numId w:val="0"/>
              </w:numPr>
              <w:spacing w:line="240" w:lineRule="auto"/>
              <w:ind w:left="0" w:leftChars="0" w:firstLine="0" w:firstLineChars="0"/>
              <w:rPr>
                <w:rFonts w:hint="default"/>
                <w:color w:val="auto"/>
                <w:sz w:val="32"/>
                <w:szCs w:val="32"/>
                <w:highlight w:val="none"/>
                <w:lang w:val="en-US" w:eastAsia="zh-CN"/>
              </w:rPr>
            </w:pPr>
            <w:r>
              <w:rPr>
                <w:rFonts w:hint="eastAsia" w:ascii="仿宋" w:hAnsi="仿宋" w:eastAsia="仿宋" w:cs="仿宋"/>
                <w:color w:val="auto"/>
                <w:sz w:val="32"/>
                <w:szCs w:val="32"/>
              </w:rPr>
              <w:t>投标人提供完整的项目培训方案，方案方法得当、条理清晰，安排合理，能够充分保障项目培训效果，得</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分；方案基本能够保证项目培训效果，并能体现相关培训规划，得</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分；投标人不能提供项目培训方案，或方案内容粗浅单一，不得分。</w:t>
            </w:r>
          </w:p>
        </w:tc>
        <w:tc>
          <w:tcPr>
            <w:tcW w:w="1280" w:type="dxa"/>
            <w:tcBorders>
              <w:right w:val="single" w:color="auto" w:sz="4" w:space="0"/>
            </w:tcBorders>
            <w:vAlign w:val="center"/>
          </w:tcPr>
          <w:p w14:paraId="22C6030B">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分</w:t>
            </w:r>
          </w:p>
        </w:tc>
      </w:tr>
      <w:tr w14:paraId="4EAF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trPr>
        <w:tc>
          <w:tcPr>
            <w:tcW w:w="1614" w:type="dxa"/>
            <w:vMerge w:val="continue"/>
          </w:tcPr>
          <w:p w14:paraId="11FF1291">
            <w:pPr>
              <w:jc w:val="left"/>
              <w:rPr>
                <w:rFonts w:hint="eastAsia" w:ascii="仿宋" w:hAnsi="仿宋" w:eastAsia="仿宋" w:cs="仿宋"/>
                <w:color w:val="auto"/>
                <w:sz w:val="32"/>
                <w:szCs w:val="32"/>
                <w:highlight w:val="none"/>
              </w:rPr>
            </w:pPr>
          </w:p>
        </w:tc>
        <w:tc>
          <w:tcPr>
            <w:tcW w:w="1774" w:type="dxa"/>
            <w:vAlign w:val="center"/>
          </w:tcPr>
          <w:p w14:paraId="5616077D">
            <w:pPr>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供货、安装、调试</w:t>
            </w:r>
            <w:r>
              <w:rPr>
                <w:rFonts w:hint="default" w:ascii="仿宋" w:hAnsi="仿宋" w:eastAsia="仿宋" w:cs="仿宋"/>
                <w:color w:val="auto"/>
                <w:sz w:val="32"/>
                <w:szCs w:val="32"/>
                <w:highlight w:val="none"/>
                <w:lang w:val="en-US" w:eastAsia="zh-CN"/>
              </w:rPr>
              <w:t>方案</w:t>
            </w:r>
          </w:p>
        </w:tc>
        <w:tc>
          <w:tcPr>
            <w:tcW w:w="6090" w:type="dxa"/>
            <w:vAlign w:val="center"/>
          </w:tcPr>
          <w:p w14:paraId="5427A43A">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lang w:val="en-US" w:eastAsia="zh-CN"/>
              </w:rPr>
              <w:t>供货、安装、调试及应急保证方案计划详细有针对性、</w:t>
            </w:r>
            <w:r>
              <w:rPr>
                <w:rFonts w:hint="default" w:ascii="仿宋" w:hAnsi="仿宋" w:eastAsia="仿宋" w:cs="仿宋"/>
                <w:color w:val="auto"/>
                <w:sz w:val="32"/>
                <w:szCs w:val="32"/>
                <w:lang w:val="en-US" w:eastAsia="zh-CN"/>
              </w:rPr>
              <w:t>供货进度保证措施合理且切实可行，产品安装、调试的技术保证措施完善，能够保证供应货物的履约时间。有具体的供货安装调试时间进度计划表，得</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分；有缺漏项的，每有一项缺漏扣</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分，直至扣完为止。</w:t>
            </w:r>
          </w:p>
        </w:tc>
        <w:tc>
          <w:tcPr>
            <w:tcW w:w="1280" w:type="dxa"/>
            <w:tcBorders>
              <w:right w:val="single" w:color="auto" w:sz="4" w:space="0"/>
            </w:tcBorders>
            <w:vAlign w:val="center"/>
          </w:tcPr>
          <w:p w14:paraId="0F42318F">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分</w:t>
            </w:r>
          </w:p>
        </w:tc>
      </w:tr>
      <w:tr w14:paraId="7907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614" w:type="dxa"/>
          </w:tcPr>
          <w:p w14:paraId="3A0308AC">
            <w:pPr>
              <w:jc w:val="left"/>
              <w:rPr>
                <w:rFonts w:hint="eastAsia" w:ascii="仿宋" w:hAnsi="仿宋" w:eastAsia="仿宋" w:cs="仿宋"/>
                <w:color w:val="auto"/>
                <w:sz w:val="32"/>
                <w:szCs w:val="32"/>
                <w:highlight w:val="none"/>
              </w:rPr>
            </w:pPr>
          </w:p>
        </w:tc>
        <w:tc>
          <w:tcPr>
            <w:tcW w:w="1774" w:type="dxa"/>
            <w:vAlign w:val="center"/>
          </w:tcPr>
          <w:p w14:paraId="3852AFE9">
            <w:pPr>
              <w:jc w:val="center"/>
              <w:rPr>
                <w:color w:val="auto"/>
              </w:rPr>
            </w:pPr>
            <w:r>
              <w:rPr>
                <w:rFonts w:hint="eastAsia" w:ascii="仿宋" w:hAnsi="仿宋" w:eastAsia="仿宋" w:cs="仿宋"/>
                <w:color w:val="auto"/>
                <w:kern w:val="2"/>
                <w:sz w:val="32"/>
                <w:szCs w:val="32"/>
                <w:highlight w:val="none"/>
                <w:lang w:val="en-US" w:eastAsia="zh-CN" w:bidi="ar-SA"/>
              </w:rPr>
              <w:t>应急方案</w:t>
            </w:r>
          </w:p>
          <w:p w14:paraId="2940297B">
            <w:pPr>
              <w:jc w:val="center"/>
              <w:rPr>
                <w:color w:val="auto"/>
              </w:rPr>
            </w:pPr>
          </w:p>
          <w:p w14:paraId="197B69D0">
            <w:pPr>
              <w:jc w:val="center"/>
              <w:rPr>
                <w:rFonts w:hint="default"/>
                <w:color w:val="auto"/>
                <w:lang w:val="en-US" w:eastAsia="zh-CN"/>
              </w:rPr>
            </w:pPr>
          </w:p>
        </w:tc>
        <w:tc>
          <w:tcPr>
            <w:tcW w:w="6090" w:type="dxa"/>
            <w:vAlign w:val="center"/>
          </w:tcPr>
          <w:p w14:paraId="3F6F78E7">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综合考虑供应商提供的本项目应急处理方案对采购需求的响应程度，从方案内容完整、科学合理、具有可行性3项内容进行评价，且在应急情况下(自然灾害等不可抗力因素情况除外)，中标方能承诺在</w:t>
            </w:r>
            <w:r>
              <w:rPr>
                <w:rFonts w:hint="eastAsia" w:ascii="仿宋" w:hAnsi="仿宋" w:eastAsia="仿宋" w:cs="仿宋"/>
                <w:color w:val="auto"/>
                <w:kern w:val="2"/>
                <w:sz w:val="32"/>
                <w:szCs w:val="32"/>
                <w:highlight w:val="none"/>
                <w:lang w:val="en-US" w:eastAsia="zh-CN" w:bidi="ar-SA"/>
              </w:rPr>
              <w:t>24</w:t>
            </w:r>
            <w:r>
              <w:rPr>
                <w:rFonts w:hint="eastAsia" w:ascii="仿宋" w:hAnsi="仿宋" w:eastAsia="仿宋" w:cs="仿宋"/>
                <w:color w:val="auto"/>
                <w:kern w:val="2"/>
                <w:sz w:val="32"/>
                <w:szCs w:val="32"/>
                <w:highlight w:val="none"/>
                <w:lang w:val="zh-CN" w:eastAsia="zh-CN" w:bidi="ar-SA"/>
              </w:rPr>
              <w:t>小时内到达</w:t>
            </w:r>
            <w:r>
              <w:rPr>
                <w:rFonts w:hint="eastAsia" w:ascii="仿宋" w:hAnsi="仿宋" w:eastAsia="仿宋" w:cs="仿宋"/>
                <w:color w:val="auto"/>
                <w:kern w:val="2"/>
                <w:sz w:val="32"/>
                <w:szCs w:val="32"/>
                <w:highlight w:val="none"/>
                <w:lang w:val="en-US" w:eastAsia="zh-CN" w:bidi="ar-SA"/>
              </w:rPr>
              <w:t>伊犁州友谊医院</w:t>
            </w:r>
            <w:r>
              <w:rPr>
                <w:rFonts w:hint="eastAsia" w:ascii="仿宋" w:hAnsi="仿宋" w:eastAsia="仿宋" w:cs="仿宋"/>
                <w:color w:val="auto"/>
                <w:kern w:val="2"/>
                <w:sz w:val="32"/>
                <w:szCs w:val="32"/>
                <w:highlight w:val="none"/>
                <w:lang w:val="zh-CN" w:eastAsia="zh-CN" w:bidi="ar-SA"/>
              </w:rPr>
              <w:t>配合解决(含节假日)。如相关负责的专职人员、应急配送车辆，应急库存</w:t>
            </w:r>
            <w:r>
              <w:rPr>
                <w:rFonts w:hint="eastAsia" w:ascii="仿宋" w:hAnsi="仿宋" w:eastAsia="仿宋" w:cs="仿宋"/>
                <w:color w:val="auto"/>
                <w:kern w:val="2"/>
                <w:sz w:val="32"/>
                <w:szCs w:val="32"/>
                <w:highlight w:val="none"/>
                <w:lang w:val="en-US" w:eastAsia="zh-CN" w:bidi="ar-SA"/>
              </w:rPr>
              <w:t>备品备件</w:t>
            </w:r>
            <w:r>
              <w:rPr>
                <w:rFonts w:hint="eastAsia" w:ascii="仿宋" w:hAnsi="仿宋" w:eastAsia="仿宋" w:cs="仿宋"/>
                <w:color w:val="auto"/>
                <w:kern w:val="2"/>
                <w:sz w:val="32"/>
                <w:szCs w:val="32"/>
                <w:highlight w:val="none"/>
                <w:lang w:val="zh-CN" w:eastAsia="zh-CN" w:bidi="ar-SA"/>
              </w:rPr>
              <w:t>数量等。</w:t>
            </w:r>
          </w:p>
          <w:p w14:paraId="626A9D85">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方案内容全面、完整</w:t>
            </w:r>
            <w:r>
              <w:rPr>
                <w:rFonts w:hint="eastAsia" w:ascii="仿宋" w:hAnsi="仿宋" w:eastAsia="仿宋" w:cs="仿宋"/>
                <w:color w:val="auto"/>
                <w:kern w:val="2"/>
                <w:sz w:val="32"/>
                <w:szCs w:val="32"/>
                <w:highlight w:val="none"/>
                <w:lang w:val="en-US" w:eastAsia="zh-CN" w:bidi="ar-SA"/>
              </w:rPr>
              <w:t>且优于其他供应商</w:t>
            </w:r>
            <w:r>
              <w:rPr>
                <w:rFonts w:hint="eastAsia" w:ascii="仿宋" w:hAnsi="仿宋" w:eastAsia="仿宋" w:cs="仿宋"/>
                <w:color w:val="auto"/>
                <w:kern w:val="2"/>
                <w:sz w:val="32"/>
                <w:szCs w:val="32"/>
                <w:highlight w:val="none"/>
                <w:lang w:val="zh-CN" w:eastAsia="zh-CN" w:bidi="ar-SA"/>
              </w:rPr>
              <w:t>得</w:t>
            </w:r>
            <w:r>
              <w:rPr>
                <w:rFonts w:hint="eastAsia" w:ascii="仿宋" w:hAnsi="仿宋" w:eastAsia="仿宋" w:cs="仿宋"/>
                <w:color w:val="auto"/>
                <w:kern w:val="2"/>
                <w:sz w:val="32"/>
                <w:szCs w:val="32"/>
                <w:highlight w:val="none"/>
                <w:lang w:val="en-US" w:eastAsia="zh-CN" w:bidi="ar-SA"/>
              </w:rPr>
              <w:t>5</w:t>
            </w:r>
            <w:r>
              <w:rPr>
                <w:rFonts w:hint="eastAsia" w:ascii="仿宋" w:hAnsi="仿宋" w:eastAsia="仿宋" w:cs="仿宋"/>
                <w:color w:val="auto"/>
                <w:kern w:val="2"/>
                <w:sz w:val="32"/>
                <w:szCs w:val="32"/>
                <w:highlight w:val="none"/>
                <w:lang w:val="zh-CN" w:eastAsia="zh-CN" w:bidi="ar-SA"/>
              </w:rPr>
              <w:t>分；</w:t>
            </w:r>
          </w:p>
          <w:p w14:paraId="5F406B41">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方案内容全面、完整得</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分；</w:t>
            </w:r>
          </w:p>
          <w:p w14:paraId="220B0457">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方案内容基本全面、基本完整得</w:t>
            </w: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分；方案内容较全面、较完整得</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w:t>
            </w:r>
          </w:p>
          <w:p w14:paraId="485A1DFE">
            <w:pPr>
              <w:pStyle w:val="14"/>
              <w:numPr>
                <w:ilvl w:val="0"/>
                <w:numId w:val="0"/>
              </w:numPr>
              <w:tabs>
                <w:tab w:val="left" w:pos="600"/>
              </w:tabs>
              <w:spacing w:line="240" w:lineRule="auto"/>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zh-CN" w:eastAsia="zh-CN" w:bidi="ar-SA"/>
              </w:rPr>
              <w:t>方案较差或不提供方案不得分。</w:t>
            </w:r>
          </w:p>
        </w:tc>
        <w:tc>
          <w:tcPr>
            <w:tcW w:w="1280" w:type="dxa"/>
            <w:tcBorders>
              <w:right w:val="single" w:color="auto" w:sz="4" w:space="0"/>
            </w:tcBorders>
            <w:vAlign w:val="center"/>
          </w:tcPr>
          <w:p w14:paraId="7EE38A61">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0-5分</w:t>
            </w:r>
          </w:p>
        </w:tc>
      </w:tr>
      <w:tr w14:paraId="3DE1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614" w:type="dxa"/>
          </w:tcPr>
          <w:p w14:paraId="580A508E">
            <w:pPr>
              <w:jc w:val="left"/>
              <w:rPr>
                <w:rFonts w:hint="eastAsia" w:ascii="仿宋" w:hAnsi="仿宋" w:eastAsia="仿宋" w:cs="仿宋"/>
                <w:color w:val="auto"/>
                <w:sz w:val="32"/>
                <w:szCs w:val="32"/>
                <w:highlight w:val="none"/>
              </w:rPr>
            </w:pPr>
          </w:p>
        </w:tc>
        <w:tc>
          <w:tcPr>
            <w:tcW w:w="1774" w:type="dxa"/>
            <w:vAlign w:val="center"/>
          </w:tcPr>
          <w:p w14:paraId="63CDB960">
            <w:pPr>
              <w:jc w:val="center"/>
              <w:rPr>
                <w:color w:val="auto"/>
              </w:rPr>
            </w:pPr>
            <w:r>
              <w:rPr>
                <w:rFonts w:hint="eastAsia" w:ascii="仿宋" w:hAnsi="仿宋" w:eastAsia="仿宋" w:cs="仿宋"/>
                <w:color w:val="auto"/>
                <w:kern w:val="2"/>
                <w:sz w:val="32"/>
                <w:szCs w:val="32"/>
                <w:highlight w:val="none"/>
                <w:lang w:val="en-US" w:eastAsia="zh-CN" w:bidi="ar-SA"/>
              </w:rPr>
              <w:t>投标设备可操作性</w:t>
            </w:r>
          </w:p>
        </w:tc>
        <w:tc>
          <w:tcPr>
            <w:tcW w:w="6090" w:type="dxa"/>
            <w:vAlign w:val="center"/>
          </w:tcPr>
          <w:p w14:paraId="15C88733">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1、设备操作步骤简化、流程规范，具备常用参数预设、一键操作、模式快速切换等功能，培训成本低，得3分；</w:t>
            </w:r>
          </w:p>
          <w:p w14:paraId="2A0DFDA3">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2、操作流程一般，功能基本满足，需一定培训方可熟练使用，得2分；</w:t>
            </w:r>
          </w:p>
          <w:p w14:paraId="46712DD9">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3、操作复杂、步骤繁琐，上手难度大，得1分。</w:t>
            </w:r>
          </w:p>
          <w:p w14:paraId="2F2A289C">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注：需提供所投产品的图片资料及产品说明书，不提供的不得分。</w:t>
            </w:r>
          </w:p>
        </w:tc>
        <w:tc>
          <w:tcPr>
            <w:tcW w:w="1280" w:type="dxa"/>
            <w:tcBorders>
              <w:right w:val="single" w:color="auto" w:sz="4" w:space="0"/>
            </w:tcBorders>
            <w:vAlign w:val="center"/>
          </w:tcPr>
          <w:p w14:paraId="0F4FC05C">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0-3分</w:t>
            </w:r>
          </w:p>
        </w:tc>
      </w:tr>
      <w:tr w14:paraId="74A0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1614" w:type="dxa"/>
          </w:tcPr>
          <w:p w14:paraId="11219CE5">
            <w:pPr>
              <w:jc w:val="left"/>
              <w:rPr>
                <w:rFonts w:hint="eastAsia" w:ascii="仿宋" w:hAnsi="仿宋" w:eastAsia="仿宋" w:cs="仿宋"/>
                <w:color w:val="auto"/>
                <w:sz w:val="32"/>
                <w:szCs w:val="32"/>
                <w:highlight w:val="none"/>
              </w:rPr>
            </w:pPr>
          </w:p>
        </w:tc>
        <w:tc>
          <w:tcPr>
            <w:tcW w:w="1774" w:type="dxa"/>
            <w:vAlign w:val="center"/>
          </w:tcPr>
          <w:p w14:paraId="155C3F16">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投标设备可维护性</w:t>
            </w:r>
          </w:p>
        </w:tc>
        <w:tc>
          <w:tcPr>
            <w:tcW w:w="6090" w:type="dxa"/>
            <w:vAlign w:val="center"/>
          </w:tcPr>
          <w:p w14:paraId="1269BFF7">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1、具备自诊断、故障代码显示、维护提醒、日志记录功能，便于快速定位故障，得2分；</w:t>
            </w:r>
          </w:p>
          <w:p w14:paraId="4796698B">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2、具备基本故障提示功能，得1分；</w:t>
            </w:r>
          </w:p>
          <w:p w14:paraId="3551F446">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3、无故障诊断及维护提示功能，得0分。</w:t>
            </w:r>
          </w:p>
          <w:p w14:paraId="4C3413EB">
            <w:pP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注：需提供所投产品的图片资料及产品说明书，不提供的不得分。</w:t>
            </w:r>
          </w:p>
        </w:tc>
        <w:tc>
          <w:tcPr>
            <w:tcW w:w="1280" w:type="dxa"/>
            <w:tcBorders>
              <w:right w:val="single" w:color="auto" w:sz="4" w:space="0"/>
            </w:tcBorders>
            <w:vAlign w:val="center"/>
          </w:tcPr>
          <w:p w14:paraId="76596046">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0-2分</w:t>
            </w:r>
          </w:p>
        </w:tc>
      </w:tr>
      <w:tr w14:paraId="6A8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758" w:type="dxa"/>
            <w:gridSpan w:val="4"/>
            <w:tcBorders>
              <w:right w:val="single" w:color="auto" w:sz="4" w:space="0"/>
            </w:tcBorders>
            <w:vAlign w:val="center"/>
          </w:tcPr>
          <w:p w14:paraId="774F20FD">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p w14:paraId="460398E9">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1、专家根据投标文件中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 xml:space="preserve">提供的资料在分值范围内进行评议； </w:t>
            </w:r>
          </w:p>
          <w:p w14:paraId="23B50B4A">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2、得分保留两位小数。</w:t>
            </w:r>
          </w:p>
        </w:tc>
      </w:tr>
    </w:tbl>
    <w:p w14:paraId="0E4456D0">
      <w:pPr>
        <w:pStyle w:val="20"/>
        <w:pageBreakBefore w:val="0"/>
        <w:kinsoku/>
        <w:wordWrap/>
        <w:topLinePunct w:val="0"/>
        <w:bidi w:val="0"/>
        <w:spacing w:line="360" w:lineRule="auto"/>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pgSz w:w="11905" w:h="16838"/>
      <w:pgMar w:top="1531" w:right="1531" w:bottom="1531" w:left="1531" w:header="1134" w:footer="1134" w:gutter="0"/>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BD3B">
    <w:pPr>
      <w:pStyle w:val="17"/>
      <w:jc w:val="center"/>
    </w:pPr>
  </w:p>
  <w:p w14:paraId="406298B6">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49DA">
    <w:pPr>
      <w:pStyle w:val="17"/>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0726">
    <w:pPr>
      <w:pStyle w:val="17"/>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A231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DA231D">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41E1">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A8D93">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93A8D93">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4F379D9E">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9430">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D0D7B">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74FD0D7B">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4A57C8CE">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0F5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3DE9">
    <w:pPr>
      <w:pStyle w:val="18"/>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EBA8">
    <w:pPr>
      <w:autoSpaceDE w:val="0"/>
      <w:autoSpaceDN w:val="0"/>
      <w:adjustRightInd w:val="0"/>
      <w:spacing w:line="360" w:lineRule="auto"/>
      <w:ind w:left="1470" w:hanging="1470" w:hangingChars="700"/>
      <w:jc w:val="both"/>
      <w:rPr>
        <w:rFonts w:hint="default" w:eastAsia="宋体"/>
        <w:u w:val="double"/>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F8C2">
    <w:pPr>
      <w:autoSpaceDE w:val="0"/>
      <w:autoSpaceDN w:val="0"/>
      <w:adjustRightInd w:val="0"/>
      <w:spacing w:line="360" w:lineRule="auto"/>
      <w:ind w:left="1470" w:hanging="1470" w:hangingChars="700"/>
      <w:jc w:val="both"/>
      <w:rPr>
        <w:rFonts w:hint="default" w:eastAsia="宋体"/>
        <w:u w:val="doub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8DC5A7BC"/>
    <w:multiLevelType w:val="singleLevel"/>
    <w:tmpl w:val="8DC5A7BC"/>
    <w:lvl w:ilvl="0" w:tentative="0">
      <w:start w:val="1"/>
      <w:numFmt w:val="decimal"/>
      <w:lvlText w:val="%1."/>
      <w:lvlJc w:val="left"/>
      <w:pPr>
        <w:tabs>
          <w:tab w:val="left" w:pos="312"/>
        </w:tabs>
      </w:pPr>
    </w:lvl>
  </w:abstractNum>
  <w:abstractNum w:abstractNumId="2">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B77534"/>
    <w:multiLevelType w:val="singleLevel"/>
    <w:tmpl w:val="D0B77534"/>
    <w:lvl w:ilvl="0" w:tentative="0">
      <w:start w:val="1"/>
      <w:numFmt w:val="decimal"/>
      <w:suff w:val="nothing"/>
      <w:lvlText w:val="%1、"/>
      <w:lvlJc w:val="left"/>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8">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3E12C6DF"/>
    <w:multiLevelType w:val="singleLevel"/>
    <w:tmpl w:val="3E12C6DF"/>
    <w:lvl w:ilvl="0" w:tentative="0">
      <w:start w:val="15"/>
      <w:numFmt w:val="decimal"/>
      <w:suff w:val="nothing"/>
      <w:lvlText w:val="%1、"/>
      <w:lvlJc w:val="left"/>
    </w:lvl>
  </w:abstractNum>
  <w:abstractNum w:abstractNumId="41">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49">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CE7ABAE"/>
    <w:multiLevelType w:val="singleLevel"/>
    <w:tmpl w:val="6CE7ABAE"/>
    <w:lvl w:ilvl="0" w:tentative="0">
      <w:start w:val="2"/>
      <w:numFmt w:val="decimal"/>
      <w:suff w:val="nothing"/>
      <w:lvlText w:val="%1、"/>
      <w:lvlJc w:val="left"/>
    </w:lvl>
  </w:abstractNum>
  <w:abstractNum w:abstractNumId="53">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52"/>
  </w:num>
  <w:num w:numId="3">
    <w:abstractNumId w:val="29"/>
  </w:num>
  <w:num w:numId="4">
    <w:abstractNumId w:val="37"/>
  </w:num>
  <w:num w:numId="5">
    <w:abstractNumId w:val="31"/>
  </w:num>
  <w:num w:numId="6">
    <w:abstractNumId w:val="35"/>
  </w:num>
  <w:num w:numId="7">
    <w:abstractNumId w:val="30"/>
  </w:num>
  <w:num w:numId="8">
    <w:abstractNumId w:val="38"/>
  </w:num>
  <w:num w:numId="9">
    <w:abstractNumId w:val="11"/>
  </w:num>
  <w:num w:numId="10">
    <w:abstractNumId w:val="44"/>
  </w:num>
  <w:num w:numId="11">
    <w:abstractNumId w:val="0"/>
  </w:num>
  <w:num w:numId="12">
    <w:abstractNumId w:val="8"/>
  </w:num>
  <w:num w:numId="13">
    <w:abstractNumId w:val="14"/>
  </w:num>
  <w:num w:numId="14">
    <w:abstractNumId w:val="36"/>
  </w:num>
  <w:num w:numId="15">
    <w:abstractNumId w:val="54"/>
  </w:num>
  <w:num w:numId="16">
    <w:abstractNumId w:val="47"/>
  </w:num>
  <w:num w:numId="17">
    <w:abstractNumId w:val="22"/>
  </w:num>
  <w:num w:numId="18">
    <w:abstractNumId w:val="2"/>
  </w:num>
  <w:num w:numId="19">
    <w:abstractNumId w:val="46"/>
  </w:num>
  <w:num w:numId="20">
    <w:abstractNumId w:val="9"/>
  </w:num>
  <w:num w:numId="21">
    <w:abstractNumId w:val="10"/>
  </w:num>
  <w:num w:numId="22">
    <w:abstractNumId w:val="12"/>
  </w:num>
  <w:num w:numId="23">
    <w:abstractNumId w:val="53"/>
  </w:num>
  <w:num w:numId="24">
    <w:abstractNumId w:val="51"/>
  </w:num>
  <w:num w:numId="25">
    <w:abstractNumId w:val="49"/>
  </w:num>
  <w:num w:numId="26">
    <w:abstractNumId w:val="48"/>
  </w:num>
  <w:num w:numId="27">
    <w:abstractNumId w:val="41"/>
  </w:num>
  <w:num w:numId="28">
    <w:abstractNumId w:val="39"/>
  </w:num>
  <w:num w:numId="29">
    <w:abstractNumId w:val="28"/>
  </w:num>
  <w:num w:numId="30">
    <w:abstractNumId w:val="6"/>
  </w:num>
  <w:num w:numId="31">
    <w:abstractNumId w:val="33"/>
  </w:num>
  <w:num w:numId="32">
    <w:abstractNumId w:val="25"/>
  </w:num>
  <w:num w:numId="33">
    <w:abstractNumId w:val="34"/>
  </w:num>
  <w:num w:numId="34">
    <w:abstractNumId w:val="24"/>
  </w:num>
  <w:num w:numId="35">
    <w:abstractNumId w:val="21"/>
  </w:num>
  <w:num w:numId="36">
    <w:abstractNumId w:val="42"/>
  </w:num>
  <w:num w:numId="37">
    <w:abstractNumId w:val="19"/>
  </w:num>
  <w:num w:numId="38">
    <w:abstractNumId w:val="50"/>
  </w:num>
  <w:num w:numId="39">
    <w:abstractNumId w:val="13"/>
  </w:num>
  <w:num w:numId="40">
    <w:abstractNumId w:val="7"/>
  </w:num>
  <w:num w:numId="41">
    <w:abstractNumId w:val="5"/>
  </w:num>
  <w:num w:numId="42">
    <w:abstractNumId w:val="15"/>
  </w:num>
  <w:num w:numId="43">
    <w:abstractNumId w:val="27"/>
  </w:num>
  <w:num w:numId="44">
    <w:abstractNumId w:val="45"/>
  </w:num>
  <w:num w:numId="45">
    <w:abstractNumId w:val="55"/>
  </w:num>
  <w:num w:numId="46">
    <w:abstractNumId w:val="3"/>
  </w:num>
  <w:num w:numId="47">
    <w:abstractNumId w:val="20"/>
  </w:num>
  <w:num w:numId="48">
    <w:abstractNumId w:val="17"/>
  </w:num>
  <w:num w:numId="49">
    <w:abstractNumId w:val="23"/>
  </w:num>
  <w:num w:numId="50">
    <w:abstractNumId w:val="43"/>
  </w:num>
  <w:num w:numId="51">
    <w:abstractNumId w:val="26"/>
  </w:num>
  <w:num w:numId="52">
    <w:abstractNumId w:val="16"/>
  </w:num>
  <w:num w:numId="53">
    <w:abstractNumId w:val="4"/>
  </w:num>
  <w:num w:numId="54">
    <w:abstractNumId w:val="32"/>
  </w:num>
  <w:num w:numId="55">
    <w:abstractNumId w:val="40"/>
  </w:num>
  <w:num w:numId="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F2A63"/>
    <w:rsid w:val="00A11027"/>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44368"/>
    <w:rsid w:val="00D931B2"/>
    <w:rsid w:val="00DD0E0A"/>
    <w:rsid w:val="00E35776"/>
    <w:rsid w:val="00EA0245"/>
    <w:rsid w:val="00EB23BF"/>
    <w:rsid w:val="00EF38D6"/>
    <w:rsid w:val="00F3014A"/>
    <w:rsid w:val="00F77098"/>
    <w:rsid w:val="00F96F6D"/>
    <w:rsid w:val="011D29D3"/>
    <w:rsid w:val="01585B53"/>
    <w:rsid w:val="01A87AFF"/>
    <w:rsid w:val="01AE0890"/>
    <w:rsid w:val="01E21263"/>
    <w:rsid w:val="01FD4B08"/>
    <w:rsid w:val="020A3493"/>
    <w:rsid w:val="022402D8"/>
    <w:rsid w:val="028B69D5"/>
    <w:rsid w:val="02C74C71"/>
    <w:rsid w:val="02D63DA2"/>
    <w:rsid w:val="032C04DE"/>
    <w:rsid w:val="039B6A7A"/>
    <w:rsid w:val="039D29C7"/>
    <w:rsid w:val="03B44D43"/>
    <w:rsid w:val="03C42B10"/>
    <w:rsid w:val="03D1540B"/>
    <w:rsid w:val="03E51E36"/>
    <w:rsid w:val="04284DF7"/>
    <w:rsid w:val="045A4620"/>
    <w:rsid w:val="04934A97"/>
    <w:rsid w:val="04C81EB4"/>
    <w:rsid w:val="052B7D68"/>
    <w:rsid w:val="052E063C"/>
    <w:rsid w:val="053510ED"/>
    <w:rsid w:val="053C7EE8"/>
    <w:rsid w:val="05DD405D"/>
    <w:rsid w:val="062B6BB0"/>
    <w:rsid w:val="064C3C4E"/>
    <w:rsid w:val="065A4F71"/>
    <w:rsid w:val="06BE5447"/>
    <w:rsid w:val="06F92A76"/>
    <w:rsid w:val="0734362F"/>
    <w:rsid w:val="084618E3"/>
    <w:rsid w:val="08813251"/>
    <w:rsid w:val="091B45C5"/>
    <w:rsid w:val="091B505B"/>
    <w:rsid w:val="09241EA7"/>
    <w:rsid w:val="09710ACA"/>
    <w:rsid w:val="09866FB3"/>
    <w:rsid w:val="09BC676A"/>
    <w:rsid w:val="09BD0AC3"/>
    <w:rsid w:val="09F75AC8"/>
    <w:rsid w:val="0AA365D4"/>
    <w:rsid w:val="0ADD43C6"/>
    <w:rsid w:val="0B29656B"/>
    <w:rsid w:val="0B5C2B1E"/>
    <w:rsid w:val="0B5D1218"/>
    <w:rsid w:val="0B6C4C4F"/>
    <w:rsid w:val="0BBA6DAD"/>
    <w:rsid w:val="0BD61FD8"/>
    <w:rsid w:val="0BDB7443"/>
    <w:rsid w:val="0C231BE3"/>
    <w:rsid w:val="0C3274C0"/>
    <w:rsid w:val="0C562952"/>
    <w:rsid w:val="0C9C64B3"/>
    <w:rsid w:val="0D103128"/>
    <w:rsid w:val="0D50335E"/>
    <w:rsid w:val="0D807ECA"/>
    <w:rsid w:val="0DEC55AB"/>
    <w:rsid w:val="0DF769B1"/>
    <w:rsid w:val="0EB421D9"/>
    <w:rsid w:val="0EB45D35"/>
    <w:rsid w:val="0EEB675D"/>
    <w:rsid w:val="0EF32D02"/>
    <w:rsid w:val="0F21471A"/>
    <w:rsid w:val="0FAE4599"/>
    <w:rsid w:val="0FC71A98"/>
    <w:rsid w:val="0FCD5301"/>
    <w:rsid w:val="0FEE5277"/>
    <w:rsid w:val="113969C6"/>
    <w:rsid w:val="11771132"/>
    <w:rsid w:val="1186727F"/>
    <w:rsid w:val="11A62133"/>
    <w:rsid w:val="1222036C"/>
    <w:rsid w:val="125300E4"/>
    <w:rsid w:val="12695089"/>
    <w:rsid w:val="12737232"/>
    <w:rsid w:val="129739A4"/>
    <w:rsid w:val="129F1877"/>
    <w:rsid w:val="12D85BE8"/>
    <w:rsid w:val="1307145F"/>
    <w:rsid w:val="1331143C"/>
    <w:rsid w:val="134B39F9"/>
    <w:rsid w:val="13795061"/>
    <w:rsid w:val="13B77AAE"/>
    <w:rsid w:val="13DC7AA5"/>
    <w:rsid w:val="14B35AE2"/>
    <w:rsid w:val="14D2098F"/>
    <w:rsid w:val="151A7A0E"/>
    <w:rsid w:val="15CF32C4"/>
    <w:rsid w:val="15EC1502"/>
    <w:rsid w:val="15ED0C83"/>
    <w:rsid w:val="16BB21F0"/>
    <w:rsid w:val="16C65BD4"/>
    <w:rsid w:val="16D50F3F"/>
    <w:rsid w:val="17066644"/>
    <w:rsid w:val="179359CE"/>
    <w:rsid w:val="179424FA"/>
    <w:rsid w:val="17E66293"/>
    <w:rsid w:val="17F11DA8"/>
    <w:rsid w:val="17FE78E9"/>
    <w:rsid w:val="18461A87"/>
    <w:rsid w:val="1871436F"/>
    <w:rsid w:val="187273DD"/>
    <w:rsid w:val="187416E0"/>
    <w:rsid w:val="187C3D68"/>
    <w:rsid w:val="18827DFA"/>
    <w:rsid w:val="189925AD"/>
    <w:rsid w:val="18A57411"/>
    <w:rsid w:val="197E6B9A"/>
    <w:rsid w:val="19B60738"/>
    <w:rsid w:val="1A036844"/>
    <w:rsid w:val="1A0373FB"/>
    <w:rsid w:val="1A1E30CC"/>
    <w:rsid w:val="1A5A361C"/>
    <w:rsid w:val="1A845156"/>
    <w:rsid w:val="1AF220BF"/>
    <w:rsid w:val="1B7E7A42"/>
    <w:rsid w:val="1BF34341"/>
    <w:rsid w:val="1C1A557B"/>
    <w:rsid w:val="1C790EA2"/>
    <w:rsid w:val="1CBB4733"/>
    <w:rsid w:val="1CCD3F1F"/>
    <w:rsid w:val="1CFE11EF"/>
    <w:rsid w:val="1D7C1C6E"/>
    <w:rsid w:val="1E0B405F"/>
    <w:rsid w:val="1E0F00DB"/>
    <w:rsid w:val="1E135B88"/>
    <w:rsid w:val="1E6E2AFC"/>
    <w:rsid w:val="1E8F3EF6"/>
    <w:rsid w:val="1F6F7E60"/>
    <w:rsid w:val="1F775289"/>
    <w:rsid w:val="1F8D474B"/>
    <w:rsid w:val="1FB82B1F"/>
    <w:rsid w:val="1FD13B1D"/>
    <w:rsid w:val="1FD618FC"/>
    <w:rsid w:val="20341B32"/>
    <w:rsid w:val="20BF6817"/>
    <w:rsid w:val="210C2083"/>
    <w:rsid w:val="211A5ECC"/>
    <w:rsid w:val="21321990"/>
    <w:rsid w:val="21342863"/>
    <w:rsid w:val="214804E7"/>
    <w:rsid w:val="21DE185B"/>
    <w:rsid w:val="21FC191D"/>
    <w:rsid w:val="222B5EB7"/>
    <w:rsid w:val="22333A6F"/>
    <w:rsid w:val="22616361"/>
    <w:rsid w:val="22771648"/>
    <w:rsid w:val="22867DF2"/>
    <w:rsid w:val="22D77E03"/>
    <w:rsid w:val="22E31687"/>
    <w:rsid w:val="22E96105"/>
    <w:rsid w:val="23AE6E53"/>
    <w:rsid w:val="241B025E"/>
    <w:rsid w:val="24373E9F"/>
    <w:rsid w:val="243B67B0"/>
    <w:rsid w:val="24594FDD"/>
    <w:rsid w:val="24672DFE"/>
    <w:rsid w:val="247F6640"/>
    <w:rsid w:val="24FB0BDF"/>
    <w:rsid w:val="25063990"/>
    <w:rsid w:val="252B0548"/>
    <w:rsid w:val="252D375F"/>
    <w:rsid w:val="261908B2"/>
    <w:rsid w:val="262302AF"/>
    <w:rsid w:val="26263565"/>
    <w:rsid w:val="26753BA5"/>
    <w:rsid w:val="26FE220C"/>
    <w:rsid w:val="27E33F9B"/>
    <w:rsid w:val="2842528D"/>
    <w:rsid w:val="28437DE4"/>
    <w:rsid w:val="285D75ED"/>
    <w:rsid w:val="28634752"/>
    <w:rsid w:val="287B1BD9"/>
    <w:rsid w:val="28812EEF"/>
    <w:rsid w:val="29005CC7"/>
    <w:rsid w:val="2929146E"/>
    <w:rsid w:val="29A92FCA"/>
    <w:rsid w:val="29DE4CF7"/>
    <w:rsid w:val="29EC6874"/>
    <w:rsid w:val="2A3B4AC8"/>
    <w:rsid w:val="2A77438F"/>
    <w:rsid w:val="2AB60B33"/>
    <w:rsid w:val="2AB61621"/>
    <w:rsid w:val="2ABE1535"/>
    <w:rsid w:val="2B231E21"/>
    <w:rsid w:val="2B276251"/>
    <w:rsid w:val="2B4E2E20"/>
    <w:rsid w:val="2B5C0B7A"/>
    <w:rsid w:val="2BBE40F5"/>
    <w:rsid w:val="2C0A43BD"/>
    <w:rsid w:val="2C140573"/>
    <w:rsid w:val="2C7E52A0"/>
    <w:rsid w:val="2C923702"/>
    <w:rsid w:val="2CA03577"/>
    <w:rsid w:val="2E183793"/>
    <w:rsid w:val="2E415527"/>
    <w:rsid w:val="2E873790"/>
    <w:rsid w:val="2E877731"/>
    <w:rsid w:val="2E953458"/>
    <w:rsid w:val="2EB01C1E"/>
    <w:rsid w:val="2ED26038"/>
    <w:rsid w:val="2EEC5850"/>
    <w:rsid w:val="2FB5345F"/>
    <w:rsid w:val="2FD55B62"/>
    <w:rsid w:val="2FE97E3B"/>
    <w:rsid w:val="2FF27415"/>
    <w:rsid w:val="2FF40230"/>
    <w:rsid w:val="30697C39"/>
    <w:rsid w:val="3082362C"/>
    <w:rsid w:val="30A25EDE"/>
    <w:rsid w:val="30BE5574"/>
    <w:rsid w:val="31006665"/>
    <w:rsid w:val="31AD0696"/>
    <w:rsid w:val="31CF3D5B"/>
    <w:rsid w:val="325B2CD1"/>
    <w:rsid w:val="3273487A"/>
    <w:rsid w:val="32B24F2C"/>
    <w:rsid w:val="32D2384E"/>
    <w:rsid w:val="332B3F69"/>
    <w:rsid w:val="33723946"/>
    <w:rsid w:val="3392111C"/>
    <w:rsid w:val="33ED7A2D"/>
    <w:rsid w:val="33F51DC1"/>
    <w:rsid w:val="33F7090C"/>
    <w:rsid w:val="342655A2"/>
    <w:rsid w:val="343727B9"/>
    <w:rsid w:val="343A1627"/>
    <w:rsid w:val="34666D77"/>
    <w:rsid w:val="34BB18DF"/>
    <w:rsid w:val="34BC593E"/>
    <w:rsid w:val="34C172EE"/>
    <w:rsid w:val="35492DCC"/>
    <w:rsid w:val="35836DF6"/>
    <w:rsid w:val="35984464"/>
    <w:rsid w:val="361D0069"/>
    <w:rsid w:val="36392E40"/>
    <w:rsid w:val="36410489"/>
    <w:rsid w:val="36600766"/>
    <w:rsid w:val="367932A1"/>
    <w:rsid w:val="36BB706D"/>
    <w:rsid w:val="36CD288E"/>
    <w:rsid w:val="37C83251"/>
    <w:rsid w:val="37DE5A4E"/>
    <w:rsid w:val="38095824"/>
    <w:rsid w:val="38691290"/>
    <w:rsid w:val="386E2754"/>
    <w:rsid w:val="38784439"/>
    <w:rsid w:val="3895798B"/>
    <w:rsid w:val="38EA4F9B"/>
    <w:rsid w:val="39022224"/>
    <w:rsid w:val="3958538C"/>
    <w:rsid w:val="39AD284D"/>
    <w:rsid w:val="39C3314D"/>
    <w:rsid w:val="39EC248F"/>
    <w:rsid w:val="39FB1F96"/>
    <w:rsid w:val="3A35183F"/>
    <w:rsid w:val="3AD6370D"/>
    <w:rsid w:val="3AFE45A9"/>
    <w:rsid w:val="3AFF4AFA"/>
    <w:rsid w:val="3B3C613D"/>
    <w:rsid w:val="3B4E6A46"/>
    <w:rsid w:val="3B9C1459"/>
    <w:rsid w:val="3BC822BA"/>
    <w:rsid w:val="3BED7720"/>
    <w:rsid w:val="3C0817F8"/>
    <w:rsid w:val="3C4E0CC8"/>
    <w:rsid w:val="3CD64F45"/>
    <w:rsid w:val="3CDD7527"/>
    <w:rsid w:val="3D2C1009"/>
    <w:rsid w:val="3D9425AC"/>
    <w:rsid w:val="3DAB63D2"/>
    <w:rsid w:val="3DC329AA"/>
    <w:rsid w:val="3DD1764D"/>
    <w:rsid w:val="3E2A3832"/>
    <w:rsid w:val="3E5C0C91"/>
    <w:rsid w:val="3E8B7504"/>
    <w:rsid w:val="3E924A3A"/>
    <w:rsid w:val="3EDB6353"/>
    <w:rsid w:val="3EDF20F6"/>
    <w:rsid w:val="3F1F5608"/>
    <w:rsid w:val="3F8C5775"/>
    <w:rsid w:val="3FBC52EF"/>
    <w:rsid w:val="3FC767A2"/>
    <w:rsid w:val="40087ED4"/>
    <w:rsid w:val="40122B01"/>
    <w:rsid w:val="40546445"/>
    <w:rsid w:val="407C5D89"/>
    <w:rsid w:val="40B27A77"/>
    <w:rsid w:val="41103EBE"/>
    <w:rsid w:val="4128697B"/>
    <w:rsid w:val="416A65A4"/>
    <w:rsid w:val="4185309F"/>
    <w:rsid w:val="420978AD"/>
    <w:rsid w:val="421309EA"/>
    <w:rsid w:val="42240501"/>
    <w:rsid w:val="424D5666"/>
    <w:rsid w:val="427174BE"/>
    <w:rsid w:val="42AE2961"/>
    <w:rsid w:val="42F51E9D"/>
    <w:rsid w:val="43122A4F"/>
    <w:rsid w:val="436676EB"/>
    <w:rsid w:val="438B6993"/>
    <w:rsid w:val="440F6A52"/>
    <w:rsid w:val="448B5355"/>
    <w:rsid w:val="44A27E03"/>
    <w:rsid w:val="45084376"/>
    <w:rsid w:val="45EC42C8"/>
    <w:rsid w:val="45EE1F1D"/>
    <w:rsid w:val="45F13F14"/>
    <w:rsid w:val="45FD2CF9"/>
    <w:rsid w:val="45FD6CFD"/>
    <w:rsid w:val="46AF1AC2"/>
    <w:rsid w:val="47501092"/>
    <w:rsid w:val="477F0223"/>
    <w:rsid w:val="47874D28"/>
    <w:rsid w:val="47887784"/>
    <w:rsid w:val="47AA16A3"/>
    <w:rsid w:val="47C07F1D"/>
    <w:rsid w:val="47E464E1"/>
    <w:rsid w:val="489804DA"/>
    <w:rsid w:val="489F636D"/>
    <w:rsid w:val="490734CE"/>
    <w:rsid w:val="49530909"/>
    <w:rsid w:val="4A041EBB"/>
    <w:rsid w:val="4A0D7887"/>
    <w:rsid w:val="4A132597"/>
    <w:rsid w:val="4A22313A"/>
    <w:rsid w:val="4A6C0323"/>
    <w:rsid w:val="4B1E3E8D"/>
    <w:rsid w:val="4B321211"/>
    <w:rsid w:val="4B545D45"/>
    <w:rsid w:val="4B752FDA"/>
    <w:rsid w:val="4B800849"/>
    <w:rsid w:val="4B9D26F9"/>
    <w:rsid w:val="4BB328F5"/>
    <w:rsid w:val="4BB618E9"/>
    <w:rsid w:val="4BF90C50"/>
    <w:rsid w:val="4C9F674F"/>
    <w:rsid w:val="4CA24E44"/>
    <w:rsid w:val="4CCB7A52"/>
    <w:rsid w:val="4D1C7CE2"/>
    <w:rsid w:val="4D3E287F"/>
    <w:rsid w:val="4D7C1694"/>
    <w:rsid w:val="4E4A6596"/>
    <w:rsid w:val="4E586946"/>
    <w:rsid w:val="4E736C23"/>
    <w:rsid w:val="4E9844D8"/>
    <w:rsid w:val="4EEF40A5"/>
    <w:rsid w:val="4F351F9F"/>
    <w:rsid w:val="4F885092"/>
    <w:rsid w:val="4F8C3B89"/>
    <w:rsid w:val="4F9F1B0F"/>
    <w:rsid w:val="4FAC031B"/>
    <w:rsid w:val="508E2130"/>
    <w:rsid w:val="509052E3"/>
    <w:rsid w:val="51A3460B"/>
    <w:rsid w:val="51A52CE0"/>
    <w:rsid w:val="51D25A47"/>
    <w:rsid w:val="51D83680"/>
    <w:rsid w:val="520E24F1"/>
    <w:rsid w:val="524B1ADA"/>
    <w:rsid w:val="52C376E8"/>
    <w:rsid w:val="52E74599"/>
    <w:rsid w:val="535624E4"/>
    <w:rsid w:val="5371638D"/>
    <w:rsid w:val="53CE10F6"/>
    <w:rsid w:val="53F200E2"/>
    <w:rsid w:val="54793D50"/>
    <w:rsid w:val="547A0D72"/>
    <w:rsid w:val="54E52CDB"/>
    <w:rsid w:val="54EE5BBD"/>
    <w:rsid w:val="55396727"/>
    <w:rsid w:val="55532D28"/>
    <w:rsid w:val="55543D60"/>
    <w:rsid w:val="55C3525E"/>
    <w:rsid w:val="55CA71B9"/>
    <w:rsid w:val="55EE796A"/>
    <w:rsid w:val="56FC234E"/>
    <w:rsid w:val="570478FE"/>
    <w:rsid w:val="576A00F7"/>
    <w:rsid w:val="57F16C7F"/>
    <w:rsid w:val="58082C12"/>
    <w:rsid w:val="584977FD"/>
    <w:rsid w:val="58511E7C"/>
    <w:rsid w:val="58984200"/>
    <w:rsid w:val="58E660B8"/>
    <w:rsid w:val="59BC6E5A"/>
    <w:rsid w:val="59E40804"/>
    <w:rsid w:val="5A27176C"/>
    <w:rsid w:val="5A2A085B"/>
    <w:rsid w:val="5A6060A1"/>
    <w:rsid w:val="5A750890"/>
    <w:rsid w:val="5AAA198F"/>
    <w:rsid w:val="5AB05476"/>
    <w:rsid w:val="5AC30E2E"/>
    <w:rsid w:val="5AFA0244"/>
    <w:rsid w:val="5B9B691A"/>
    <w:rsid w:val="5BA3015F"/>
    <w:rsid w:val="5C43724B"/>
    <w:rsid w:val="5C682135"/>
    <w:rsid w:val="5CFA1019"/>
    <w:rsid w:val="5D1523DC"/>
    <w:rsid w:val="5D564D89"/>
    <w:rsid w:val="5D7D2FEA"/>
    <w:rsid w:val="5DB1283B"/>
    <w:rsid w:val="5DEF1EB3"/>
    <w:rsid w:val="5E364156"/>
    <w:rsid w:val="5E4E4F75"/>
    <w:rsid w:val="5F8D4FB7"/>
    <w:rsid w:val="5F967341"/>
    <w:rsid w:val="5FB962D5"/>
    <w:rsid w:val="5FF616A2"/>
    <w:rsid w:val="60440664"/>
    <w:rsid w:val="604B2B9F"/>
    <w:rsid w:val="608139CC"/>
    <w:rsid w:val="608B4B9C"/>
    <w:rsid w:val="60B80169"/>
    <w:rsid w:val="60D618C6"/>
    <w:rsid w:val="6105535C"/>
    <w:rsid w:val="614E0E03"/>
    <w:rsid w:val="61567FC5"/>
    <w:rsid w:val="616D55C9"/>
    <w:rsid w:val="618A3466"/>
    <w:rsid w:val="61B871CE"/>
    <w:rsid w:val="62067841"/>
    <w:rsid w:val="624D6221"/>
    <w:rsid w:val="625B3673"/>
    <w:rsid w:val="627C7AED"/>
    <w:rsid w:val="62ED6B99"/>
    <w:rsid w:val="631D6B7A"/>
    <w:rsid w:val="633534E8"/>
    <w:rsid w:val="63517B56"/>
    <w:rsid w:val="63625F7D"/>
    <w:rsid w:val="63DA4A6C"/>
    <w:rsid w:val="63EC14BE"/>
    <w:rsid w:val="641C5C65"/>
    <w:rsid w:val="64373C6C"/>
    <w:rsid w:val="6446136F"/>
    <w:rsid w:val="646E7959"/>
    <w:rsid w:val="647D5E76"/>
    <w:rsid w:val="64D47053"/>
    <w:rsid w:val="651D1F50"/>
    <w:rsid w:val="653B0AC5"/>
    <w:rsid w:val="65BC2F98"/>
    <w:rsid w:val="65CA4EE1"/>
    <w:rsid w:val="66592469"/>
    <w:rsid w:val="67513297"/>
    <w:rsid w:val="67780823"/>
    <w:rsid w:val="67961104"/>
    <w:rsid w:val="67A27F96"/>
    <w:rsid w:val="67C21EE4"/>
    <w:rsid w:val="67CF09F4"/>
    <w:rsid w:val="67E22141"/>
    <w:rsid w:val="680E2343"/>
    <w:rsid w:val="688B35FB"/>
    <w:rsid w:val="68BB51BC"/>
    <w:rsid w:val="68C07218"/>
    <w:rsid w:val="696F71F1"/>
    <w:rsid w:val="69726D67"/>
    <w:rsid w:val="69AF0748"/>
    <w:rsid w:val="69BD315D"/>
    <w:rsid w:val="69D501AF"/>
    <w:rsid w:val="69E74060"/>
    <w:rsid w:val="6A52585A"/>
    <w:rsid w:val="6A582B8E"/>
    <w:rsid w:val="6A72490A"/>
    <w:rsid w:val="6AAB1A1A"/>
    <w:rsid w:val="6AD00976"/>
    <w:rsid w:val="6AFB0B87"/>
    <w:rsid w:val="6B570E7E"/>
    <w:rsid w:val="6B7414E7"/>
    <w:rsid w:val="6B816AA3"/>
    <w:rsid w:val="6BEA3CBA"/>
    <w:rsid w:val="6C1379F3"/>
    <w:rsid w:val="6C23729E"/>
    <w:rsid w:val="6C2C3342"/>
    <w:rsid w:val="6D0C27FF"/>
    <w:rsid w:val="6DA57E98"/>
    <w:rsid w:val="6DC741A0"/>
    <w:rsid w:val="6DF350A8"/>
    <w:rsid w:val="6E1A0886"/>
    <w:rsid w:val="6E6E1A43"/>
    <w:rsid w:val="6E781A51"/>
    <w:rsid w:val="6EC72CAC"/>
    <w:rsid w:val="6F420324"/>
    <w:rsid w:val="6FCE5861"/>
    <w:rsid w:val="6FF60E93"/>
    <w:rsid w:val="70173F68"/>
    <w:rsid w:val="701E3F32"/>
    <w:rsid w:val="703A53FC"/>
    <w:rsid w:val="707E2326"/>
    <w:rsid w:val="717E3F4B"/>
    <w:rsid w:val="719C2A2E"/>
    <w:rsid w:val="71B633FC"/>
    <w:rsid w:val="71C0515B"/>
    <w:rsid w:val="72356C99"/>
    <w:rsid w:val="724C02E6"/>
    <w:rsid w:val="727B1B10"/>
    <w:rsid w:val="72AC5157"/>
    <w:rsid w:val="733C1156"/>
    <w:rsid w:val="74336552"/>
    <w:rsid w:val="7456013E"/>
    <w:rsid w:val="748E3F2E"/>
    <w:rsid w:val="74D80B53"/>
    <w:rsid w:val="74F561EF"/>
    <w:rsid w:val="75155029"/>
    <w:rsid w:val="75356FAC"/>
    <w:rsid w:val="75587EE6"/>
    <w:rsid w:val="756C5068"/>
    <w:rsid w:val="75956A44"/>
    <w:rsid w:val="764741F6"/>
    <w:rsid w:val="768935A6"/>
    <w:rsid w:val="76FB6D7B"/>
    <w:rsid w:val="773504DF"/>
    <w:rsid w:val="77E70A98"/>
    <w:rsid w:val="77F547F3"/>
    <w:rsid w:val="78060B96"/>
    <w:rsid w:val="784F29CE"/>
    <w:rsid w:val="786D18CA"/>
    <w:rsid w:val="78A45B28"/>
    <w:rsid w:val="78AC1897"/>
    <w:rsid w:val="78D77A8A"/>
    <w:rsid w:val="79362FB2"/>
    <w:rsid w:val="79C21DD2"/>
    <w:rsid w:val="79C73309"/>
    <w:rsid w:val="7A1054F4"/>
    <w:rsid w:val="7A552EF7"/>
    <w:rsid w:val="7AAB520E"/>
    <w:rsid w:val="7AAF7060"/>
    <w:rsid w:val="7ABF6A78"/>
    <w:rsid w:val="7AFE5AFB"/>
    <w:rsid w:val="7B6B2630"/>
    <w:rsid w:val="7B6C0247"/>
    <w:rsid w:val="7B810197"/>
    <w:rsid w:val="7BB572E9"/>
    <w:rsid w:val="7BCC42E0"/>
    <w:rsid w:val="7C030CE9"/>
    <w:rsid w:val="7C2E19A1"/>
    <w:rsid w:val="7C7C3D2F"/>
    <w:rsid w:val="7CAF680C"/>
    <w:rsid w:val="7DB4751F"/>
    <w:rsid w:val="7E187791"/>
    <w:rsid w:val="7EC56E34"/>
    <w:rsid w:val="7F1B67EE"/>
    <w:rsid w:val="7F224D4A"/>
    <w:rsid w:val="7F4719DD"/>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8"/>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 + 首行缩进:  2 字符"/>
    <w:basedOn w:val="3"/>
    <w:qFormat/>
    <w:uiPriority w:val="0"/>
    <w:pPr>
      <w:spacing w:line="360" w:lineRule="auto"/>
      <w:ind w:firstLine="200"/>
    </w:pPr>
    <w:rPr>
      <w:rFonts w:ascii="Times New Roman" w:hAnsi="Times New Roman" w:eastAsia="宋体" w:cs="Times New Roman"/>
    </w:rPr>
  </w:style>
  <w:style w:type="paragraph" w:styleId="3">
    <w:name w:val="Normal Indent"/>
    <w:basedOn w:val="1"/>
    <w:next w:val="1"/>
    <w:qFormat/>
    <w:uiPriority w:val="99"/>
    <w:pPr>
      <w:widowControl w:val="0"/>
      <w:adjustRightInd w:val="0"/>
      <w:spacing w:line="360" w:lineRule="atLeast"/>
      <w:ind w:firstLine="482"/>
    </w:pPr>
    <w:rPr>
      <w:color w:val="auto"/>
      <w:sz w:val="24"/>
    </w:rPr>
  </w:style>
  <w:style w:type="paragraph" w:styleId="9">
    <w:name w:val="List 3"/>
    <w:basedOn w:val="1"/>
    <w:qFormat/>
    <w:uiPriority w:val="0"/>
    <w:pPr>
      <w:ind w:left="100" w:leftChars="400" w:hanging="200" w:hangingChars="200"/>
      <w:contextualSpacing/>
    </w:pPr>
  </w:style>
  <w:style w:type="paragraph" w:styleId="10">
    <w:name w:val="caption"/>
    <w:basedOn w:val="1"/>
    <w:next w:val="1"/>
    <w:semiHidden/>
    <w:unhideWhenUsed/>
    <w:qFormat/>
    <w:uiPriority w:val="0"/>
    <w:pPr>
      <w:spacing w:before="152" w:after="160"/>
    </w:pPr>
    <w:rPr>
      <w:rFonts w:ascii="Arial" w:hAnsi="Arial" w:eastAsia="黑体" w:cs="Arial"/>
      <w:sz w:val="20"/>
    </w:rPr>
  </w:style>
  <w:style w:type="paragraph" w:styleId="11">
    <w:name w:val="annotation text"/>
    <w:basedOn w:val="1"/>
    <w:link w:val="51"/>
    <w:qFormat/>
    <w:uiPriority w:val="0"/>
    <w:pPr>
      <w:adjustRightInd w:val="0"/>
      <w:spacing w:line="360" w:lineRule="atLeast"/>
      <w:jc w:val="left"/>
      <w:textAlignment w:val="baseline"/>
    </w:pPr>
    <w:rPr>
      <w:kern w:val="0"/>
      <w:sz w:val="24"/>
    </w:rPr>
  </w:style>
  <w:style w:type="paragraph" w:styleId="12">
    <w:name w:val="Salutation"/>
    <w:basedOn w:val="1"/>
    <w:next w:val="1"/>
    <w:link w:val="48"/>
    <w:qFormat/>
    <w:uiPriority w:val="0"/>
    <w:rPr>
      <w:sz w:val="24"/>
    </w:rPr>
  </w:style>
  <w:style w:type="paragraph" w:styleId="13">
    <w:name w:val="Body Text"/>
    <w:basedOn w:val="1"/>
    <w:link w:val="55"/>
    <w:qFormat/>
    <w:uiPriority w:val="0"/>
    <w:pPr>
      <w:spacing w:after="120"/>
    </w:pPr>
    <w:rPr>
      <w:rFonts w:asciiTheme="minorHAnsi" w:hAnsiTheme="minorHAnsi" w:cstheme="minorBidi"/>
      <w:szCs w:val="24"/>
    </w:rPr>
  </w:style>
  <w:style w:type="paragraph" w:styleId="14">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5">
    <w:name w:val="List 2"/>
    <w:basedOn w:val="1"/>
    <w:qFormat/>
    <w:uiPriority w:val="0"/>
    <w:pPr>
      <w:ind w:left="100" w:leftChars="200" w:hanging="200" w:hangingChars="200"/>
    </w:pPr>
    <w:rPr>
      <w:szCs w:val="24"/>
    </w:rPr>
  </w:style>
  <w:style w:type="paragraph" w:styleId="16">
    <w:name w:val="Plain Text"/>
    <w:basedOn w:val="1"/>
    <w:link w:val="46"/>
    <w:qFormat/>
    <w:uiPriority w:val="0"/>
    <w:rPr>
      <w:rFonts w:ascii="宋体" w:hAnsi="Courier New"/>
    </w:rPr>
  </w:style>
  <w:style w:type="paragraph" w:styleId="17">
    <w:name w:val="footer"/>
    <w:basedOn w:val="1"/>
    <w:link w:val="41"/>
    <w:qFormat/>
    <w:uiPriority w:val="0"/>
    <w:pPr>
      <w:tabs>
        <w:tab w:val="center" w:pos="4153"/>
        <w:tab w:val="right" w:pos="8306"/>
      </w:tabs>
      <w:snapToGrid w:val="0"/>
      <w:jc w:val="left"/>
    </w:pPr>
    <w:rPr>
      <w:sz w:val="18"/>
      <w:szCs w:val="18"/>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628"/>
      </w:tabs>
      <w:spacing w:line="360" w:lineRule="auto"/>
    </w:pPr>
    <w:rPr>
      <w:szCs w:val="24"/>
    </w:rPr>
  </w:style>
  <w:style w:type="paragraph" w:styleId="20">
    <w:name w:val="footnote text"/>
    <w:basedOn w:val="1"/>
    <w:link w:val="36"/>
    <w:qFormat/>
    <w:uiPriority w:val="99"/>
    <w:pPr>
      <w:snapToGrid w:val="0"/>
      <w:jc w:val="left"/>
    </w:pPr>
    <w:rPr>
      <w:rFonts w:asciiTheme="minorHAnsi" w:hAnsiTheme="minorHAnsi" w:eastAsiaTheme="minorEastAsia" w:cstheme="minorBidi"/>
      <w:sz w:val="18"/>
      <w:szCs w:val="22"/>
    </w:rPr>
  </w:style>
  <w:style w:type="paragraph" w:styleId="21">
    <w:name w:val="toc 2"/>
    <w:basedOn w:val="1"/>
    <w:next w:val="1"/>
    <w:qFormat/>
    <w:uiPriority w:val="0"/>
    <w:pPr>
      <w:adjustRightInd w:val="0"/>
      <w:spacing w:line="360" w:lineRule="auto"/>
      <w:ind w:left="240" w:firstLine="425"/>
      <w:jc w:val="left"/>
      <w:textAlignment w:val="baseline"/>
    </w:pPr>
    <w:rPr>
      <w:smallCaps/>
      <w:sz w:val="20"/>
    </w:rPr>
  </w:style>
  <w:style w:type="paragraph" w:styleId="22">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75"/>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6">
    <w:name w:val="Body Text First Indent"/>
    <w:basedOn w:val="13"/>
    <w:qFormat/>
    <w:uiPriority w:val="99"/>
    <w:pPr>
      <w:spacing w:after="120"/>
      <w:ind w:firstLine="420" w:firstLineChars="100"/>
    </w:pPr>
  </w:style>
  <w:style w:type="paragraph" w:styleId="27">
    <w:name w:val="Body Text First Indent 2"/>
    <w:basedOn w:val="14"/>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Calibri" w:hAnsi="Calibri" w:eastAsia="宋体" w:cs="Times New Roman"/>
      <w:b/>
      <w:bCs/>
    </w:rPr>
  </w:style>
  <w:style w:type="character" w:styleId="32">
    <w:name w:val="Hyperlink"/>
    <w:basedOn w:val="30"/>
    <w:qFormat/>
    <w:uiPriority w:val="0"/>
    <w:rPr>
      <w:color w:val="0000FF"/>
      <w:u w:val="single"/>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首行缩进"/>
    <w:basedOn w:val="1"/>
    <w:qFormat/>
    <w:uiPriority w:val="99"/>
    <w:pPr>
      <w:ind w:firstLine="480" w:firstLineChars="200"/>
    </w:pPr>
    <w:rPr>
      <w:lang w:val="zh-CN"/>
    </w:rPr>
  </w:style>
  <w:style w:type="paragraph" w:customStyle="1" w:styleId="35">
    <w:name w:val="默认段落字体 Para Char Char Char Char Char Char Char Char Char Char"/>
    <w:basedOn w:val="1"/>
    <w:qFormat/>
    <w:uiPriority w:val="0"/>
    <w:rPr>
      <w:rFonts w:ascii="Tahoma" w:hAnsi="Tahoma"/>
      <w:sz w:val="24"/>
    </w:rPr>
  </w:style>
  <w:style w:type="character" w:customStyle="1" w:styleId="36">
    <w:name w:val="脚注文本 Char"/>
    <w:link w:val="20"/>
    <w:qFormat/>
    <w:uiPriority w:val="99"/>
    <w:rPr>
      <w:sz w:val="18"/>
    </w:rPr>
  </w:style>
  <w:style w:type="character" w:customStyle="1" w:styleId="37">
    <w:name w:val="标题 Char"/>
    <w:link w:val="25"/>
    <w:qFormat/>
    <w:uiPriority w:val="0"/>
    <w:rPr>
      <w:rFonts w:ascii="黑体"/>
      <w:b/>
      <w:snapToGrid w:val="0"/>
      <w:sz w:val="44"/>
    </w:rPr>
  </w:style>
  <w:style w:type="character" w:customStyle="1" w:styleId="38">
    <w:name w:val="标题 Char1"/>
    <w:basedOn w:val="30"/>
    <w:qFormat/>
    <w:uiPriority w:val="10"/>
    <w:rPr>
      <w:rFonts w:eastAsia="宋体" w:asciiTheme="majorHAnsi" w:hAnsiTheme="majorHAnsi" w:cstheme="majorBidi"/>
      <w:b/>
      <w:bCs/>
      <w:sz w:val="32"/>
      <w:szCs w:val="32"/>
    </w:rPr>
  </w:style>
  <w:style w:type="character" w:customStyle="1" w:styleId="39">
    <w:name w:val="脚注文本 Char1"/>
    <w:basedOn w:val="30"/>
    <w:semiHidden/>
    <w:qFormat/>
    <w:uiPriority w:val="99"/>
    <w:rPr>
      <w:rFonts w:ascii="Times New Roman" w:hAnsi="Times New Roman" w:eastAsia="宋体" w:cs="Times New Roman"/>
      <w:sz w:val="18"/>
      <w:szCs w:val="18"/>
    </w:rPr>
  </w:style>
  <w:style w:type="paragraph" w:customStyle="1" w:styleId="40">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1">
    <w:name w:val="页脚 Char"/>
    <w:basedOn w:val="30"/>
    <w:link w:val="17"/>
    <w:qFormat/>
    <w:uiPriority w:val="0"/>
    <w:rPr>
      <w:rFonts w:ascii="Times New Roman" w:hAnsi="Times New Roman" w:eastAsia="宋体" w:cs="Times New Roman"/>
      <w:sz w:val="18"/>
      <w:szCs w:val="18"/>
    </w:rPr>
  </w:style>
  <w:style w:type="character" w:customStyle="1" w:styleId="42">
    <w:name w:val="页眉 Char"/>
    <w:basedOn w:val="30"/>
    <w:link w:val="18"/>
    <w:qFormat/>
    <w:uiPriority w:val="0"/>
    <w:rPr>
      <w:rFonts w:ascii="Times New Roman" w:hAnsi="Times New Roman" w:eastAsia="宋体" w:cs="Times New Roman"/>
      <w:sz w:val="18"/>
      <w:szCs w:val="18"/>
    </w:rPr>
  </w:style>
  <w:style w:type="character" w:customStyle="1" w:styleId="43">
    <w:name w:val="页脚 Char1"/>
    <w:basedOn w:val="30"/>
    <w:semiHidden/>
    <w:qFormat/>
    <w:uiPriority w:val="99"/>
    <w:rPr>
      <w:sz w:val="18"/>
      <w:szCs w:val="18"/>
    </w:rPr>
  </w:style>
  <w:style w:type="character" w:customStyle="1" w:styleId="44">
    <w:name w:val="Default Text Char Char"/>
    <w:link w:val="45"/>
    <w:qFormat/>
    <w:uiPriority w:val="0"/>
    <w:rPr>
      <w:color w:val="000000"/>
      <w:sz w:val="24"/>
    </w:rPr>
  </w:style>
  <w:style w:type="paragraph" w:customStyle="1" w:styleId="45">
    <w:name w:val="Default Text"/>
    <w:link w:val="44"/>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6">
    <w:name w:val="纯文本 Char1"/>
    <w:link w:val="16"/>
    <w:qFormat/>
    <w:uiPriority w:val="0"/>
    <w:rPr>
      <w:rFonts w:ascii="宋体" w:hAnsi="Courier New" w:eastAsia="宋体" w:cs="Times New Roman"/>
      <w:szCs w:val="20"/>
    </w:rPr>
  </w:style>
  <w:style w:type="character" w:customStyle="1" w:styleId="47">
    <w:name w:val="15"/>
    <w:qFormat/>
    <w:uiPriority w:val="0"/>
    <w:rPr>
      <w:rFonts w:hint="default" w:ascii="Times New Roman" w:hAnsi="Times New Roman" w:cs="Times New Roman"/>
    </w:rPr>
  </w:style>
  <w:style w:type="character" w:customStyle="1" w:styleId="48">
    <w:name w:val="称呼 Char"/>
    <w:link w:val="12"/>
    <w:qFormat/>
    <w:uiPriority w:val="0"/>
    <w:rPr>
      <w:rFonts w:ascii="Times New Roman" w:hAnsi="Times New Roman" w:eastAsia="宋体" w:cs="Times New Roman"/>
      <w:sz w:val="24"/>
      <w:szCs w:val="20"/>
    </w:rPr>
  </w:style>
  <w:style w:type="character" w:customStyle="1" w:styleId="49">
    <w:name w:val="称呼 Char1"/>
    <w:basedOn w:val="30"/>
    <w:semiHidden/>
    <w:qFormat/>
    <w:uiPriority w:val="99"/>
    <w:rPr>
      <w:rFonts w:ascii="Times New Roman" w:hAnsi="Times New Roman" w:eastAsia="宋体" w:cs="Times New Roman"/>
      <w:szCs w:val="20"/>
    </w:rPr>
  </w:style>
  <w:style w:type="character" w:customStyle="1" w:styleId="50">
    <w:name w:val="纯文本 Char"/>
    <w:basedOn w:val="30"/>
    <w:semiHidden/>
    <w:qFormat/>
    <w:uiPriority w:val="99"/>
    <w:rPr>
      <w:rFonts w:ascii="宋体" w:hAnsi="Courier New" w:eastAsia="宋体" w:cs="Courier New"/>
      <w:szCs w:val="21"/>
    </w:rPr>
  </w:style>
  <w:style w:type="character" w:customStyle="1" w:styleId="51">
    <w:name w:val="批注文字 Char"/>
    <w:link w:val="11"/>
    <w:qFormat/>
    <w:uiPriority w:val="0"/>
    <w:rPr>
      <w:rFonts w:ascii="Times New Roman" w:hAnsi="Times New Roman" w:eastAsia="宋体" w:cs="Times New Roman"/>
      <w:kern w:val="0"/>
      <w:sz w:val="24"/>
      <w:szCs w:val="20"/>
    </w:rPr>
  </w:style>
  <w:style w:type="character" w:customStyle="1" w:styleId="52">
    <w:name w:val="批注文字 Char1"/>
    <w:basedOn w:val="30"/>
    <w:semiHidden/>
    <w:qFormat/>
    <w:uiPriority w:val="99"/>
    <w:rPr>
      <w:rFonts w:ascii="Times New Roman" w:hAnsi="Times New Roman" w:eastAsia="宋体" w:cs="Times New Roman"/>
      <w:szCs w:val="20"/>
    </w:rPr>
  </w:style>
  <w:style w:type="character" w:customStyle="1" w:styleId="53">
    <w:name w:val="标题 1 Char"/>
    <w:basedOn w:val="30"/>
    <w:link w:val="4"/>
    <w:qFormat/>
    <w:uiPriority w:val="0"/>
    <w:rPr>
      <w:rFonts w:ascii="Times New Roman" w:hAnsi="Times New Roman" w:eastAsia="宋体" w:cs="Times New Roman"/>
      <w:b/>
      <w:bCs/>
      <w:kern w:val="44"/>
      <w:sz w:val="44"/>
      <w:szCs w:val="44"/>
    </w:rPr>
  </w:style>
  <w:style w:type="character" w:customStyle="1" w:styleId="54">
    <w:name w:val="标题 3 Char Char"/>
    <w:qFormat/>
    <w:uiPriority w:val="0"/>
    <w:rPr>
      <w:rFonts w:ascii="黑体" w:eastAsia="黑体"/>
      <w:bCs/>
      <w:sz w:val="30"/>
    </w:rPr>
  </w:style>
  <w:style w:type="character" w:customStyle="1" w:styleId="55">
    <w:name w:val="正文文本 Char"/>
    <w:link w:val="13"/>
    <w:qFormat/>
    <w:uiPriority w:val="0"/>
    <w:rPr>
      <w:rFonts w:eastAsia="宋体"/>
      <w:szCs w:val="24"/>
    </w:rPr>
  </w:style>
  <w:style w:type="character" w:customStyle="1" w:styleId="56">
    <w:name w:val="正文文本 Char1"/>
    <w:basedOn w:val="30"/>
    <w:semiHidden/>
    <w:qFormat/>
    <w:uiPriority w:val="99"/>
    <w:rPr>
      <w:rFonts w:ascii="Times New Roman" w:hAnsi="Times New Roman" w:eastAsia="宋体" w:cs="Times New Roman"/>
      <w:szCs w:val="20"/>
    </w:rPr>
  </w:style>
  <w:style w:type="paragraph" w:customStyle="1" w:styleId="57">
    <w:name w:val="列出段落1"/>
    <w:basedOn w:val="1"/>
    <w:qFormat/>
    <w:uiPriority w:val="34"/>
    <w:pPr>
      <w:ind w:firstLine="420" w:firstLineChars="200"/>
    </w:pPr>
  </w:style>
  <w:style w:type="character" w:customStyle="1" w:styleId="58">
    <w:name w:val="标题 2 Char"/>
    <w:basedOn w:val="30"/>
    <w:link w:val="5"/>
    <w:qFormat/>
    <w:uiPriority w:val="0"/>
    <w:rPr>
      <w:rFonts w:ascii="Arial" w:hAnsi="Arial" w:eastAsia="黑体" w:cs="Times New Roman"/>
      <w:b/>
      <w:bCs/>
      <w:sz w:val="32"/>
      <w:szCs w:val="32"/>
    </w:rPr>
  </w:style>
  <w:style w:type="paragraph" w:customStyle="1" w:styleId="59">
    <w:name w:val="_Style 2"/>
    <w:basedOn w:val="4"/>
    <w:next w:val="1"/>
    <w:qFormat/>
    <w:uiPriority w:val="39"/>
    <w:pPr>
      <w:widowControl/>
      <w:spacing w:before="480" w:line="276" w:lineRule="auto"/>
      <w:jc w:val="left"/>
      <w:outlineLvl w:val="9"/>
    </w:pPr>
    <w:rPr>
      <w:rFonts w:ascii="Cambria" w:hAnsi="Cambria"/>
      <w:b w:val="0"/>
      <w:color w:val="365F91"/>
      <w:kern w:val="0"/>
      <w:szCs w:val="28"/>
    </w:rPr>
  </w:style>
  <w:style w:type="character" w:customStyle="1" w:styleId="60">
    <w:name w:val="font61"/>
    <w:basedOn w:val="30"/>
    <w:qFormat/>
    <w:uiPriority w:val="0"/>
    <w:rPr>
      <w:rFonts w:hint="eastAsia" w:ascii="微软雅黑" w:hAnsi="微软雅黑" w:eastAsia="微软雅黑" w:cs="微软雅黑"/>
      <w:b/>
      <w:color w:val="000000"/>
      <w:sz w:val="21"/>
      <w:szCs w:val="21"/>
      <w:u w:val="none"/>
    </w:rPr>
  </w:style>
  <w:style w:type="paragraph" w:customStyle="1" w:styleId="61">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62">
    <w:name w:val="标题 3 Char"/>
    <w:qFormat/>
    <w:uiPriority w:val="0"/>
    <w:rPr>
      <w:rFonts w:eastAsia="宋体"/>
      <w:b/>
      <w:bCs/>
      <w:kern w:val="2"/>
      <w:sz w:val="32"/>
      <w:szCs w:val="32"/>
      <w:lang w:val="en-US" w:eastAsia="zh-CN" w:bidi="ar-SA"/>
    </w:rPr>
  </w:style>
  <w:style w:type="paragraph" w:customStyle="1" w:styleId="63">
    <w:name w:val="È¡ÀÊ¡ÎÄ¡À¾"/>
    <w:basedOn w:val="1"/>
    <w:qFormat/>
    <w:uiPriority w:val="99"/>
    <w:pPr>
      <w:overflowPunct w:val="0"/>
      <w:autoSpaceDE w:val="0"/>
      <w:autoSpaceDN w:val="0"/>
      <w:textAlignment w:val="baseline"/>
    </w:pPr>
    <w:rPr>
      <w:rFonts w:ascii="Calibri" w:hAnsi="Calibri"/>
      <w:sz w:val="24"/>
    </w:rPr>
  </w:style>
  <w:style w:type="character" w:customStyle="1" w:styleId="64">
    <w:name w:val="标题1"/>
    <w:qFormat/>
    <w:uiPriority w:val="0"/>
  </w:style>
  <w:style w:type="paragraph" w:customStyle="1" w:styleId="65">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66">
    <w:name w:val="List Paragraph"/>
    <w:basedOn w:val="1"/>
    <w:unhideWhenUsed/>
    <w:qFormat/>
    <w:uiPriority w:val="99"/>
    <w:pPr>
      <w:ind w:firstLine="420" w:firstLineChars="200"/>
    </w:pPr>
  </w:style>
  <w:style w:type="character" w:customStyle="1" w:styleId="67">
    <w:name w:val="正文缩进2格 Char"/>
    <w:link w:val="68"/>
    <w:qFormat/>
    <w:uiPriority w:val="0"/>
    <w:rPr>
      <w:rFonts w:ascii="仿宋_GB2312" w:hAnsi="宋体" w:eastAsia="仿宋_GB2312"/>
      <w:kern w:val="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paragraph" w:customStyle="1" w:styleId="69">
    <w:name w:val="正文缩进1"/>
    <w:basedOn w:val="1"/>
    <w:qFormat/>
    <w:uiPriority w:val="0"/>
    <w:pPr>
      <w:ind w:firstLine="420" w:firstLineChars="200"/>
    </w:pPr>
  </w:style>
  <w:style w:type="paragraph" w:customStyle="1" w:styleId="70">
    <w:name w:val="索引 11"/>
    <w:basedOn w:val="1"/>
    <w:next w:val="1"/>
    <w:qFormat/>
    <w:uiPriority w:val="0"/>
    <w:pPr>
      <w:spacing w:line="360" w:lineRule="auto"/>
    </w:pPr>
    <w:rPr>
      <w:rFonts w:ascii="仿宋_GB2312" w:eastAsia="仿宋_GB2312"/>
      <w:sz w:val="24"/>
      <w:szCs w:val="20"/>
    </w:rPr>
  </w:style>
  <w:style w:type="paragraph" w:customStyle="1" w:styleId="71">
    <w:name w:val="纯文本1"/>
    <w:basedOn w:val="1"/>
    <w:qFormat/>
    <w:uiPriority w:val="0"/>
    <w:rPr>
      <w:rFonts w:ascii="宋体" w:hAnsi="Courier New" w:eastAsiaTheme="minorEastAsia" w:cstheme="minorBidi"/>
      <w:szCs w:val="22"/>
    </w:rPr>
  </w:style>
  <w:style w:type="character" w:customStyle="1" w:styleId="72">
    <w:name w:val="NormalCharacter"/>
    <w:link w:val="1"/>
    <w:qFormat/>
    <w:uiPriority w:val="0"/>
    <w:rPr>
      <w:rFonts w:ascii="Times New Roman" w:hAnsi="Times New Roman" w:eastAsia="宋体" w:cs="Times New Roman"/>
      <w:kern w:val="2"/>
      <w:sz w:val="21"/>
      <w:lang w:val="en-US" w:eastAsia="zh-CN" w:bidi="ar-SA"/>
    </w:rPr>
  </w:style>
  <w:style w:type="paragraph" w:customStyle="1" w:styleId="73">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 Char Char5"/>
    <w:link w:val="25"/>
    <w:qFormat/>
    <w:uiPriority w:val="10"/>
    <w:rPr>
      <w:rFonts w:ascii="Cambria" w:hAnsi="Cambria"/>
      <w:b/>
      <w:bCs/>
      <w:sz w:val="32"/>
      <w:szCs w:val="32"/>
    </w:rPr>
  </w:style>
  <w:style w:type="paragraph" w:customStyle="1" w:styleId="7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7">
    <w:name w:val="font11"/>
    <w:basedOn w:val="30"/>
    <w:qFormat/>
    <w:uiPriority w:val="0"/>
    <w:rPr>
      <w:rFonts w:hint="eastAsia" w:ascii="宋体" w:hAnsi="宋体" w:eastAsia="宋体" w:cs="宋体"/>
      <w:color w:val="000000"/>
      <w:sz w:val="24"/>
      <w:szCs w:val="24"/>
      <w:u w:val="none"/>
    </w:rPr>
  </w:style>
  <w:style w:type="character" w:customStyle="1" w:styleId="78">
    <w:name w:val="font71"/>
    <w:basedOn w:val="30"/>
    <w:qFormat/>
    <w:uiPriority w:val="0"/>
    <w:rPr>
      <w:rFonts w:ascii="Wingdings 2" w:hAnsi="Wingdings 2" w:eastAsia="Wingdings 2" w:cs="Wingdings 2"/>
      <w:color w:val="000000"/>
      <w:sz w:val="20"/>
      <w:szCs w:val="20"/>
      <w:u w:val="none"/>
    </w:rPr>
  </w:style>
  <w:style w:type="character" w:customStyle="1" w:styleId="79">
    <w:name w:val="font41"/>
    <w:basedOn w:val="30"/>
    <w:qFormat/>
    <w:uiPriority w:val="0"/>
    <w:rPr>
      <w:rFonts w:hint="eastAsia" w:ascii="宋体" w:hAnsi="宋体" w:eastAsia="宋体" w:cs="宋体"/>
      <w:color w:val="000000"/>
      <w:sz w:val="20"/>
      <w:szCs w:val="20"/>
      <w:u w:val="none"/>
    </w:rPr>
  </w:style>
  <w:style w:type="character" w:customStyle="1" w:styleId="80">
    <w:name w:val="font81"/>
    <w:basedOn w:val="30"/>
    <w:qFormat/>
    <w:uiPriority w:val="0"/>
    <w:rPr>
      <w:rFonts w:hint="default" w:ascii="Wingdings 2" w:hAnsi="Wingdings 2" w:eastAsia="Wingdings 2" w:cs="Wingdings 2"/>
      <w:color w:val="000000"/>
      <w:sz w:val="20"/>
      <w:szCs w:val="20"/>
      <w:u w:val="none"/>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Table Text"/>
    <w:basedOn w:val="1"/>
    <w:semiHidden/>
    <w:qFormat/>
    <w:uiPriority w:val="0"/>
    <w:rPr>
      <w:rFonts w:ascii="仿宋" w:hAnsi="仿宋" w:eastAsia="仿宋" w:cs="仿宋"/>
      <w:sz w:val="28"/>
      <w:szCs w:val="28"/>
      <w:lang w:val="en-US" w:eastAsia="en-US" w:bidi="ar-SA"/>
    </w:rPr>
  </w:style>
  <w:style w:type="character" w:customStyle="1" w:styleId="84">
    <w:name w:val="font01"/>
    <w:basedOn w:val="30"/>
    <w:qFormat/>
    <w:uiPriority w:val="0"/>
    <w:rPr>
      <w:rFonts w:hint="eastAsia" w:ascii="宋体" w:hAnsi="宋体" w:eastAsia="宋体" w:cs="宋体"/>
      <w:color w:val="000000"/>
      <w:sz w:val="24"/>
      <w:szCs w:val="24"/>
      <w:u w:val="none"/>
    </w:rPr>
  </w:style>
  <w:style w:type="paragraph" w:customStyle="1" w:styleId="85">
    <w:name w:val="标题 1 New"/>
    <w:qFormat/>
    <w:uiPriority w:val="0"/>
    <w:pPr>
      <w:keepNext/>
      <w:jc w:val="center"/>
      <w:outlineLvl w:val="0"/>
    </w:pPr>
    <w:rPr>
      <w:rFonts w:ascii="Times New Roman" w:hAnsi="Times New Roman" w:eastAsia="宋体" w:cs="Times New Roman"/>
      <w:kern w:val="0"/>
      <w:sz w:val="28"/>
      <w:szCs w:val="28"/>
      <w:lang w:val="en-US" w:eastAsia="zh-CN" w:bidi="ar-SA"/>
    </w:rPr>
  </w:style>
  <w:style w:type="character" w:customStyle="1" w:styleId="86">
    <w:name w:val="标题 1 Char1"/>
    <w:qFormat/>
    <w:uiPriority w:val="0"/>
    <w:rPr>
      <w:rFonts w:ascii="Times New Roman" w:hAnsi="Times New Roman" w:eastAsia="宋体" w:cs="Times New Roman"/>
      <w:sz w:val="28"/>
      <w:szCs w:val="28"/>
    </w:rPr>
  </w:style>
  <w:style w:type="paragraph" w:styleId="87">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128</Pages>
  <Words>7021</Words>
  <Characters>8152</Characters>
  <Lines>1</Lines>
  <Paragraphs>1</Paragraphs>
  <TotalTime>6</TotalTime>
  <ScaleCrop>false</ScaleCrop>
  <LinksUpToDate>false</LinksUpToDate>
  <CharactersWithSpaces>8433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2025-12-01T07:58:00Z</cp:lastPrinted>
  <dcterms:modified xsi:type="dcterms:W3CDTF">2026-04-09T10:07:10Z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EB2C43C4AD8F4AB8B0A59F8D84D07772_13</vt:lpwstr>
  </property>
  <property fmtid="{D5CDD505-2E9C-101B-9397-08002B2CF9AE}" pid="4" name="KSOTemplateDocerSaveRecord">
    <vt:lpwstr>eyJoZGlkIjoiMmI3OGJjOGFkOTA0ZWQ5ZDQ3Yjg1ODBmMWRkYjA4MDQiLCJ1c2VySWQiOiIyNjk4Mzk3MDEifQ==</vt:lpwstr>
  </property>
</Properties>
</file>