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D0273">
      <w:pPr>
        <w:spacing w:line="353" w:lineRule="auto"/>
        <w:outlineLvl w:val="9"/>
        <w:rPr>
          <w:rFonts w:hint="eastAsia" w:ascii="Arial" w:eastAsia="宋体"/>
          <w:color w:val="auto"/>
          <w:highlight w:val="none"/>
          <w:lang w:val="en-US" w:eastAsia="zh-CN"/>
        </w:rPr>
      </w:pPr>
      <w:r>
        <w:rPr>
          <w:rFonts w:hint="eastAsia" w:eastAsia="宋体"/>
          <w:color w:val="auto"/>
          <w:highlight w:val="none"/>
          <w:lang w:val="en-US" w:eastAsia="zh-CN"/>
        </w:rPr>
        <w:t xml:space="preserve"> </w:t>
      </w:r>
    </w:p>
    <w:p w14:paraId="1C30BAA2">
      <w:pPr>
        <w:spacing w:line="360" w:lineRule="auto"/>
        <w:jc w:val="center"/>
        <w:outlineLvl w:val="0"/>
        <w:rPr>
          <w:rFonts w:hint="eastAsia" w:ascii="宋体"/>
          <w:b/>
          <w:bCs/>
          <w:color w:val="auto"/>
          <w:sz w:val="44"/>
          <w:szCs w:val="44"/>
          <w:highlight w:val="none"/>
          <w:lang w:val="en-US" w:eastAsia="zh-CN"/>
        </w:rPr>
      </w:pPr>
      <w:r>
        <w:rPr>
          <w:rFonts w:hint="eastAsia" w:ascii="宋体"/>
          <w:b/>
          <w:bCs/>
          <w:color w:val="auto"/>
          <w:sz w:val="44"/>
          <w:szCs w:val="44"/>
          <w:highlight w:val="none"/>
          <w:lang w:val="en-US" w:eastAsia="zh-CN"/>
        </w:rPr>
        <w:t>国家区域医疗中心-首都医科大学附属北京安贞医院吉林医院消化科及内镜中心设备采购项目</w:t>
      </w:r>
    </w:p>
    <w:p w14:paraId="5F7D85C9">
      <w:pPr>
        <w:spacing w:line="360" w:lineRule="auto"/>
        <w:jc w:val="center"/>
        <w:outlineLvl w:val="0"/>
        <w:rPr>
          <w:rFonts w:hint="eastAsia" w:ascii="宋体"/>
          <w:b/>
          <w:bCs/>
          <w:color w:val="auto"/>
          <w:sz w:val="44"/>
          <w:szCs w:val="44"/>
          <w:highlight w:val="none"/>
          <w:lang w:val="en-US" w:eastAsia="zh-CN"/>
        </w:rPr>
      </w:pPr>
      <w:r>
        <w:rPr>
          <w:rFonts w:hint="eastAsia" w:ascii="宋体"/>
          <w:b/>
          <w:bCs/>
          <w:color w:val="auto"/>
          <w:sz w:val="44"/>
          <w:szCs w:val="44"/>
          <w:highlight w:val="none"/>
          <w:lang w:val="en-US" w:eastAsia="zh-CN"/>
        </w:rPr>
        <w:t>（三次）</w:t>
      </w:r>
    </w:p>
    <w:p w14:paraId="7FD7706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sz w:val="30"/>
          <w:szCs w:val="30"/>
          <w:lang w:val="en-US" w:eastAsia="zh-CN"/>
        </w:rPr>
      </w:pPr>
    </w:p>
    <w:p w14:paraId="288343F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sz w:val="30"/>
          <w:szCs w:val="30"/>
          <w:lang w:val="en-US" w:eastAsia="zh-CN"/>
        </w:rPr>
      </w:pPr>
    </w:p>
    <w:p w14:paraId="50000C8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sz w:val="30"/>
          <w:szCs w:val="30"/>
          <w:lang w:val="en-US" w:eastAsia="zh-CN"/>
        </w:rPr>
      </w:pPr>
    </w:p>
    <w:p w14:paraId="02D4F1B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sz w:val="30"/>
          <w:szCs w:val="30"/>
          <w:lang w:val="en-US" w:eastAsia="zh-CN"/>
        </w:rPr>
      </w:pPr>
    </w:p>
    <w:p w14:paraId="263BC10B">
      <w:pPr>
        <w:pStyle w:val="22"/>
        <w:outlineLvl w:val="9"/>
        <w:rPr>
          <w:rFonts w:hint="eastAsia"/>
          <w:color w:val="auto"/>
          <w:lang w:val="en-US" w:eastAsia="zh-CN"/>
        </w:rPr>
      </w:pPr>
    </w:p>
    <w:p w14:paraId="706C333D">
      <w:pPr>
        <w:pStyle w:val="22"/>
        <w:outlineLvl w:val="9"/>
        <w:rPr>
          <w:rFonts w:hint="eastAsia"/>
          <w:color w:val="auto"/>
          <w:lang w:val="en-US" w:eastAsia="zh-CN"/>
        </w:rPr>
      </w:pPr>
    </w:p>
    <w:p w14:paraId="5678123A">
      <w:pPr>
        <w:pStyle w:val="10"/>
        <w:rPr>
          <w:rFonts w:hint="eastAsia"/>
          <w:color w:val="auto"/>
          <w:lang w:val="en-US" w:eastAsia="zh-CN"/>
        </w:rPr>
      </w:pPr>
    </w:p>
    <w:p w14:paraId="246460D5">
      <w:pPr>
        <w:spacing w:before="231" w:line="223" w:lineRule="auto"/>
        <w:jc w:val="center"/>
        <w:outlineLvl w:val="0"/>
        <w:rPr>
          <w:rFonts w:ascii="宋体" w:hAnsi="宋体" w:cs="宋体"/>
          <w:b/>
          <w:bCs/>
          <w:color w:val="auto"/>
          <w:sz w:val="71"/>
          <w:szCs w:val="71"/>
          <w:highlight w:val="none"/>
        </w:rPr>
      </w:pPr>
      <w:bookmarkStart w:id="0" w:name="_Toc22249"/>
      <w:bookmarkStart w:id="1" w:name="_Toc17122"/>
      <w:bookmarkStart w:id="2" w:name="_Toc4675"/>
      <w:bookmarkStart w:id="3" w:name="_Toc17134"/>
      <w:bookmarkStart w:id="4" w:name="_Toc14568"/>
      <w:bookmarkStart w:id="5" w:name="_Toc2252"/>
      <w:bookmarkStart w:id="6" w:name="_Toc30689"/>
      <w:r>
        <w:rPr>
          <w:rFonts w:hint="eastAsia" w:ascii="宋体" w:hAnsi="宋体" w:eastAsia="宋体" w:cs="宋体"/>
          <w:b/>
          <w:bCs/>
          <w:color w:val="auto"/>
          <w:spacing w:val="7"/>
          <w:sz w:val="71"/>
          <w:szCs w:val="71"/>
          <w:highlight w:val="none"/>
          <w:lang w:eastAsia="zh-CN"/>
        </w:rPr>
        <w:t>招标</w:t>
      </w:r>
      <w:r>
        <w:rPr>
          <w:rFonts w:ascii="宋体" w:hAnsi="宋体" w:cs="宋体"/>
          <w:b/>
          <w:bCs/>
          <w:color w:val="auto"/>
          <w:spacing w:val="7"/>
          <w:sz w:val="71"/>
          <w:szCs w:val="71"/>
          <w:highlight w:val="none"/>
        </w:rPr>
        <w:t>文</w:t>
      </w:r>
      <w:r>
        <w:rPr>
          <w:rFonts w:ascii="宋体" w:hAnsi="宋体" w:cs="宋体"/>
          <w:b/>
          <w:bCs/>
          <w:color w:val="auto"/>
          <w:spacing w:val="5"/>
          <w:sz w:val="71"/>
          <w:szCs w:val="71"/>
          <w:highlight w:val="none"/>
        </w:rPr>
        <w:t>件</w:t>
      </w:r>
      <w:bookmarkEnd w:id="0"/>
      <w:bookmarkEnd w:id="1"/>
      <w:bookmarkEnd w:id="2"/>
      <w:bookmarkEnd w:id="3"/>
      <w:bookmarkEnd w:id="4"/>
      <w:bookmarkEnd w:id="5"/>
      <w:bookmarkEnd w:id="6"/>
    </w:p>
    <w:p w14:paraId="1CB94382">
      <w:pPr>
        <w:keepNext w:val="0"/>
        <w:keepLines w:val="0"/>
        <w:pageBreakBefore w:val="0"/>
        <w:widowControl w:val="0"/>
        <w:kinsoku/>
        <w:wordWrap/>
        <w:overflowPunct/>
        <w:topLinePunct w:val="0"/>
        <w:autoSpaceDE/>
        <w:autoSpaceDN/>
        <w:bidi w:val="0"/>
        <w:adjustRightInd/>
        <w:snapToGrid/>
        <w:spacing w:before="0" w:beforeLines="50"/>
        <w:jc w:val="center"/>
        <w:textAlignment w:val="auto"/>
        <w:outlineLvl w:val="9"/>
        <w:rPr>
          <w:rFonts w:hint="eastAsia" w:ascii="宋体" w:hAnsi="宋体" w:eastAsia="宋体" w:cs="宋体"/>
          <w:b/>
          <w:bCs/>
          <w:color w:val="auto"/>
          <w:sz w:val="28"/>
          <w:szCs w:val="28"/>
          <w:highlight w:val="none"/>
          <w:lang w:val="en-US" w:eastAsia="zh-CN"/>
        </w:rPr>
      </w:pPr>
      <w:bookmarkStart w:id="7" w:name="_Toc1303"/>
      <w:bookmarkStart w:id="8" w:name="_Toc17955"/>
      <w:bookmarkStart w:id="9" w:name="_Toc31309"/>
      <w:bookmarkStart w:id="10" w:name="_Toc13447"/>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lang w:eastAsia="zh-CN"/>
        </w:rPr>
        <w:t>：</w:t>
      </w:r>
      <w:bookmarkEnd w:id="7"/>
      <w:bookmarkEnd w:id="8"/>
      <w:bookmarkEnd w:id="9"/>
      <w:bookmarkEnd w:id="10"/>
      <w:r>
        <w:rPr>
          <w:rFonts w:hint="eastAsia" w:ascii="宋体" w:hAnsi="宋体" w:eastAsia="宋体" w:cs="宋体"/>
          <w:b/>
          <w:bCs/>
          <w:color w:val="auto"/>
          <w:sz w:val="28"/>
          <w:szCs w:val="28"/>
          <w:highlight w:val="none"/>
          <w:lang w:eastAsia="zh-CN"/>
        </w:rPr>
        <w:t>采购计划备-[2025]-01732号</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JM-2025-12-01957（三次）</w:t>
      </w:r>
    </w:p>
    <w:p w14:paraId="12AE593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sz w:val="30"/>
          <w:szCs w:val="30"/>
          <w:lang w:val="en-US" w:eastAsia="zh-CN"/>
        </w:rPr>
      </w:pPr>
      <w:bookmarkStart w:id="11" w:name="_Toc20466"/>
    </w:p>
    <w:p w14:paraId="1BA12D4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sz w:val="30"/>
          <w:szCs w:val="30"/>
          <w:lang w:val="en-US" w:eastAsia="zh-CN"/>
        </w:rPr>
      </w:pPr>
    </w:p>
    <w:p w14:paraId="1F7718E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sz w:val="30"/>
          <w:szCs w:val="30"/>
          <w:lang w:val="en-US" w:eastAsia="zh-CN"/>
        </w:rPr>
      </w:pPr>
    </w:p>
    <w:p w14:paraId="1C04B34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sz w:val="30"/>
          <w:szCs w:val="30"/>
          <w:lang w:val="en-US" w:eastAsia="zh-CN"/>
        </w:rPr>
      </w:pPr>
    </w:p>
    <w:p w14:paraId="2363D5E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sz w:val="30"/>
          <w:szCs w:val="30"/>
          <w:lang w:val="en-US" w:eastAsia="zh-CN"/>
        </w:rPr>
      </w:pPr>
    </w:p>
    <w:p w14:paraId="3EC60D9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sz w:val="30"/>
          <w:szCs w:val="30"/>
          <w:lang w:val="en-US" w:eastAsia="zh-CN"/>
        </w:rPr>
      </w:pPr>
    </w:p>
    <w:p w14:paraId="3164110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b/>
          <w:bCs/>
          <w:color w:val="auto"/>
          <w:sz w:val="30"/>
          <w:szCs w:val="30"/>
          <w:lang w:val="en-US" w:eastAsia="zh-CN"/>
        </w:rPr>
      </w:pPr>
    </w:p>
    <w:p w14:paraId="1BD40E2E">
      <w:pPr>
        <w:pStyle w:val="22"/>
        <w:outlineLvl w:val="9"/>
        <w:rPr>
          <w:rFonts w:hint="eastAsia"/>
          <w:color w:val="auto"/>
          <w:lang w:val="en-US" w:eastAsia="zh-CN"/>
        </w:rPr>
      </w:pPr>
    </w:p>
    <w:p w14:paraId="335968F0">
      <w:pPr>
        <w:keepNext w:val="0"/>
        <w:keepLines w:val="0"/>
        <w:pageBreakBefore w:val="0"/>
        <w:widowControl w:val="0"/>
        <w:kinsoku/>
        <w:wordWrap/>
        <w:overflowPunct/>
        <w:topLinePunct w:val="0"/>
        <w:autoSpaceDE/>
        <w:autoSpaceDN/>
        <w:bidi w:val="0"/>
        <w:adjustRightInd/>
        <w:snapToGrid/>
        <w:spacing w:line="360" w:lineRule="auto"/>
        <w:ind w:firstLine="904" w:firstLineChars="300"/>
        <w:textAlignment w:val="auto"/>
        <w:outlineLvl w:val="9"/>
        <w:rPr>
          <w:rFonts w:hint="eastAsia" w:ascii="宋体" w:hAnsi="宋体" w:eastAsia="宋体" w:cs="宋体"/>
          <w:b/>
          <w:bCs/>
          <w:color w:val="auto"/>
          <w:sz w:val="30"/>
          <w:szCs w:val="30"/>
        </w:rPr>
      </w:pPr>
      <w:bookmarkStart w:id="12" w:name="_Toc17357"/>
      <w:bookmarkStart w:id="13" w:name="_Toc19489"/>
      <w:bookmarkStart w:id="14" w:name="_Toc18741"/>
      <w:bookmarkStart w:id="15" w:name="_Toc26824"/>
      <w:bookmarkStart w:id="16" w:name="_Toc10370"/>
      <w:r>
        <w:rPr>
          <w:rFonts w:hint="eastAsia" w:ascii="宋体" w:hAnsi="宋体" w:eastAsia="宋体" w:cs="宋体"/>
          <w:b/>
          <w:bCs/>
          <w:color w:val="auto"/>
          <w:sz w:val="30"/>
          <w:szCs w:val="30"/>
        </w:rPr>
        <w:t>采   购   人：</w:t>
      </w:r>
      <w:bookmarkEnd w:id="11"/>
      <w:bookmarkEnd w:id="12"/>
      <w:bookmarkEnd w:id="13"/>
      <w:bookmarkEnd w:id="14"/>
      <w:bookmarkEnd w:id="15"/>
      <w:bookmarkEnd w:id="16"/>
      <w:r>
        <w:rPr>
          <w:rFonts w:hint="eastAsia" w:ascii="宋体" w:hAnsi="宋体" w:eastAsia="宋体" w:cs="宋体"/>
          <w:b/>
          <w:bCs/>
          <w:color w:val="auto"/>
          <w:sz w:val="30"/>
          <w:szCs w:val="30"/>
        </w:rPr>
        <w:t>长春市中心医院</w:t>
      </w:r>
    </w:p>
    <w:p w14:paraId="265817A4">
      <w:pPr>
        <w:keepNext w:val="0"/>
        <w:keepLines w:val="0"/>
        <w:pageBreakBefore w:val="0"/>
        <w:widowControl w:val="0"/>
        <w:kinsoku/>
        <w:wordWrap/>
        <w:overflowPunct/>
        <w:topLinePunct w:val="0"/>
        <w:autoSpaceDE/>
        <w:autoSpaceDN/>
        <w:bidi w:val="0"/>
        <w:adjustRightInd/>
        <w:snapToGrid/>
        <w:spacing w:line="360" w:lineRule="auto"/>
        <w:ind w:firstLine="904" w:firstLineChars="300"/>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采购代理机构：吉林省吉诚工程咨询有限公司</w:t>
      </w:r>
    </w:p>
    <w:p w14:paraId="06A6AC49">
      <w:pPr>
        <w:keepNext w:val="0"/>
        <w:keepLines w:val="0"/>
        <w:pageBreakBefore w:val="0"/>
        <w:widowControl w:val="0"/>
        <w:kinsoku/>
        <w:wordWrap/>
        <w:overflowPunct/>
        <w:topLinePunct w:val="0"/>
        <w:autoSpaceDE/>
        <w:autoSpaceDN/>
        <w:bidi w:val="0"/>
        <w:adjustRightInd/>
        <w:snapToGrid/>
        <w:spacing w:line="360" w:lineRule="auto"/>
        <w:ind w:firstLine="904" w:firstLineChars="300"/>
        <w:textAlignment w:val="auto"/>
        <w:outlineLvl w:val="0"/>
        <w:rPr>
          <w:rFonts w:hint="eastAsia" w:ascii="宋体" w:hAnsi="宋体" w:eastAsia="宋体" w:cs="宋体"/>
          <w:b/>
          <w:bCs/>
          <w:color w:val="auto"/>
          <w:sz w:val="30"/>
          <w:szCs w:val="30"/>
        </w:rPr>
      </w:pPr>
      <w:bookmarkStart w:id="17" w:name="_Toc2467"/>
      <w:bookmarkStart w:id="18" w:name="_Toc7538"/>
      <w:bookmarkStart w:id="19" w:name="_Toc1588"/>
      <w:bookmarkStart w:id="20" w:name="_Toc17061"/>
      <w:bookmarkStart w:id="21" w:name="_Toc10255"/>
      <w:bookmarkStart w:id="22" w:name="_Toc8956"/>
      <w:r>
        <w:rPr>
          <w:rFonts w:hint="eastAsia" w:ascii="宋体" w:hAnsi="宋体" w:eastAsia="宋体" w:cs="宋体"/>
          <w:b/>
          <w:bCs/>
          <w:color w:val="auto"/>
          <w:sz w:val="30"/>
          <w:szCs w:val="30"/>
          <w:lang w:eastAsia="zh-CN"/>
        </w:rPr>
        <w:t>日</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lang w:eastAsia="zh-CN"/>
        </w:rPr>
        <w:t>期：</w:t>
      </w:r>
      <w:r>
        <w:rPr>
          <w:rFonts w:hint="eastAsia" w:ascii="宋体" w:hAnsi="宋体" w:eastAsia="宋体" w:cs="宋体"/>
          <w:b/>
          <w:bCs/>
          <w:color w:val="auto"/>
          <w:sz w:val="30"/>
          <w:szCs w:val="30"/>
        </w:rPr>
        <w:t>二〇</w:t>
      </w:r>
      <w:r>
        <w:rPr>
          <w:rFonts w:hint="eastAsia" w:ascii="宋体" w:hAnsi="宋体" w:eastAsia="宋体" w:cs="宋体"/>
          <w:b/>
          <w:bCs/>
          <w:color w:val="auto"/>
          <w:sz w:val="30"/>
          <w:szCs w:val="30"/>
          <w:lang w:eastAsia="zh-CN"/>
        </w:rPr>
        <w:t>二</w:t>
      </w:r>
      <w:r>
        <w:rPr>
          <w:rFonts w:hint="eastAsia" w:ascii="宋体" w:hAnsi="宋体" w:eastAsia="宋体" w:cs="宋体"/>
          <w:b/>
          <w:bCs/>
          <w:color w:val="auto"/>
          <w:sz w:val="30"/>
          <w:szCs w:val="30"/>
          <w:lang w:val="en-US" w:eastAsia="zh-CN"/>
        </w:rPr>
        <w:t>六</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四</w:t>
      </w:r>
      <w:r>
        <w:rPr>
          <w:rFonts w:hint="eastAsia" w:ascii="宋体" w:hAnsi="宋体" w:eastAsia="宋体" w:cs="宋体"/>
          <w:b/>
          <w:bCs/>
          <w:color w:val="auto"/>
          <w:sz w:val="30"/>
          <w:szCs w:val="30"/>
        </w:rPr>
        <w:t>月</w:t>
      </w:r>
      <w:bookmarkEnd w:id="17"/>
      <w:bookmarkEnd w:id="18"/>
      <w:bookmarkEnd w:id="19"/>
      <w:bookmarkEnd w:id="20"/>
      <w:bookmarkEnd w:id="21"/>
      <w:bookmarkEnd w:id="22"/>
    </w:p>
    <w:sdt>
      <w:sdtPr>
        <w:rPr>
          <w:rFonts w:hint="eastAsia" w:ascii="宋体" w:hAnsi="宋体" w:eastAsia="宋体" w:cs="宋体"/>
          <w:b/>
          <w:bCs/>
          <w:snapToGrid w:val="0"/>
          <w:color w:val="auto"/>
          <w:kern w:val="0"/>
          <w:sz w:val="28"/>
          <w:szCs w:val="28"/>
          <w:lang w:val="en-US" w:eastAsia="en-US" w:bidi="ar-SA"/>
        </w:rPr>
        <w:id w:val="147481105"/>
        <w15:color w:val="DBDBDB"/>
        <w:docPartObj>
          <w:docPartGallery w:val="Table of Contents"/>
          <w:docPartUnique/>
        </w:docPartObj>
      </w:sdtPr>
      <w:sdtEndPr>
        <w:rPr>
          <w:rFonts w:hint="eastAsia" w:ascii="宋体" w:hAnsi="宋体" w:eastAsia="宋体" w:cs="宋体"/>
          <w:b/>
          <w:bCs/>
          <w:snapToGrid w:val="0"/>
          <w:color w:val="auto"/>
          <w:kern w:val="0"/>
          <w:sz w:val="28"/>
          <w:szCs w:val="28"/>
          <w:lang w:val="en-US" w:eastAsia="en-US" w:bidi="ar-SA"/>
        </w:rPr>
      </w:sdtEndPr>
      <w:sdtContent>
        <w:p w14:paraId="47438D80">
          <w:pPr>
            <w:keepNext w:val="0"/>
            <w:keepLines w:val="0"/>
            <w:pageBreakBefore w:val="0"/>
            <w:widowControl/>
            <w:wordWrap/>
            <w:overflowPunct/>
            <w:topLinePunct w:val="0"/>
            <w:bidi w:val="0"/>
            <w:spacing w:line="360" w:lineRule="auto"/>
            <w:ind w:left="0" w:leftChars="0" w:right="0" w:rightChars="0" w:firstLine="0" w:firstLineChars="0"/>
            <w:jc w:val="center"/>
            <w:rPr>
              <w:rFonts w:hint="eastAsia" w:ascii="宋体" w:hAnsi="宋体" w:eastAsia="宋体" w:cs="宋体"/>
              <w:b/>
              <w:bCs/>
              <w:snapToGrid w:val="0"/>
              <w:color w:val="auto"/>
              <w:kern w:val="0"/>
              <w:sz w:val="28"/>
              <w:szCs w:val="28"/>
              <w:lang w:val="en-US" w:eastAsia="en-US" w:bidi="ar-SA"/>
            </w:rPr>
          </w:pPr>
        </w:p>
        <w:p w14:paraId="77AF4C52">
          <w:pPr>
            <w:keepNext w:val="0"/>
            <w:keepLines w:val="0"/>
            <w:pageBreakBefore w:val="0"/>
            <w:widowControl/>
            <w:wordWrap/>
            <w:overflowPunct/>
            <w:topLinePunct w:val="0"/>
            <w:bidi w:val="0"/>
            <w:spacing w:line="360" w:lineRule="auto"/>
            <w:ind w:left="0" w:leftChars="0" w:right="0" w:rightChars="0" w:firstLine="0" w:firstLineChars="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目</w:t>
          </w:r>
          <w:r>
            <w:rPr>
              <w:rFonts w:hint="eastAsia" w:ascii="宋体" w:hAnsi="宋体" w:eastAsia="宋体" w:cs="宋体"/>
              <w:b/>
              <w:bCs/>
              <w:color w:val="auto"/>
              <w:sz w:val="40"/>
              <w:szCs w:val="40"/>
              <w:lang w:val="en-US" w:eastAsia="zh-CN"/>
            </w:rPr>
            <w:t xml:space="preserve">   </w:t>
          </w:r>
          <w:r>
            <w:rPr>
              <w:rFonts w:hint="eastAsia" w:ascii="宋体" w:hAnsi="宋体" w:eastAsia="宋体" w:cs="宋体"/>
              <w:b/>
              <w:bCs/>
              <w:color w:val="auto"/>
              <w:sz w:val="40"/>
              <w:szCs w:val="40"/>
            </w:rPr>
            <w:t>录</w:t>
          </w:r>
        </w:p>
        <w:p w14:paraId="043E53CC">
          <w:pPr>
            <w:pStyle w:val="13"/>
            <w:tabs>
              <w:tab w:val="right" w:leader="dot" w:pos="9286"/>
            </w:tabs>
            <w:rPr>
              <w:color w:val="auto"/>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p>
        <w:p w14:paraId="2CACCAF9">
          <w:pPr>
            <w:pStyle w:val="13"/>
            <w:keepNext w:val="0"/>
            <w:keepLines w:val="0"/>
            <w:pageBreakBefore w:val="0"/>
            <w:widowControl/>
            <w:tabs>
              <w:tab w:val="right" w:leader="dot" w:pos="928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_Toc27731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 xml:space="preserve">第一章 </w:t>
          </w:r>
          <w:r>
            <w:rPr>
              <w:rFonts w:hint="eastAsia" w:ascii="宋体" w:hAnsi="宋体" w:eastAsia="宋体" w:cs="宋体"/>
              <w:b/>
              <w:bCs/>
              <w:color w:val="auto"/>
              <w:sz w:val="28"/>
              <w:szCs w:val="28"/>
              <w:highlight w:val="none"/>
              <w:lang w:eastAsia="zh-CN"/>
            </w:rPr>
            <w:t>招标公告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_Toc27731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19F6C7DB">
          <w:pPr>
            <w:pStyle w:val="13"/>
            <w:keepNext w:val="0"/>
            <w:keepLines w:val="0"/>
            <w:pageBreakBefore w:val="0"/>
            <w:widowControl/>
            <w:tabs>
              <w:tab w:val="right" w:leader="dot" w:pos="928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_Toc23171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投标人</w:t>
          </w:r>
          <w:bookmarkStart w:id="86" w:name="_GoBack"/>
          <w:bookmarkEnd w:id="86"/>
          <w:r>
            <w:rPr>
              <w:rFonts w:hint="eastAsia" w:ascii="宋体" w:hAnsi="宋体" w:eastAsia="宋体" w:cs="宋体"/>
              <w:b/>
              <w:bCs/>
              <w:color w:val="auto"/>
              <w:sz w:val="28"/>
              <w:szCs w:val="28"/>
              <w:highlight w:val="none"/>
            </w:rPr>
            <w:t>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_Toc23171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60111E46">
          <w:pPr>
            <w:pStyle w:val="13"/>
            <w:keepNext w:val="0"/>
            <w:keepLines w:val="0"/>
            <w:pageBreakBefore w:val="0"/>
            <w:widowControl/>
            <w:tabs>
              <w:tab w:val="right" w:leader="dot" w:pos="928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_Toc1701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评标办法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_Toc1701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5B195FFB">
          <w:pPr>
            <w:pStyle w:val="13"/>
            <w:keepNext w:val="0"/>
            <w:keepLines w:val="0"/>
            <w:pageBreakBefore w:val="0"/>
            <w:widowControl/>
            <w:tabs>
              <w:tab w:val="right" w:leader="dot" w:pos="928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_Toc12764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 合同条款（参考格式）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_Toc12764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41954D48">
          <w:pPr>
            <w:pStyle w:val="13"/>
            <w:keepNext w:val="0"/>
            <w:keepLines w:val="0"/>
            <w:pageBreakBefore w:val="0"/>
            <w:widowControl/>
            <w:tabs>
              <w:tab w:val="right" w:leader="dot" w:pos="928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_Toc9810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第五章 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_Toc9810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63D2BDF4">
          <w:pPr>
            <w:pStyle w:val="13"/>
            <w:keepNext w:val="0"/>
            <w:keepLines w:val="0"/>
            <w:pageBreakBefore w:val="0"/>
            <w:widowControl/>
            <w:tabs>
              <w:tab w:val="right" w:leader="dot" w:pos="9286"/>
            </w:tabs>
            <w:kinsoku w:val="0"/>
            <w:wordWrap/>
            <w:overflowPunct/>
            <w:topLinePunct w:val="0"/>
            <w:autoSpaceDE w:val="0"/>
            <w:autoSpaceDN w:val="0"/>
            <w:bidi w:val="0"/>
            <w:adjustRightInd w:val="0"/>
            <w:snapToGrid w:val="0"/>
            <w:spacing w:line="360" w:lineRule="auto"/>
            <w:textAlignment w:val="baseline"/>
            <w:rPr>
              <w:color w:val="auto"/>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_Toc6096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第六章 投标文件构成及格式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_Toc6096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4E3D50B">
          <w:pPr>
            <w:pStyle w:val="13"/>
            <w:tabs>
              <w:tab w:val="right" w:leader="dot" w:pos="9286"/>
            </w:tabs>
            <w:rPr>
              <w:color w:val="auto"/>
            </w:rPr>
          </w:pPr>
        </w:p>
        <w:p w14:paraId="4E91087E">
          <w:pPr>
            <w:keepNext w:val="0"/>
            <w:keepLines w:val="0"/>
            <w:pageBreakBefore w:val="0"/>
            <w:widowControl/>
            <w:wordWrap/>
            <w:overflowPunct/>
            <w:topLinePunct w:val="0"/>
            <w:bidi w:val="0"/>
            <w:spacing w:before="0" w:beforeLines="0" w:after="0" w:afterLines="0" w:line="360" w:lineRule="auto"/>
            <w:rPr>
              <w:color w:val="auto"/>
            </w:rPr>
          </w:pPr>
          <w:r>
            <w:rPr>
              <w:rFonts w:hint="eastAsia" w:ascii="宋体" w:hAnsi="宋体" w:eastAsia="宋体" w:cs="宋体"/>
              <w:bCs/>
              <w:color w:val="auto"/>
              <w:szCs w:val="28"/>
            </w:rPr>
            <w:fldChar w:fldCharType="end"/>
          </w:r>
        </w:p>
      </w:sdtContent>
    </w:sdt>
    <w:p w14:paraId="793DDC9F">
      <w:pPr>
        <w:outlineLvl w:val="9"/>
        <w:rPr>
          <w:rFonts w:hint="eastAsia" w:ascii="宋体" w:hAnsi="宋体" w:eastAsia="宋体" w:cs="宋体"/>
          <w:color w:val="auto"/>
          <w:spacing w:val="8"/>
          <w:sz w:val="35"/>
          <w:szCs w:val="35"/>
          <w14:textOutline w14:w="6537" w14:cap="sq" w14:cmpd="sng">
            <w14:solidFill>
              <w14:srgbClr w14:val="000000"/>
            </w14:solidFill>
            <w14:prstDash w14:val="solid"/>
            <w14:bevel/>
          </w14:textOutline>
        </w:rPr>
      </w:pPr>
      <w:r>
        <w:rPr>
          <w:rFonts w:hint="eastAsia" w:ascii="宋体" w:hAnsi="宋体" w:eastAsia="宋体" w:cs="宋体"/>
          <w:color w:val="auto"/>
          <w:spacing w:val="8"/>
          <w:sz w:val="35"/>
          <w:szCs w:val="35"/>
          <w14:textOutline w14:w="6537" w14:cap="sq" w14:cmpd="sng">
            <w14:solidFill>
              <w14:srgbClr w14:val="000000"/>
            </w14:solidFill>
            <w14:prstDash w14:val="solid"/>
            <w14:bevel/>
          </w14:textOutline>
        </w:rPr>
        <w:br w:type="page"/>
      </w:r>
    </w:p>
    <w:p w14:paraId="08DC2F12">
      <w:pPr>
        <w:pStyle w:val="2"/>
        <w:keepNext/>
        <w:keepLines/>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eastAsia="宋体"/>
          <w:color w:val="auto"/>
          <w:sz w:val="32"/>
          <w:szCs w:val="32"/>
          <w:lang w:eastAsia="zh-CN"/>
        </w:rPr>
      </w:pPr>
      <w:bookmarkStart w:id="23" w:name="_Toc27731"/>
      <w:bookmarkStart w:id="24" w:name="_Toc4225"/>
      <w:r>
        <w:rPr>
          <w:rFonts w:hint="eastAsia"/>
          <w:color w:val="auto"/>
          <w:sz w:val="32"/>
          <w:szCs w:val="32"/>
        </w:rPr>
        <w:t xml:space="preserve">第一章   </w:t>
      </w:r>
      <w:bookmarkEnd w:id="23"/>
      <w:bookmarkEnd w:id="24"/>
      <w:r>
        <w:rPr>
          <w:rFonts w:hint="eastAsia"/>
          <w:color w:val="auto"/>
          <w:sz w:val="32"/>
          <w:szCs w:val="32"/>
          <w:lang w:eastAsia="zh-CN"/>
        </w:rPr>
        <w:t>招标公告</w:t>
      </w:r>
    </w:p>
    <w:p w14:paraId="02B993C0">
      <w:pPr>
        <w:outlineLvl w:val="9"/>
        <w:rPr>
          <w:rFonts w:hint="eastAsia" w:ascii="宋体" w:hAnsi="宋体" w:eastAsia="宋体" w:cs="宋体"/>
          <w:color w:val="auto"/>
          <w:spacing w:val="8"/>
          <w:sz w:val="35"/>
          <w:szCs w:val="35"/>
          <w14:textOutline w14:w="6537" w14:cap="sq" w14:cmpd="sng">
            <w14:solidFill>
              <w14:srgbClr w14:val="000000"/>
            </w14:solidFill>
            <w14:prstDash w14:val="solid"/>
            <w14:bevel/>
          </w14:textOutline>
        </w:rPr>
      </w:pPr>
      <w:r>
        <w:rPr>
          <w:rFonts w:hint="eastAsia" w:ascii="宋体" w:hAnsi="宋体" w:eastAsia="宋体" w:cs="宋体"/>
          <w:color w:val="auto"/>
          <w:spacing w:val="8"/>
          <w:sz w:val="35"/>
          <w:szCs w:val="35"/>
          <w14:textOutline w14:w="6537" w14:cap="sq" w14:cmpd="sng">
            <w14:solidFill>
              <w14:srgbClr w14:val="000000"/>
            </w14:solidFill>
            <w14:prstDash w14:val="solid"/>
            <w14:bevel/>
          </w14:textOutline>
        </w:rPr>
        <w:br w:type="page"/>
      </w:r>
    </w:p>
    <w:p w14:paraId="0B820BA9">
      <w:pPr>
        <w:spacing w:before="72" w:line="227" w:lineRule="auto"/>
        <w:jc w:val="center"/>
        <w:outlineLvl w:val="9"/>
        <w:rPr>
          <w:rFonts w:hint="eastAsia" w:ascii="宋体" w:hAnsi="宋体" w:eastAsia="宋体" w:cs="宋体"/>
          <w:color w:val="auto"/>
          <w:spacing w:val="8"/>
          <w:sz w:val="28"/>
          <w:szCs w:val="28"/>
          <w:lang w:eastAsia="zh-CN"/>
          <w14:textOutline w14:w="6537" w14:cap="sq" w14:cmpd="sng">
            <w14:solidFill>
              <w14:srgbClr w14:val="000000"/>
            </w14:solidFill>
            <w14:prstDash w14:val="solid"/>
            <w14:bevel/>
          </w14:textOutline>
        </w:rPr>
      </w:pPr>
      <w:r>
        <w:rPr>
          <w:rFonts w:hint="eastAsia" w:ascii="宋体" w:hAnsi="宋体" w:eastAsia="宋体" w:cs="宋体"/>
          <w:color w:val="auto"/>
          <w:spacing w:val="8"/>
          <w:sz w:val="28"/>
          <w:szCs w:val="28"/>
          <w:lang w:eastAsia="zh-CN"/>
          <w14:textOutline w14:w="6537" w14:cap="sq" w14:cmpd="sng">
            <w14:solidFill>
              <w14:srgbClr w14:val="000000"/>
            </w14:solidFill>
            <w14:prstDash w14:val="solid"/>
            <w14:bevel/>
          </w14:textOutline>
        </w:rPr>
        <w:t>国家区域医疗中心-首都医科大学附属北京安贞医院吉林医院消化科及内镜中心设备采购项目（三次）招标公告</w:t>
      </w:r>
    </w:p>
    <w:tbl>
      <w:tblPr>
        <w:tblStyle w:val="20"/>
        <w:tblW w:w="9471" w:type="dxa"/>
        <w:tblInd w:w="2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71"/>
      </w:tblGrid>
      <w:tr w14:paraId="5F2E047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09" w:hRule="atLeast"/>
        </w:trPr>
        <w:tc>
          <w:tcPr>
            <w:tcW w:w="9471" w:type="dxa"/>
            <w:vAlign w:val="top"/>
          </w:tcPr>
          <w:p w14:paraId="41235D67">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3A0B8A42">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rPr>
            </w:pPr>
            <w:r>
              <w:rPr>
                <w:rFonts w:hint="eastAsia" w:ascii="宋体" w:hAnsi="宋体" w:eastAsia="宋体" w:cs="宋体"/>
                <w:color w:val="auto"/>
                <w:sz w:val="24"/>
                <w:szCs w:val="24"/>
              </w:rPr>
              <w:t>国家区域医疗中心-首都医科大学附属北京安贞医院吉林医院消化科及内镜中心设备采购项目</w:t>
            </w:r>
            <w:r>
              <w:rPr>
                <w:rFonts w:hint="eastAsia" w:ascii="宋体" w:hAnsi="宋体" w:eastAsia="宋体" w:cs="宋体"/>
                <w:color w:val="auto"/>
                <w:sz w:val="24"/>
                <w:szCs w:val="24"/>
                <w:lang w:eastAsia="zh-CN"/>
              </w:rPr>
              <w:t>（三次）</w:t>
            </w:r>
            <w:r>
              <w:rPr>
                <w:rFonts w:hint="eastAsia" w:ascii="宋体" w:hAnsi="宋体" w:eastAsia="宋体" w:cs="宋体"/>
                <w:color w:val="auto"/>
                <w:sz w:val="24"/>
                <w:szCs w:val="24"/>
              </w:rPr>
              <w:t>的潜在投标人应在政采云平台（</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"https://www.zcygov.cn/"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https://www.zcygov.cn/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）获取招标文件，并于</w:t>
            </w:r>
            <w:r>
              <w:rPr>
                <w:rFonts w:hint="eastAsia" w:ascii="宋体" w:hAnsi="宋体" w:eastAsia="宋体" w:cs="宋体"/>
                <w:color w:val="auto"/>
                <w:sz w:val="24"/>
                <w:szCs w:val="24"/>
                <w:lang w:eastAsia="zh-CN"/>
              </w:rPr>
              <w:t>2026年05月15日09点00分</w:t>
            </w:r>
            <w:r>
              <w:rPr>
                <w:rFonts w:hint="eastAsia" w:ascii="宋体" w:hAnsi="宋体" w:eastAsia="宋体" w:cs="宋体"/>
                <w:color w:val="auto"/>
                <w:sz w:val="24"/>
                <w:szCs w:val="24"/>
              </w:rPr>
              <w:t>（北京时间）前递交投标文件。</w:t>
            </w:r>
          </w:p>
        </w:tc>
      </w:tr>
    </w:tbl>
    <w:p w14:paraId="5033385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4CCB81EA">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1.项目编号：采购计划备-[2025]-01732号</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JM-2025-12-01957（三次）</w:t>
      </w:r>
    </w:p>
    <w:p w14:paraId="5378BD7B">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项目名称：国家区域医疗中心-首都医科大学附属北京安贞医院吉林医院消化科及内镜中心设备采购项目</w:t>
      </w:r>
      <w:r>
        <w:rPr>
          <w:rFonts w:hint="eastAsia" w:ascii="宋体" w:hAnsi="宋体" w:eastAsia="宋体" w:cs="宋体"/>
          <w:color w:val="auto"/>
          <w:sz w:val="24"/>
          <w:szCs w:val="24"/>
          <w:lang w:eastAsia="zh-CN"/>
        </w:rPr>
        <w:t>（三次）</w:t>
      </w:r>
    </w:p>
    <w:p w14:paraId="49CF65AB">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预算金额：</w:t>
      </w:r>
      <w:r>
        <w:rPr>
          <w:rFonts w:hint="eastAsia" w:ascii="宋体" w:hAnsi="宋体" w:eastAsia="宋体" w:cs="宋体"/>
          <w:color w:val="auto"/>
          <w:sz w:val="24"/>
          <w:szCs w:val="24"/>
          <w:lang w:eastAsia="zh-CN"/>
        </w:rPr>
        <w:t>1171.80万元</w:t>
      </w:r>
    </w:p>
    <w:p w14:paraId="21101E50">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最高限价：</w:t>
      </w:r>
      <w:r>
        <w:rPr>
          <w:rFonts w:hint="eastAsia" w:ascii="宋体" w:hAnsi="宋体" w:eastAsia="宋体" w:cs="宋体"/>
          <w:color w:val="auto"/>
          <w:sz w:val="24"/>
          <w:szCs w:val="24"/>
          <w:lang w:eastAsia="zh-CN"/>
        </w:rPr>
        <w:t>1171.80万元</w:t>
      </w:r>
    </w:p>
    <w:p w14:paraId="405BCDFC">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采购需求：本项目拟采购</w:t>
      </w:r>
      <w:r>
        <w:rPr>
          <w:rFonts w:hint="eastAsia" w:ascii="宋体" w:hAnsi="宋体" w:eastAsia="宋体" w:cs="宋体"/>
          <w:color w:val="auto"/>
          <w:sz w:val="24"/>
          <w:szCs w:val="24"/>
          <w:lang w:val="en-US" w:eastAsia="zh-CN"/>
        </w:rPr>
        <w:t>一批消化科及内镜中心设备</w:t>
      </w:r>
      <w:r>
        <w:rPr>
          <w:rFonts w:hint="eastAsia" w:ascii="宋体" w:hAnsi="宋体" w:eastAsia="宋体" w:cs="宋体"/>
          <w:color w:val="auto"/>
          <w:sz w:val="24"/>
          <w:szCs w:val="24"/>
          <w:lang w:eastAsia="zh-CN"/>
        </w:rPr>
        <w:t>（具体参数详见招标文件采购需求）</w:t>
      </w:r>
    </w:p>
    <w:p w14:paraId="7EB1D931">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合同履行期限（交货时间）：</w:t>
      </w:r>
      <w:r>
        <w:rPr>
          <w:rFonts w:hint="eastAsia" w:ascii="宋体" w:hAnsi="宋体" w:eastAsia="宋体" w:cs="宋体"/>
          <w:color w:val="auto"/>
          <w:sz w:val="24"/>
          <w:szCs w:val="24"/>
          <w:highlight w:val="none"/>
          <w:lang w:eastAsia="zh-CN"/>
        </w:rPr>
        <w:t>合同签订之日起30天</w:t>
      </w:r>
      <w:r>
        <w:rPr>
          <w:rFonts w:hint="eastAsia" w:ascii="宋体" w:hAnsi="宋体" w:eastAsia="宋体" w:cs="宋体"/>
          <w:color w:val="auto"/>
          <w:sz w:val="24"/>
          <w:szCs w:val="24"/>
          <w:highlight w:val="none"/>
          <w:lang w:val="en-US" w:eastAsia="zh-CN"/>
        </w:rPr>
        <w:t>。</w:t>
      </w:r>
    </w:p>
    <w:p w14:paraId="77D5E1EA">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7.质量标准：</w:t>
      </w:r>
      <w:r>
        <w:rPr>
          <w:rFonts w:hint="eastAsia" w:ascii="宋体" w:hAnsi="宋体" w:eastAsia="宋体" w:cs="宋体"/>
          <w:color w:val="auto"/>
          <w:sz w:val="24"/>
          <w:szCs w:val="24"/>
          <w:highlight w:val="none"/>
        </w:rPr>
        <w:t>满足国家及行业规范标准及采购人要求</w:t>
      </w:r>
    </w:p>
    <w:p w14:paraId="040CB43E">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本项目不接受联合体投标。</w:t>
      </w:r>
    </w:p>
    <w:p w14:paraId="6C0D413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4AE47E52">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满足《中华人民共和国政府采购法》第二十二条规定</w:t>
      </w:r>
      <w:r>
        <w:rPr>
          <w:rFonts w:hint="eastAsia" w:ascii="宋体" w:hAnsi="宋体" w:eastAsia="宋体" w:cs="宋体"/>
          <w:color w:val="auto"/>
          <w:sz w:val="24"/>
          <w:szCs w:val="24"/>
          <w:highlight w:val="none"/>
          <w:lang w:eastAsia="zh-CN"/>
        </w:rPr>
        <w:t>。</w:t>
      </w:r>
    </w:p>
    <w:p w14:paraId="42B8D359">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2.落实政府采购政策需满足的资格要求：本项目</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lang w:eastAsia="zh-CN"/>
        </w:rPr>
        <w:t>非</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eastAsia="zh-CN"/>
        </w:rPr>
        <w:t>。</w:t>
      </w:r>
    </w:p>
    <w:p w14:paraId="0B0161DF">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39977123">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供应商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w:t>
      </w:r>
      <w:r>
        <w:rPr>
          <w:rFonts w:hint="eastAsia" w:ascii="宋体" w:hAnsi="宋体" w:eastAsia="宋体" w:cs="宋体"/>
          <w:color w:val="auto"/>
          <w:sz w:val="24"/>
          <w:szCs w:val="24"/>
          <w:highlight w:val="none"/>
          <w:lang w:eastAsia="zh-CN"/>
        </w:rPr>
        <w:t>。</w:t>
      </w:r>
    </w:p>
    <w:p w14:paraId="3FA188E6">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投标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w:t>
      </w:r>
    </w:p>
    <w:p w14:paraId="0F2712BB">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投标产品若纳入中华人民共和国医疗器械监督管理的，须提供所投产品在国家药品监督管理局官网的备案或注册截图；或投标产品属于第一类医疗器械的，须提供备案凭证，第二、三类则须提供监督管理部门颁发的《中华人民共和国医疗器械注册证》及《医疗器械产品注册登记表》，若已办理两证合一则只须提供《医疗器械注册证》。</w:t>
      </w:r>
    </w:p>
    <w:p w14:paraId="178B3B49">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供应商应按照《长春市财政局关于加强政府采购信用体系建设简化供应商资格条件有关事项的通知》（长财采购〔2022〕2066号）文件要求在响应文件中提交反映其财务状况、依法缴纳税收和社会保障资金情况的资格条件承诺函，并对资格条件承诺函有关内容的真实性、有效性、合法性负责。</w:t>
      </w:r>
    </w:p>
    <w:p w14:paraId="1653A8BC">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3.5信誉要求：（1）拒绝列入政府取消投标资格记录期间的企业或个人投标。</w:t>
      </w:r>
    </w:p>
    <w:p w14:paraId="48B9FCF5">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供应商不得列入失信被执行人和重大税收违法失信主体的供应商，不得为中国政府采购网（www.ccgp.gov.cn）政府采购严重违法失信行为记录名单中被财政部门禁止参加政府采购活动的供应商（在处罚决定规定的时间和地域范围内）（详见财库【2016】125号文）。</w:t>
      </w:r>
    </w:p>
    <w:p w14:paraId="37C305D0">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3.6</w:t>
      </w:r>
      <w:r>
        <w:rPr>
          <w:rFonts w:hint="eastAsia" w:ascii="宋体" w:hAnsi="宋体" w:eastAsia="宋体" w:cs="宋体"/>
          <w:color w:val="auto"/>
          <w:sz w:val="24"/>
          <w:szCs w:val="24"/>
        </w:rPr>
        <w:t>与采购人存在利害关系可能影响采购公正性的法人、其它组织或者个人，不得参加投标；单位负责人为同一人或者存在直接控股、管理关系的不同供应商，不得参加同一合同项下的政府采购活动。否则相关投标无效</w:t>
      </w:r>
      <w:r>
        <w:rPr>
          <w:rFonts w:hint="eastAsia" w:ascii="宋体" w:hAnsi="宋体" w:eastAsia="宋体" w:cs="宋体"/>
          <w:color w:val="auto"/>
          <w:sz w:val="24"/>
          <w:szCs w:val="24"/>
          <w:lang w:eastAsia="zh-CN"/>
        </w:rPr>
        <w:t>。</w:t>
      </w:r>
    </w:p>
    <w:p w14:paraId="4D84398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三、获取招标文件</w:t>
      </w:r>
    </w:p>
    <w:p w14:paraId="23A1E8D6">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2026年4月16日至2026年4月23日</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每天08时30分至16时00分止）</w:t>
      </w:r>
    </w:p>
    <w:p w14:paraId="255BB7CE">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地点：政采云平台（</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"https://www.zcygov.cn/"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https://www.zcygov.cn/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p>
    <w:p w14:paraId="56DB2F4C">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3.方式：网上免费获取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潜在供应商自行登录政府采购云平台（网址：http://www.zcygov.cn）注册（https://middle.zcygov.cn/v-settle-front/registry）并下载</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文件（操作路径：登录“政采云”平台-项目采购-获取</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文件-找到本项目-点击“申请获取</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文件”），电子</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文件制作需要基于“政采云”平台获取的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文件采购需求编制，其他途径获取的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文件开标时一律按无效投标处理。</w:t>
      </w:r>
    </w:p>
    <w:p w14:paraId="491C36E8">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售价：0元。</w:t>
      </w:r>
    </w:p>
    <w:p w14:paraId="3CA83DD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四、提交投标文件截止时间、开标时间和地点</w:t>
      </w:r>
    </w:p>
    <w:p w14:paraId="5B969FBF">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提交投标文件截止时间、开标时间：</w:t>
      </w:r>
      <w:r>
        <w:rPr>
          <w:rFonts w:hint="eastAsia" w:ascii="宋体" w:hAnsi="宋体" w:eastAsia="宋体" w:cs="宋体"/>
          <w:color w:val="auto"/>
          <w:sz w:val="24"/>
          <w:szCs w:val="24"/>
          <w:lang w:eastAsia="zh-CN"/>
        </w:rPr>
        <w:t>2026年05月15日09点00分</w:t>
      </w:r>
      <w:r>
        <w:rPr>
          <w:rFonts w:hint="eastAsia" w:ascii="宋体" w:hAnsi="宋体" w:eastAsia="宋体" w:cs="宋体"/>
          <w:color w:val="auto"/>
          <w:sz w:val="24"/>
          <w:szCs w:val="24"/>
        </w:rPr>
        <w:t>（北京时间）</w:t>
      </w:r>
    </w:p>
    <w:p w14:paraId="5EF4AC6C">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地点：政采云平台（https://www.zcygov.cn/）。</w:t>
      </w:r>
    </w:p>
    <w:p w14:paraId="57A67459">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投标文件的提交方式：本项目为全流程电子化项目，通过政采云平台（</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"https://www.zcygov.cn/"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https://www.zcygov.cn/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实行在线电子投标，投标人应先安装“政采云投标客户端”（请自行前往政采云平台进行下载），并按照本项目招标文件和政采云平台的要求编制、加密后在提交投标文件截止时间、开标时间前通过网络上传至政采云平台，投标人在政采云平台提交电子投标文件时，请填写参加开标活动经办人联系方式；在制作投标文件前，投标人需申领CA，领取CA后与政采云平台的账号进行绑定，使用CA对投标文件进行签章，否则，有可能导致无法在线编制投标文件和参与投标，其后果由投标人自行承担。</w:t>
      </w:r>
    </w:p>
    <w:p w14:paraId="4632ABDA">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4.开标地点：</w:t>
      </w:r>
      <w:r>
        <w:rPr>
          <w:rFonts w:hint="eastAsia" w:ascii="宋体" w:hAnsi="宋体" w:eastAsia="宋体" w:cs="宋体"/>
          <w:color w:val="auto"/>
          <w:sz w:val="24"/>
          <w:szCs w:val="24"/>
          <w:lang w:eastAsia="zh-CN"/>
        </w:rPr>
        <w:t>长春净月高新技术产业开发区净月区管委会401开标室-01</w:t>
      </w:r>
      <w:r>
        <w:rPr>
          <w:rFonts w:hint="eastAsia" w:ascii="宋体" w:hAnsi="宋体" w:eastAsia="宋体" w:cs="宋体"/>
          <w:color w:val="auto"/>
          <w:sz w:val="24"/>
          <w:szCs w:val="24"/>
        </w:rPr>
        <w:t>。</w:t>
      </w:r>
    </w:p>
    <w:p w14:paraId="271FD27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五、公告期限</w:t>
      </w:r>
    </w:p>
    <w:p w14:paraId="6BA82606">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自本公告发布之日起5个工作日。</w:t>
      </w:r>
    </w:p>
    <w:p w14:paraId="272F1B2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六、其他补充事宜</w:t>
      </w:r>
    </w:p>
    <w:p w14:paraId="6E606E9A">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公</w:t>
      </w:r>
      <w:r>
        <w:rPr>
          <w:rFonts w:hint="eastAsia" w:ascii="宋体" w:hAnsi="宋体" w:eastAsia="宋体" w:cs="宋体"/>
          <w:color w:val="auto"/>
          <w:sz w:val="24"/>
          <w:szCs w:val="24"/>
          <w:lang w:eastAsia="zh-CN"/>
        </w:rPr>
        <w:t>告</w:t>
      </w:r>
      <w:r>
        <w:rPr>
          <w:rFonts w:hint="eastAsia" w:ascii="宋体" w:hAnsi="宋体" w:eastAsia="宋体" w:cs="宋体"/>
          <w:color w:val="auto"/>
          <w:sz w:val="24"/>
          <w:szCs w:val="24"/>
        </w:rPr>
        <w:t>媒介</w:t>
      </w:r>
      <w:r>
        <w:rPr>
          <w:rFonts w:hint="eastAsia" w:ascii="宋体" w:hAnsi="宋体" w:eastAsia="宋体" w:cs="宋体"/>
          <w:color w:val="auto"/>
          <w:sz w:val="24"/>
          <w:szCs w:val="24"/>
          <w:lang w:eastAsia="zh-CN"/>
        </w:rPr>
        <w:t>：本次招标公告在“政采云”平台（http://www.zcygov.cn）（同步推送到中国政府采购网、吉林省政府采购网、长春市公共资源交易网）上发布。</w:t>
      </w:r>
    </w:p>
    <w:p w14:paraId="19B4370B">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项目需要落实的政府采购政策：《政府采购促进中小企业发展管理办法》（财库〔2020〕46号）、《关于进一步加大政府采购支持中小企业力度的通知》（财库〔2022〕19号）、《关于政府采购支持监狱企业发展有关问题的通知》(财库〔2014〕68号)、《关于促进残疾人就业政府采购政策的通知》(财库〔2017〕141号)、《关于调整优化节能产品、环境标志产品政府采购执行机制的通知》(财库〔2019〕9号)等</w:t>
      </w:r>
      <w:r>
        <w:rPr>
          <w:rFonts w:hint="eastAsia" w:ascii="宋体" w:hAnsi="宋体" w:eastAsia="宋体" w:cs="宋体"/>
          <w:color w:val="auto"/>
          <w:sz w:val="24"/>
          <w:szCs w:val="24"/>
          <w:lang w:eastAsia="zh-CN"/>
        </w:rPr>
        <w:t>最新政策</w:t>
      </w:r>
      <w:r>
        <w:rPr>
          <w:rFonts w:hint="eastAsia" w:ascii="宋体" w:hAnsi="宋体" w:eastAsia="宋体" w:cs="宋体"/>
          <w:color w:val="auto"/>
          <w:sz w:val="24"/>
          <w:szCs w:val="24"/>
        </w:rPr>
        <w:t>。</w:t>
      </w:r>
    </w:p>
    <w:p w14:paraId="071AC6B9">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3.政采云平台相关流程：</w:t>
      </w:r>
    </w:p>
    <w:p w14:paraId="1F22A520">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（1）投标人在电子化平台参与政府采购项目前，应在电子化平台完成信息注册（如已注册长春市政府采购电子商城则无需重复注册），注册链接：</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"https://middle.zcygov.cn/v-settle-front/registry"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https://middle.zcygov.cn/v-settle-front/registry</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，政采云平台客服热线：95763；</w:t>
      </w:r>
    </w:p>
    <w:p w14:paraId="65382FA3">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（2）政采云投标客户端及CA驱动下载地址：</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"https://customer.zcygov.cn/CA-driver-download?utm=web-login-front.52cebfa2.0"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https://customer.zcygov.cn/CA-driver-download?utm=web-login-front.52cebfa2.0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.0.04df4040034511edaac705fda12edb43；</w:t>
      </w:r>
    </w:p>
    <w:p w14:paraId="6782BB9B">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（3）CA数字证书申请流程链接：</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"http://www.anxinca.com/kehu/zcy/kh-zcy-zsshenqing.html"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http://www.anxinca.com/kehu/zcy/kh-zcy-zsshenqing.html</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，未进行政采云注册并办理数字证书（CA认证）的投标人将无法参与本项目政府采购活动，潜在投标人应当在投标 截止时间前，完成政采云平台上的CA数字证书办理及投标文件的提交。投标人须自行考虑办理时间，由于投标人自身原因导致无法完成办理的，后果自负；</w:t>
      </w:r>
    </w:p>
    <w:p w14:paraId="5CD7B011">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（4）为确保网上操作合法、有效和安全，请投标人确保在电子响应过程中能够对相 关数据电文进行加密和使用电子签章，妥善保管CA数字证书并使用有效的CA数字证书参与整个采购活动；</w:t>
      </w:r>
    </w:p>
    <w:p w14:paraId="2695FA99">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（5）若对项目采购电子交易系统操作有疑问，可登录政采云平台，点击右侧咨询小采获取采小蜜智能服务管家帮助或点击右侧帮助文档查看投标人指南或拨打政采云服务热线95763获取热线服务帮助。</w:t>
      </w:r>
    </w:p>
    <w:p w14:paraId="1FE79B2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七、对本次招标提出询问，请按以下方式联系</w:t>
      </w:r>
    </w:p>
    <w:p w14:paraId="35F313F9">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采购人信息</w:t>
      </w:r>
    </w:p>
    <w:p w14:paraId="5D02AD33">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采购人：长春市中心医院</w:t>
      </w:r>
    </w:p>
    <w:p w14:paraId="20FED7E1">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地址：长春市南关区人民大街1810号</w:t>
      </w:r>
    </w:p>
    <w:p w14:paraId="445899C6">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联系人：</w:t>
      </w:r>
      <w:r>
        <w:rPr>
          <w:rFonts w:hint="eastAsia" w:ascii="宋体" w:hAnsi="宋体" w:eastAsia="宋体" w:cs="宋体"/>
          <w:color w:val="auto"/>
          <w:sz w:val="24"/>
          <w:szCs w:val="24"/>
          <w:lang w:val="en-US" w:eastAsia="zh-CN"/>
        </w:rPr>
        <w:t>杨博文</w:t>
      </w:r>
    </w:p>
    <w:p w14:paraId="08F9AB40">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联系方式：0431-88915168</w:t>
      </w:r>
    </w:p>
    <w:p w14:paraId="50079724">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采购代理机构信息</w:t>
      </w:r>
    </w:p>
    <w:p w14:paraId="7551FF4B">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吉林省吉诚工程咨询有限公司</w:t>
      </w:r>
    </w:p>
    <w:p w14:paraId="7186F591">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地址：长春市绿园区吾悦广场B座15楼1536室</w:t>
      </w:r>
    </w:p>
    <w:p w14:paraId="26CFD3BC">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项目联系人：曹健0431-81336999</w:t>
      </w:r>
    </w:p>
    <w:p w14:paraId="7F81E4BF">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14:paraId="19B15D93">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项目联系人：曹健</w:t>
      </w:r>
    </w:p>
    <w:p w14:paraId="55A40A20">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联系电话：0431-81336999</w:t>
      </w:r>
    </w:p>
    <w:p w14:paraId="227EC192">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4.监督部门：长春市财政局政府采购管理工作办公室</w:t>
      </w:r>
    </w:p>
    <w:p w14:paraId="7222C800">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lang w:val="en-US" w:eastAsia="zh-CN"/>
        </w:rPr>
      </w:pPr>
    </w:p>
    <w:p w14:paraId="69F086C5">
      <w:pPr>
        <w:pStyle w:val="2"/>
        <w:keepNext/>
        <w:keepLines/>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color w:val="auto"/>
          <w:sz w:val="32"/>
          <w:szCs w:val="22"/>
        </w:rPr>
      </w:pPr>
      <w:bookmarkStart w:id="25" w:name="_Toc23171"/>
      <w:bookmarkStart w:id="26" w:name="_Toc4106"/>
      <w:r>
        <w:rPr>
          <w:rFonts w:hint="eastAsia"/>
          <w:color w:val="auto"/>
          <w:sz w:val="32"/>
          <w:szCs w:val="22"/>
        </w:rPr>
        <w:t>第二章</w:t>
      </w:r>
      <w:r>
        <w:rPr>
          <w:rFonts w:hint="eastAsia"/>
          <w:color w:val="auto"/>
          <w:sz w:val="32"/>
          <w:szCs w:val="22"/>
          <w:lang w:val="en-US" w:eastAsia="zh-CN"/>
        </w:rPr>
        <w:t xml:space="preserve">  </w:t>
      </w:r>
      <w:r>
        <w:rPr>
          <w:rFonts w:hint="eastAsia"/>
          <w:color w:val="auto"/>
          <w:sz w:val="32"/>
          <w:szCs w:val="22"/>
        </w:rPr>
        <w:t xml:space="preserve"> 投标人须知</w:t>
      </w:r>
      <w:bookmarkEnd w:id="25"/>
      <w:bookmarkEnd w:id="26"/>
    </w:p>
    <w:p w14:paraId="2284CF63">
      <w:pPr>
        <w:spacing w:before="254" w:line="221" w:lineRule="auto"/>
        <w:ind w:left="4050"/>
        <w:outlineLvl w:val="9"/>
        <w:rPr>
          <w:rFonts w:hint="eastAsia" w:ascii="宋体" w:hAnsi="宋体" w:eastAsia="宋体" w:cs="宋体"/>
          <w:color w:val="auto"/>
          <w:sz w:val="24"/>
          <w:szCs w:val="24"/>
        </w:rPr>
      </w:pPr>
      <w:bookmarkStart w:id="27" w:name="_Toc15682"/>
      <w:r>
        <w:rPr>
          <w:rFonts w:hint="eastAsia" w:ascii="宋体" w:hAnsi="宋体" w:eastAsia="宋体" w:cs="宋体"/>
          <w:color w:val="auto"/>
          <w:spacing w:val="-10"/>
          <w:sz w:val="24"/>
          <w:szCs w:val="24"/>
          <w14:textOutline w14:w="4358" w14:cap="sq" w14:cmpd="sng">
            <w14:solidFill>
              <w14:srgbClr w14:val="000000"/>
            </w14:solidFill>
            <w14:prstDash w14:val="solid"/>
            <w14:bevel/>
          </w14:textOutline>
        </w:rPr>
        <w:t>一</w:t>
      </w:r>
      <w:r>
        <w:rPr>
          <w:rFonts w:hint="eastAsia" w:ascii="宋体" w:hAnsi="宋体" w:eastAsia="宋体" w:cs="宋体"/>
          <w:color w:val="auto"/>
          <w:spacing w:val="-10"/>
          <w:sz w:val="24"/>
          <w:szCs w:val="24"/>
          <w:lang w:eastAsia="zh-CN"/>
          <w14:textOutline w14:w="4358" w14:cap="sq" w14:cmpd="sng">
            <w14:solidFill>
              <w14:srgbClr w14:val="000000"/>
            </w14:solidFill>
            <w14:prstDash w14:val="solid"/>
            <w14:bevel/>
          </w14:textOutline>
        </w:rPr>
        <w:t>、</w:t>
      </w:r>
      <w:r>
        <w:rPr>
          <w:rFonts w:hint="eastAsia" w:ascii="宋体" w:hAnsi="宋体" w:eastAsia="宋体" w:cs="宋体"/>
          <w:color w:val="auto"/>
          <w:spacing w:val="-10"/>
          <w:sz w:val="24"/>
          <w:szCs w:val="24"/>
          <w14:textOutline w14:w="4358" w14:cap="sq" w14:cmpd="sng">
            <w14:solidFill>
              <w14:srgbClr w14:val="000000"/>
            </w14:solidFill>
            <w14:prstDash w14:val="solid"/>
            <w14:bevel/>
          </w14:textOutline>
        </w:rPr>
        <w:t>总</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10"/>
          <w:sz w:val="24"/>
          <w:szCs w:val="24"/>
          <w14:textOutline w14:w="4358" w14:cap="sq" w14:cmpd="sng">
            <w14:solidFill>
              <w14:srgbClr w14:val="000000"/>
            </w14:solidFill>
            <w14:prstDash w14:val="solid"/>
            <w14:bevel/>
          </w14:textOutline>
        </w:rPr>
        <w:t>则</w:t>
      </w:r>
      <w:bookmarkEnd w:id="27"/>
    </w:p>
    <w:p w14:paraId="2B833E2C">
      <w:pPr>
        <w:spacing w:before="181" w:line="220" w:lineRule="auto"/>
        <w:outlineLvl w:val="9"/>
        <w:rPr>
          <w:rFonts w:hint="eastAsia" w:ascii="宋体" w:hAnsi="宋体" w:eastAsia="宋体" w:cs="宋体"/>
          <w:color w:val="FF0000"/>
          <w:spacing w:val="-2"/>
          <w:sz w:val="24"/>
          <w:szCs w:val="24"/>
          <w:highlight w:val="none"/>
          <w14:textOutline w14:w="4358" w14:cap="sq" w14:cmpd="sng">
            <w14:solidFill>
              <w14:srgbClr w14:val="000000"/>
            </w14:solidFill>
            <w14:prstDash w14:val="solid"/>
            <w14:bevel/>
          </w14:textOutline>
        </w:rPr>
      </w:pPr>
      <w:bookmarkStart w:id="28" w:name="_Toc20563"/>
      <w:r>
        <w:rPr>
          <w:rFonts w:hint="eastAsia" w:ascii="宋体" w:hAnsi="宋体" w:eastAsia="宋体" w:cs="宋体"/>
          <w:color w:val="FF0000"/>
          <w:spacing w:val="-2"/>
          <w:sz w:val="24"/>
          <w:szCs w:val="24"/>
          <w:highlight w:val="none"/>
          <w14:textOutline w14:w="4358" w14:cap="sq" w14:cmpd="sng">
            <w14:solidFill>
              <w14:srgbClr w14:val="000000"/>
            </w14:solidFill>
            <w14:prstDash w14:val="solid"/>
            <w14:bevel/>
          </w14:textOutline>
        </w:rPr>
        <w:t>1、资金来源：</w:t>
      </w:r>
      <w:r>
        <w:rPr>
          <w:rFonts w:hint="eastAsia" w:ascii="宋体" w:hAnsi="宋体" w:eastAsia="宋体" w:cs="宋体"/>
          <w:color w:val="FF0000"/>
          <w:spacing w:val="-2"/>
          <w:sz w:val="24"/>
          <w:szCs w:val="24"/>
          <w:highlight w:val="none"/>
          <w:lang w:val="en-US" w:eastAsia="zh-CN"/>
          <w14:textOutline w14:w="4358" w14:cap="sq" w14:cmpd="sng">
            <w14:solidFill>
              <w14:srgbClr w14:val="000000"/>
            </w14:solidFill>
            <w14:prstDash w14:val="solid"/>
            <w14:bevel/>
          </w14:textOutline>
        </w:rPr>
        <w:t>政府</w:t>
      </w:r>
      <w:r>
        <w:rPr>
          <w:rFonts w:hint="eastAsia" w:ascii="宋体" w:hAnsi="宋体" w:eastAsia="宋体" w:cs="宋体"/>
          <w:color w:val="FF0000"/>
          <w:spacing w:val="-2"/>
          <w:sz w:val="24"/>
          <w:szCs w:val="24"/>
          <w:highlight w:val="none"/>
          <w14:textOutline w14:w="4358" w14:cap="sq" w14:cmpd="sng">
            <w14:solidFill>
              <w14:srgbClr w14:val="000000"/>
            </w14:solidFill>
            <w14:prstDash w14:val="solid"/>
            <w14:bevel/>
          </w14:textOutline>
        </w:rPr>
        <w:t>资金</w:t>
      </w:r>
      <w:r>
        <w:rPr>
          <w:rFonts w:hint="eastAsia" w:ascii="宋体" w:hAnsi="宋体" w:eastAsia="宋体" w:cs="宋体"/>
          <w:color w:val="FF0000"/>
          <w:spacing w:val="-2"/>
          <w:sz w:val="24"/>
          <w:szCs w:val="24"/>
          <w:highlight w:val="none"/>
          <w:lang w:val="en-US" w:eastAsia="zh-CN"/>
          <w14:textOutline w14:w="4358" w14:cap="sq" w14:cmpd="sng">
            <w14:solidFill>
              <w14:srgbClr w14:val="000000"/>
            </w14:solidFill>
            <w14:prstDash w14:val="solid"/>
            <w14:bevel/>
          </w14:textOutline>
        </w:rPr>
        <w:t>和单位</w:t>
      </w:r>
      <w:r>
        <w:rPr>
          <w:rFonts w:hint="eastAsia" w:ascii="宋体" w:hAnsi="宋体" w:eastAsia="宋体" w:cs="宋体"/>
          <w:color w:val="FF0000"/>
          <w:spacing w:val="-2"/>
          <w:sz w:val="24"/>
          <w:szCs w:val="24"/>
          <w:highlight w:val="none"/>
          <w14:textOutline w14:w="4358" w14:cap="sq" w14:cmpd="sng">
            <w14:solidFill>
              <w14:srgbClr w14:val="000000"/>
            </w14:solidFill>
            <w14:prstDash w14:val="solid"/>
            <w14:bevel/>
          </w14:textOutline>
        </w:rPr>
        <w:t>自筹资金。</w:t>
      </w:r>
      <w:bookmarkEnd w:id="28"/>
    </w:p>
    <w:p w14:paraId="765314C3">
      <w:pPr>
        <w:spacing w:before="179" w:line="219" w:lineRule="auto"/>
        <w:outlineLvl w:val="9"/>
        <w:rPr>
          <w:rFonts w:hint="eastAsia" w:ascii="宋体" w:hAnsi="宋体" w:eastAsia="宋体" w:cs="宋体"/>
          <w:color w:val="auto"/>
          <w:sz w:val="24"/>
          <w:szCs w:val="24"/>
        </w:rPr>
      </w:pPr>
      <w:bookmarkStart w:id="29" w:name="_Toc11362"/>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2、采购人、采购代理机构、投标人</w:t>
      </w:r>
      <w:bookmarkEnd w:id="29"/>
    </w:p>
    <w:p w14:paraId="722CE1A9">
      <w:pPr>
        <w:spacing w:before="181" w:line="219" w:lineRule="auto"/>
        <w:ind w:firstLine="236" w:firstLineChars="100"/>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2.1“采购人”</w:t>
      </w:r>
      <w:r>
        <w:rPr>
          <w:rFonts w:hint="eastAsia" w:ascii="宋体" w:hAnsi="宋体" w:eastAsia="宋体" w:cs="宋体"/>
          <w:color w:val="auto"/>
          <w:spacing w:val="-2"/>
          <w:sz w:val="24"/>
          <w:szCs w:val="24"/>
          <w:highlight w:val="none"/>
        </w:rPr>
        <w:t>是指：长春市中心医院</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项</w:t>
      </w:r>
      <w:r>
        <w:rPr>
          <w:rFonts w:hint="eastAsia" w:ascii="宋体" w:hAnsi="宋体" w:eastAsia="宋体" w:cs="宋体"/>
          <w:color w:val="auto"/>
          <w:spacing w:val="-2"/>
          <w:sz w:val="24"/>
          <w:szCs w:val="24"/>
        </w:rPr>
        <w:t>目采购单位，合同的需方。</w:t>
      </w:r>
    </w:p>
    <w:p w14:paraId="1BF09CF9">
      <w:pPr>
        <w:spacing w:before="183" w:line="219" w:lineRule="auto"/>
        <w:ind w:firstLine="236" w:firstLineChars="100"/>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2.2“采购代理机构”是指：吉林省吉诚工程咨询有限公司。</w:t>
      </w:r>
    </w:p>
    <w:p w14:paraId="3D57CF60">
      <w:pPr>
        <w:tabs>
          <w:tab w:val="left" w:pos="201"/>
        </w:tabs>
        <w:spacing w:before="183" w:line="219" w:lineRule="auto"/>
        <w:ind w:firstLine="234" w:firstLineChars="100"/>
        <w:outlineLvl w:val="9"/>
        <w:rPr>
          <w:rFonts w:hint="eastAsia" w:ascii="宋体" w:hAnsi="宋体" w:eastAsia="宋体" w:cs="宋体"/>
          <w:color w:val="auto"/>
          <w:sz w:val="24"/>
          <w:szCs w:val="24"/>
        </w:rPr>
      </w:pPr>
      <w:bookmarkStart w:id="30" w:name="_Toc26658"/>
      <w:r>
        <w:rPr>
          <w:rFonts w:hint="eastAsia" w:ascii="宋体" w:hAnsi="宋体" w:eastAsia="宋体" w:cs="宋体"/>
          <w:color w:val="auto"/>
          <w:spacing w:val="-3"/>
          <w:sz w:val="24"/>
          <w:szCs w:val="24"/>
        </w:rPr>
        <w:t>2.3“投标人（也称“供应商”、</w:t>
      </w:r>
      <w:r>
        <w:rPr>
          <w:rFonts w:hint="eastAsia" w:ascii="宋体" w:hAnsi="宋体" w:eastAsia="宋体" w:cs="宋体"/>
          <w:color w:val="auto"/>
          <w:spacing w:val="-3"/>
          <w:sz w:val="24"/>
          <w:szCs w:val="24"/>
          <w:lang w:eastAsia="zh-CN"/>
        </w:rPr>
        <w:t>“申请人”</w:t>
      </w:r>
      <w:r>
        <w:rPr>
          <w:rFonts w:hint="eastAsia" w:ascii="宋体" w:hAnsi="宋体" w:eastAsia="宋体" w:cs="宋体"/>
          <w:color w:val="auto"/>
          <w:spacing w:val="-3"/>
          <w:sz w:val="24"/>
          <w:szCs w:val="24"/>
        </w:rPr>
        <w:t>）</w:t>
      </w:r>
      <w:r>
        <w:rPr>
          <w:rFonts w:hint="eastAsia" w:ascii="宋体" w:hAnsi="宋体" w:eastAsia="宋体" w:cs="宋体"/>
          <w:color w:val="auto"/>
          <w:spacing w:val="-86"/>
          <w:sz w:val="24"/>
          <w:szCs w:val="24"/>
          <w:lang w:eastAsia="zh-CN"/>
        </w:rPr>
        <w:t>”</w:t>
      </w:r>
      <w:r>
        <w:rPr>
          <w:rFonts w:hint="eastAsia" w:ascii="宋体" w:hAnsi="宋体" w:eastAsia="宋体" w:cs="宋体"/>
          <w:color w:val="auto"/>
          <w:spacing w:val="-3"/>
          <w:sz w:val="24"/>
          <w:szCs w:val="24"/>
        </w:rPr>
        <w:t>是指响应招标、参加投标竞争的法</w:t>
      </w:r>
      <w:bookmarkEnd w:id="30"/>
    </w:p>
    <w:p w14:paraId="77BB57E5">
      <w:pPr>
        <w:spacing w:before="180" w:line="221" w:lineRule="auto"/>
        <w:ind w:left="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人、其他组织或者自然人。</w:t>
      </w:r>
    </w:p>
    <w:p w14:paraId="7EF607CC">
      <w:pPr>
        <w:spacing w:before="181" w:line="220" w:lineRule="auto"/>
        <w:outlineLvl w:val="9"/>
        <w:rPr>
          <w:rFonts w:hint="eastAsia" w:ascii="宋体" w:hAnsi="宋体" w:eastAsia="宋体" w:cs="宋体"/>
          <w:color w:val="auto"/>
          <w:sz w:val="24"/>
          <w:szCs w:val="24"/>
          <w:highlight w:val="none"/>
        </w:rPr>
      </w:pPr>
      <w:bookmarkStart w:id="31" w:name="_Toc22020"/>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3、合格投标人</w:t>
      </w:r>
      <w:bookmarkEnd w:id="31"/>
    </w:p>
    <w:p w14:paraId="26D9473A">
      <w:pPr>
        <w:spacing w:before="183" w:line="219" w:lineRule="auto"/>
        <w:ind w:left="482"/>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详见招标公告“二、申请人的资格要求”</w:t>
      </w:r>
    </w:p>
    <w:p w14:paraId="65607108">
      <w:pPr>
        <w:spacing w:before="181" w:line="221" w:lineRule="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4、投标费用</w:t>
      </w:r>
    </w:p>
    <w:p w14:paraId="39BA036F">
      <w:pPr>
        <w:keepNext w:val="0"/>
        <w:keepLines w:val="0"/>
        <w:pageBreakBefore w:val="0"/>
        <w:widowControl/>
        <w:kinsoku w:val="0"/>
        <w:wordWrap/>
        <w:overflowPunct/>
        <w:topLinePunct w:val="0"/>
        <w:autoSpaceDE w:val="0"/>
        <w:autoSpaceDN w:val="0"/>
        <w:bidi w:val="0"/>
        <w:adjustRightInd w:val="0"/>
        <w:snapToGrid w:val="0"/>
        <w:spacing w:before="181" w:line="240" w:lineRule="auto"/>
        <w:ind w:left="0" w:firstLine="476" w:firstLineChars="200"/>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投标人应承担所有与编写和提交投标文件有关的费用，无论投标的结果如何，采购人和采购代理机构在任何情况下均无义务和责任承担这些费用。</w:t>
      </w:r>
    </w:p>
    <w:p w14:paraId="2A9C39DC">
      <w:pPr>
        <w:spacing w:before="183" w:line="219"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5、政府采购政策（包括但不限于下列具体政策要求）</w:t>
      </w:r>
    </w:p>
    <w:p w14:paraId="76CC31BD">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5.1 采购本国货物、工程和服务</w:t>
      </w:r>
    </w:p>
    <w:p w14:paraId="0EE1D4FA">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5.1.1 政府采购应当采购本国货物、工程和服务。但有《中华人民共和国政府采购法》第十条规定情形的除外。</w:t>
      </w:r>
    </w:p>
    <w:p w14:paraId="365186B2">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5.1.2 本项目如接受非本国货物、工程、服务参与投标，则具体要求见第五章《采购需求》。采购标的中标注“接受进口产品”的已经财政部门审核同意购买进口产品，参加进口产品采购的投标人仅限于国内投标人，国内投标人可以提供进口产品来参加。优先采购向我国企业转让技术、与我国企业签订消化吸收再创新方案的投标人的进口产品。</w:t>
      </w:r>
    </w:p>
    <w:p w14:paraId="1C1B69D8">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5.1.3 按照财政部《政府采购进口产品管理办法》第一章第四条关于“政府采购应当采购本国产品，确需采购进口产品（指通过中国海关报关验放进入中国境内且产自关境外的产品）的，实行审核管理”的规定，招标采购文件中凡未明确标明采购进口产品的，均为采购本国产品，投标人必须投标本国产品，</w:t>
      </w:r>
      <w:r>
        <w:rPr>
          <w:rFonts w:hint="eastAsia" w:ascii="宋体" w:hAnsi="宋体" w:eastAsia="宋体" w:cs="宋体"/>
          <w:b w:val="0"/>
          <w:bCs w:val="0"/>
          <w:color w:val="auto"/>
          <w:sz w:val="24"/>
          <w:szCs w:val="24"/>
        </w:rPr>
        <w:t>投标进口产品的为无效投标</w:t>
      </w:r>
      <w:r>
        <w:rPr>
          <w:rFonts w:hint="eastAsia" w:ascii="宋体" w:hAnsi="宋体" w:eastAsia="宋体" w:cs="宋体"/>
          <w:color w:val="auto"/>
          <w:sz w:val="24"/>
          <w:szCs w:val="24"/>
        </w:rPr>
        <w:t>。在中国境内生产或组装的外国品牌产品须标明该产品在中国国内制造厂商名称。否则，按进口产品对待。</w:t>
      </w:r>
    </w:p>
    <w:p w14:paraId="2558317B">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5.2 政府采购节能产品、环境标志产品</w:t>
      </w:r>
    </w:p>
    <w:p w14:paraId="182294C2">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5.2.1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A49A19">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5.2.2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6B7E945">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5.2.3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14:paraId="637D199B">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5.2.4 非政府强制采购的节能产品或环境标志产品，依据品目清单和认证证书实施政府优先采购。优先采购的具体规定见第三章《评标办法》。</w:t>
      </w:r>
    </w:p>
    <w:p w14:paraId="0D8A2912">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5.3 正版软件</w:t>
      </w:r>
    </w:p>
    <w:p w14:paraId="4121ED17">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5.3.1 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24A1D62">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5.3.2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7E0F2B9">
      <w:pPr>
        <w:spacing w:before="178" w:line="220" w:lineRule="auto"/>
        <w:ind w:left="3931"/>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二、招标文件</w:t>
      </w:r>
    </w:p>
    <w:p w14:paraId="5EFE8768">
      <w:pPr>
        <w:spacing w:before="182"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6、招标文件</w:t>
      </w:r>
    </w:p>
    <w:p w14:paraId="442D6D95">
      <w:pPr>
        <w:spacing w:before="179" w:line="220" w:lineRule="auto"/>
        <w:ind w:firstLine="234" w:firstLineChars="100"/>
        <w:outlineLvl w:val="9"/>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招标文件的构成</w:t>
      </w:r>
    </w:p>
    <w:p w14:paraId="6EF12C6C">
      <w:pPr>
        <w:spacing w:before="179" w:line="220" w:lineRule="auto"/>
        <w:ind w:left="482" w:firstLine="234" w:firstLineChars="100"/>
        <w:outlineLvl w:val="9"/>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第一章</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lang w:eastAsia="zh-CN"/>
        </w:rPr>
        <w:t>招标公告</w:t>
      </w:r>
    </w:p>
    <w:p w14:paraId="200A4691">
      <w:pPr>
        <w:spacing w:before="179" w:line="220" w:lineRule="auto"/>
        <w:ind w:left="482" w:firstLine="234" w:firstLineChars="100"/>
        <w:outlineLvl w:val="9"/>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第二章</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投标人须知</w:t>
      </w:r>
    </w:p>
    <w:p w14:paraId="7AA4ECD1">
      <w:pPr>
        <w:spacing w:before="179" w:line="220" w:lineRule="auto"/>
        <w:ind w:left="482" w:firstLine="234" w:firstLineChars="100"/>
        <w:outlineLvl w:val="9"/>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第三章</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评标办法</w:t>
      </w:r>
    </w:p>
    <w:p w14:paraId="6C2CBDF3">
      <w:pPr>
        <w:spacing w:before="179" w:line="220" w:lineRule="auto"/>
        <w:ind w:left="482" w:firstLine="234" w:firstLineChars="100"/>
        <w:outlineLvl w:val="9"/>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第四章</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合同条款(参考格式)</w:t>
      </w:r>
    </w:p>
    <w:p w14:paraId="641DA820">
      <w:pPr>
        <w:spacing w:before="179" w:line="220" w:lineRule="auto"/>
        <w:ind w:left="482" w:firstLine="234" w:firstLineChars="100"/>
        <w:outlineLvl w:val="9"/>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第五章</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采购需求</w:t>
      </w:r>
    </w:p>
    <w:p w14:paraId="7D7B5C1B">
      <w:pPr>
        <w:spacing w:before="179" w:line="220" w:lineRule="auto"/>
        <w:ind w:left="482" w:firstLine="234" w:firstLineChars="100"/>
        <w:outlineLvl w:val="9"/>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第六章</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投标文件构成及格式</w:t>
      </w:r>
    </w:p>
    <w:p w14:paraId="5CDB718F">
      <w:pPr>
        <w:spacing w:before="227" w:line="468" w:lineRule="exact"/>
        <w:ind w:right="63" w:firstLine="238" w:firstLineChars="100"/>
        <w:jc w:val="both"/>
        <w:outlineLvl w:val="9"/>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6.2</w:t>
      </w:r>
      <w:r>
        <w:rPr>
          <w:rFonts w:hint="eastAsia" w:ascii="宋体" w:hAnsi="宋体" w:eastAsia="宋体" w:cs="宋体"/>
          <w:color w:val="auto"/>
          <w:spacing w:val="-37"/>
          <w:position w:val="17"/>
          <w:sz w:val="24"/>
          <w:szCs w:val="24"/>
        </w:rPr>
        <w:t xml:space="preserve"> </w:t>
      </w:r>
      <w:r>
        <w:rPr>
          <w:rFonts w:hint="eastAsia" w:ascii="宋体" w:hAnsi="宋体" w:eastAsia="宋体" w:cs="宋体"/>
          <w:color w:val="auto"/>
          <w:spacing w:val="-1"/>
          <w:position w:val="17"/>
          <w:sz w:val="24"/>
          <w:szCs w:val="24"/>
        </w:rPr>
        <w:t>投标人应认真阅读招标文件的全部内容。投标人应按照招标文件要求提交投标文</w:t>
      </w:r>
    </w:p>
    <w:p w14:paraId="74FD77C6">
      <w:pPr>
        <w:spacing w:before="1" w:line="219"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件并保证所提供的全部资料的真实性，并对招标文件做出实质性响应</w:t>
      </w:r>
      <w:r>
        <w:rPr>
          <w:rFonts w:hint="eastAsia" w:ascii="宋体" w:hAnsi="宋体" w:eastAsia="宋体" w:cs="宋体"/>
          <w:color w:val="auto"/>
          <w:spacing w:val="-1"/>
          <w:sz w:val="24"/>
          <w:szCs w:val="24"/>
        </w:rPr>
        <w:t>，否则</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投标无效。</w:t>
      </w:r>
    </w:p>
    <w:p w14:paraId="4EE56F5C">
      <w:pPr>
        <w:spacing w:before="180"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7、招标文件的澄清和修改</w:t>
      </w:r>
    </w:p>
    <w:p w14:paraId="01D7AE06">
      <w:pPr>
        <w:keepNext w:val="0"/>
        <w:keepLines w:val="0"/>
        <w:pageBreakBefore w:val="0"/>
        <w:widowControl/>
        <w:kinsoku w:val="0"/>
        <w:wordWrap/>
        <w:overflowPunct/>
        <w:topLinePunct w:val="0"/>
        <w:autoSpaceDE w:val="0"/>
        <w:autoSpaceDN w:val="0"/>
        <w:bidi w:val="0"/>
        <w:adjustRightInd w:val="0"/>
        <w:snapToGrid w:val="0"/>
        <w:spacing w:before="183"/>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7.1 任何要求对招标文件进行澄清或对招标文件质疑的潜在投标人，均应在获取招标文件或者招标文件公告期限届满之日起7个工作日内以书面形式（须加盖公章）通知采购代理机构（如投标人所参与项目须要在网上提交质疑程序，投标人须将纸质版质疑材料与网上提交质疑程序在同一工作日内进行，如出现日期不一致时，以两者中最后日期为准），超过这个规定期限提出的澄清要求或质疑将不予受理。采购代理机构对收到的澄清要求将视所提问题的具体情况以书面形式予以答复，同时传真给每个购买招标文件的潜在投标人或由潜在投标人直接到采购代理机构领取。潜在投标人应在1日内确认已收到该答复，未回复的潜在投标人视为已经收到该答复。答复中包括所提的问题，但不包括问题的来源。</w:t>
      </w:r>
    </w:p>
    <w:p w14:paraId="6EB2C9DD">
      <w:pPr>
        <w:keepNext w:val="0"/>
        <w:keepLines w:val="0"/>
        <w:pageBreakBefore w:val="0"/>
        <w:widowControl/>
        <w:kinsoku w:val="0"/>
        <w:wordWrap/>
        <w:overflowPunct/>
        <w:topLinePunct w:val="0"/>
        <w:autoSpaceDE w:val="0"/>
        <w:autoSpaceDN w:val="0"/>
        <w:bidi w:val="0"/>
        <w:adjustRightInd w:val="0"/>
        <w:snapToGrid w:val="0"/>
        <w:spacing w:before="183"/>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7.2 采购人或者采购代理机构可以对已发出的招标文件、招标公告进行必要的澄清或 者修改，但不得改变采购标的和资格条件。澄清或者修改将在原公告发布媒体上发布澄清公告。澄清或者修改的内容为招标文件、招标公告的组成部分。澄清或者修改的内容可能影响投标文件编制的，采购人或者采购代理机构将在投标截止时间 15 日前，以书面形式通知所有获取招标文件的潜在投标人；不足 15 日的，采购人或者采购代理机构将顺延提交投标文件的截止时间。在这种情况下，采购人、采购代理机构和投标人受投标截止时间制约的所有权利和义务均相应顺延至新的投标截止时间。</w:t>
      </w:r>
    </w:p>
    <w:p w14:paraId="07B5082C">
      <w:pPr>
        <w:keepNext w:val="0"/>
        <w:keepLines w:val="0"/>
        <w:pageBreakBefore w:val="0"/>
        <w:widowControl/>
        <w:kinsoku w:val="0"/>
        <w:wordWrap/>
        <w:overflowPunct/>
        <w:topLinePunct w:val="0"/>
        <w:autoSpaceDE w:val="0"/>
        <w:autoSpaceDN w:val="0"/>
        <w:bidi w:val="0"/>
        <w:adjustRightInd w:val="0"/>
        <w:snapToGrid w:val="0"/>
        <w:spacing w:before="183"/>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7.3 本项目不召开答疑会。</w:t>
      </w:r>
    </w:p>
    <w:p w14:paraId="6224D49F">
      <w:pPr>
        <w:spacing w:before="48" w:line="220" w:lineRule="auto"/>
        <w:ind w:left="3925"/>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三、投标文件</w:t>
      </w:r>
    </w:p>
    <w:p w14:paraId="6B68E7CB">
      <w:pPr>
        <w:spacing w:before="182" w:line="22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8、投标范围、投标语言及投标文件中计量单位的使用</w:t>
      </w:r>
    </w:p>
    <w:p w14:paraId="7398FB96">
      <w:pPr>
        <w:keepNext w:val="0"/>
        <w:keepLines w:val="0"/>
        <w:pageBreakBefore w:val="0"/>
        <w:widowControl/>
        <w:kinsoku w:val="0"/>
        <w:wordWrap/>
        <w:overflowPunct/>
        <w:topLinePunct w:val="0"/>
        <w:autoSpaceDE w:val="0"/>
        <w:autoSpaceDN w:val="0"/>
        <w:bidi w:val="0"/>
        <w:adjustRightInd w:val="0"/>
        <w:snapToGrid w:val="0"/>
        <w:spacing w:before="181" w:line="240" w:lineRule="auto"/>
        <w:ind w:firstLine="238" w:firstLineChars="1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8.1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
          <w:sz w:val="24"/>
          <w:szCs w:val="24"/>
        </w:rPr>
        <w:t>本项目如划分采购包，投标人可以对本项目的其中一个采购包进行投标，也可同</w:t>
      </w:r>
      <w:r>
        <w:rPr>
          <w:rFonts w:hint="eastAsia" w:ascii="宋体" w:hAnsi="宋体" w:eastAsia="宋体" w:cs="宋体"/>
          <w:color w:val="auto"/>
          <w:spacing w:val="-2"/>
          <w:sz w:val="24"/>
          <w:szCs w:val="24"/>
        </w:rPr>
        <w:t>时对多个采购包进行投标。</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投标人应当对所投采购包对应第五章《采购需</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求》所列的全部</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内容进行投标，不得将一个采购包中的内容拆分投标，否则其对该采</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购包的投标将被认定</w:t>
      </w:r>
    </w:p>
    <w:p w14:paraId="57DDDE05">
      <w:pPr>
        <w:keepNext w:val="0"/>
        <w:keepLines w:val="0"/>
        <w:pageBreakBefore w:val="0"/>
        <w:widowControl/>
        <w:kinsoku w:val="0"/>
        <w:wordWrap/>
        <w:overflowPunct/>
        <w:topLinePunct w:val="0"/>
        <w:autoSpaceDE w:val="0"/>
        <w:autoSpaceDN w:val="0"/>
        <w:bidi w:val="0"/>
        <w:adjustRightInd w:val="0"/>
        <w:snapToGrid w:val="0"/>
        <w:spacing w:before="1" w:line="240" w:lineRule="auto"/>
        <w:ind w:left="1"/>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为无效投标</w:t>
      </w:r>
      <w:r>
        <w:rPr>
          <w:rFonts w:hint="eastAsia" w:ascii="宋体" w:hAnsi="宋体" w:eastAsia="宋体" w:cs="宋体"/>
          <w:color w:val="auto"/>
          <w:spacing w:val="-2"/>
          <w:sz w:val="24"/>
          <w:szCs w:val="24"/>
        </w:rPr>
        <w:t>。</w:t>
      </w:r>
    </w:p>
    <w:p w14:paraId="5F89B6AA">
      <w:pPr>
        <w:keepNext w:val="0"/>
        <w:keepLines w:val="0"/>
        <w:pageBreakBefore w:val="0"/>
        <w:widowControl/>
        <w:kinsoku w:val="0"/>
        <w:wordWrap/>
        <w:overflowPunct/>
        <w:topLinePunct w:val="0"/>
        <w:autoSpaceDE w:val="0"/>
        <w:autoSpaceDN w:val="0"/>
        <w:bidi w:val="0"/>
        <w:adjustRightInd w:val="0"/>
        <w:snapToGrid w:val="0"/>
        <w:spacing w:before="181" w:line="240" w:lineRule="auto"/>
        <w:ind w:firstLine="238" w:firstLineChars="1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8.2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AEC1437">
      <w:pPr>
        <w:keepNext w:val="0"/>
        <w:keepLines w:val="0"/>
        <w:pageBreakBefore w:val="0"/>
        <w:widowControl/>
        <w:kinsoku w:val="0"/>
        <w:wordWrap/>
        <w:overflowPunct/>
        <w:topLinePunct w:val="0"/>
        <w:autoSpaceDE w:val="0"/>
        <w:autoSpaceDN w:val="0"/>
        <w:bidi w:val="0"/>
        <w:adjustRightInd w:val="0"/>
        <w:snapToGrid w:val="0"/>
        <w:spacing w:before="181" w:line="240" w:lineRule="auto"/>
        <w:ind w:firstLine="238" w:firstLineChars="1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8.3 除招标文件有特殊要求外，本项目投标所使用的计量单位，应采用中华人民共和国法定计量单位。</w:t>
      </w:r>
    </w:p>
    <w:p w14:paraId="7FAAC507">
      <w:pPr>
        <w:spacing w:before="181" w:line="220" w:lineRule="auto"/>
        <w:outlineLvl w:val="9"/>
        <w:rPr>
          <w:rFonts w:hint="eastAsia" w:ascii="宋体" w:hAnsi="宋体" w:eastAsia="宋体" w:cs="宋体"/>
          <w:color w:val="auto"/>
          <w:sz w:val="24"/>
          <w:szCs w:val="24"/>
        </w:rPr>
      </w:pPr>
      <w:bookmarkStart w:id="32" w:name="_Toc13866"/>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9、投标文件构成</w:t>
      </w:r>
      <w:bookmarkEnd w:id="32"/>
    </w:p>
    <w:p w14:paraId="2E031B79">
      <w:pPr>
        <w:spacing w:before="179" w:line="468" w:lineRule="exact"/>
        <w:ind w:firstLine="238" w:firstLineChars="100"/>
        <w:jc w:val="both"/>
        <w:outlineLvl w:val="9"/>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9.1</w:t>
      </w:r>
      <w:r>
        <w:rPr>
          <w:rFonts w:hint="eastAsia" w:ascii="宋体" w:hAnsi="宋体" w:eastAsia="宋体" w:cs="宋体"/>
          <w:color w:val="auto"/>
          <w:spacing w:val="-36"/>
          <w:position w:val="17"/>
          <w:sz w:val="24"/>
          <w:szCs w:val="24"/>
        </w:rPr>
        <w:t xml:space="preserve"> </w:t>
      </w:r>
      <w:r>
        <w:rPr>
          <w:rFonts w:hint="eastAsia" w:ascii="宋体" w:hAnsi="宋体" w:eastAsia="宋体" w:cs="宋体"/>
          <w:color w:val="auto"/>
          <w:spacing w:val="-1"/>
          <w:position w:val="17"/>
          <w:sz w:val="24"/>
          <w:szCs w:val="24"/>
        </w:rPr>
        <w:t>投标人应当按照招标文件的要求编制投标文件。投标文件的部分格式要求，见第</w:t>
      </w:r>
    </w:p>
    <w:p w14:paraId="216C5AD9">
      <w:pPr>
        <w:spacing w:line="219" w:lineRule="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六章《投标文件构成及格式》。</w:t>
      </w:r>
    </w:p>
    <w:p w14:paraId="20FAF365">
      <w:pPr>
        <w:spacing w:before="180" w:line="220" w:lineRule="auto"/>
        <w:ind w:firstLine="238" w:firstLineChars="100"/>
        <w:jc w:val="both"/>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9.2</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
          <w:sz w:val="24"/>
          <w:szCs w:val="24"/>
        </w:rPr>
        <w:t>投标文件应编制文件目录</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除暗标部分</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，准确标明文件内容所在位置。</w:t>
      </w:r>
    </w:p>
    <w:p w14:paraId="0C686822">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格式一：开标一览表</w:t>
      </w:r>
    </w:p>
    <w:p w14:paraId="07D96F8D">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格式二：投标函</w:t>
      </w:r>
    </w:p>
    <w:p w14:paraId="3EC58D2F">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格式三：投标报价明细表</w:t>
      </w:r>
    </w:p>
    <w:p w14:paraId="158D0E6E">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格式四：采购需求偏离表</w:t>
      </w:r>
    </w:p>
    <w:p w14:paraId="0467EB8D">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格式五：售后服务承诺书</w:t>
      </w:r>
    </w:p>
    <w:p w14:paraId="2D090BE9">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格式六：法定代表人（单位负责人）身份证明</w:t>
      </w:r>
    </w:p>
    <w:p w14:paraId="64ED4D2E">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格式七：授权委托书</w:t>
      </w:r>
    </w:p>
    <w:p w14:paraId="1095E614">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格式八：中标服务费承诺书</w:t>
      </w:r>
    </w:p>
    <w:p w14:paraId="0A26E257">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格式九：中小企业声明函</w:t>
      </w:r>
    </w:p>
    <w:p w14:paraId="51A7A0F0">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格式十：类似业绩一览表</w:t>
      </w:r>
    </w:p>
    <w:p w14:paraId="4B266B0B">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格式十一：资格条件承诺函</w:t>
      </w:r>
    </w:p>
    <w:p w14:paraId="69598997">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格式十</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：制造商（境内总代理商）授权书</w:t>
      </w:r>
    </w:p>
    <w:p w14:paraId="73C8971F">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格式十</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招标文件要求提供或供应商认为需要提供的其它材料</w:t>
      </w:r>
    </w:p>
    <w:p w14:paraId="63CF891E">
      <w:pPr>
        <w:spacing w:before="180" w:line="220" w:lineRule="auto"/>
        <w:ind w:firstLine="238" w:firstLineChars="100"/>
        <w:jc w:val="both"/>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9.3 第三章《评标办法》中涉及的证明文件。</w:t>
      </w:r>
    </w:p>
    <w:p w14:paraId="6C36D579">
      <w:pPr>
        <w:keepNext w:val="0"/>
        <w:keepLines w:val="0"/>
        <w:pageBreakBefore w:val="0"/>
        <w:widowControl/>
        <w:kinsoku w:val="0"/>
        <w:wordWrap/>
        <w:overflowPunct/>
        <w:topLinePunct w:val="0"/>
        <w:autoSpaceDE w:val="0"/>
        <w:autoSpaceDN w:val="0"/>
        <w:bidi w:val="0"/>
        <w:adjustRightInd w:val="0"/>
        <w:snapToGrid w:val="0"/>
        <w:spacing w:before="183"/>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9.4 对照第五章《采购需求》，说明所供货物和服务已对第五章《采购需求》做出了响应，或申明与第五章《采购需求》的偏差和例外。如第五章《采购需求》中要求提供证明文件的，投标人应当按具体要求提供证明文件。</w:t>
      </w:r>
    </w:p>
    <w:p w14:paraId="02E7A7F9">
      <w:pPr>
        <w:spacing w:before="183" w:line="219" w:lineRule="auto"/>
        <w:ind w:firstLine="236" w:firstLineChars="100"/>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9.5</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投标人认为应附的其他材料。</w:t>
      </w:r>
    </w:p>
    <w:p w14:paraId="4E5B2CEB">
      <w:pPr>
        <w:spacing w:before="179" w:line="219" w:lineRule="auto"/>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10、投标报价</w:t>
      </w:r>
    </w:p>
    <w:p w14:paraId="6CC0ADDE">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10.1 报价原则：所有投标均以人民币报价。</w:t>
      </w:r>
    </w:p>
    <w:p w14:paraId="26BA4CD2">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10.2 投标人的报价应包括为完成本项目所发生的一切费用和税费，采购人将不再支付报价以外的任何费用。</w:t>
      </w:r>
    </w:p>
    <w:p w14:paraId="3AA88269">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10.2.1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A178883">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10.2.2 按照招标文件要求完成本项目的全部相关费用。</w:t>
      </w:r>
    </w:p>
    <w:p w14:paraId="0BD20B06">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 投标人所报的价格在合同执行过程中是固定不变的，不得以任何理由予以变更。以可调整的价格提交的，其</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14:paraId="68547D8B">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10.4 采购人不得向投标人索要或者接受其给予的赠品、回扣或者与采购无关的其他商品、服务。</w:t>
      </w:r>
    </w:p>
    <w:p w14:paraId="284FB67C">
      <w:pPr>
        <w:spacing w:before="182" w:line="221" w:lineRule="auto"/>
        <w:outlineLvl w:val="9"/>
        <w:rPr>
          <w:rFonts w:hint="default" w:ascii="宋体" w:hAnsi="宋体" w:eastAsia="宋体" w:cs="宋体"/>
          <w:color w:val="auto"/>
          <w:spacing w:val="-3"/>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11、投标保证金</w:t>
      </w:r>
      <w:r>
        <w:rPr>
          <w:rFonts w:hint="eastAsia" w:ascii="宋体" w:hAnsi="宋体" w:eastAsia="宋体" w:cs="宋体"/>
          <w:color w:val="auto"/>
          <w:spacing w:val="-3"/>
          <w:sz w:val="24"/>
          <w:szCs w:val="24"/>
          <w:lang w:eastAsia="zh-CN"/>
          <w14:textOutline w14:w="4358" w14:cap="sq" w14:cmpd="sng">
            <w14:solidFill>
              <w14:srgbClr w14:val="000000"/>
            </w14:solidFill>
            <w14:prstDash w14:val="solid"/>
            <w14:bevel/>
          </w14:textOutline>
        </w:rPr>
        <w:t>（</w:t>
      </w:r>
      <w:r>
        <w:rPr>
          <w:rFonts w:hint="eastAsia" w:ascii="宋体" w:hAnsi="宋体" w:eastAsia="宋体" w:cs="宋体"/>
          <w:color w:val="auto"/>
          <w:spacing w:val="-3"/>
          <w:sz w:val="24"/>
          <w:szCs w:val="24"/>
          <w:lang w:val="en-US" w:eastAsia="zh-CN"/>
          <w14:textOutline w14:w="4358" w14:cap="sq" w14:cmpd="sng">
            <w14:solidFill>
              <w14:srgbClr w14:val="000000"/>
            </w14:solidFill>
            <w14:prstDash w14:val="solid"/>
            <w14:bevel/>
          </w14:textOutline>
        </w:rPr>
        <w:t>本项目不收取</w:t>
      </w:r>
      <w:r>
        <w:rPr>
          <w:rFonts w:hint="eastAsia" w:ascii="宋体" w:hAnsi="宋体" w:eastAsia="宋体" w:cs="宋体"/>
          <w:color w:val="auto"/>
          <w:spacing w:val="-3"/>
          <w:sz w:val="24"/>
          <w:szCs w:val="24"/>
          <w:lang w:eastAsia="zh-CN"/>
          <w14:textOutline w14:w="4358" w14:cap="sq" w14:cmpd="sng">
            <w14:solidFill>
              <w14:srgbClr w14:val="000000"/>
            </w14:solidFill>
            <w14:prstDash w14:val="solid"/>
            <w14:bevel/>
          </w14:textOutline>
        </w:rPr>
        <w:t>）</w:t>
      </w:r>
    </w:p>
    <w:p w14:paraId="2E7D4CF8">
      <w:pPr>
        <w:spacing w:before="182" w:line="221" w:lineRule="auto"/>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12、投标有效期</w:t>
      </w:r>
    </w:p>
    <w:p w14:paraId="2B15386F">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 投标有效期为自开标之时起 90 天，投标文件在这个规定期限内应保持有效。投标有效期少于招标文件规定期限的，其</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14:paraId="0BFB7724">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 在特殊情况下，招标方可与投标人协商延长投标有效期。这种要求和答复都应以书面形式进行。投标人可以拒绝接受延期要求而不会被没收投标保证金。同意延长投标 有效期的投标人除按照招标方要求修改投标文件的有效期外，不能修改投标文件的其他内容。</w:t>
      </w:r>
    </w:p>
    <w:p w14:paraId="59DE4B3C">
      <w:pPr>
        <w:spacing w:before="181"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13、投标文件的式样和签署</w:t>
      </w:r>
    </w:p>
    <w:p w14:paraId="3BC8E9DA">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 投标人应按照本须知的要求编制投标文件，逐项逐条响应招标文件并使用下载</w:t>
      </w:r>
    </w:p>
    <w:p w14:paraId="7391ABF3">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的政采云投标客户端制作并上传</w:t>
      </w:r>
    </w:p>
    <w:p w14:paraId="7C741C84">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 电子投标文件中须加盖投标人公章部分均采用CA签章，并根据“政府采购项目电子交易管理操作指南-投标人（政采云）”及本招标文件响应文件格式规定的格式和顺序编制电子投标文件并进行关联定位，以便评审小组在评审时，点击评分项可直接定位到该评分项内容。如对招标文件的某项要求，投标人的电子投标文件未能关联定位提供相应的内容与其对应，则评标委员会在评审时如做出对投标人不利的评审由投标人自行承担。电子投标文件如内容不完整、编排混乱导致响应文件被误读、漏读，或者在按招标文件规定的部位查找不到相关内容的，由投标人自行承担。</w:t>
      </w:r>
    </w:p>
    <w:p w14:paraId="092B51E2">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13.3 投标人法定代表人或主要负责人或其委托代理人持有政采云个人CA签章的，应在投标文件中涉及到签字的位置使用个人CA签章，没有办理政采云个人CA签章的可在投标文件中涉及到签字的位置手写签字后扫描或者拍照做成PDF的格式上传即可。</w:t>
      </w:r>
    </w:p>
    <w:p w14:paraId="72151142">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13.4 投标文件不得涂改，若有修改错漏处，须法定代表人或主要负责人或其委托代理人签字（或个人CA签章）。文件加盖CA签章时，请勿遮挡文件中关键信息。投标文件因字迹潦草或表达不清所引起的后果由投标人负责。</w:t>
      </w:r>
    </w:p>
    <w:p w14:paraId="1AEB834D">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13.5 评标前准备</w:t>
      </w:r>
    </w:p>
    <w:p w14:paraId="4FF2E86C">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13.5.1 本项目实行网上评审，采用电子投标文件。</w:t>
      </w:r>
    </w:p>
    <w:p w14:paraId="3AC1F02A">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13.5.2 各投标人在响应文件提交截止时间前应确保成为政采云平台正式注册入库投标人，并完成CA数字证书申领。因未注册入库、未办理 CA 数字证书等原因造成无法投标或投标失败等后果由投标人自行承担。</w:t>
      </w:r>
    </w:p>
    <w:p w14:paraId="0C65671F">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13.5.3 投标人将政采云电子交易客户端下载、安装完成后，可通过登录客户端进行响应文件制作。客户端请至网站下载专区查看，如有问题可拨打政采云客户服务热线95763进行咨询。</w:t>
      </w:r>
    </w:p>
    <w:p w14:paraId="288E6E86">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13.6 其他说明</w:t>
      </w:r>
    </w:p>
    <w:p w14:paraId="2BA7933E">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13.6.1 投标人应先安装“政采云投标客户端”（请自行前往政采云平台进行下载</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"https://customer.zcygov.cn/CA-driver-download?utm=web-login-front.52cebfa2.0"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https://customer.zcygov.cn/CA-driver-download?utm=web-login-front.52cebfa2.0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.0.04df4040034511edaac705fda12edb43），通过账号密码或CA登录客户端制作投标文件。</w:t>
      </w:r>
    </w:p>
    <w:p w14:paraId="61C378E5">
      <w:pPr>
        <w:keepNext w:val="0"/>
        <w:keepLines w:val="0"/>
        <w:pageBreakBefore w:val="0"/>
        <w:widowControl/>
        <w:kinsoku w:val="0"/>
        <w:wordWrap/>
        <w:overflowPunct/>
        <w:topLinePunct w:val="0"/>
        <w:autoSpaceDE w:val="0"/>
        <w:autoSpaceDN w:val="0"/>
        <w:bidi w:val="0"/>
        <w:adjustRightInd w:val="0"/>
        <w:snapToGrid w:val="0"/>
        <w:spacing w:before="179" w:line="240" w:lineRule="auto"/>
        <w:ind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 xml:space="preserve">13.6.2 </w:t>
      </w: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投标文件按照招标文件第六章投标文件构成及格式要求在规定位置进行签署</w:t>
      </w:r>
      <w:r>
        <w:rPr>
          <w:rFonts w:hint="eastAsia" w:ascii="宋体" w:hAnsi="宋体" w:eastAsia="宋体" w:cs="宋体"/>
          <w:color w:val="auto"/>
          <w:spacing w:val="-1"/>
          <w:position w:val="17"/>
          <w:sz w:val="24"/>
          <w:szCs w:val="24"/>
          <w:lang w:eastAsia="zh-CN"/>
          <w14:textOutline w14:w="4358" w14:cap="sq" w14:cmpd="sng">
            <w14:solidFill>
              <w14:srgbClr w14:val="000000"/>
            </w14:solidFill>
            <w14:prstDash w14:val="solid"/>
            <w14:bevel/>
          </w14:textOutline>
        </w:rPr>
        <w:t>、</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盖章。投标人的投标文件未按照招标文件要</w:t>
      </w:r>
      <w:r>
        <w:rPr>
          <w:rFonts w:hint="eastAsia" w:ascii="宋体" w:hAnsi="宋体" w:eastAsia="宋体" w:cs="宋体"/>
          <w:color w:val="auto"/>
          <w:sz w:val="24"/>
          <w:szCs w:val="24"/>
          <w14:textOutline w14:w="4358" w14:cap="sq" w14:cmpd="sng">
            <w14:solidFill>
              <w14:srgbClr w14:val="000000"/>
            </w14:solidFill>
            <w14:prstDash w14:val="solid"/>
            <w14:bevel/>
          </w14:textOutline>
        </w:rPr>
        <w:t>求签署、盖章的，其响应投标无效</w:t>
      </w:r>
      <w:r>
        <w:rPr>
          <w:rFonts w:hint="eastAsia" w:ascii="宋体" w:hAnsi="宋体" w:eastAsia="宋体" w:cs="宋体"/>
          <w:color w:val="auto"/>
          <w:sz w:val="24"/>
          <w:szCs w:val="24"/>
        </w:rPr>
        <w:t>。</w:t>
      </w:r>
    </w:p>
    <w:p w14:paraId="1550E446">
      <w:pPr>
        <w:keepNext w:val="0"/>
        <w:keepLines w:val="0"/>
        <w:pageBreakBefore w:val="0"/>
        <w:widowControl/>
        <w:kinsoku w:val="0"/>
        <w:wordWrap/>
        <w:overflowPunct/>
        <w:topLinePunct w:val="0"/>
        <w:autoSpaceDE w:val="0"/>
        <w:autoSpaceDN w:val="0"/>
        <w:bidi w:val="0"/>
        <w:adjustRightInd w:val="0"/>
        <w:snapToGrid w:val="0"/>
        <w:spacing w:before="183" w:line="240" w:lineRule="auto"/>
        <w:ind w:right="170" w:firstLine="476" w:firstLineChars="200"/>
        <w:textAlignment w:val="baseline"/>
        <w:outlineLvl w:val="9"/>
        <w:rPr>
          <w:rFonts w:hint="eastAsia" w:ascii="宋体" w:hAnsi="宋体" w:eastAsia="宋体" w:cs="宋体"/>
          <w:color w:val="auto"/>
          <w:spacing w:val="-2"/>
          <w:sz w:val="24"/>
          <w:szCs w:val="24"/>
        </w:rPr>
      </w:pPr>
      <w:r>
        <w:rPr>
          <w:rFonts w:hint="eastAsia" w:ascii="宋体" w:hAnsi="宋体" w:eastAsia="宋体" w:cs="宋体"/>
          <w:color w:val="auto"/>
          <w:spacing w:val="-1"/>
          <w:sz w:val="24"/>
          <w:szCs w:val="24"/>
        </w:rPr>
        <w:t>13.6.3 为确保网上操作合法、有效和安全，投标人应当在投标文件递交截止时间前</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完成在政采云平台的身份认证，确保在电子投标过程中能够对相关数据电文进行加密和使用电子签名。</w:t>
      </w:r>
    </w:p>
    <w:p w14:paraId="2B258825">
      <w:pPr>
        <w:spacing w:before="48" w:line="359" w:lineRule="auto"/>
        <w:ind w:left="1" w:right="230" w:firstLine="495"/>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13.6.4 </w:t>
      </w:r>
      <w:r>
        <w:rPr>
          <w:rFonts w:hint="eastAsia" w:ascii="宋体" w:hAnsi="宋体" w:eastAsia="宋体" w:cs="宋体"/>
          <w:color w:val="auto"/>
          <w:sz w:val="24"/>
          <w:szCs w:val="24"/>
          <w14:textOutline w14:w="4358" w14:cap="sq" w14:cmpd="sng">
            <w14:solidFill>
              <w14:srgbClr w14:val="000000"/>
            </w14:solidFill>
            <w14:prstDash w14:val="solid"/>
            <w14:bevel/>
          </w14:textOutline>
        </w:rPr>
        <w:t>投标文件中标注的投标人名称应与主体资格证明（如营业执照、事业单位法</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人证书、执业许可证、个体工商户营业执照、</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自然人身份证等）和公章/电子签章一</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致，</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否则作无效投标处理</w:t>
      </w:r>
      <w:r>
        <w:rPr>
          <w:rFonts w:hint="eastAsia" w:ascii="宋体" w:hAnsi="宋体" w:eastAsia="宋体" w:cs="宋体"/>
          <w:color w:val="auto"/>
          <w:spacing w:val="-1"/>
          <w:sz w:val="24"/>
          <w:szCs w:val="24"/>
        </w:rPr>
        <w:t>。</w:t>
      </w:r>
    </w:p>
    <w:p w14:paraId="782F9FC6">
      <w:pPr>
        <w:spacing w:before="181" w:line="220" w:lineRule="auto"/>
        <w:outlineLvl w:val="9"/>
        <w:rPr>
          <w:rFonts w:hint="eastAsia" w:ascii="宋体" w:hAnsi="宋体" w:eastAsia="宋体" w:cs="宋体"/>
          <w:color w:val="auto"/>
          <w:sz w:val="24"/>
          <w:szCs w:val="24"/>
        </w:rPr>
      </w:pPr>
      <w:bookmarkStart w:id="33" w:name="_Toc12487"/>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14、投标文件的修改和撤回</w:t>
      </w:r>
      <w:bookmarkEnd w:id="33"/>
    </w:p>
    <w:p w14:paraId="51D0A68E">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 投标人在提交投标文件后可对其投标文件进行修改或撤回，补充或者修改投标文件的，应当先行撤回原文件，补充、修改后重新传输递交。投标文件提交截止时间前未 完成传输的，视为撤回投标文件。投标文件提交截止时间后递交的投标文件，政采云平台（</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"https://www.zcygov.cn/"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https://www.zcygov.cn/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）将拒收。</w:t>
      </w:r>
    </w:p>
    <w:p w14:paraId="51007EE1">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 在投标文件提交截止时间前，除投标人补充、修改或者撤回投标文件外，任何</w:t>
      </w:r>
    </w:p>
    <w:p w14:paraId="6176C75F">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单位和个人不得解密或提取投标文件。</w:t>
      </w:r>
    </w:p>
    <w:p w14:paraId="56031608">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14.3 在投标截止时间（开标时间）之后，投标人不得对其投标文件做任何修改。</w:t>
      </w:r>
    </w:p>
    <w:p w14:paraId="766CF627">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14.4 从开标之时起，至投标有效期期满之间的这段时间内，投标人不得撤回其投标，否则根据投标人须知第</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0.6条的规定，其投标保证金将被没收。与其他投标人恶意串通而撤回投标的，按照《中华人民共和国政府采购法》第七十七条的规定处理。</w:t>
      </w:r>
    </w:p>
    <w:p w14:paraId="7AA4ECF2">
      <w:pPr>
        <w:spacing w:before="182" w:line="221" w:lineRule="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15、投标</w:t>
      </w:r>
    </w:p>
    <w:p w14:paraId="04E392EF">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1个参加评标的投标人，招标文件未规定的采取随机抽取方式确定，其他投标无效。</w:t>
      </w:r>
    </w:p>
    <w:p w14:paraId="1272BFE9">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综合评分法的采购项目，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p w14:paraId="045D9B1D">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非单一产品采购项目，采购人应当根据采购项目技术构成、产品价格比重等合理确定核心产品，并在招标文件中载明。多家投标人提供的核心产品品牌相同的，按前两款规定处理。</w:t>
      </w:r>
    </w:p>
    <w:p w14:paraId="372741B2">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15.2</w:t>
      </w:r>
      <w:r>
        <w:rPr>
          <w:rFonts w:hint="eastAsia" w:ascii="宋体" w:hAnsi="宋体" w:eastAsia="宋体" w:cs="宋体"/>
          <w:color w:val="auto"/>
          <w:sz w:val="24"/>
          <w:szCs w:val="24"/>
        </w:rPr>
        <w:t>本项目开标方式为远程开标，供应商不到现场。供应商</w:t>
      </w:r>
      <w:r>
        <w:rPr>
          <w:rFonts w:hint="eastAsia" w:ascii="宋体" w:hAnsi="宋体" w:eastAsia="宋体" w:cs="宋体"/>
          <w:color w:val="auto"/>
          <w:sz w:val="24"/>
          <w:szCs w:val="24"/>
          <w:lang w:eastAsia="zh-CN"/>
        </w:rPr>
        <w:t>开标</w:t>
      </w:r>
      <w:r>
        <w:rPr>
          <w:rFonts w:hint="eastAsia" w:ascii="宋体" w:hAnsi="宋体" w:eastAsia="宋体" w:cs="宋体"/>
          <w:color w:val="auto"/>
          <w:sz w:val="24"/>
          <w:szCs w:val="24"/>
        </w:rPr>
        <w:t>时，需携带制作</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文件时用来加密的有效数字证书（CA认证）登录“政采云”平台电子开标大厅现场按规定时间对加密的响应文件进行解密。</w:t>
      </w:r>
    </w:p>
    <w:p w14:paraId="242C9F57">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15.3</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文件提交方式：本项目为全流程电子化项目，通过“政采云”平台（http：//www.zcygov.cn）实行在线电子投标，供应商应先安装“政采云电子交易客户端”（请自行前往“政采云”平台进行下载），并按照本项目</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文件和“政采云”平台的要求编制、加密后在</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文件提交截止时间前通过网络上传至“政采云”平台，供应商在“政采云”平台提交电子版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文件时，请填写参加开标活动经办人联系方式。</w:t>
      </w:r>
      <w:r>
        <w:rPr>
          <w:rFonts w:hint="eastAsia" w:ascii="宋体" w:hAnsi="宋体" w:eastAsia="宋体" w:cs="宋体"/>
          <w:color w:val="auto"/>
          <w:sz w:val="24"/>
          <w:szCs w:val="24"/>
        </w:rPr>
        <w:br w:type="textWrapping"/>
      </w:r>
    </w:p>
    <w:p w14:paraId="05350D7C">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15.4本项目采用“双盲”评审。供应商应按照招标文件要求对投标文件的商务标“明标部分”、技术标“暗标部分”分开制作，评标委员会按要求对“明标部分”采取明标评审、对“暗标部分”采取暗标评审。</w:t>
      </w:r>
    </w:p>
    <w:p w14:paraId="011FCEFB">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p>
    <w:p w14:paraId="20F23FEB">
      <w:pPr>
        <w:spacing w:before="189" w:line="220" w:lineRule="auto"/>
        <w:ind w:left="3106"/>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四、开标、资格性审查及评标</w:t>
      </w:r>
    </w:p>
    <w:p w14:paraId="15942045">
      <w:pPr>
        <w:spacing w:before="179" w:line="221" w:lineRule="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16、开标</w:t>
      </w:r>
    </w:p>
    <w:p w14:paraId="027F226C">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采购代理机构将在</w:t>
      </w:r>
      <w:r>
        <w:rPr>
          <w:rFonts w:hint="eastAsia" w:ascii="宋体" w:hAnsi="宋体" w:eastAsia="宋体" w:cs="宋体"/>
          <w:color w:val="auto"/>
          <w:sz w:val="24"/>
          <w:szCs w:val="24"/>
          <w:lang w:eastAsia="zh-CN"/>
        </w:rPr>
        <w:t>招标公告</w:t>
      </w:r>
      <w:r>
        <w:rPr>
          <w:rFonts w:hint="eastAsia" w:ascii="宋体" w:hAnsi="宋体" w:eastAsia="宋体" w:cs="宋体"/>
          <w:color w:val="auto"/>
          <w:sz w:val="24"/>
          <w:szCs w:val="24"/>
        </w:rPr>
        <w:t>中规定的时间和地点组织公开开标，邀请投标人线</w:t>
      </w:r>
    </w:p>
    <w:p w14:paraId="4D3D7FB4">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上通过政采云平台参加。</w:t>
      </w:r>
    </w:p>
    <w:p w14:paraId="67D3321D">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16.2 开标会由采购代理机构组织并主持。本项目开标使用政采云平台（</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"https://www.zcygov.cn/"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https://www.zcygov.cn/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p>
    <w:p w14:paraId="00011FAB">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16.3 投标人不足3家的，不开标。</w:t>
      </w:r>
    </w:p>
    <w:p w14:paraId="111DD499">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16.4 开标过程将使用政采云平台（</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"https://www.zcygov.cn/"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https://www.zcygov.cn/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）宣布投标人名称、投标价格和招标文件规定的需要宣布的其他内容并进行记录，并由参加开标的各投标人确认。投标人未在规定时间内确认一览表的，视同认可开标结果。</w:t>
      </w:r>
    </w:p>
    <w:p w14:paraId="4AA73D81">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16.5 按照规定，提交了可接受的“撤回”通知的投标将不予开封。撤回的投标文件将原封退回投标人。</w:t>
      </w:r>
    </w:p>
    <w:p w14:paraId="1AC03CDF">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16.6 开标过程由采购代理机构负责记录，并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将及时处理。投标人未参加开标的，视同认可开标结果。</w:t>
      </w:r>
    </w:p>
    <w:p w14:paraId="20C6A40F">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16.7 开标时有下列情形之一的，采购人有权宣布本项目废标：</w:t>
      </w:r>
    </w:p>
    <w:p w14:paraId="2B385B74">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（1）交货期/合同履行期限符合招标文件要求的投标人不足三家的；</w:t>
      </w:r>
    </w:p>
    <w:p w14:paraId="415A4E07">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（2）所有投标人的报价均超过采购项目预算，采购人不能支付的。</w:t>
      </w:r>
    </w:p>
    <w:p w14:paraId="51B37B97">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16.8 投标文件解密</w:t>
      </w:r>
    </w:p>
    <w:p w14:paraId="2F6671F1">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16.8.1 投标人应当在招标文件规定的投标文件解密时间内对已上传的加密投标文件进行现场解密。如无特殊情况，解密工作须在投标截止时间后 30 分钟内完成。</w:t>
      </w:r>
    </w:p>
    <w:p w14:paraId="6F9BADBF">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16.8.2 投标人授权代表解密时应当使用制作加密电子投标文件的同一把数字证书对已上传的投标文件进行解密。</w:t>
      </w:r>
    </w:p>
    <w:p w14:paraId="14991B90">
      <w:pPr>
        <w:keepNext w:val="0"/>
        <w:keepLines w:val="0"/>
        <w:pageBreakBefore w:val="0"/>
        <w:widowControl/>
        <w:kinsoku w:val="0"/>
        <w:wordWrap/>
        <w:overflowPunct/>
        <w:topLinePunct w:val="0"/>
        <w:autoSpaceDE w:val="0"/>
        <w:autoSpaceDN w:val="0"/>
        <w:bidi w:val="0"/>
        <w:adjustRightInd w:val="0"/>
        <w:snapToGrid w:val="0"/>
        <w:spacing w:before="183"/>
        <w:ind w:firstLine="240" w:firstLineChars="100"/>
        <w:textAlignment w:val="baseline"/>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16.8.3 </w:t>
      </w:r>
      <w:r>
        <w:rPr>
          <w:rFonts w:hint="eastAsia" w:ascii="宋体" w:hAnsi="宋体" w:eastAsia="宋体" w:cs="宋体"/>
          <w:b/>
          <w:bCs/>
          <w:color w:val="auto"/>
          <w:sz w:val="24"/>
          <w:szCs w:val="24"/>
        </w:rPr>
        <w:t>因投标人自身原因，逾期未能成功解密的，视为逾期未提交投标文件，其投标无效。</w:t>
      </w:r>
    </w:p>
    <w:p w14:paraId="5AE1C7B2">
      <w:pPr>
        <w:spacing w:before="181" w:line="220" w:lineRule="auto"/>
        <w:outlineLvl w:val="9"/>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pPr>
    </w:p>
    <w:p w14:paraId="0EB3DE72">
      <w:pPr>
        <w:spacing w:before="181"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17、资格性审查</w:t>
      </w:r>
    </w:p>
    <w:p w14:paraId="6E8C507A">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color w:val="auto"/>
          <w:sz w:val="24"/>
          <w:szCs w:val="24"/>
          <w:lang w:val="en-US" w:eastAsia="zh-CN"/>
        </w:rPr>
        <w:t>17.1 开标结束后根据采购人与采购代理机构签订的政府采购委托代理协议有关约定，本项目委托评标小组依法对供应商的资格进行审查。资格审查不合格的供应商，响应无效。除法律允许的情形外，资格审查合格供应商不足3家的，不得评审。</w:t>
      </w:r>
    </w:p>
    <w:p w14:paraId="3F38DE35">
      <w:pPr>
        <w:spacing w:before="1" w:line="220" w:lineRule="auto"/>
        <w:ind w:left="174"/>
        <w:outlineLvl w:val="9"/>
        <w:rPr>
          <w:rFonts w:hint="eastAsia" w:ascii="宋体" w:hAnsi="宋体" w:eastAsia="宋体" w:cs="宋体"/>
          <w:color w:val="auto"/>
          <w:sz w:val="24"/>
          <w:szCs w:val="24"/>
        </w:rPr>
      </w:pPr>
    </w:p>
    <w:p w14:paraId="10F4AAD3">
      <w:pPr>
        <w:keepNext w:val="0"/>
        <w:keepLines w:val="0"/>
        <w:pageBreakBefore w:val="0"/>
        <w:widowControl/>
        <w:kinsoku w:val="0"/>
        <w:wordWrap/>
        <w:overflowPunct/>
        <w:topLinePunct w:val="0"/>
        <w:autoSpaceDE w:val="0"/>
        <w:autoSpaceDN w:val="0"/>
        <w:bidi w:val="0"/>
        <w:adjustRightInd w:val="0"/>
        <w:snapToGrid w:val="0"/>
        <w:spacing w:before="178" w:after="0" w:afterLines="50" w:line="221" w:lineRule="auto"/>
        <w:jc w:val="center"/>
        <w:textAlignment w:val="baseline"/>
        <w:outlineLvl w:val="9"/>
        <w:rPr>
          <w:rFonts w:hint="eastAsia" w:ascii="宋体" w:hAnsi="宋体" w:eastAsia="宋体" w:cs="宋体"/>
          <w:b/>
          <w:bCs/>
          <w:color w:val="auto"/>
          <w:spacing w:val="-4"/>
          <w:sz w:val="28"/>
          <w:szCs w:val="28"/>
          <w:lang w:eastAsia="zh-CN"/>
        </w:rPr>
      </w:pPr>
      <w:r>
        <w:rPr>
          <w:rFonts w:hint="eastAsia" w:ascii="宋体" w:hAnsi="宋体" w:eastAsia="宋体" w:cs="宋体"/>
          <w:b/>
          <w:bCs/>
          <w:color w:val="auto"/>
          <w:spacing w:val="-4"/>
          <w:sz w:val="28"/>
          <w:szCs w:val="28"/>
        </w:rPr>
        <w:t>资格性审查表</w:t>
      </w:r>
    </w:p>
    <w:tbl>
      <w:tblPr>
        <w:tblStyle w:val="17"/>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24"/>
        <w:gridCol w:w="3700"/>
        <w:gridCol w:w="3819"/>
      </w:tblGrid>
      <w:tr w14:paraId="0DD7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5" w:type="dxa"/>
            <w:vAlign w:val="center"/>
          </w:tcPr>
          <w:p w14:paraId="2035F72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b/>
                <w:bCs/>
                <w:color w:val="auto"/>
                <w:spacing w:val="-4"/>
                <w:sz w:val="24"/>
                <w:szCs w:val="24"/>
                <w:vertAlign w:val="baseline"/>
                <w:lang w:eastAsia="zh-CN"/>
              </w:rPr>
            </w:pPr>
            <w:r>
              <w:rPr>
                <w:rFonts w:hint="eastAsia" w:ascii="宋体" w:hAnsi="宋体" w:eastAsia="宋体" w:cs="宋体"/>
                <w:b/>
                <w:bCs/>
                <w:color w:val="auto"/>
                <w:spacing w:val="-5"/>
                <w:sz w:val="24"/>
                <w:szCs w:val="24"/>
              </w:rPr>
              <w:t>序号</w:t>
            </w:r>
          </w:p>
        </w:tc>
        <w:tc>
          <w:tcPr>
            <w:tcW w:w="1324" w:type="dxa"/>
            <w:vAlign w:val="center"/>
          </w:tcPr>
          <w:p w14:paraId="610073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b/>
                <w:bCs/>
                <w:color w:val="auto"/>
                <w:spacing w:val="-4"/>
                <w:sz w:val="24"/>
                <w:szCs w:val="24"/>
                <w:vertAlign w:val="baseline"/>
                <w:lang w:eastAsia="zh-CN"/>
              </w:rPr>
            </w:pPr>
            <w:r>
              <w:rPr>
                <w:rFonts w:hint="eastAsia" w:ascii="宋体" w:hAnsi="宋体" w:eastAsia="宋体" w:cs="宋体"/>
                <w:b/>
                <w:bCs/>
                <w:color w:val="auto"/>
                <w:spacing w:val="-5"/>
                <w:sz w:val="24"/>
                <w:szCs w:val="24"/>
              </w:rPr>
              <w:t>类型</w:t>
            </w:r>
          </w:p>
        </w:tc>
        <w:tc>
          <w:tcPr>
            <w:tcW w:w="3700" w:type="dxa"/>
            <w:vAlign w:val="center"/>
          </w:tcPr>
          <w:p w14:paraId="119ECBD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b/>
                <w:bCs/>
                <w:color w:val="auto"/>
                <w:spacing w:val="-4"/>
                <w:sz w:val="24"/>
                <w:szCs w:val="24"/>
                <w:vertAlign w:val="baseline"/>
                <w:lang w:eastAsia="zh-CN"/>
              </w:rPr>
            </w:pPr>
            <w:r>
              <w:rPr>
                <w:rFonts w:hint="eastAsia" w:ascii="宋体" w:hAnsi="宋体" w:eastAsia="宋体" w:cs="宋体"/>
                <w:b/>
                <w:bCs/>
                <w:color w:val="auto"/>
                <w:spacing w:val="-5"/>
                <w:sz w:val="24"/>
                <w:szCs w:val="24"/>
              </w:rPr>
              <w:t>审查内容</w:t>
            </w:r>
          </w:p>
        </w:tc>
        <w:tc>
          <w:tcPr>
            <w:tcW w:w="3819" w:type="dxa"/>
            <w:vAlign w:val="center"/>
          </w:tcPr>
          <w:p w14:paraId="2F874C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b/>
                <w:bCs/>
                <w:color w:val="auto"/>
                <w:spacing w:val="-4"/>
                <w:sz w:val="24"/>
                <w:szCs w:val="24"/>
                <w:vertAlign w:val="baseline"/>
                <w:lang w:eastAsia="zh-CN"/>
              </w:rPr>
            </w:pPr>
            <w:r>
              <w:rPr>
                <w:rFonts w:hint="eastAsia" w:ascii="宋体" w:hAnsi="宋体" w:eastAsia="宋体" w:cs="宋体"/>
                <w:b/>
                <w:bCs/>
                <w:color w:val="auto"/>
                <w:spacing w:val="-3"/>
                <w:sz w:val="24"/>
                <w:szCs w:val="24"/>
              </w:rPr>
              <w:t>要求说明</w:t>
            </w:r>
          </w:p>
        </w:tc>
      </w:tr>
      <w:tr w14:paraId="7582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5" w:type="dxa"/>
            <w:vAlign w:val="center"/>
          </w:tcPr>
          <w:p w14:paraId="092B1E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1</w:t>
            </w:r>
          </w:p>
        </w:tc>
        <w:tc>
          <w:tcPr>
            <w:tcW w:w="1324" w:type="dxa"/>
            <w:vAlign w:val="center"/>
          </w:tcPr>
          <w:p w14:paraId="2F0B987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基本资质1</w:t>
            </w:r>
          </w:p>
        </w:tc>
        <w:tc>
          <w:tcPr>
            <w:tcW w:w="3700" w:type="dxa"/>
            <w:vAlign w:val="center"/>
          </w:tcPr>
          <w:p w14:paraId="23D24DC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具有独立承担民事责任的能力。</w:t>
            </w:r>
          </w:p>
        </w:tc>
        <w:tc>
          <w:tcPr>
            <w:tcW w:w="3819" w:type="dxa"/>
            <w:vAlign w:val="center"/>
          </w:tcPr>
          <w:p w14:paraId="6CC6F22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投标人为企业（包括合伙企业）的，应提供有效的“营业执照”；</w:t>
            </w:r>
          </w:p>
          <w:p w14:paraId="1F08319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投标人为事业单位的，应提供有效的“事业单位法人证书”；</w:t>
            </w:r>
          </w:p>
          <w:p w14:paraId="012AA67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投标人是非企业机构的，应提供有效的“执业许可证”、“登记证书”等证明文件；</w:t>
            </w:r>
          </w:p>
          <w:p w14:paraId="449F2FA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投标人是个体工商户的，应提供有效的“个体工商户营业执照”；</w:t>
            </w:r>
          </w:p>
          <w:p w14:paraId="63C2D67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投标人是自然人的，应提供有效的自然人身份证明。</w:t>
            </w:r>
          </w:p>
        </w:tc>
      </w:tr>
      <w:tr w14:paraId="3770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5" w:type="dxa"/>
            <w:vAlign w:val="center"/>
          </w:tcPr>
          <w:p w14:paraId="3DF8B7B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2</w:t>
            </w:r>
          </w:p>
        </w:tc>
        <w:tc>
          <w:tcPr>
            <w:tcW w:w="1324" w:type="dxa"/>
            <w:vAlign w:val="center"/>
          </w:tcPr>
          <w:p w14:paraId="5D0726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eastAsia="zh-CN"/>
              </w:rPr>
              <w:t>基本资质</w:t>
            </w:r>
            <w:r>
              <w:rPr>
                <w:rFonts w:hint="eastAsia" w:ascii="宋体" w:hAnsi="宋体" w:eastAsia="宋体" w:cs="宋体"/>
                <w:color w:val="auto"/>
                <w:spacing w:val="-4"/>
                <w:sz w:val="24"/>
                <w:szCs w:val="24"/>
                <w:vertAlign w:val="baseline"/>
                <w:lang w:val="en-US" w:eastAsia="zh-CN"/>
              </w:rPr>
              <w:t>2</w:t>
            </w:r>
          </w:p>
        </w:tc>
        <w:tc>
          <w:tcPr>
            <w:tcW w:w="3700" w:type="dxa"/>
            <w:vAlign w:val="center"/>
          </w:tcPr>
          <w:p w14:paraId="7D9DD7C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供应商应按照《长春市财政局关于加强政府采购信用体系建设简化供应商资格条件有关事项的通知》（长财采购〔2022〕2066号）文件要求在响应文件中提交反映其财务状况、依法缴纳税收和社会保障资金情况的资格条件承诺函，并对资格条件承诺函有关内容的真实性、有效性、合法性负责。</w:t>
            </w:r>
          </w:p>
        </w:tc>
        <w:tc>
          <w:tcPr>
            <w:tcW w:w="3819" w:type="dxa"/>
            <w:vAlign w:val="center"/>
          </w:tcPr>
          <w:p w14:paraId="41F9794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提供资格条件承诺函</w:t>
            </w:r>
          </w:p>
        </w:tc>
      </w:tr>
      <w:tr w14:paraId="7513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5" w:type="dxa"/>
            <w:vAlign w:val="center"/>
          </w:tcPr>
          <w:p w14:paraId="58EA2B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3</w:t>
            </w:r>
          </w:p>
        </w:tc>
        <w:tc>
          <w:tcPr>
            <w:tcW w:w="1324" w:type="dxa"/>
            <w:vAlign w:val="center"/>
          </w:tcPr>
          <w:p w14:paraId="4A06D0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eastAsia="zh-CN"/>
              </w:rPr>
              <w:t>基本资质</w:t>
            </w:r>
            <w:r>
              <w:rPr>
                <w:rFonts w:hint="eastAsia" w:ascii="宋体" w:hAnsi="宋体" w:eastAsia="宋体" w:cs="宋体"/>
                <w:color w:val="auto"/>
                <w:spacing w:val="-4"/>
                <w:sz w:val="24"/>
                <w:szCs w:val="24"/>
                <w:vertAlign w:val="baseline"/>
                <w:lang w:val="en-US" w:eastAsia="zh-CN"/>
              </w:rPr>
              <w:t>3</w:t>
            </w:r>
          </w:p>
        </w:tc>
        <w:tc>
          <w:tcPr>
            <w:tcW w:w="3700" w:type="dxa"/>
            <w:vAlign w:val="center"/>
          </w:tcPr>
          <w:p w14:paraId="7C5E3D5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snapToGrid w:val="0"/>
                <w:color w:val="auto"/>
                <w:spacing w:val="-4"/>
                <w:kern w:val="0"/>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1）拒绝列入政府取消投标资格记录期间的企业或个人投标。（2）供应商不得列入失信被执行人和重大税收违法失信主体的供应商，不得为中国政府采购网（www.ccgp.gov.cn）政府采购严重违法失信行为记录名单中被财政部门禁止参加政府采购活动的供应商（在处罚决定规定的时间和地域范围内）（详见财库【2016】125号文）。</w:t>
            </w:r>
          </w:p>
        </w:tc>
        <w:tc>
          <w:tcPr>
            <w:tcW w:w="3819" w:type="dxa"/>
            <w:vAlign w:val="center"/>
          </w:tcPr>
          <w:p w14:paraId="6B32CDF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snapToGrid w:val="0"/>
                <w:color w:val="auto"/>
                <w:spacing w:val="-4"/>
                <w:kern w:val="0"/>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提供承诺书及相关网站截图，格式自拟</w:t>
            </w:r>
          </w:p>
        </w:tc>
      </w:tr>
      <w:tr w14:paraId="4C0D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5" w:type="dxa"/>
            <w:vAlign w:val="center"/>
          </w:tcPr>
          <w:p w14:paraId="445B8B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4</w:t>
            </w:r>
          </w:p>
        </w:tc>
        <w:tc>
          <w:tcPr>
            <w:tcW w:w="1324" w:type="dxa"/>
            <w:vAlign w:val="center"/>
          </w:tcPr>
          <w:p w14:paraId="34A148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eastAsia="zh-CN"/>
              </w:rPr>
              <w:t>基本资质</w:t>
            </w:r>
            <w:r>
              <w:rPr>
                <w:rFonts w:hint="eastAsia" w:ascii="宋体" w:hAnsi="宋体" w:eastAsia="宋体" w:cs="宋体"/>
                <w:color w:val="auto"/>
                <w:spacing w:val="-4"/>
                <w:sz w:val="24"/>
                <w:szCs w:val="24"/>
                <w:vertAlign w:val="baseline"/>
                <w:lang w:val="en-US" w:eastAsia="zh-CN"/>
              </w:rPr>
              <w:t>4</w:t>
            </w:r>
          </w:p>
        </w:tc>
        <w:tc>
          <w:tcPr>
            <w:tcW w:w="3700" w:type="dxa"/>
            <w:vAlign w:val="center"/>
          </w:tcPr>
          <w:p w14:paraId="148299C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snapToGrid w:val="0"/>
                <w:color w:val="auto"/>
                <w:spacing w:val="-4"/>
                <w:kern w:val="0"/>
                <w:sz w:val="24"/>
                <w:szCs w:val="24"/>
                <w:vertAlign w:val="baseline"/>
                <w:lang w:val="en-US" w:eastAsia="zh-CN" w:bidi="ar-SA"/>
              </w:rPr>
            </w:pPr>
            <w:r>
              <w:rPr>
                <w:rFonts w:hint="eastAsia" w:ascii="宋体" w:hAnsi="宋体" w:eastAsia="宋体" w:cs="宋体"/>
                <w:snapToGrid w:val="0"/>
                <w:color w:val="auto"/>
                <w:spacing w:val="-4"/>
                <w:kern w:val="0"/>
                <w:sz w:val="24"/>
                <w:szCs w:val="24"/>
                <w:vertAlign w:val="baseline"/>
                <w:lang w:val="en-US" w:eastAsia="zh-CN" w:bidi="ar-SA"/>
              </w:rPr>
              <w:t>与采购人存在利害关系可能影响采购公正性的法人、其它组织或者个人，不得参加投标；单位负责人为同一人或者存在直接控股、管理关系的不同供应商，不得参加同一合同项下的政府采购活动。否则相关投标无效。</w:t>
            </w:r>
          </w:p>
        </w:tc>
        <w:tc>
          <w:tcPr>
            <w:tcW w:w="3819" w:type="dxa"/>
            <w:vAlign w:val="center"/>
          </w:tcPr>
          <w:p w14:paraId="5DF8284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snapToGrid w:val="0"/>
                <w:color w:val="auto"/>
                <w:spacing w:val="-4"/>
                <w:kern w:val="0"/>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提供书面声明，格式自拟</w:t>
            </w:r>
          </w:p>
        </w:tc>
      </w:tr>
      <w:tr w14:paraId="5FD3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5" w:type="dxa"/>
            <w:vAlign w:val="center"/>
          </w:tcPr>
          <w:p w14:paraId="2E4A0A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5</w:t>
            </w:r>
          </w:p>
        </w:tc>
        <w:tc>
          <w:tcPr>
            <w:tcW w:w="1324" w:type="dxa"/>
            <w:vAlign w:val="center"/>
          </w:tcPr>
          <w:p w14:paraId="47EE6C2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eastAsia="zh-CN"/>
              </w:rPr>
              <w:t>基本资质</w:t>
            </w:r>
            <w:r>
              <w:rPr>
                <w:rFonts w:hint="eastAsia" w:ascii="宋体" w:hAnsi="宋体" w:eastAsia="宋体" w:cs="宋体"/>
                <w:color w:val="auto"/>
                <w:spacing w:val="-4"/>
                <w:sz w:val="24"/>
                <w:szCs w:val="24"/>
                <w:vertAlign w:val="baseline"/>
                <w:lang w:val="en-US" w:eastAsia="zh-CN"/>
              </w:rPr>
              <w:t>5</w:t>
            </w:r>
          </w:p>
        </w:tc>
        <w:tc>
          <w:tcPr>
            <w:tcW w:w="3700" w:type="dxa"/>
            <w:vAlign w:val="center"/>
          </w:tcPr>
          <w:p w14:paraId="132B9D5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snapToGrid w:val="0"/>
                <w:color w:val="auto"/>
                <w:spacing w:val="-4"/>
                <w:kern w:val="0"/>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不接受联合体投标</w:t>
            </w:r>
          </w:p>
        </w:tc>
        <w:tc>
          <w:tcPr>
            <w:tcW w:w="3819" w:type="dxa"/>
            <w:vAlign w:val="center"/>
          </w:tcPr>
          <w:p w14:paraId="2562BE8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snapToGrid w:val="0"/>
                <w:color w:val="auto"/>
                <w:spacing w:val="-4"/>
                <w:kern w:val="0"/>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非联合体投标</w:t>
            </w:r>
          </w:p>
        </w:tc>
      </w:tr>
      <w:tr w14:paraId="69A2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5" w:type="dxa"/>
            <w:vAlign w:val="center"/>
          </w:tcPr>
          <w:p w14:paraId="7B04653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6</w:t>
            </w:r>
          </w:p>
        </w:tc>
        <w:tc>
          <w:tcPr>
            <w:tcW w:w="1324" w:type="dxa"/>
            <w:vAlign w:val="center"/>
          </w:tcPr>
          <w:p w14:paraId="49B7E0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4"/>
                <w:sz w:val="24"/>
                <w:szCs w:val="24"/>
                <w:highlight w:val="none"/>
                <w:vertAlign w:val="baseline"/>
                <w:lang w:val="en-US" w:eastAsia="zh-CN"/>
              </w:rPr>
            </w:pPr>
            <w:r>
              <w:rPr>
                <w:rFonts w:hint="eastAsia" w:ascii="宋体" w:hAnsi="宋体" w:eastAsia="宋体" w:cs="宋体"/>
                <w:color w:val="auto"/>
                <w:spacing w:val="-4"/>
                <w:sz w:val="24"/>
                <w:szCs w:val="24"/>
                <w:highlight w:val="none"/>
                <w:vertAlign w:val="baseline"/>
                <w:lang w:eastAsia="zh-CN"/>
              </w:rPr>
              <w:t>基本资质</w:t>
            </w:r>
            <w:r>
              <w:rPr>
                <w:rFonts w:hint="eastAsia" w:ascii="宋体" w:hAnsi="宋体" w:eastAsia="宋体" w:cs="宋体"/>
                <w:color w:val="auto"/>
                <w:spacing w:val="-4"/>
                <w:sz w:val="24"/>
                <w:szCs w:val="24"/>
                <w:highlight w:val="none"/>
                <w:vertAlign w:val="baseline"/>
                <w:lang w:val="en-US" w:eastAsia="zh-CN"/>
              </w:rPr>
              <w:t>6</w:t>
            </w:r>
          </w:p>
        </w:tc>
        <w:tc>
          <w:tcPr>
            <w:tcW w:w="3700" w:type="dxa"/>
            <w:vAlign w:val="center"/>
          </w:tcPr>
          <w:p w14:paraId="29F84F9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snapToGrid w:val="0"/>
                <w:color w:val="auto"/>
                <w:spacing w:val="-4"/>
                <w:kern w:val="0"/>
                <w:sz w:val="24"/>
                <w:szCs w:val="24"/>
                <w:highlight w:val="none"/>
                <w:vertAlign w:val="baseline"/>
                <w:lang w:val="en-US" w:eastAsia="zh-CN" w:bidi="ar-SA"/>
              </w:rPr>
            </w:pPr>
            <w:r>
              <w:rPr>
                <w:rFonts w:hint="eastAsia" w:ascii="宋体" w:hAnsi="宋体" w:eastAsia="宋体" w:cs="宋体"/>
                <w:color w:val="auto"/>
                <w:spacing w:val="-4"/>
                <w:sz w:val="24"/>
                <w:szCs w:val="24"/>
                <w:highlight w:val="none"/>
                <w:vertAlign w:val="baseline"/>
                <w:lang w:eastAsia="zh-CN"/>
              </w:rPr>
              <w:t>本项目特定的资格要求的证明材料</w:t>
            </w:r>
          </w:p>
        </w:tc>
        <w:tc>
          <w:tcPr>
            <w:tcW w:w="3819" w:type="dxa"/>
            <w:vAlign w:val="center"/>
          </w:tcPr>
          <w:p w14:paraId="221C47C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snapToGrid w:val="0"/>
                <w:color w:val="auto"/>
                <w:spacing w:val="-4"/>
                <w:kern w:val="0"/>
                <w:sz w:val="24"/>
                <w:szCs w:val="24"/>
                <w:highlight w:val="none"/>
                <w:vertAlign w:val="baseline"/>
                <w:lang w:val="en-US" w:eastAsia="zh-CN" w:bidi="ar-SA"/>
              </w:rPr>
            </w:pPr>
            <w:r>
              <w:rPr>
                <w:rFonts w:hint="eastAsia" w:ascii="宋体" w:hAnsi="宋体" w:eastAsia="宋体" w:cs="宋体"/>
                <w:snapToGrid w:val="0"/>
                <w:color w:val="auto"/>
                <w:spacing w:val="-4"/>
                <w:kern w:val="0"/>
                <w:sz w:val="24"/>
                <w:szCs w:val="24"/>
                <w:highlight w:val="none"/>
                <w:vertAlign w:val="baseline"/>
                <w:lang w:val="en-US" w:eastAsia="zh-CN" w:bidi="ar-SA"/>
              </w:rPr>
              <w:t>1.投标供应商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w:t>
            </w:r>
          </w:p>
          <w:p w14:paraId="6178BBF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snapToGrid w:val="0"/>
                <w:color w:val="auto"/>
                <w:spacing w:val="-4"/>
                <w:kern w:val="0"/>
                <w:sz w:val="24"/>
                <w:szCs w:val="24"/>
                <w:highlight w:val="none"/>
                <w:vertAlign w:val="baseline"/>
                <w:lang w:val="en-US" w:eastAsia="zh-CN" w:bidi="ar-SA"/>
              </w:rPr>
            </w:pPr>
            <w:r>
              <w:rPr>
                <w:rFonts w:hint="eastAsia" w:ascii="宋体" w:hAnsi="宋体" w:eastAsia="宋体" w:cs="宋体"/>
                <w:snapToGrid w:val="0"/>
                <w:color w:val="auto"/>
                <w:spacing w:val="-4"/>
                <w:kern w:val="0"/>
                <w:sz w:val="24"/>
                <w:szCs w:val="24"/>
                <w:highlight w:val="none"/>
                <w:vertAlign w:val="baseline"/>
                <w:lang w:val="en-US" w:eastAsia="zh-CN" w:bidi="ar-SA"/>
              </w:rPr>
              <w:t>2.投标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w:t>
            </w:r>
          </w:p>
          <w:p w14:paraId="25DCE5B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snapToGrid w:val="0"/>
                <w:color w:val="auto"/>
                <w:spacing w:val="-4"/>
                <w:kern w:val="0"/>
                <w:sz w:val="24"/>
                <w:szCs w:val="24"/>
                <w:highlight w:val="none"/>
                <w:vertAlign w:val="baseline"/>
                <w:lang w:val="en-US" w:eastAsia="zh-CN" w:bidi="ar-SA"/>
              </w:rPr>
            </w:pPr>
            <w:r>
              <w:rPr>
                <w:rFonts w:hint="eastAsia" w:ascii="宋体" w:hAnsi="宋体" w:eastAsia="宋体" w:cs="宋体"/>
                <w:snapToGrid w:val="0"/>
                <w:color w:val="auto"/>
                <w:spacing w:val="-4"/>
                <w:kern w:val="0"/>
                <w:sz w:val="24"/>
                <w:szCs w:val="24"/>
                <w:highlight w:val="none"/>
                <w:vertAlign w:val="baseline"/>
                <w:lang w:val="en-US" w:eastAsia="zh-CN" w:bidi="ar-SA"/>
              </w:rPr>
              <w:t>3.投标产品若纳入中华人民共和国医疗器械监督管理的，须提供所投产品在国家药品监督管理局官网的备案或注册截图；或投标产品属于第一类医疗器械的，须提供备案凭证，第二、三类则须提供监督管理部门颁发的《中华人民共和国医疗器械注册证》及《医疗器械产品注册登记表》，若已办理两证合一则只须提供《医疗器械注册证》。</w:t>
            </w:r>
          </w:p>
        </w:tc>
      </w:tr>
    </w:tbl>
    <w:p w14:paraId="6AB88C89">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注：本表中符合评审内容要求的写“√”,不符合评审内容要求的写“×”。结论为“合格”或“不合格”。</w:t>
      </w:r>
    </w:p>
    <w:p w14:paraId="0779C3B0">
      <w:pPr>
        <w:bidi w:val="0"/>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p>
    <w:p w14:paraId="57E940EF">
      <w:pPr>
        <w:bidi w:val="0"/>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18、评标过程的保密性</w:t>
      </w:r>
    </w:p>
    <w:p w14:paraId="2981C993">
      <w:pPr>
        <w:spacing w:before="178" w:line="360" w:lineRule="auto"/>
        <w:ind w:right="159" w:firstLine="244" w:firstLineChars="100"/>
        <w:jc w:val="both"/>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18.1</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
          <w:sz w:val="24"/>
          <w:szCs w:val="24"/>
        </w:rPr>
        <w:t>公开开标后，直至向中标的投标人授予合同时止，除按招标文件</w:t>
      </w:r>
      <w:r>
        <w:rPr>
          <w:rFonts w:hint="eastAsia" w:ascii="宋体" w:hAnsi="宋体" w:eastAsia="宋体" w:cs="宋体"/>
          <w:color w:val="auto"/>
          <w:spacing w:val="1"/>
          <w:sz w:val="24"/>
          <w:szCs w:val="24"/>
        </w:rPr>
        <w:t>规定予以公开</w:t>
      </w:r>
      <w:r>
        <w:rPr>
          <w:rFonts w:hint="eastAsia" w:ascii="宋体" w:hAnsi="宋体" w:eastAsia="宋体" w:cs="宋体"/>
          <w:color w:val="auto"/>
          <w:spacing w:val="-2"/>
          <w:sz w:val="24"/>
          <w:szCs w:val="24"/>
        </w:rPr>
        <w:t>的评标结果外，凡与审查、澄清、评价和比较投标有关</w:t>
      </w:r>
      <w:r>
        <w:rPr>
          <w:rFonts w:hint="eastAsia" w:ascii="宋体" w:hAnsi="宋体" w:eastAsia="宋体" w:cs="宋体"/>
          <w:color w:val="auto"/>
          <w:spacing w:val="-3"/>
          <w:sz w:val="24"/>
          <w:szCs w:val="24"/>
        </w:rPr>
        <w:t>的资料以及授标意见等，均不得向</w:t>
      </w:r>
      <w:r>
        <w:rPr>
          <w:rFonts w:hint="eastAsia" w:ascii="宋体" w:hAnsi="宋体" w:eastAsia="宋体" w:cs="宋体"/>
          <w:color w:val="auto"/>
          <w:spacing w:val="-1"/>
          <w:sz w:val="24"/>
          <w:szCs w:val="24"/>
        </w:rPr>
        <w:t>投标人及与评标无关的其他人透露。</w:t>
      </w:r>
    </w:p>
    <w:p w14:paraId="25010B27">
      <w:pPr>
        <w:spacing w:before="178" w:line="221" w:lineRule="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19、评标</w:t>
      </w:r>
    </w:p>
    <w:p w14:paraId="6855F09D">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19.1 采购代理机构负责组织评标工作，并履行下列职责：</w:t>
      </w:r>
    </w:p>
    <w:p w14:paraId="0C7BA938">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核对评审专家身份和采购人代表授权函，对评审专家在政府采购活动中的职责履行情况予以记录，并及时将有关违法违规行为向财政部门报告；</w:t>
      </w:r>
    </w:p>
    <w:p w14:paraId="752F564A">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宣布评标纪律；</w:t>
      </w:r>
    </w:p>
    <w:p w14:paraId="6318841D">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公布投标人名单，告知评审专家应当回避的情形；</w:t>
      </w:r>
    </w:p>
    <w:p w14:paraId="125F7127">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组织评标委员会推选评标组长，采购人代表不得担任组长；</w:t>
      </w:r>
    </w:p>
    <w:p w14:paraId="46854C06">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在评标期间采取必要的通讯管理措施，保证评标活动不受外界干扰；</w:t>
      </w:r>
    </w:p>
    <w:p w14:paraId="2ED02FDC">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根据评标委员会的要求介绍政府采购相关政策法规、招标文件；</w:t>
      </w:r>
    </w:p>
    <w:p w14:paraId="4C74DF54">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维护评标秩序，监督评标委员会依照招标文件规定的评标程序、方法和标准进行独立评审，及时制止和纠正采购人代表、评审专家的倾向性言论或者违法违规行为；</w:t>
      </w:r>
    </w:p>
    <w:p w14:paraId="56852876">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评标委员会根据有关法律法规和招标文件规定的方法和标准独立评标，负责完成评标的全过程直至评定预中标人。招标代理机构只负责评标组织工作，不参加评标。</w:t>
      </w:r>
    </w:p>
    <w:p w14:paraId="6354557A">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(九)</w:t>
      </w:r>
      <w:r>
        <w:rPr>
          <w:rFonts w:hint="eastAsia" w:ascii="宋体" w:hAnsi="宋体" w:eastAsia="宋体" w:cs="宋体"/>
          <w:color w:val="auto"/>
          <w:sz w:val="24"/>
          <w:szCs w:val="24"/>
        </w:rPr>
        <w:t>核对评标结果，有《政府采购货物和服务招标投标管理办法》（中华人民共和国财政部令第87号）规定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6B872B94">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(十)</w:t>
      </w:r>
      <w:r>
        <w:rPr>
          <w:rFonts w:hint="eastAsia" w:ascii="宋体" w:hAnsi="宋体" w:eastAsia="宋体" w:cs="宋体"/>
          <w:color w:val="auto"/>
          <w:sz w:val="24"/>
          <w:szCs w:val="24"/>
        </w:rPr>
        <w:t>处理与评标有关的其他事项。</w:t>
      </w:r>
    </w:p>
    <w:p w14:paraId="07197B95">
      <w:pPr>
        <w:keepNext w:val="0"/>
        <w:keepLines w:val="0"/>
        <w:pageBreakBefore w:val="0"/>
        <w:widowControl/>
        <w:kinsoku w:val="0"/>
        <w:wordWrap/>
        <w:overflowPunct/>
        <w:topLinePunct w:val="0"/>
        <w:autoSpaceDE w:val="0"/>
        <w:autoSpaceDN w:val="0"/>
        <w:bidi w:val="0"/>
        <w:adjustRightInd w:val="0"/>
        <w:snapToGrid w:val="0"/>
        <w:spacing w:before="183"/>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19.2 采购人可以在评标前说明项目背景和采购需求，说明内容不得含有歧视性、倾向性意见，不得超出招标文件所述范围。说明应当提交书面材料，并随采购文件一并存。</w:t>
      </w:r>
    </w:p>
    <w:p w14:paraId="651E531B">
      <w:pPr>
        <w:keepNext w:val="0"/>
        <w:keepLines w:val="0"/>
        <w:pageBreakBefore w:val="0"/>
        <w:widowControl/>
        <w:kinsoku w:val="0"/>
        <w:wordWrap/>
        <w:overflowPunct/>
        <w:topLinePunct w:val="0"/>
        <w:autoSpaceDE w:val="0"/>
        <w:autoSpaceDN w:val="0"/>
        <w:bidi w:val="0"/>
        <w:adjustRightInd w:val="0"/>
        <w:snapToGrid w:val="0"/>
        <w:spacing w:before="183"/>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19.3 评标委员会：由</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人组成，从政采云平台专家库中随机抽取产生。评标委员会根据有关法律法规和招标文件规定的方法和标准独立评标，负责完成评标的全过程直至评定预中标人。</w:t>
      </w:r>
    </w:p>
    <w:p w14:paraId="6BC56136">
      <w:pPr>
        <w:keepNext w:val="0"/>
        <w:keepLines w:val="0"/>
        <w:pageBreakBefore w:val="0"/>
        <w:widowControl/>
        <w:kinsoku w:val="0"/>
        <w:wordWrap/>
        <w:overflowPunct/>
        <w:topLinePunct w:val="0"/>
        <w:autoSpaceDE w:val="0"/>
        <w:autoSpaceDN w:val="0"/>
        <w:bidi w:val="0"/>
        <w:adjustRightInd w:val="0"/>
        <w:snapToGrid w:val="0"/>
        <w:spacing w:before="183"/>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19.4 采购项目符合下列情形之一的，评标委员会成员人数应当为 7 人以上单数：</w:t>
      </w:r>
    </w:p>
    <w:p w14:paraId="4881BA32">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（一）采购预算金额在 1000 万元以上；</w:t>
      </w:r>
    </w:p>
    <w:p w14:paraId="187EFD99">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（二）技术复杂；</w:t>
      </w:r>
    </w:p>
    <w:p w14:paraId="7059CEBB">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（三）社会影响较大。</w:t>
      </w:r>
    </w:p>
    <w:p w14:paraId="3851A7A5">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19.5 评标委员会负责具体评标事物，并独立履行下列职责：</w:t>
      </w:r>
    </w:p>
    <w:p w14:paraId="1FFACCB8">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（一）审查、评价投标文件是否符合招标文件的商务、技术等实质性要求；</w:t>
      </w:r>
    </w:p>
    <w:p w14:paraId="3D1375E3">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（二）要求投标人对投标文件有关事项作出澄清或者说明；</w:t>
      </w:r>
    </w:p>
    <w:p w14:paraId="1301A277">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（三）对投标文件进行比较和评价；</w:t>
      </w:r>
    </w:p>
    <w:p w14:paraId="2886AB40">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（四）确定中标候选人名单；</w:t>
      </w:r>
    </w:p>
    <w:p w14:paraId="74276F8F">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（五）向采购人、采购代理机构或者有关部门报告评标中发现的违法行为。</w:t>
      </w:r>
    </w:p>
    <w:p w14:paraId="7FEE023F">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19.6 评标委员会对投标文件的判定，只依据投标文件内容本身，不依据任何外来证明。</w:t>
      </w:r>
    </w:p>
    <w:p w14:paraId="288D8361">
      <w:pPr>
        <w:spacing w:before="181" w:line="221" w:lineRule="auto"/>
        <w:ind w:left="3929"/>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五、确定中标</w:t>
      </w:r>
    </w:p>
    <w:p w14:paraId="56F3A418">
      <w:pPr>
        <w:spacing w:before="179" w:line="221" w:lineRule="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20、中标</w:t>
      </w:r>
    </w:p>
    <w:p w14:paraId="40C052B1">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 采购代理机构将在评标结束后2个工作日内将评标报告送采购人。</w:t>
      </w:r>
    </w:p>
    <w:p w14:paraId="07967962">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20.2 采购人将自收到评标报告之日起5个工作日内，在评标报告确定的中标候选人名单中按顺序确定中标人。中标候选人并列的，采购人将采取随机抽取的方式确定。</w:t>
      </w:r>
    </w:p>
    <w:p w14:paraId="605B76EB">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 采购人在收到评标报告 5 个工作日内未按评标报告推荐的中标候选人顺序确定中标人，又不能说明合法理由的，视同按评标报告推荐的顺序确定排名第一的中标候选人为中标人。</w:t>
      </w:r>
    </w:p>
    <w:p w14:paraId="1866D000">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20.4 采购代理机构将自中标人确定之日起 2 个工作日内，在市级政府采购媒介上公告中标结果，招标文件应当随中标结果同时公告。中标公告期限为 1 个工作日。</w:t>
      </w:r>
    </w:p>
    <w:p w14:paraId="39E87345">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20.5 在公告中标结果的同时，采购代理机构向中标人发出中标通知书；对未通过资格审查的投标人，将告知其未通过的原因；采用综合评分法评审的，还将告知未中标人本人的评审得分与排序。</w:t>
      </w:r>
    </w:p>
    <w:p w14:paraId="293AC355">
      <w:pPr>
        <w:spacing w:before="182" w:line="222" w:lineRule="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21、签订合同</w:t>
      </w:r>
    </w:p>
    <w:p w14:paraId="22E2046A">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21.1 中标通知书发出后，采购人不得违法改变中标结果，中标人无正当理由不得放弃中标。</w:t>
      </w:r>
    </w:p>
    <w:p w14:paraId="72863E50">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21.2 采购人应当自中标通知书发出之日起 30 日内，按照招标文件和中标人投标文件的规定，与中标人签订书面合同。所签订的合同不得对招标文件确定的事项和中标人投标文件作实质性修改。</w:t>
      </w:r>
    </w:p>
    <w:p w14:paraId="3BBC2FE4">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21.3 采购人不得向中标人提出任何不合理的要求作为签订合同的条件。</w:t>
      </w:r>
    </w:p>
    <w:p w14:paraId="7E6635AC">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21.4 中标人拒绝与采购人签订合同的，采购人可以按照评标报告推荐的中标候选人名单排序，确定下一候选人为中标人，也可以重新开展政府采购活动。</w:t>
      </w:r>
    </w:p>
    <w:p w14:paraId="5AC58E0A">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21.5 根据《中华人民共和国政府采购法实施条例》采购人应当自政府采购合同签订之日起 2 个工作日内，将政府采购合同在省级以上人民政府财政部门指定的媒体上公，但政府采购合同中涉及国家秘密、商业秘密的内容除外。</w:t>
      </w:r>
    </w:p>
    <w:p w14:paraId="39E98730">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21.6 按照《中华人民共和国政府采购法》的规定，在合同履行中，采购人需要追加与合同标的物相同的货物、工程或者服务的，在不改变合同其他条款的前提下，可以与中标人签订补充合同，但所有补充合同的采购金额不得超过原合同采购金额的 10%。</w:t>
      </w:r>
    </w:p>
    <w:p w14:paraId="67BF3296">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21.7 政府采购合同不能转包。</w:t>
      </w:r>
    </w:p>
    <w:p w14:paraId="376D29E8">
      <w:pPr>
        <w:spacing w:before="180" w:line="221" w:lineRule="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22、保密和披露</w:t>
      </w:r>
    </w:p>
    <w:p w14:paraId="588BAEC7">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 投标人自购买招标文件之日起，须承诺承担本招标项目下的保密义务，不得将因本次招标获得的信息向第三人外传。</w:t>
      </w:r>
    </w:p>
    <w:p w14:paraId="29A195AA">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22.2采购人有权将投标人提供的所有资料向其他政府部门或有关的非政府机构负责评审标书的人员或与评标有关的人员披露。</w:t>
      </w:r>
    </w:p>
    <w:p w14:paraId="1F1836F8">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22.3 在下列情形下：当发布中标公告和其它公告时，当国家机关调查、审查、审计时，以及在其他符合法律规定的情形下，采购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14:paraId="466E7490">
      <w:pPr>
        <w:numPr>
          <w:ilvl w:val="0"/>
          <w:numId w:val="0"/>
        </w:numPr>
        <w:spacing w:before="181" w:line="221" w:lineRule="auto"/>
        <w:outlineLvl w:val="9"/>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1"/>
          <w:sz w:val="24"/>
          <w:szCs w:val="24"/>
          <w:lang w:val="en-US" w:eastAsia="zh-CN"/>
          <w14:textOutline w14:w="4358" w14:cap="sq" w14:cmpd="sng">
            <w14:solidFill>
              <w14:srgbClr w14:val="000000"/>
            </w14:solidFill>
            <w14:prstDash w14:val="solid"/>
            <w14:bevel/>
          </w14:textOutline>
        </w:rPr>
        <w:t>23、</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质疑和投诉</w:t>
      </w:r>
    </w:p>
    <w:p w14:paraId="27CCD3A3">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23.1 投标人认为招标文件、招标过程和中标结果使自己的合法权益受到损害的，应当在知道或者应知其权益受到损害之日起七个工作日内以书面形式（须加盖公章）{质疑书的具体内容详见《政府采购质疑和投诉办法》（第94号令）}通知采购代理机构向采购方提出质疑（如投标人所参与项目须要在网上提交质疑程序，须同时将纸质版质疑材料递交至采购代理机构，并附网上投标报名或下载文件截图）。投标人应在法定质疑期内一次性提出针对同一采购程序环节的质疑。（质疑联系人及联系方式：</w:t>
      </w:r>
      <w:r>
        <w:rPr>
          <w:rFonts w:hint="eastAsia" w:ascii="宋体" w:hAnsi="宋体" w:eastAsia="宋体" w:cs="宋体"/>
          <w:color w:val="auto"/>
          <w:sz w:val="24"/>
          <w:szCs w:val="24"/>
          <w:lang w:eastAsia="zh-CN"/>
        </w:rPr>
        <w:t>曹健</w:t>
      </w:r>
      <w:r>
        <w:rPr>
          <w:rFonts w:hint="eastAsia" w:ascii="宋体" w:hAnsi="宋体" w:eastAsia="宋体" w:cs="宋体"/>
          <w:color w:val="auto"/>
          <w:sz w:val="24"/>
          <w:szCs w:val="24"/>
        </w:rPr>
        <w:t>、0431-81336999）投标人对采购人的质疑答复不满意或者采购人未在规定时间内作出答复的，可以在答复期满后十五个工作日内向同级采购监管部门投诉。</w:t>
      </w:r>
    </w:p>
    <w:p w14:paraId="79F9A1BC">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23.2 质疑书、投诉书均应明确阐述招标文件、招标过程和中标结果中使自己合法权益受到损害的实质性内容，提供相关事实、依据和证据及其来源或线索，便于有关单位调查、答复和处理。</w:t>
      </w:r>
    </w:p>
    <w:p w14:paraId="661373D2">
      <w:pPr>
        <w:spacing w:before="181"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24、中标服务费</w:t>
      </w:r>
    </w:p>
    <w:p w14:paraId="1D296489">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24.1 中标人在接到中标通知书后，应向采购代理机构足额交纳中标服务费，收费标准：参考招标代理服务费计费计价格〔2002〕1980号文件、代理机构按国家发改委发改办价格〔2003〕857号文件费率标准，执行国家发展计划委员会计价格〔2015〕299号文件的取费标准，由</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供应商支付</w:t>
      </w:r>
      <w:r>
        <w:rPr>
          <w:rFonts w:hint="eastAsia" w:ascii="宋体" w:hAnsi="宋体" w:eastAsia="宋体" w:cs="宋体"/>
          <w:color w:val="auto"/>
          <w:sz w:val="24"/>
          <w:szCs w:val="24"/>
          <w:lang w:eastAsia="zh-CN"/>
        </w:rPr>
        <w:t>，按照中标金额采用差额定率累进计费方式</w:t>
      </w:r>
      <w:r>
        <w:rPr>
          <w:rFonts w:hint="eastAsia" w:ascii="宋体" w:hAnsi="宋体" w:eastAsia="宋体" w:cs="宋体"/>
          <w:color w:val="auto"/>
          <w:sz w:val="24"/>
          <w:szCs w:val="24"/>
          <w:lang w:val="en-US" w:eastAsia="zh-CN"/>
        </w:rPr>
        <w:t>收取</w:t>
      </w:r>
      <w:r>
        <w:rPr>
          <w:rFonts w:hint="eastAsia" w:ascii="宋体" w:hAnsi="宋体" w:eastAsia="宋体" w:cs="宋体"/>
          <w:color w:val="auto"/>
          <w:sz w:val="24"/>
          <w:szCs w:val="24"/>
        </w:rPr>
        <w:t>。</w:t>
      </w:r>
    </w:p>
    <w:p w14:paraId="3146BD3F">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收款人：吉林省吉诚工程咨询有限公司</w:t>
      </w:r>
    </w:p>
    <w:p w14:paraId="6C80C4FA">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 户 行：吉林农村商业银行股份有限公司长春人民大街支行</w:t>
      </w:r>
    </w:p>
    <w:p w14:paraId="6B9ABE8D">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账    号：0710729011015260066666</w:t>
      </w:r>
    </w:p>
    <w:p w14:paraId="3B73AE82">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FEB2A75">
      <w:pPr>
        <w:pStyle w:val="2"/>
        <w:keepNext/>
        <w:keepLines/>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color w:val="auto"/>
          <w:sz w:val="32"/>
          <w:szCs w:val="32"/>
        </w:rPr>
      </w:pPr>
      <w:bookmarkStart w:id="34" w:name="_Toc1701"/>
      <w:bookmarkStart w:id="35" w:name="_Toc26230"/>
      <w:r>
        <w:rPr>
          <w:rFonts w:hint="eastAsia"/>
          <w:color w:val="auto"/>
          <w:sz w:val="32"/>
          <w:szCs w:val="32"/>
        </w:rPr>
        <w:t>第三章</w:t>
      </w:r>
      <w:r>
        <w:rPr>
          <w:rFonts w:hint="eastAsia"/>
          <w:color w:val="auto"/>
          <w:sz w:val="32"/>
          <w:szCs w:val="32"/>
          <w:lang w:val="en-US" w:eastAsia="zh-CN"/>
        </w:rPr>
        <w:t xml:space="preserve">  </w:t>
      </w:r>
      <w:r>
        <w:rPr>
          <w:rFonts w:hint="eastAsia"/>
          <w:color w:val="auto"/>
          <w:sz w:val="32"/>
          <w:szCs w:val="32"/>
        </w:rPr>
        <w:t xml:space="preserve"> 评标办法</w:t>
      </w:r>
      <w:bookmarkEnd w:id="34"/>
      <w:bookmarkEnd w:id="35"/>
    </w:p>
    <w:p w14:paraId="536B09B9">
      <w:pPr>
        <w:spacing w:before="233" w:line="220" w:lineRule="auto"/>
        <w:ind w:left="37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评标应当遵循下列工作程序：</w:t>
      </w:r>
    </w:p>
    <w:p w14:paraId="374564C2">
      <w:pPr>
        <w:spacing w:before="179"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3.1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符合性审查。</w:t>
      </w:r>
    </w:p>
    <w:p w14:paraId="5A377B3E">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3.1.1 评标委员会将对符合资格的投标人的投标文件进行符合性审查，以确定其是否满足招标文件的实质性要求。</w:t>
      </w:r>
    </w:p>
    <w:p w14:paraId="18F5AA11">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3.1.2</w:t>
      </w:r>
      <w:r>
        <w:rPr>
          <w:rFonts w:hint="eastAsia" w:ascii="宋体" w:hAnsi="宋体" w:eastAsia="宋体" w:cs="宋体"/>
          <w:color w:val="auto"/>
          <w:sz w:val="24"/>
          <w:szCs w:val="24"/>
        </w:rPr>
        <w:t>评标委员会</w:t>
      </w:r>
      <w:r>
        <w:rPr>
          <w:rFonts w:hint="eastAsia" w:ascii="宋体" w:hAnsi="宋体" w:eastAsia="宋体" w:cs="宋体"/>
          <w:color w:val="auto"/>
          <w:sz w:val="24"/>
          <w:szCs w:val="24"/>
          <w:lang w:val="en-US" w:eastAsia="zh-CN"/>
        </w:rPr>
        <w:t>根据《</w:t>
      </w:r>
      <w:r>
        <w:rPr>
          <w:rFonts w:hint="eastAsia" w:ascii="宋体" w:hAnsi="宋体" w:eastAsia="宋体" w:cs="宋体"/>
          <w:color w:val="auto"/>
          <w:sz w:val="24"/>
          <w:szCs w:val="24"/>
        </w:rPr>
        <w:t>符合性审查表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中规定的审查因素和审查内容，对投标人的投标文件是否实质性上响应招标文件进行符合性审查，并形成符合性审查结果。投标人有任何一项不符合《</w:t>
      </w:r>
      <w:r>
        <w:rPr>
          <w:rFonts w:hint="eastAsia" w:ascii="宋体" w:hAnsi="宋体" w:eastAsia="宋体" w:cs="宋体"/>
          <w:color w:val="auto"/>
          <w:sz w:val="24"/>
          <w:szCs w:val="24"/>
        </w:rPr>
        <w:t>符合性审查表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要求的，</w:t>
      </w:r>
      <w:r>
        <w:rPr>
          <w:rFonts w:hint="eastAsia" w:ascii="宋体" w:hAnsi="宋体" w:eastAsia="宋体" w:cs="宋体"/>
          <w:b/>
          <w:bCs/>
          <w:color w:val="auto"/>
          <w:sz w:val="24"/>
          <w:szCs w:val="24"/>
          <w:lang w:val="en-US" w:eastAsia="zh-CN"/>
        </w:rPr>
        <w:t>投标无效</w:t>
      </w:r>
      <w:r>
        <w:rPr>
          <w:rFonts w:hint="eastAsia" w:ascii="宋体" w:hAnsi="宋体" w:eastAsia="宋体" w:cs="宋体"/>
          <w:color w:val="auto"/>
          <w:sz w:val="24"/>
          <w:szCs w:val="24"/>
          <w:lang w:val="en-US" w:eastAsia="zh-CN"/>
        </w:rPr>
        <w:t>。</w:t>
      </w:r>
    </w:p>
    <w:p w14:paraId="3EECC9B4">
      <w:pPr>
        <w:keepNext w:val="0"/>
        <w:keepLines w:val="0"/>
        <w:pageBreakBefore w:val="0"/>
        <w:widowControl/>
        <w:kinsoku w:val="0"/>
        <w:wordWrap/>
        <w:overflowPunct/>
        <w:topLinePunct w:val="0"/>
        <w:autoSpaceDE w:val="0"/>
        <w:autoSpaceDN w:val="0"/>
        <w:bidi w:val="0"/>
        <w:adjustRightInd w:val="0"/>
        <w:snapToGrid w:val="0"/>
        <w:spacing w:before="183"/>
        <w:ind w:left="178" w:leftChars="85"/>
        <w:textAlignment w:val="baseline"/>
        <w:outlineLvl w:val="9"/>
        <w:rPr>
          <w:rFonts w:hint="eastAsia" w:ascii="宋体" w:hAnsi="宋体" w:eastAsia="宋体" w:cs="宋体"/>
          <w:color w:val="auto"/>
          <w:sz w:val="24"/>
          <w:szCs w:val="24"/>
          <w:lang w:eastAsia="zh-CN"/>
        </w:rPr>
      </w:pPr>
    </w:p>
    <w:p w14:paraId="0D454ACB">
      <w:pPr>
        <w:spacing w:before="182" w:line="220" w:lineRule="auto"/>
        <w:jc w:val="center"/>
        <w:outlineLvl w:val="9"/>
        <w:rPr>
          <w:rFonts w:hint="eastAsia" w:ascii="宋体" w:hAnsi="宋体" w:eastAsia="宋体" w:cs="宋体"/>
          <w:b/>
          <w:bCs/>
          <w:color w:val="auto"/>
          <w:spacing w:val="-2"/>
          <w:sz w:val="28"/>
          <w:szCs w:val="28"/>
        </w:rPr>
      </w:pPr>
      <w:r>
        <w:rPr>
          <w:rFonts w:hint="eastAsia" w:ascii="宋体" w:hAnsi="宋体" w:eastAsia="宋体" w:cs="宋体"/>
          <w:b/>
          <w:bCs/>
          <w:color w:val="auto"/>
          <w:spacing w:val="-2"/>
          <w:sz w:val="28"/>
          <w:szCs w:val="28"/>
        </w:rPr>
        <w:t>符合性审查表</w:t>
      </w:r>
    </w:p>
    <w:tbl>
      <w:tblPr>
        <w:tblStyle w:val="20"/>
        <w:tblW w:w="95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825"/>
        <w:gridCol w:w="2962"/>
        <w:gridCol w:w="5100"/>
      </w:tblGrid>
      <w:tr w14:paraId="162C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46" w:type="dxa"/>
            <w:tcBorders>
              <w:top w:val="single" w:color="000000" w:sz="4" w:space="0"/>
              <w:left w:val="single" w:color="000000" w:sz="4" w:space="0"/>
              <w:bottom w:val="single" w:color="000000" w:sz="4" w:space="0"/>
            </w:tcBorders>
            <w:vAlign w:val="center"/>
          </w:tcPr>
          <w:p w14:paraId="38BCF3E2">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pacing w:val="-5"/>
                <w:sz w:val="24"/>
                <w:szCs w:val="24"/>
              </w:rPr>
              <w:t>序号</w:t>
            </w:r>
          </w:p>
        </w:tc>
        <w:tc>
          <w:tcPr>
            <w:tcW w:w="825" w:type="dxa"/>
            <w:tcBorders>
              <w:top w:val="single" w:color="000000" w:sz="4" w:space="0"/>
              <w:bottom w:val="single" w:color="000000" w:sz="4" w:space="0"/>
            </w:tcBorders>
            <w:vAlign w:val="center"/>
          </w:tcPr>
          <w:p w14:paraId="3C70FF3E">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pacing w:val="-5"/>
                <w:sz w:val="24"/>
                <w:szCs w:val="24"/>
              </w:rPr>
              <w:t>类型</w:t>
            </w:r>
          </w:p>
        </w:tc>
        <w:tc>
          <w:tcPr>
            <w:tcW w:w="2962" w:type="dxa"/>
            <w:tcBorders>
              <w:top w:val="single" w:color="000000" w:sz="4" w:space="0"/>
              <w:bottom w:val="single" w:color="000000" w:sz="4" w:space="0"/>
              <w:right w:val="single" w:color="000000" w:sz="4" w:space="0"/>
            </w:tcBorders>
            <w:vAlign w:val="center"/>
          </w:tcPr>
          <w:p w14:paraId="78B58D67">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pacing w:val="-5"/>
                <w:sz w:val="24"/>
                <w:szCs w:val="24"/>
              </w:rPr>
              <w:t>审查内容</w:t>
            </w:r>
          </w:p>
        </w:tc>
        <w:tc>
          <w:tcPr>
            <w:tcW w:w="5100" w:type="dxa"/>
            <w:tcBorders>
              <w:top w:val="single" w:color="000000" w:sz="4" w:space="0"/>
              <w:left w:val="single" w:color="000000" w:sz="4" w:space="0"/>
              <w:bottom w:val="single" w:color="000000" w:sz="4" w:space="0"/>
            </w:tcBorders>
            <w:vAlign w:val="center"/>
          </w:tcPr>
          <w:p w14:paraId="0ABFD0DF">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pacing w:val="-3"/>
                <w:sz w:val="24"/>
                <w:szCs w:val="24"/>
              </w:rPr>
              <w:t>要求说明</w:t>
            </w:r>
          </w:p>
        </w:tc>
      </w:tr>
      <w:tr w14:paraId="7E61E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46" w:type="dxa"/>
            <w:tcBorders>
              <w:top w:val="single" w:color="000000" w:sz="4" w:space="0"/>
              <w:left w:val="single" w:color="000000" w:sz="4" w:space="0"/>
              <w:bottom w:val="single" w:color="000000" w:sz="4" w:space="0"/>
            </w:tcBorders>
            <w:vAlign w:val="center"/>
          </w:tcPr>
          <w:p w14:paraId="06B27558">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1</w:t>
            </w:r>
          </w:p>
        </w:tc>
        <w:tc>
          <w:tcPr>
            <w:tcW w:w="825" w:type="dxa"/>
            <w:tcBorders>
              <w:top w:val="single" w:color="000000" w:sz="4" w:space="0"/>
              <w:bottom w:val="single" w:color="000000" w:sz="4" w:space="0"/>
            </w:tcBorders>
            <w:vAlign w:val="center"/>
          </w:tcPr>
          <w:p w14:paraId="23B13E1B">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3"/>
                <w:sz w:val="24"/>
                <w:szCs w:val="24"/>
              </w:rPr>
              <w:t>报价1</w:t>
            </w:r>
          </w:p>
        </w:tc>
        <w:tc>
          <w:tcPr>
            <w:tcW w:w="2962" w:type="dxa"/>
            <w:tcBorders>
              <w:top w:val="single" w:color="000000" w:sz="4" w:space="0"/>
              <w:bottom w:val="single" w:color="000000" w:sz="4" w:space="0"/>
              <w:right w:val="single" w:color="000000" w:sz="4" w:space="0"/>
            </w:tcBorders>
            <w:vAlign w:val="center"/>
          </w:tcPr>
          <w:p w14:paraId="1A2F0358">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3" w:firstLineChars="0"/>
              <w:jc w:val="left"/>
              <w:textAlignment w:val="baseline"/>
              <w:outlineLvl w:val="9"/>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1"/>
                <w:sz w:val="24"/>
                <w:szCs w:val="24"/>
              </w:rPr>
              <w:t>投标报价</w:t>
            </w:r>
          </w:p>
        </w:tc>
        <w:tc>
          <w:tcPr>
            <w:tcW w:w="5100" w:type="dxa"/>
            <w:tcBorders>
              <w:top w:val="single" w:color="000000" w:sz="4" w:space="0"/>
              <w:left w:val="single" w:color="000000" w:sz="4" w:space="0"/>
              <w:bottom w:val="single" w:color="000000" w:sz="4" w:space="0"/>
            </w:tcBorders>
            <w:vAlign w:val="center"/>
          </w:tcPr>
          <w:p w14:paraId="4DBE8495">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3" w:firstLineChars="0"/>
              <w:jc w:val="left"/>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投标报价未超过招标文件中规定的最高限价的</w:t>
            </w:r>
            <w:r>
              <w:rPr>
                <w:rFonts w:hint="eastAsia" w:ascii="宋体" w:hAnsi="宋体" w:eastAsia="宋体" w:cs="宋体"/>
                <w:color w:val="auto"/>
                <w:spacing w:val="-1"/>
                <w:sz w:val="24"/>
                <w:szCs w:val="24"/>
                <w:lang w:eastAsia="zh-CN"/>
              </w:rPr>
              <w:t>。</w:t>
            </w:r>
          </w:p>
        </w:tc>
      </w:tr>
      <w:tr w14:paraId="113A4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46" w:type="dxa"/>
            <w:tcBorders>
              <w:top w:val="single" w:color="000000" w:sz="4" w:space="0"/>
              <w:left w:val="single" w:color="000000" w:sz="4" w:space="0"/>
              <w:bottom w:val="single" w:color="000000" w:sz="4" w:space="0"/>
            </w:tcBorders>
            <w:vAlign w:val="center"/>
          </w:tcPr>
          <w:p w14:paraId="55E10198">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color w:val="auto"/>
                <w:spacing w:val="-3"/>
                <w:sz w:val="24"/>
                <w:szCs w:val="24"/>
                <w:lang w:val="en-US" w:eastAsia="en-US"/>
              </w:rPr>
            </w:pPr>
            <w:r>
              <w:rPr>
                <w:rFonts w:hint="eastAsia" w:ascii="宋体" w:hAnsi="宋体" w:eastAsia="宋体" w:cs="宋体"/>
                <w:color w:val="auto"/>
                <w:spacing w:val="-3"/>
                <w:sz w:val="24"/>
                <w:szCs w:val="24"/>
              </w:rPr>
              <w:t>2</w:t>
            </w:r>
          </w:p>
        </w:tc>
        <w:tc>
          <w:tcPr>
            <w:tcW w:w="825" w:type="dxa"/>
            <w:tcBorders>
              <w:top w:val="single" w:color="000000" w:sz="4" w:space="0"/>
              <w:bottom w:val="single" w:color="000000" w:sz="4" w:space="0"/>
            </w:tcBorders>
            <w:vAlign w:val="center"/>
          </w:tcPr>
          <w:p w14:paraId="4E327604">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spacing w:val="-3"/>
                <w:kern w:val="0"/>
                <w:sz w:val="24"/>
                <w:szCs w:val="24"/>
                <w:lang w:val="en-US" w:eastAsia="zh-CN" w:bidi="ar-SA"/>
              </w:rPr>
            </w:pPr>
            <w:r>
              <w:rPr>
                <w:rFonts w:hint="eastAsia" w:ascii="宋体" w:hAnsi="宋体" w:eastAsia="宋体" w:cs="宋体"/>
                <w:color w:val="auto"/>
                <w:spacing w:val="-3"/>
                <w:sz w:val="24"/>
                <w:szCs w:val="24"/>
              </w:rPr>
              <w:t>报价</w:t>
            </w:r>
            <w:r>
              <w:rPr>
                <w:rFonts w:hint="eastAsia" w:ascii="宋体" w:hAnsi="宋体" w:eastAsia="宋体" w:cs="宋体"/>
                <w:color w:val="auto"/>
                <w:spacing w:val="-3"/>
                <w:sz w:val="24"/>
                <w:szCs w:val="24"/>
                <w:lang w:val="en-US" w:eastAsia="zh-CN"/>
              </w:rPr>
              <w:t>2</w:t>
            </w:r>
          </w:p>
        </w:tc>
        <w:tc>
          <w:tcPr>
            <w:tcW w:w="2962" w:type="dxa"/>
            <w:tcBorders>
              <w:top w:val="single" w:color="000000" w:sz="4" w:space="0"/>
              <w:bottom w:val="single" w:color="000000" w:sz="4" w:space="0"/>
              <w:right w:val="single" w:color="000000" w:sz="4" w:space="0"/>
            </w:tcBorders>
            <w:vAlign w:val="center"/>
          </w:tcPr>
          <w:p w14:paraId="260C7EA1">
            <w:pPr>
              <w:keepNext w:val="0"/>
              <w:keepLines w:val="0"/>
              <w:widowControl/>
              <w:suppressLineNumbers w:val="0"/>
              <w:jc w:val="left"/>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kern w:val="0"/>
                <w:sz w:val="24"/>
                <w:szCs w:val="24"/>
                <w:lang w:val="en-US" w:eastAsia="zh-CN" w:bidi="ar"/>
              </w:rPr>
              <w:t>报价唯一性</w:t>
            </w:r>
          </w:p>
        </w:tc>
        <w:tc>
          <w:tcPr>
            <w:tcW w:w="5100" w:type="dxa"/>
            <w:tcBorders>
              <w:top w:val="single" w:color="000000" w:sz="4" w:space="0"/>
              <w:left w:val="single" w:color="000000" w:sz="4" w:space="0"/>
              <w:bottom w:val="single" w:color="000000" w:sz="4" w:space="0"/>
            </w:tcBorders>
            <w:vAlign w:val="center"/>
          </w:tcPr>
          <w:p w14:paraId="4FCC6F28">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3" w:firstLineChars="0"/>
              <w:jc w:val="left"/>
              <w:textAlignment w:val="baseline"/>
              <w:outlineLvl w:val="9"/>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zh-CN"/>
              </w:rPr>
              <w:t>投标文件未出现可选择性或可调整的报价（招标文件另有规定的除外）。</w:t>
            </w:r>
          </w:p>
        </w:tc>
      </w:tr>
      <w:tr w14:paraId="338A7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46" w:type="dxa"/>
            <w:tcBorders>
              <w:top w:val="single" w:color="000000" w:sz="4" w:space="0"/>
              <w:left w:val="single" w:color="000000" w:sz="4" w:space="0"/>
              <w:bottom w:val="single" w:color="000000" w:sz="4" w:space="0"/>
            </w:tcBorders>
            <w:vAlign w:val="center"/>
          </w:tcPr>
          <w:p w14:paraId="2B66F7EB">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color w:val="auto"/>
                <w:spacing w:val="-3"/>
                <w:sz w:val="24"/>
                <w:szCs w:val="24"/>
                <w:lang w:val="en-US" w:eastAsia="en-US"/>
              </w:rPr>
            </w:pPr>
            <w:r>
              <w:rPr>
                <w:rFonts w:hint="eastAsia" w:ascii="宋体" w:hAnsi="宋体" w:eastAsia="宋体" w:cs="宋体"/>
                <w:color w:val="auto"/>
                <w:spacing w:val="-3"/>
                <w:sz w:val="24"/>
                <w:szCs w:val="24"/>
              </w:rPr>
              <w:t>3</w:t>
            </w:r>
          </w:p>
        </w:tc>
        <w:tc>
          <w:tcPr>
            <w:tcW w:w="825" w:type="dxa"/>
            <w:tcBorders>
              <w:top w:val="single" w:color="000000" w:sz="4" w:space="0"/>
              <w:bottom w:val="single" w:color="000000" w:sz="4" w:space="0"/>
            </w:tcBorders>
            <w:vAlign w:val="center"/>
          </w:tcPr>
          <w:p w14:paraId="1BA69E9F">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pacing w:val="-5"/>
                <w:sz w:val="24"/>
                <w:szCs w:val="24"/>
              </w:rPr>
              <w:t>商务</w:t>
            </w:r>
            <w:r>
              <w:rPr>
                <w:rFonts w:hint="eastAsia" w:ascii="宋体" w:hAnsi="宋体" w:eastAsia="宋体" w:cs="宋体"/>
                <w:color w:val="auto"/>
                <w:spacing w:val="-5"/>
                <w:sz w:val="24"/>
                <w:szCs w:val="24"/>
                <w:lang w:val="en-US" w:eastAsia="zh-CN"/>
              </w:rPr>
              <w:t>3</w:t>
            </w:r>
          </w:p>
        </w:tc>
        <w:tc>
          <w:tcPr>
            <w:tcW w:w="2962" w:type="dxa"/>
            <w:tcBorders>
              <w:top w:val="single" w:color="000000" w:sz="4" w:space="0"/>
              <w:bottom w:val="single" w:color="000000" w:sz="4" w:space="0"/>
              <w:right w:val="single" w:color="000000" w:sz="4" w:space="0"/>
            </w:tcBorders>
            <w:vAlign w:val="center"/>
          </w:tcPr>
          <w:p w14:paraId="4B609E87">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投标有效期</w:t>
            </w:r>
          </w:p>
        </w:tc>
        <w:tc>
          <w:tcPr>
            <w:tcW w:w="5100" w:type="dxa"/>
            <w:tcBorders>
              <w:top w:val="single" w:color="000000" w:sz="4" w:space="0"/>
              <w:left w:val="single" w:color="000000" w:sz="4" w:space="0"/>
              <w:bottom w:val="single" w:color="000000" w:sz="4" w:space="0"/>
            </w:tcBorders>
            <w:vAlign w:val="center"/>
          </w:tcPr>
          <w:p w14:paraId="3F177218">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3" w:firstLineChars="0"/>
              <w:jc w:val="left"/>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投标文件中承诺的投标有效期满足招标文件中载明的投标有效期的。</w:t>
            </w:r>
          </w:p>
        </w:tc>
      </w:tr>
      <w:tr w14:paraId="05E24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46" w:type="dxa"/>
            <w:tcBorders>
              <w:top w:val="single" w:color="000000" w:sz="4" w:space="0"/>
              <w:left w:val="single" w:color="000000" w:sz="4" w:space="0"/>
              <w:bottom w:val="single" w:color="000000" w:sz="4" w:space="0"/>
            </w:tcBorders>
            <w:vAlign w:val="center"/>
          </w:tcPr>
          <w:p w14:paraId="3D0F7C45">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color w:val="auto"/>
                <w:spacing w:val="-3"/>
                <w:sz w:val="24"/>
                <w:szCs w:val="24"/>
                <w:highlight w:val="none"/>
                <w:lang w:val="en-US" w:eastAsia="en-US"/>
              </w:rPr>
            </w:pPr>
            <w:r>
              <w:rPr>
                <w:rFonts w:hint="eastAsia" w:ascii="宋体" w:hAnsi="宋体" w:eastAsia="宋体" w:cs="宋体"/>
                <w:color w:val="auto"/>
                <w:spacing w:val="-3"/>
                <w:sz w:val="24"/>
                <w:szCs w:val="24"/>
                <w:highlight w:val="none"/>
              </w:rPr>
              <w:t>4</w:t>
            </w:r>
          </w:p>
        </w:tc>
        <w:tc>
          <w:tcPr>
            <w:tcW w:w="825" w:type="dxa"/>
            <w:tcBorders>
              <w:top w:val="single" w:color="000000" w:sz="4" w:space="0"/>
              <w:bottom w:val="single" w:color="000000" w:sz="4" w:space="0"/>
            </w:tcBorders>
            <w:vAlign w:val="center"/>
          </w:tcPr>
          <w:p w14:paraId="0BC98FD0">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5"/>
                <w:sz w:val="24"/>
                <w:szCs w:val="24"/>
                <w:highlight w:val="none"/>
              </w:rPr>
              <w:t>商务</w:t>
            </w:r>
            <w:r>
              <w:rPr>
                <w:rFonts w:hint="eastAsia" w:ascii="宋体" w:hAnsi="宋体" w:eastAsia="宋体" w:cs="宋体"/>
                <w:color w:val="auto"/>
                <w:spacing w:val="-5"/>
                <w:sz w:val="24"/>
                <w:szCs w:val="24"/>
                <w:highlight w:val="none"/>
                <w:lang w:val="en-US" w:eastAsia="zh-CN"/>
              </w:rPr>
              <w:t>4</w:t>
            </w:r>
          </w:p>
        </w:tc>
        <w:tc>
          <w:tcPr>
            <w:tcW w:w="2962" w:type="dxa"/>
            <w:tcBorders>
              <w:top w:val="single" w:color="000000" w:sz="4" w:space="0"/>
              <w:bottom w:val="single" w:color="000000" w:sz="4" w:space="0"/>
              <w:right w:val="single" w:color="000000" w:sz="4" w:space="0"/>
            </w:tcBorders>
            <w:vAlign w:val="center"/>
          </w:tcPr>
          <w:p w14:paraId="758ADF2A">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spacing w:val="-1"/>
                <w:sz w:val="24"/>
                <w:szCs w:val="24"/>
                <w:highlight w:val="none"/>
                <w:lang w:val="en-US" w:eastAsia="zh-CN"/>
              </w:rPr>
              <w:t>实质性参数</w:t>
            </w:r>
            <w:r>
              <w:rPr>
                <w:rFonts w:hint="eastAsia" w:ascii="宋体" w:hAnsi="宋体" w:eastAsia="宋体" w:cs="宋体"/>
                <w:snapToGrid w:val="0"/>
                <w:color w:val="auto"/>
                <w:kern w:val="0"/>
                <w:sz w:val="24"/>
                <w:szCs w:val="24"/>
                <w:highlight w:val="none"/>
                <w:lang w:val="en-US" w:eastAsia="zh-CN" w:bidi="ar"/>
              </w:rPr>
              <w:t>响应</w:t>
            </w:r>
          </w:p>
        </w:tc>
        <w:tc>
          <w:tcPr>
            <w:tcW w:w="5100" w:type="dxa"/>
            <w:tcBorders>
              <w:top w:val="single" w:color="000000" w:sz="4" w:space="0"/>
              <w:left w:val="single" w:color="000000" w:sz="4" w:space="0"/>
              <w:bottom w:val="single" w:color="000000" w:sz="4" w:space="0"/>
            </w:tcBorders>
            <w:vAlign w:val="center"/>
          </w:tcPr>
          <w:p w14:paraId="64EA0726">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3" w:firstLineChars="0"/>
              <w:jc w:val="left"/>
              <w:textAlignment w:val="baseline"/>
              <w:outlineLvl w:val="9"/>
              <w:rPr>
                <w:rFonts w:hint="eastAsia" w:ascii="宋体" w:hAnsi="宋体" w:eastAsia="宋体" w:cs="宋体"/>
                <w:color w:val="auto"/>
                <w:spacing w:val="-1"/>
                <w:sz w:val="24"/>
                <w:szCs w:val="24"/>
                <w:highlight w:val="none"/>
                <w:lang w:val="en-US" w:eastAsia="zh-CN"/>
              </w:rPr>
            </w:pPr>
            <w:r>
              <w:rPr>
                <w:rFonts w:hint="eastAsia" w:cs="宋体"/>
                <w:b/>
                <w:bCs/>
                <w:color w:val="auto"/>
                <w:spacing w:val="-1"/>
                <w:sz w:val="24"/>
                <w:szCs w:val="24"/>
                <w:highlight w:val="none"/>
                <w:lang w:val="en-US" w:eastAsia="zh-CN"/>
              </w:rPr>
              <w:t>1.</w:t>
            </w:r>
            <w:r>
              <w:rPr>
                <w:rFonts w:hint="eastAsia" w:ascii="宋体" w:hAnsi="宋体" w:eastAsia="宋体" w:cs="宋体"/>
                <w:b/>
                <w:bCs/>
                <w:color w:val="auto"/>
                <w:spacing w:val="-1"/>
                <w:sz w:val="24"/>
                <w:szCs w:val="24"/>
                <w:highlight w:val="none"/>
                <w:lang w:val="en-US" w:eastAsia="zh-CN"/>
              </w:rPr>
              <w:t>投标文件满足招标文件第五章《采购需求》中★号</w:t>
            </w:r>
            <w:r>
              <w:rPr>
                <w:rFonts w:hint="eastAsia" w:cs="宋体"/>
                <w:b/>
                <w:bCs/>
                <w:color w:val="auto"/>
                <w:spacing w:val="-1"/>
                <w:sz w:val="24"/>
                <w:szCs w:val="24"/>
                <w:highlight w:val="none"/>
                <w:lang w:val="en-US" w:eastAsia="zh-CN"/>
              </w:rPr>
              <w:t>（如有）</w:t>
            </w:r>
            <w:r>
              <w:rPr>
                <w:rFonts w:hint="eastAsia" w:ascii="宋体" w:hAnsi="宋体" w:eastAsia="宋体" w:cs="宋体"/>
                <w:b/>
                <w:bCs/>
                <w:color w:val="auto"/>
                <w:spacing w:val="-1"/>
                <w:sz w:val="24"/>
                <w:szCs w:val="24"/>
                <w:highlight w:val="none"/>
                <w:lang w:val="en-US" w:eastAsia="zh-CN"/>
              </w:rPr>
              <w:t>条款要求</w:t>
            </w:r>
            <w:r>
              <w:rPr>
                <w:rFonts w:hint="eastAsia" w:cs="宋体"/>
                <w:b/>
                <w:bCs/>
                <w:color w:val="auto"/>
                <w:spacing w:val="-1"/>
                <w:sz w:val="24"/>
                <w:szCs w:val="24"/>
                <w:highlight w:val="none"/>
                <w:lang w:val="en-US" w:eastAsia="zh-CN"/>
              </w:rPr>
              <w:t>，不满足投标无效</w:t>
            </w:r>
            <w:r>
              <w:rPr>
                <w:rFonts w:hint="eastAsia" w:ascii="宋体" w:hAnsi="宋体" w:eastAsia="宋体" w:cs="宋体"/>
                <w:b/>
                <w:bCs/>
                <w:color w:val="auto"/>
                <w:spacing w:val="-1"/>
                <w:sz w:val="24"/>
                <w:szCs w:val="24"/>
                <w:highlight w:val="none"/>
                <w:lang w:val="en-US" w:eastAsia="zh-CN"/>
              </w:rPr>
              <w:t>。</w:t>
            </w:r>
            <w:r>
              <w:rPr>
                <w:rFonts w:hint="eastAsia" w:ascii="宋体" w:hAnsi="宋体" w:eastAsia="宋体" w:cs="宋体"/>
                <w:b/>
                <w:bCs/>
                <w:color w:val="auto"/>
                <w:spacing w:val="-1"/>
                <w:sz w:val="24"/>
                <w:szCs w:val="24"/>
                <w:highlight w:val="none"/>
                <w:lang w:val="en-US" w:eastAsia="zh-CN"/>
              </w:rPr>
              <w:br w:type="textWrapping"/>
            </w:r>
            <w:r>
              <w:rPr>
                <w:rFonts w:hint="eastAsia" w:cs="宋体"/>
                <w:b/>
                <w:bCs/>
                <w:color w:val="auto"/>
                <w:spacing w:val="-1"/>
                <w:sz w:val="24"/>
                <w:szCs w:val="24"/>
                <w:highlight w:val="none"/>
                <w:lang w:val="en-US" w:eastAsia="zh-CN"/>
              </w:rPr>
              <w:t>2.</w:t>
            </w:r>
            <w:r>
              <w:rPr>
                <w:rFonts w:hint="eastAsia" w:ascii="宋体" w:hAnsi="宋体" w:eastAsia="宋体" w:cs="宋体"/>
                <w:b/>
                <w:bCs/>
                <w:color w:val="auto"/>
                <w:spacing w:val="-1"/>
                <w:sz w:val="24"/>
                <w:szCs w:val="24"/>
                <w:highlight w:val="none"/>
                <w:lang w:val="en-US" w:eastAsia="zh-CN"/>
              </w:rPr>
              <w:t>投标文件存在招标文件第五章《采购需求》中</w:t>
            </w:r>
            <w:r>
              <w:rPr>
                <w:rFonts w:hint="eastAsia" w:cs="宋体"/>
                <w:b/>
                <w:bCs/>
                <w:color w:val="auto"/>
                <w:spacing w:val="-1"/>
                <w:sz w:val="24"/>
                <w:szCs w:val="24"/>
                <w:highlight w:val="none"/>
                <w:lang w:val="en-US" w:eastAsia="zh-CN"/>
              </w:rPr>
              <w:t>技术参数偏离＞15项的，投标无效。</w:t>
            </w:r>
          </w:p>
        </w:tc>
      </w:tr>
      <w:tr w14:paraId="2D9D5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46" w:type="dxa"/>
            <w:tcBorders>
              <w:top w:val="single" w:color="000000" w:sz="4" w:space="0"/>
              <w:left w:val="single" w:color="000000" w:sz="4" w:space="0"/>
            </w:tcBorders>
            <w:vAlign w:val="center"/>
          </w:tcPr>
          <w:p w14:paraId="5F5ADCD9">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val="en-US" w:eastAsia="zh-CN"/>
              </w:rPr>
              <w:t>5</w:t>
            </w:r>
          </w:p>
        </w:tc>
        <w:tc>
          <w:tcPr>
            <w:tcW w:w="825" w:type="dxa"/>
            <w:tcBorders>
              <w:top w:val="single" w:color="000000" w:sz="4" w:space="0"/>
            </w:tcBorders>
            <w:vAlign w:val="center"/>
          </w:tcPr>
          <w:p w14:paraId="39740950">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5"/>
                <w:sz w:val="24"/>
                <w:szCs w:val="24"/>
                <w:highlight w:val="none"/>
              </w:rPr>
              <w:t>商务</w:t>
            </w:r>
            <w:r>
              <w:rPr>
                <w:rFonts w:hint="eastAsia" w:ascii="宋体" w:hAnsi="宋体" w:eastAsia="宋体" w:cs="宋体"/>
                <w:color w:val="auto"/>
                <w:spacing w:val="-5"/>
                <w:sz w:val="24"/>
                <w:szCs w:val="24"/>
                <w:highlight w:val="none"/>
                <w:lang w:val="en-US" w:eastAsia="zh-CN"/>
              </w:rPr>
              <w:t>5</w:t>
            </w:r>
          </w:p>
        </w:tc>
        <w:tc>
          <w:tcPr>
            <w:tcW w:w="2962" w:type="dxa"/>
            <w:tcBorders>
              <w:top w:val="single" w:color="000000" w:sz="4" w:space="0"/>
              <w:right w:val="single" w:color="000000" w:sz="4" w:space="0"/>
            </w:tcBorders>
            <w:vAlign w:val="center"/>
          </w:tcPr>
          <w:p w14:paraId="41AF6855">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en-US" w:bidi="ar"/>
              </w:rPr>
            </w:pPr>
            <w:r>
              <w:rPr>
                <w:rFonts w:hint="eastAsia" w:ascii="宋体" w:hAnsi="宋体" w:eastAsia="宋体" w:cs="宋体"/>
                <w:snapToGrid w:val="0"/>
                <w:color w:val="auto"/>
                <w:kern w:val="0"/>
                <w:sz w:val="24"/>
                <w:szCs w:val="24"/>
                <w:highlight w:val="none"/>
                <w:lang w:val="en-US" w:eastAsia="zh-CN" w:bidi="ar"/>
              </w:rPr>
              <w:t>合同履行期限（交货期限）</w:t>
            </w:r>
          </w:p>
        </w:tc>
        <w:tc>
          <w:tcPr>
            <w:tcW w:w="5100" w:type="dxa"/>
            <w:tcBorders>
              <w:top w:val="single" w:color="000000" w:sz="4" w:space="0"/>
              <w:left w:val="single" w:color="000000" w:sz="4" w:space="0"/>
              <w:bottom w:val="single" w:color="000000" w:sz="4" w:space="0"/>
            </w:tcBorders>
            <w:vAlign w:val="center"/>
          </w:tcPr>
          <w:p w14:paraId="49BFB5EE">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合同签订之日起30天。</w:t>
            </w:r>
          </w:p>
        </w:tc>
      </w:tr>
      <w:tr w14:paraId="7BF22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46" w:type="dxa"/>
            <w:tcBorders>
              <w:top w:val="single" w:color="000000" w:sz="4" w:space="0"/>
              <w:left w:val="single" w:color="000000" w:sz="4" w:space="0"/>
            </w:tcBorders>
            <w:vAlign w:val="center"/>
          </w:tcPr>
          <w:p w14:paraId="5FA9649C">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rPr>
              <w:t>6</w:t>
            </w:r>
          </w:p>
        </w:tc>
        <w:tc>
          <w:tcPr>
            <w:tcW w:w="825" w:type="dxa"/>
            <w:tcBorders>
              <w:top w:val="single" w:color="000000" w:sz="4" w:space="0"/>
            </w:tcBorders>
            <w:vAlign w:val="center"/>
          </w:tcPr>
          <w:p w14:paraId="3A984235">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5"/>
                <w:sz w:val="24"/>
                <w:szCs w:val="24"/>
                <w:highlight w:val="none"/>
              </w:rPr>
              <w:t>商务</w:t>
            </w:r>
            <w:r>
              <w:rPr>
                <w:rFonts w:hint="eastAsia" w:ascii="宋体" w:hAnsi="宋体" w:eastAsia="宋体" w:cs="宋体"/>
                <w:color w:val="auto"/>
                <w:spacing w:val="-5"/>
                <w:sz w:val="24"/>
                <w:szCs w:val="24"/>
                <w:highlight w:val="none"/>
                <w:lang w:val="en-US" w:eastAsia="zh-CN"/>
              </w:rPr>
              <w:t>6</w:t>
            </w:r>
          </w:p>
        </w:tc>
        <w:tc>
          <w:tcPr>
            <w:tcW w:w="2962" w:type="dxa"/>
            <w:tcBorders>
              <w:top w:val="single" w:color="000000" w:sz="4" w:space="0"/>
              <w:right w:val="single" w:color="000000" w:sz="4" w:space="0"/>
            </w:tcBorders>
            <w:vAlign w:val="center"/>
          </w:tcPr>
          <w:p w14:paraId="129A41E1">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质保期</w:t>
            </w:r>
          </w:p>
        </w:tc>
        <w:tc>
          <w:tcPr>
            <w:tcW w:w="5100" w:type="dxa"/>
            <w:tcBorders>
              <w:top w:val="single" w:color="000000" w:sz="4" w:space="0"/>
              <w:left w:val="single" w:color="000000" w:sz="4" w:space="0"/>
              <w:bottom w:val="single" w:color="000000" w:sz="4" w:space="0"/>
            </w:tcBorders>
            <w:vAlign w:val="center"/>
          </w:tcPr>
          <w:p w14:paraId="57000A69">
            <w:pPr>
              <w:keepNext w:val="0"/>
              <w:keepLines w:val="0"/>
              <w:widowControl/>
              <w:suppressLineNumbers w:val="0"/>
              <w:jc w:val="left"/>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5年。</w:t>
            </w:r>
          </w:p>
        </w:tc>
      </w:tr>
      <w:tr w14:paraId="5AC8E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46" w:type="dxa"/>
            <w:tcBorders>
              <w:top w:val="single" w:color="000000" w:sz="4" w:space="0"/>
              <w:left w:val="single" w:color="000000" w:sz="4" w:space="0"/>
            </w:tcBorders>
            <w:vAlign w:val="center"/>
          </w:tcPr>
          <w:p w14:paraId="75F95486">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spacing w:val="-3"/>
                <w:kern w:val="0"/>
                <w:sz w:val="24"/>
                <w:szCs w:val="24"/>
                <w:lang w:val="en-US" w:eastAsia="zh-CN" w:bidi="ar-SA"/>
              </w:rPr>
            </w:pPr>
            <w:r>
              <w:rPr>
                <w:rFonts w:hint="eastAsia" w:ascii="宋体" w:hAnsi="宋体" w:eastAsia="宋体" w:cs="宋体"/>
                <w:color w:val="auto"/>
                <w:spacing w:val="-3"/>
                <w:sz w:val="24"/>
                <w:szCs w:val="24"/>
                <w:lang w:val="en-US" w:eastAsia="zh-CN"/>
              </w:rPr>
              <w:t>7</w:t>
            </w:r>
          </w:p>
        </w:tc>
        <w:tc>
          <w:tcPr>
            <w:tcW w:w="825" w:type="dxa"/>
            <w:tcBorders>
              <w:top w:val="single" w:color="000000" w:sz="4" w:space="0"/>
            </w:tcBorders>
            <w:vAlign w:val="center"/>
          </w:tcPr>
          <w:p w14:paraId="1F94B1B1">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pacing w:val="-5"/>
                <w:sz w:val="24"/>
                <w:szCs w:val="24"/>
              </w:rPr>
              <w:t>商务</w:t>
            </w:r>
            <w:r>
              <w:rPr>
                <w:rFonts w:hint="eastAsia" w:ascii="宋体" w:hAnsi="宋体" w:eastAsia="宋体" w:cs="宋体"/>
                <w:color w:val="auto"/>
                <w:spacing w:val="-5"/>
                <w:sz w:val="24"/>
                <w:szCs w:val="24"/>
                <w:lang w:val="en-US" w:eastAsia="zh-CN"/>
              </w:rPr>
              <w:t>7</w:t>
            </w:r>
          </w:p>
        </w:tc>
        <w:tc>
          <w:tcPr>
            <w:tcW w:w="2962" w:type="dxa"/>
            <w:tcBorders>
              <w:top w:val="single" w:color="000000" w:sz="4" w:space="0"/>
              <w:right w:val="single" w:color="000000" w:sz="4" w:space="0"/>
            </w:tcBorders>
            <w:vAlign w:val="center"/>
          </w:tcPr>
          <w:p w14:paraId="50307F94">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1" w:firstLineChars="0"/>
              <w:jc w:val="left"/>
              <w:textAlignment w:val="baseline"/>
              <w:outlineLvl w:val="9"/>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1"/>
                <w:sz w:val="24"/>
                <w:szCs w:val="24"/>
              </w:rPr>
              <w:t>投标文件</w:t>
            </w:r>
            <w:r>
              <w:rPr>
                <w:rFonts w:hint="eastAsia" w:cs="宋体"/>
                <w:color w:val="auto"/>
                <w:spacing w:val="-1"/>
                <w:sz w:val="24"/>
                <w:szCs w:val="24"/>
                <w:lang w:eastAsia="zh-CN"/>
              </w:rPr>
              <w:t>格式</w:t>
            </w:r>
          </w:p>
        </w:tc>
        <w:tc>
          <w:tcPr>
            <w:tcW w:w="5100" w:type="dxa"/>
            <w:tcBorders>
              <w:top w:val="single" w:color="000000" w:sz="4" w:space="0"/>
              <w:left w:val="single" w:color="000000" w:sz="4" w:space="0"/>
              <w:bottom w:val="single" w:color="000000" w:sz="4" w:space="0"/>
            </w:tcBorders>
            <w:vAlign w:val="center"/>
          </w:tcPr>
          <w:p w14:paraId="444F2B2D">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3" w:firstLineChars="0"/>
              <w:jc w:val="left"/>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投标文件中包括了招标文件中提供格式的文本，符合招标文件规定。</w:t>
            </w:r>
          </w:p>
        </w:tc>
      </w:tr>
      <w:tr w14:paraId="7BA97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46" w:type="dxa"/>
            <w:tcBorders>
              <w:top w:val="single" w:color="000000" w:sz="4" w:space="0"/>
              <w:left w:val="single" w:color="000000" w:sz="4" w:space="0"/>
            </w:tcBorders>
            <w:vAlign w:val="center"/>
          </w:tcPr>
          <w:p w14:paraId="1488A33B">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spacing w:val="-3"/>
                <w:kern w:val="0"/>
                <w:sz w:val="24"/>
                <w:szCs w:val="24"/>
                <w:lang w:val="en-US" w:eastAsia="zh-CN" w:bidi="ar-SA"/>
              </w:rPr>
            </w:pPr>
            <w:r>
              <w:rPr>
                <w:rFonts w:hint="eastAsia" w:ascii="宋体" w:hAnsi="宋体" w:eastAsia="宋体" w:cs="宋体"/>
                <w:color w:val="auto"/>
                <w:spacing w:val="-3"/>
                <w:sz w:val="24"/>
                <w:szCs w:val="24"/>
                <w:lang w:val="en-US" w:eastAsia="zh-CN"/>
              </w:rPr>
              <w:t>8</w:t>
            </w:r>
          </w:p>
        </w:tc>
        <w:tc>
          <w:tcPr>
            <w:tcW w:w="825" w:type="dxa"/>
            <w:tcBorders>
              <w:top w:val="single" w:color="000000" w:sz="4" w:space="0"/>
            </w:tcBorders>
            <w:vAlign w:val="center"/>
          </w:tcPr>
          <w:p w14:paraId="628CC867">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5"/>
                <w:sz w:val="24"/>
                <w:szCs w:val="24"/>
                <w:highlight w:val="none"/>
              </w:rPr>
              <w:t>商务</w:t>
            </w:r>
            <w:r>
              <w:rPr>
                <w:rFonts w:hint="eastAsia" w:ascii="宋体" w:hAnsi="宋体" w:eastAsia="宋体" w:cs="宋体"/>
                <w:color w:val="auto"/>
                <w:spacing w:val="-5"/>
                <w:sz w:val="24"/>
                <w:szCs w:val="24"/>
                <w:highlight w:val="none"/>
                <w:lang w:val="en-US" w:eastAsia="zh-CN"/>
              </w:rPr>
              <w:t>8</w:t>
            </w:r>
          </w:p>
        </w:tc>
        <w:tc>
          <w:tcPr>
            <w:tcW w:w="2962" w:type="dxa"/>
            <w:tcBorders>
              <w:top w:val="single" w:color="000000" w:sz="4" w:space="0"/>
              <w:right w:val="single" w:color="000000" w:sz="4" w:space="0"/>
            </w:tcBorders>
            <w:vAlign w:val="center"/>
          </w:tcPr>
          <w:p w14:paraId="1F171804">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5" w:firstLineChars="0"/>
              <w:jc w:val="left"/>
              <w:textAlignment w:val="baseline"/>
              <w:outlineLvl w:val="9"/>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pacing w:val="-8"/>
                <w:sz w:val="24"/>
                <w:szCs w:val="24"/>
              </w:rPr>
              <w:t>投标</w:t>
            </w:r>
            <w:r>
              <w:rPr>
                <w:rFonts w:hint="eastAsia" w:cs="宋体"/>
                <w:color w:val="auto"/>
                <w:spacing w:val="-8"/>
                <w:sz w:val="24"/>
                <w:szCs w:val="24"/>
                <w:lang w:eastAsia="zh-CN"/>
              </w:rPr>
              <w:t>文件签字</w:t>
            </w:r>
            <w:r>
              <w:rPr>
                <w:rFonts w:hint="eastAsia" w:ascii="宋体" w:hAnsi="宋体" w:eastAsia="宋体" w:cs="宋体"/>
                <w:color w:val="auto"/>
                <w:spacing w:val="-8"/>
                <w:sz w:val="24"/>
                <w:szCs w:val="24"/>
              </w:rPr>
              <w:t>、盖</w:t>
            </w:r>
            <w:r>
              <w:rPr>
                <w:rFonts w:hint="eastAsia" w:ascii="宋体" w:hAnsi="宋体" w:eastAsia="宋体" w:cs="宋体"/>
                <w:color w:val="auto"/>
                <w:spacing w:val="-9"/>
                <w:sz w:val="24"/>
                <w:szCs w:val="24"/>
              </w:rPr>
              <w:t>章</w:t>
            </w:r>
          </w:p>
        </w:tc>
        <w:tc>
          <w:tcPr>
            <w:tcW w:w="5100" w:type="dxa"/>
            <w:tcBorders>
              <w:top w:val="single" w:color="000000" w:sz="4" w:space="0"/>
              <w:left w:val="single" w:color="000000" w:sz="4" w:space="0"/>
              <w:bottom w:val="single" w:color="000000" w:sz="4" w:space="0"/>
            </w:tcBorders>
            <w:vAlign w:val="center"/>
          </w:tcPr>
          <w:p w14:paraId="256C3EEF">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3" w:firstLineChars="0"/>
              <w:jc w:val="left"/>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投标人按照招标文件规定要求签署、盖章</w:t>
            </w:r>
            <w:r>
              <w:rPr>
                <w:rFonts w:hint="eastAsia" w:ascii="宋体" w:hAnsi="宋体" w:eastAsia="宋体" w:cs="宋体"/>
                <w:color w:val="auto"/>
                <w:spacing w:val="-1"/>
                <w:sz w:val="24"/>
                <w:szCs w:val="24"/>
                <w:lang w:eastAsia="zh-CN"/>
              </w:rPr>
              <w:t>。</w:t>
            </w:r>
          </w:p>
        </w:tc>
      </w:tr>
      <w:tr w14:paraId="39F15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46" w:type="dxa"/>
            <w:tcBorders>
              <w:top w:val="single" w:color="000000" w:sz="4" w:space="0"/>
              <w:left w:val="single" w:color="000000" w:sz="4" w:space="0"/>
              <w:bottom w:val="single" w:color="000000" w:sz="4" w:space="0"/>
            </w:tcBorders>
            <w:vAlign w:val="center"/>
          </w:tcPr>
          <w:p w14:paraId="142FA820">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default" w:ascii="宋体" w:hAnsi="宋体" w:eastAsia="宋体" w:cs="宋体"/>
                <w:snapToGrid w:val="0"/>
                <w:color w:val="auto"/>
                <w:spacing w:val="-3"/>
                <w:kern w:val="0"/>
                <w:sz w:val="24"/>
                <w:szCs w:val="24"/>
                <w:lang w:val="en-US" w:eastAsia="zh-CN" w:bidi="ar-SA"/>
              </w:rPr>
            </w:pPr>
            <w:r>
              <w:rPr>
                <w:rFonts w:hint="eastAsia" w:ascii="宋体" w:hAnsi="宋体" w:eastAsia="宋体" w:cs="宋体"/>
                <w:snapToGrid w:val="0"/>
                <w:color w:val="auto"/>
                <w:spacing w:val="-3"/>
                <w:kern w:val="0"/>
                <w:sz w:val="24"/>
                <w:szCs w:val="24"/>
                <w:lang w:val="en-US" w:eastAsia="zh-CN" w:bidi="ar-SA"/>
              </w:rPr>
              <w:t>9</w:t>
            </w:r>
          </w:p>
        </w:tc>
        <w:tc>
          <w:tcPr>
            <w:tcW w:w="825" w:type="dxa"/>
            <w:tcBorders>
              <w:top w:val="single" w:color="000000" w:sz="4" w:space="0"/>
              <w:bottom w:val="single" w:color="000000" w:sz="4" w:space="0"/>
            </w:tcBorders>
            <w:vAlign w:val="center"/>
          </w:tcPr>
          <w:p w14:paraId="7CB09BA7">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5"/>
                <w:sz w:val="24"/>
                <w:szCs w:val="24"/>
                <w:highlight w:val="none"/>
              </w:rPr>
              <w:t>商务</w:t>
            </w:r>
            <w:r>
              <w:rPr>
                <w:rFonts w:hint="eastAsia" w:ascii="宋体" w:hAnsi="宋体" w:eastAsia="宋体" w:cs="宋体"/>
                <w:color w:val="auto"/>
                <w:spacing w:val="-5"/>
                <w:sz w:val="24"/>
                <w:szCs w:val="24"/>
                <w:highlight w:val="none"/>
                <w:lang w:val="en-US" w:eastAsia="zh-CN"/>
              </w:rPr>
              <w:t>9</w:t>
            </w:r>
          </w:p>
        </w:tc>
        <w:tc>
          <w:tcPr>
            <w:tcW w:w="2962" w:type="dxa"/>
            <w:tcBorders>
              <w:top w:val="single" w:color="000000" w:sz="4" w:space="0"/>
              <w:bottom w:val="single" w:color="000000" w:sz="4" w:space="0"/>
              <w:right w:val="single" w:color="000000" w:sz="4" w:space="0"/>
            </w:tcBorders>
            <w:vAlign w:val="center"/>
          </w:tcPr>
          <w:p w14:paraId="4C7874F7">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其他要求</w:t>
            </w:r>
          </w:p>
        </w:tc>
        <w:tc>
          <w:tcPr>
            <w:tcW w:w="5100" w:type="dxa"/>
            <w:tcBorders>
              <w:top w:val="single" w:color="000000" w:sz="4" w:space="0"/>
              <w:left w:val="single" w:color="000000" w:sz="4" w:space="0"/>
              <w:bottom w:val="single" w:color="000000" w:sz="4" w:space="0"/>
            </w:tcBorders>
            <w:vAlign w:val="center"/>
          </w:tcPr>
          <w:p w14:paraId="70022DF6">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3" w:firstLineChars="0"/>
              <w:jc w:val="left"/>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投标文件未含有采购人不能接受的附加条件的</w:t>
            </w:r>
            <w:r>
              <w:rPr>
                <w:rFonts w:hint="eastAsia" w:ascii="宋体" w:hAnsi="宋体" w:eastAsia="宋体" w:cs="宋体"/>
                <w:color w:val="auto"/>
                <w:spacing w:val="-1"/>
                <w:sz w:val="24"/>
                <w:szCs w:val="24"/>
                <w:lang w:eastAsia="zh-CN"/>
              </w:rPr>
              <w:t>。</w:t>
            </w:r>
          </w:p>
          <w:p w14:paraId="24A0E7C3">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3" w:firstLineChars="0"/>
              <w:jc w:val="left"/>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对招标文件的实质性要求作出响应</w:t>
            </w:r>
            <w:r>
              <w:rPr>
                <w:rFonts w:hint="eastAsia" w:ascii="宋体" w:hAnsi="宋体" w:eastAsia="宋体" w:cs="宋体"/>
                <w:color w:val="auto"/>
                <w:spacing w:val="-1"/>
                <w:sz w:val="24"/>
                <w:szCs w:val="24"/>
                <w:lang w:eastAsia="zh-CN"/>
              </w:rPr>
              <w:t>。</w:t>
            </w:r>
          </w:p>
          <w:p w14:paraId="6DAC8092">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3" w:firstLineChars="0"/>
              <w:jc w:val="left"/>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3</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投标人不存在串通投标行为</w:t>
            </w:r>
            <w:r>
              <w:rPr>
                <w:rFonts w:hint="eastAsia" w:ascii="宋体" w:hAnsi="宋体" w:eastAsia="宋体" w:cs="宋体"/>
                <w:color w:val="auto"/>
                <w:spacing w:val="-1"/>
                <w:sz w:val="24"/>
                <w:szCs w:val="24"/>
                <w:lang w:eastAsia="zh-CN"/>
              </w:rPr>
              <w:t>。</w:t>
            </w:r>
          </w:p>
          <w:p w14:paraId="2EC1D283">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3" w:firstLineChars="0"/>
              <w:jc w:val="left"/>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投标人、投标文件不存在不符合法律、法规和招标文件规定的其他无效情形。</w:t>
            </w:r>
          </w:p>
        </w:tc>
      </w:tr>
      <w:tr w14:paraId="1BF7C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46" w:type="dxa"/>
            <w:tcBorders>
              <w:top w:val="single" w:color="000000" w:sz="4" w:space="0"/>
              <w:left w:val="single" w:color="000000" w:sz="4" w:space="0"/>
            </w:tcBorders>
            <w:shd w:val="clear" w:color="auto" w:fill="auto"/>
            <w:vAlign w:val="center"/>
          </w:tcPr>
          <w:p w14:paraId="29E17E10">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spacing w:val="-3"/>
                <w:kern w:val="0"/>
                <w:sz w:val="24"/>
                <w:szCs w:val="24"/>
                <w:lang w:val="en-US" w:eastAsia="zh-CN" w:bidi="ar-SA"/>
              </w:rPr>
            </w:pPr>
            <w:r>
              <w:rPr>
                <w:rFonts w:hint="eastAsia" w:cs="宋体"/>
                <w:snapToGrid w:val="0"/>
                <w:color w:val="auto"/>
                <w:spacing w:val="-3"/>
                <w:kern w:val="0"/>
                <w:sz w:val="24"/>
                <w:szCs w:val="24"/>
                <w:lang w:val="en-US" w:eastAsia="zh-CN" w:bidi="ar-SA"/>
              </w:rPr>
              <w:t>10</w:t>
            </w:r>
          </w:p>
        </w:tc>
        <w:tc>
          <w:tcPr>
            <w:tcW w:w="825" w:type="dxa"/>
            <w:tcBorders>
              <w:top w:val="single" w:color="000000" w:sz="4" w:space="0"/>
            </w:tcBorders>
            <w:shd w:val="clear" w:color="auto" w:fill="auto"/>
            <w:vAlign w:val="center"/>
          </w:tcPr>
          <w:p w14:paraId="1FF84CF5">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outlineLvl w:val="9"/>
              <w:rPr>
                <w:rFonts w:hint="eastAsia" w:ascii="宋体" w:hAnsi="宋体" w:eastAsia="宋体" w:cs="宋体"/>
                <w:snapToGrid w:val="0"/>
                <w:color w:val="auto"/>
                <w:spacing w:val="-5"/>
                <w:kern w:val="0"/>
                <w:sz w:val="24"/>
                <w:szCs w:val="24"/>
                <w:highlight w:val="none"/>
                <w:lang w:val="en-US" w:eastAsia="zh-CN" w:bidi="ar-SA"/>
              </w:rPr>
            </w:pPr>
            <w:r>
              <w:rPr>
                <w:rFonts w:hint="eastAsia" w:cs="宋体"/>
                <w:color w:val="auto"/>
                <w:spacing w:val="-5"/>
                <w:sz w:val="24"/>
                <w:szCs w:val="24"/>
                <w:highlight w:val="none"/>
                <w:lang w:val="en-US" w:eastAsia="zh-CN"/>
              </w:rPr>
              <w:t>技术10</w:t>
            </w:r>
          </w:p>
        </w:tc>
        <w:tc>
          <w:tcPr>
            <w:tcW w:w="2962" w:type="dxa"/>
            <w:tcBorders>
              <w:top w:val="single" w:color="000000" w:sz="4" w:space="0"/>
              <w:right w:val="single" w:color="000000" w:sz="4" w:space="0"/>
            </w:tcBorders>
            <w:shd w:val="clear" w:color="auto" w:fill="auto"/>
            <w:vAlign w:val="center"/>
          </w:tcPr>
          <w:p w14:paraId="205D21A9">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zh-CN" w:eastAsia="zh-CN" w:bidi="ar-SA"/>
              </w:rPr>
              <w:t>投标文件技术标必须遵守的统一格式和规范</w:t>
            </w:r>
          </w:p>
        </w:tc>
        <w:tc>
          <w:tcPr>
            <w:tcW w:w="5100" w:type="dxa"/>
            <w:tcBorders>
              <w:top w:val="single" w:color="000000" w:sz="4" w:space="0"/>
              <w:left w:val="single" w:color="000000" w:sz="4" w:space="0"/>
              <w:bottom w:val="single" w:color="000000" w:sz="4" w:space="0"/>
            </w:tcBorders>
            <w:shd w:val="clear" w:color="auto" w:fill="auto"/>
            <w:vAlign w:val="center"/>
          </w:tcPr>
          <w:p w14:paraId="6E41B9CE">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技术标文件（暗标）未按以下“盲评”要求制作的，为无效投标，除下述要求外，不得因暗标格式问题认定为无效投标：</w:t>
            </w:r>
          </w:p>
          <w:p w14:paraId="58A7CDCF">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1.版面要求：A4纸张大小；</w:t>
            </w:r>
          </w:p>
          <w:p w14:paraId="13EBBF08">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2.颜色要求：所有文字、图表均为黑色；</w:t>
            </w:r>
          </w:p>
          <w:p w14:paraId="1AF7C399">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3.字体要求：标题及正文部分所用文字均采用“宋体”四号“常规”字；图、表内的字体及字号不作要求；全部使用中文标点符号；所有字体均不得出现加粗、加色、倾斜、下划线等标记；</w:t>
            </w:r>
          </w:p>
          <w:p w14:paraId="2B90B753">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0914671C">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zh-CN" w:eastAsia="zh-CN" w:bidi="ar-SA"/>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bl>
    <w:p w14:paraId="130019B0">
      <w:pPr>
        <w:keepNext w:val="0"/>
        <w:keepLines w:val="0"/>
        <w:pageBreakBefore w:val="0"/>
        <w:widowControl/>
        <w:kinsoku w:val="0"/>
        <w:wordWrap/>
        <w:overflowPunct/>
        <w:topLinePunct w:val="0"/>
        <w:autoSpaceDE w:val="0"/>
        <w:autoSpaceDN w:val="0"/>
        <w:bidi w:val="0"/>
        <w:adjustRightInd w:val="0"/>
        <w:snapToGrid w:val="0"/>
        <w:spacing w:before="183"/>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本表中符合评审内容要求的写“√”,不符合评审内容要求的写“×”。结论为“合格”或“不合格”。结论不合格的不进入综合评审阶段。审查投标人是否存在串通投标行为：评标委员会发现有下列情形之一的，视为投标人串通投标，其投标无效：</w:t>
      </w:r>
    </w:p>
    <w:p w14:paraId="5CE8F18F">
      <w:pPr>
        <w:bidi w:val="0"/>
        <w:outlineLvl w:val="9"/>
        <w:rPr>
          <w:rFonts w:hint="eastAsia" w:ascii="宋体" w:hAnsi="宋体" w:eastAsia="宋体" w:cs="宋体"/>
          <w:color w:val="auto"/>
          <w:sz w:val="24"/>
          <w:szCs w:val="24"/>
        </w:rPr>
      </w:pPr>
    </w:p>
    <w:p w14:paraId="0FCFA2D8">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一、有下列情形之一的，属于投标人相互串通投标：</w:t>
      </w:r>
    </w:p>
    <w:p w14:paraId="4ABF7C0D">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（一）投标人之间协商投标报价等投标文件的实质性内容；</w:t>
      </w:r>
    </w:p>
    <w:p w14:paraId="2AF4F08B">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（二）投标人之间约定中标人；</w:t>
      </w:r>
    </w:p>
    <w:p w14:paraId="22FE5BAB">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（三）投标人之间约定部分投标人放弃投标或者中标；</w:t>
      </w:r>
    </w:p>
    <w:p w14:paraId="4E4117A1">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（四）属于同一集团、协会、商会等组织成员的投标人按照该组织要求协同投标；</w:t>
      </w:r>
    </w:p>
    <w:p w14:paraId="71058586">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（五）投标人之间为谋取中标或者排斥特定投标人而采取的其他联合行动。</w:t>
      </w:r>
    </w:p>
    <w:p w14:paraId="2AC1DC31">
      <w:pPr>
        <w:bidi w:val="0"/>
        <w:outlineLvl w:val="9"/>
        <w:rPr>
          <w:rFonts w:hint="eastAsia" w:ascii="宋体" w:hAnsi="宋体" w:eastAsia="宋体" w:cs="宋体"/>
          <w:color w:val="auto"/>
          <w:sz w:val="24"/>
          <w:szCs w:val="24"/>
        </w:rPr>
      </w:pPr>
    </w:p>
    <w:p w14:paraId="58ED9BE5">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二、有下列情形之一的，视为投标人相互串通投标：</w:t>
      </w:r>
    </w:p>
    <w:p w14:paraId="5AB98519">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（一）不同投标人的投标文件由同一单位或者个人编制；</w:t>
      </w:r>
    </w:p>
    <w:p w14:paraId="1CA6E024">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（二）不同投标人委托同一单位或者个人办理投标事宜；</w:t>
      </w:r>
    </w:p>
    <w:p w14:paraId="54505F8C">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（三）不同投标人的投标文件载明的项目管理成员为同一人；</w:t>
      </w:r>
    </w:p>
    <w:p w14:paraId="7F480451">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（四）不同投标人的投标文件异常一致或者投标报价呈规律性差异；</w:t>
      </w:r>
    </w:p>
    <w:p w14:paraId="1881839C">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（五）不同投标人的投标文件相互混装；</w:t>
      </w:r>
    </w:p>
    <w:p w14:paraId="6513FA2A">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（六）不同投标人的投标保证金从同一单位或者个人的账户转出；</w:t>
      </w:r>
    </w:p>
    <w:p w14:paraId="01F27B91">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（七）《关于禁止串通招标投标行为的暂行规定》（国家工商行政管理局令第 82 号）第三条规定的串通投标行为；</w:t>
      </w:r>
    </w:p>
    <w:p w14:paraId="500B27C0">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（八）投标人串通投标的其他情形。</w:t>
      </w:r>
    </w:p>
    <w:p w14:paraId="0D2BF0D9">
      <w:pPr>
        <w:bidi w:val="0"/>
        <w:outlineLvl w:val="9"/>
        <w:rPr>
          <w:rFonts w:hint="eastAsia" w:ascii="宋体" w:hAnsi="宋体" w:eastAsia="宋体" w:cs="宋体"/>
          <w:color w:val="auto"/>
          <w:sz w:val="24"/>
          <w:szCs w:val="24"/>
        </w:rPr>
      </w:pPr>
    </w:p>
    <w:p w14:paraId="1E87B8D5">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三、有下列情形之一的，属于采购人与投标人串通投标：</w:t>
      </w:r>
    </w:p>
    <w:p w14:paraId="3FC46A21">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（一）采购人在开标前开启投标文件并将有关信息泄露给其他投标人；</w:t>
      </w:r>
    </w:p>
    <w:p w14:paraId="645781E9">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（二）采购人直接或者间接向投标人泄露标底、评标委员会成员等信息；</w:t>
      </w:r>
    </w:p>
    <w:p w14:paraId="7F237273">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（三）采购人明示或者暗示投标人压低或者抬高投标报价；</w:t>
      </w:r>
    </w:p>
    <w:p w14:paraId="553C1E6F">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（四）采购人授意投标人撤换、修改投标文件；</w:t>
      </w:r>
    </w:p>
    <w:p w14:paraId="56FA0545">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（五）采购人明示或者暗示投标人为特定投标人中标提供方便；</w:t>
      </w:r>
    </w:p>
    <w:p w14:paraId="7EA13238">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（六）采购人与投标人为谋求特定投标人中标而采取的其他串通行为。</w:t>
      </w:r>
    </w:p>
    <w:p w14:paraId="6EEE4913">
      <w:pPr>
        <w:bidi w:val="0"/>
        <w:outlineLvl w:val="9"/>
        <w:rPr>
          <w:rFonts w:hint="eastAsia" w:ascii="宋体" w:hAnsi="宋体" w:eastAsia="宋体" w:cs="宋体"/>
          <w:color w:val="auto"/>
          <w:sz w:val="24"/>
          <w:szCs w:val="24"/>
        </w:rPr>
      </w:pPr>
    </w:p>
    <w:p w14:paraId="5F907252">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注：经评标委员会评审合格投标人的家数不足三家，该项目废标，采购人有权委托采购代理机构重新组织招标。</w:t>
      </w:r>
    </w:p>
    <w:p w14:paraId="49627942">
      <w:pPr>
        <w:bidi w:val="0"/>
        <w:outlineLvl w:val="9"/>
        <w:rPr>
          <w:rFonts w:hint="eastAsia" w:ascii="宋体" w:hAnsi="宋体" w:eastAsia="宋体" w:cs="宋体"/>
          <w:color w:val="auto"/>
          <w:sz w:val="24"/>
          <w:szCs w:val="24"/>
        </w:rPr>
      </w:pPr>
    </w:p>
    <w:p w14:paraId="63C83C58">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3.2澄清有关问题。对投标文件中含义不明确、同类问题表述不一致或者有明显文字和计算错误的内容，评标委员会可以书面形式要求投标人做出必要的澄清、说明或者纠正。投标人的澄清、说明或者补正不得超出投标文件的范围或者改变投标文件的实质性内容。投标人的澄清、说明或者补正应当采用书面形式，由投标人单位负责人或其授权代理人签字 （须提交签字人身份证件并与投标文件签字人一致），并不得超出投标文件的范围或者改 变投标文件的实质性内容。投标人拒不进行澄清、说明、补正的，或者不能在规定时间内 作出书面澄清、说明、补正的，评标委员会将拒绝其投标。</w:t>
      </w:r>
    </w:p>
    <w:p w14:paraId="136AC9B7">
      <w:pPr>
        <w:bidi w:val="0"/>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 评标委员会将允许修正投标文件中不构成重大偏离的细微偏离，但这些修正应不会 对实质上响应招标文件要求的投标人的竞争地位（相互排序）产生不公正的影响。</w:t>
      </w:r>
    </w:p>
    <w:p w14:paraId="2F89B4FC">
      <w:pPr>
        <w:bidi w:val="0"/>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3.2.2 投标文件报价出现前后不一致的，除招标文件另有规定外，按照下列规定修正：（一）投标文件中开标一览表（报价表）内容与投标文件中相应内容不一致的，以开标一览表（报价表）为准；</w:t>
      </w:r>
    </w:p>
    <w:p w14:paraId="24370278">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（二）大写金额和小写金额不一致的，以大写金额为准；</w:t>
      </w:r>
    </w:p>
    <w:p w14:paraId="62B73FFD">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（三）单价金额小数点或者百分比有明显错位的，以开标一览表的总价为准，并修改单价；</w:t>
      </w:r>
    </w:p>
    <w:p w14:paraId="7C939510">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（四）总价金额与按单价汇总金额不一致的，以单价金额计算结果为准。同时出现两种以上不一致的，按照规定的顺序修正。修正后的报价经投标人确认后产生约束力，投标人不确认的，其投标无效。</w:t>
      </w:r>
    </w:p>
    <w:p w14:paraId="4A272C68">
      <w:pPr>
        <w:bidi w:val="0"/>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3.2.3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 效投标处理。</w:t>
      </w:r>
    </w:p>
    <w:p w14:paraId="70F31FDA">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3.3 评标委员会应当按照招标文件中规定的评标方法和标准，对符合性审查合格的投标文 件进行商务和技术评估，综合比较与评价。</w:t>
      </w:r>
    </w:p>
    <w:p w14:paraId="23C1C2F7">
      <w:pPr>
        <w:bidi w:val="0"/>
        <w:ind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3.3.1 本项目采用综合评分法评标，评标委员会将按下述标准评定中标人：独立对每个投标人的投标文件进行评价，并汇总每个投标人的得分。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8F4ADA3">
      <w:pPr>
        <w:spacing w:before="182" w:line="219" w:lineRule="auto"/>
        <w:ind w:left="15" w:firstLine="238" w:firstLineChars="100"/>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3.3.2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综合评分法评分方法（计算结果精确到小数点后两位</w:t>
      </w:r>
      <w:r>
        <w:rPr>
          <w:rFonts w:hint="eastAsia" w:ascii="宋体" w:hAnsi="宋体" w:eastAsia="宋体" w:cs="宋体"/>
          <w:color w:val="auto"/>
          <w:sz w:val="24"/>
          <w:szCs w:val="24"/>
        </w:rPr>
        <w:t>）：</w:t>
      </w:r>
    </w:p>
    <w:tbl>
      <w:tblPr>
        <w:tblStyle w:val="20"/>
        <w:tblW w:w="9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1488"/>
        <w:gridCol w:w="6624"/>
        <w:gridCol w:w="634"/>
      </w:tblGrid>
      <w:tr w14:paraId="2752C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49" w:type="dxa"/>
            <w:vAlign w:val="center"/>
          </w:tcPr>
          <w:p w14:paraId="290D7C13">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488" w:type="dxa"/>
            <w:vAlign w:val="center"/>
          </w:tcPr>
          <w:p w14:paraId="3098C76E">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评审项目</w:t>
            </w:r>
          </w:p>
        </w:tc>
        <w:tc>
          <w:tcPr>
            <w:tcW w:w="6624" w:type="dxa"/>
            <w:vAlign w:val="center"/>
          </w:tcPr>
          <w:p w14:paraId="6F766E0A">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评审</w:t>
            </w:r>
            <w:r>
              <w:rPr>
                <w:rFonts w:hint="eastAsia" w:ascii="宋体" w:hAnsi="宋体" w:eastAsia="宋体" w:cs="宋体"/>
                <w:b/>
                <w:bCs/>
                <w:color w:val="auto"/>
                <w:sz w:val="24"/>
                <w:szCs w:val="24"/>
              </w:rPr>
              <w:t>标准</w:t>
            </w:r>
          </w:p>
        </w:tc>
        <w:tc>
          <w:tcPr>
            <w:tcW w:w="634" w:type="dxa"/>
            <w:vAlign w:val="center"/>
          </w:tcPr>
          <w:p w14:paraId="6BE54DE3">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r>
      <w:tr w14:paraId="4F0F3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661" w:type="dxa"/>
            <w:gridSpan w:val="3"/>
            <w:vAlign w:val="center"/>
          </w:tcPr>
          <w:p w14:paraId="6E5367C0">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一、价格因素</w:t>
            </w:r>
          </w:p>
        </w:tc>
        <w:tc>
          <w:tcPr>
            <w:tcW w:w="634" w:type="dxa"/>
            <w:vAlign w:val="center"/>
          </w:tcPr>
          <w:p w14:paraId="05A88AD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30</w:t>
            </w:r>
          </w:p>
        </w:tc>
      </w:tr>
      <w:tr w14:paraId="77C9A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549" w:type="dxa"/>
            <w:vAlign w:val="center"/>
          </w:tcPr>
          <w:p w14:paraId="5D57DFE6">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88" w:type="dxa"/>
            <w:vAlign w:val="center"/>
          </w:tcPr>
          <w:p w14:paraId="4A007662">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价格因素分</w:t>
            </w:r>
          </w:p>
        </w:tc>
        <w:tc>
          <w:tcPr>
            <w:tcW w:w="6624" w:type="dxa"/>
            <w:vAlign w:val="center"/>
          </w:tcPr>
          <w:p w14:paraId="3E46A4E3">
            <w:pPr>
              <w:keepNext w:val="0"/>
              <w:keepLines w:val="0"/>
              <w:pageBreakBefore w:val="0"/>
              <w:widowControl/>
              <w:kinsoku w:val="0"/>
              <w:wordWrap/>
              <w:overflowPunct/>
              <w:topLinePunct w:val="0"/>
              <w:autoSpaceDE w:val="0"/>
              <w:autoSpaceDN w:val="0"/>
              <w:bidi w:val="0"/>
              <w:adjustRightInd w:val="0"/>
              <w:snapToGrid w:val="0"/>
              <w:jc w:val="left"/>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价格分应当采用低价优先法计算，即满足招标文件要求且投标价格最低的投标报价为评标基准价，其价格分为满分。其他投标人的价格分统一按照下列公式计算：投标报价得分(评标基准价／投标报价)×30%×100（注：因落实政府采购政策进行价格调整的，以调整后的价格计算评标基准价和投标报价）</w:t>
            </w:r>
          </w:p>
        </w:tc>
        <w:tc>
          <w:tcPr>
            <w:tcW w:w="634" w:type="dxa"/>
            <w:vAlign w:val="center"/>
          </w:tcPr>
          <w:p w14:paraId="49A07146">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30</w:t>
            </w:r>
          </w:p>
        </w:tc>
      </w:tr>
      <w:tr w14:paraId="72F97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661" w:type="dxa"/>
            <w:gridSpan w:val="3"/>
            <w:vAlign w:val="center"/>
          </w:tcPr>
          <w:p w14:paraId="63B04A26">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二、商务因素</w:t>
            </w:r>
          </w:p>
        </w:tc>
        <w:tc>
          <w:tcPr>
            <w:tcW w:w="634" w:type="dxa"/>
            <w:vAlign w:val="center"/>
          </w:tcPr>
          <w:p w14:paraId="7A1DB39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r>
      <w:tr w14:paraId="08B76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9" w:type="dxa"/>
            <w:vAlign w:val="center"/>
          </w:tcPr>
          <w:p w14:paraId="109C391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8" w:type="dxa"/>
            <w:vAlign w:val="center"/>
          </w:tcPr>
          <w:p w14:paraId="16A8576C">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同类业绩</w:t>
            </w:r>
          </w:p>
        </w:tc>
        <w:tc>
          <w:tcPr>
            <w:tcW w:w="6624" w:type="dxa"/>
            <w:vAlign w:val="center"/>
          </w:tcPr>
          <w:p w14:paraId="61A88AFC">
            <w:pPr>
              <w:keepNext w:val="0"/>
              <w:keepLines w:val="0"/>
              <w:pageBreakBefore w:val="0"/>
              <w:widowControl/>
              <w:kinsoku w:val="0"/>
              <w:wordWrap/>
              <w:overflowPunct/>
              <w:topLinePunct w:val="0"/>
              <w:autoSpaceDE w:val="0"/>
              <w:autoSpaceDN w:val="0"/>
              <w:bidi w:val="0"/>
              <w:adjustRightInd w:val="0"/>
              <w:snapToGrid w:val="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每提供一</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highlight w:val="none"/>
              </w:rPr>
              <w:t>同类项目销售业绩得1分，满分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2FC616C">
            <w:pPr>
              <w:keepNext w:val="0"/>
              <w:keepLines w:val="0"/>
              <w:pageBreakBefore w:val="0"/>
              <w:widowControl/>
              <w:kinsoku w:val="0"/>
              <w:wordWrap/>
              <w:overflowPunct/>
              <w:topLinePunct w:val="0"/>
              <w:autoSpaceDE w:val="0"/>
              <w:autoSpaceDN w:val="0"/>
              <w:bidi w:val="0"/>
              <w:adjustRightInd w:val="0"/>
              <w:snapToGrid w:val="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评分依据：投标文件中附合同</w:t>
            </w:r>
            <w:r>
              <w:rPr>
                <w:rFonts w:hint="eastAsia" w:ascii="宋体" w:hAnsi="宋体" w:eastAsia="宋体" w:cs="宋体"/>
                <w:b/>
                <w:bCs/>
                <w:color w:val="auto"/>
                <w:sz w:val="24"/>
                <w:szCs w:val="24"/>
                <w:highlight w:val="none"/>
                <w:lang w:eastAsia="zh-CN"/>
              </w:rPr>
              <w:t>或中标通知书</w:t>
            </w:r>
            <w:r>
              <w:rPr>
                <w:rFonts w:hint="eastAsia" w:ascii="宋体" w:hAnsi="宋体" w:eastAsia="宋体" w:cs="宋体"/>
                <w:b/>
                <w:bCs/>
                <w:color w:val="auto"/>
                <w:sz w:val="24"/>
                <w:szCs w:val="24"/>
                <w:highlight w:val="none"/>
              </w:rPr>
              <w:t>复印件，业绩有效期为202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年1月1日至今，以合同签订时间为准</w:t>
            </w:r>
            <w:r>
              <w:rPr>
                <w:rFonts w:hint="eastAsia" w:ascii="宋体" w:hAnsi="宋体" w:eastAsia="宋体" w:cs="宋体"/>
                <w:b/>
                <w:bCs/>
                <w:color w:val="auto"/>
                <w:sz w:val="24"/>
                <w:szCs w:val="24"/>
                <w:highlight w:val="none"/>
                <w:lang w:val="en-US" w:eastAsia="zh-CN"/>
              </w:rPr>
              <w:t>。（投标人销售业绩或制造商的销售业绩均有效）</w:t>
            </w:r>
          </w:p>
        </w:tc>
        <w:tc>
          <w:tcPr>
            <w:tcW w:w="634" w:type="dxa"/>
            <w:vAlign w:val="center"/>
          </w:tcPr>
          <w:p w14:paraId="139CF43E">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r>
      <w:tr w14:paraId="553B3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49" w:type="dxa"/>
            <w:vAlign w:val="center"/>
          </w:tcPr>
          <w:p w14:paraId="01D413CD">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88" w:type="dxa"/>
            <w:shd w:val="clear" w:color="auto" w:fill="auto"/>
            <w:vAlign w:val="center"/>
          </w:tcPr>
          <w:p w14:paraId="1A5DA29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对招标文件技术规格要求的响应程度</w:t>
            </w:r>
          </w:p>
        </w:tc>
        <w:tc>
          <w:tcPr>
            <w:tcW w:w="6624" w:type="dxa"/>
            <w:shd w:val="clear" w:color="auto" w:fill="auto"/>
            <w:vAlign w:val="center"/>
          </w:tcPr>
          <w:p w14:paraId="12A96AAF">
            <w:pPr>
              <w:keepNext w:val="0"/>
              <w:keepLines w:val="0"/>
              <w:pageBreakBefore w:val="0"/>
              <w:widowControl/>
              <w:kinsoku w:val="0"/>
              <w:wordWrap/>
              <w:overflowPunct/>
              <w:topLinePunct w:val="0"/>
              <w:autoSpaceDE w:val="0"/>
              <w:autoSpaceDN w:val="0"/>
              <w:bidi w:val="0"/>
              <w:adjustRightInd w:val="0"/>
              <w:snapToGrid w:val="0"/>
              <w:spacing w:after="157" w:afterLines="50"/>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设备优势性参数(正偏离加分，无偏离或负偏离不加分)</w:t>
            </w:r>
          </w:p>
          <w:p w14:paraId="5394CF98">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lang w:eastAsia="zh-CN"/>
              </w:rPr>
              <w:t>）全自动内镜清洗消毒机</w:t>
            </w:r>
          </w:p>
          <w:p w14:paraId="06E3D4B6">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2.5开门方式：设备选用机动盖，</w:t>
            </w:r>
            <w:r>
              <w:rPr>
                <w:rFonts w:hint="eastAsia" w:asciiTheme="minorEastAsia" w:hAnsiTheme="minorEastAsia" w:eastAsiaTheme="minorEastAsia" w:cstheme="minorEastAsia"/>
                <w:color w:val="auto"/>
                <w:sz w:val="24"/>
                <w:szCs w:val="24"/>
                <w:lang w:val="en-US" w:eastAsia="zh-CN"/>
              </w:rPr>
              <w:t>有</w:t>
            </w:r>
            <w:r>
              <w:rPr>
                <w:rFonts w:hint="eastAsia" w:asciiTheme="minorEastAsia" w:hAnsiTheme="minorEastAsia" w:eastAsiaTheme="minorEastAsia" w:cstheme="minorEastAsia"/>
                <w:color w:val="auto"/>
                <w:sz w:val="24"/>
                <w:szCs w:val="24"/>
                <w:lang w:eastAsia="zh-CN"/>
              </w:rPr>
              <w:t>两种开门方式，在双手拿镜时也可以轻松开启自动门。</w:t>
            </w:r>
          </w:p>
          <w:p w14:paraId="5C7119A9">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（1）开门方式</w:t>
            </w:r>
            <w:r>
              <w:rPr>
                <w:rFonts w:hint="eastAsia" w:asciiTheme="minorEastAsia" w:hAnsiTheme="minorEastAsia" w:eastAsiaTheme="minorEastAsia" w:cstheme="minorEastAsia"/>
                <w:color w:val="auto"/>
                <w:sz w:val="24"/>
                <w:szCs w:val="24"/>
                <w:lang w:val="en-US" w:eastAsia="zh-CN"/>
              </w:rPr>
              <w:t>≥三种</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1分</w:t>
            </w:r>
          </w:p>
          <w:p w14:paraId="4ACB506F">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2.6整机的工作流程、步骤转换及工作时间均在显示屏上显示，设备操作界面为彩色电容触摸屏≥7英寸，设备内置≥9种操作模式，包括常规消毒、早消毒、晚消毒、阳性病人消毒等。</w:t>
            </w:r>
          </w:p>
          <w:p w14:paraId="1ADF690C">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lang w:eastAsia="zh-CN"/>
              </w:rPr>
              <w:t>（1）9种</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操作模式≤</w:t>
            </w:r>
            <w:r>
              <w:rPr>
                <w:rFonts w:hint="eastAsia" w:asciiTheme="minorEastAsia" w:hAnsiTheme="minorEastAsia" w:eastAsiaTheme="minorEastAsia" w:cstheme="minorEastAsia"/>
                <w:color w:val="auto"/>
                <w:sz w:val="24"/>
                <w:szCs w:val="24"/>
                <w:highlight w:val="none"/>
                <w:lang w:eastAsia="zh-CN"/>
              </w:rPr>
              <w:t xml:space="preserve">10种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1分</w:t>
            </w:r>
          </w:p>
          <w:p w14:paraId="13EE8242">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（2）10种</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 xml:space="preserve">操作模式≤11种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2分</w:t>
            </w:r>
          </w:p>
          <w:p w14:paraId="642797D5">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（3）操作模式</w:t>
            </w:r>
            <w:r>
              <w:rPr>
                <w:rFonts w:hint="eastAsia" w:asciiTheme="minorEastAsia" w:hAnsiTheme="minorEastAsia" w:eastAsiaTheme="minorEastAsia" w:cstheme="minorEastAsia"/>
                <w:color w:val="auto"/>
                <w:sz w:val="24"/>
                <w:szCs w:val="24"/>
                <w:highlight w:val="none"/>
                <w:lang w:val="en-US" w:eastAsia="zh-CN"/>
              </w:rPr>
              <w:t xml:space="preserve">＞11种       </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3分</w:t>
            </w:r>
          </w:p>
          <w:p w14:paraId="311B9AA8">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（七）碳13呼吸试验检测仪</w:t>
            </w:r>
          </w:p>
          <w:p w14:paraId="55125673">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16.要求提供设备配套使用的尿素13C呼气试验药盒所提供的制剂采样时长≤30分钟。</w:t>
            </w:r>
          </w:p>
          <w:p w14:paraId="5BFFC03E">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（1）20分钟＜制剂采样时长＜30             1分</w:t>
            </w:r>
          </w:p>
          <w:p w14:paraId="321FEB7F">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（2）制剂采样时长≤20分钟                 2分</w:t>
            </w:r>
          </w:p>
          <w:p w14:paraId="545B45B8">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lang w:eastAsia="zh-CN"/>
              </w:rPr>
              <w:t>）主机内镜-设备优势性参数要求</w:t>
            </w:r>
          </w:p>
          <w:p w14:paraId="1A9C283D">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7.色彩调节：可对红色和蓝色进行调节，红色≥9档，蓝色≥9档</w:t>
            </w:r>
          </w:p>
          <w:p w14:paraId="31EEC693">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（1）12档≤红色＜14档，12档≤蓝色＜14档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1分</w:t>
            </w:r>
          </w:p>
          <w:p w14:paraId="7F69DE47">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（2）14档≤红色＜16档，14档≤蓝色＜16档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2分</w:t>
            </w:r>
          </w:p>
          <w:p w14:paraId="634FFAFC">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红色≥16档，蓝色≥16档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3分</w:t>
            </w:r>
          </w:p>
          <w:p w14:paraId="0EA23CDF">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（三）冷光源</w:t>
            </w:r>
          </w:p>
          <w:p w14:paraId="446A4FD6">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1.具备亮度调节功能≥4档</w:t>
            </w:r>
          </w:p>
          <w:p w14:paraId="15DB7DFD">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（1）5档≤亮度调节＜10档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1分</w:t>
            </w:r>
          </w:p>
          <w:p w14:paraId="5141EA7E">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（2）10档≤亮度调节＜14档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2分</w:t>
            </w:r>
          </w:p>
          <w:p w14:paraId="53957FC9">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（3）亮度调节≥14档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3分</w:t>
            </w:r>
          </w:p>
          <w:p w14:paraId="7849DC92">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（十）高清电子肠镜-设备优势性参数要求</w:t>
            </w:r>
          </w:p>
          <w:p w14:paraId="71F54D4C">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1.5弯曲角度：向上≥180°、向下≥180°，向左≥160°，向右≥160°</w:t>
            </w:r>
          </w:p>
          <w:p w14:paraId="712A928C">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（1）180°＜向上弯曲角度：＜210°          1分</w:t>
            </w:r>
          </w:p>
          <w:p w14:paraId="7046E015">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（2）向上弯曲角度≥210°                   2分</w:t>
            </w:r>
          </w:p>
          <w:p w14:paraId="15F8DB76">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1.6先端部外径：≤12.2mm（加分项）</w:t>
            </w:r>
          </w:p>
          <w:p w14:paraId="6F9BD20C">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（1）12.2mm＜先端部外径≤11.1mm            1分</w:t>
            </w:r>
          </w:p>
          <w:p w14:paraId="4EBE3FE8">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（2）先端部外径＜11.1mm                    2分</w:t>
            </w:r>
          </w:p>
          <w:p w14:paraId="105EF17A">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插入部外径：≤12mm</w:t>
            </w:r>
          </w:p>
          <w:p w14:paraId="287BE24E">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 xml:space="preserve">mm＜插入部外径：＜12mm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1分</w:t>
            </w:r>
          </w:p>
          <w:p w14:paraId="64B1372F">
            <w:pPr>
              <w:keepNext w:val="0"/>
              <w:keepLines w:val="0"/>
              <w:pageBreakBefore w:val="0"/>
              <w:widowControl/>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 xml:space="preserve">）插入部外径≤11.7mm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2分</w:t>
            </w:r>
          </w:p>
          <w:p w14:paraId="6ED06AE4">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2.2视野角：</w:t>
            </w:r>
            <w:r>
              <w:rPr>
                <w:rFonts w:hint="eastAsia" w:asciiTheme="minorEastAsia" w:hAnsiTheme="minorEastAsia" w:eastAsiaTheme="minorEastAsia" w:cstheme="minorEastAsia"/>
                <w:color w:val="000000" w:themeColor="text1"/>
                <w:sz w:val="24"/>
                <w:szCs w:val="24"/>
                <w:highlight w:val="none"/>
                <w:shd w:val="clear" w:color="auto" w:fill="auto"/>
                <w:lang w:eastAsia="zh-CN"/>
                <w14:textFill>
                  <w14:solidFill>
                    <w14:schemeClr w14:val="tx1"/>
                  </w14:solidFill>
                </w14:textFill>
              </w:rPr>
              <w:t>广角≥140°，</w:t>
            </w: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长焦≥45°</w:t>
            </w:r>
          </w:p>
          <w:p w14:paraId="5531D375">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（1）60°＜长焦</w:t>
            </w:r>
            <w:r>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80°                     1分</w:t>
            </w:r>
          </w:p>
          <w:p w14:paraId="6BEE5EB5">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（2）长焦</w:t>
            </w:r>
            <w:r>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 xml:space="preserve">80°                  </w:t>
            </w:r>
            <w:r>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 xml:space="preserve"> 2分</w:t>
            </w:r>
          </w:p>
          <w:p w14:paraId="0824B9E4">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2.6先端部外径：≤13mm</w:t>
            </w:r>
          </w:p>
          <w:p w14:paraId="64AF845C">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（1）12mm≤先端部外径＜13mm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1分</w:t>
            </w:r>
          </w:p>
          <w:p w14:paraId="64AA008C">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先端部外径＜12mm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2分</w:t>
            </w:r>
          </w:p>
          <w:p w14:paraId="7B5F3AB1">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2.8器械钳道内径：≥3.1mm（加分项）</w:t>
            </w:r>
          </w:p>
          <w:p w14:paraId="7D0974BA">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mm＜</w:t>
            </w:r>
            <w:r>
              <w:rPr>
                <w:rFonts w:hint="eastAsia" w:asciiTheme="minorEastAsia" w:hAnsiTheme="minorEastAsia" w:eastAsiaTheme="minorEastAsia" w:cstheme="minorEastAsia"/>
                <w:sz w:val="24"/>
                <w:szCs w:val="24"/>
                <w:lang w:val="en-US" w:eastAsia="zh-CN"/>
              </w:rPr>
              <w:t>器械钳道内</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 xml:space="preserve">mm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1分</w:t>
            </w:r>
          </w:p>
          <w:p w14:paraId="7B56D97A">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器械钳道内＞3.7</w:t>
            </w:r>
            <w:r>
              <w:rPr>
                <w:rFonts w:hint="eastAsia" w:asciiTheme="minorEastAsia" w:hAnsiTheme="minorEastAsia" w:eastAsiaTheme="minorEastAsia" w:cstheme="minorEastAsia"/>
                <w:sz w:val="24"/>
                <w:szCs w:val="24"/>
              </w:rPr>
              <w:t xml:space="preserve">mm </w:t>
            </w:r>
            <w:r>
              <w:rPr>
                <w:rFonts w:hint="eastAsia" w:asciiTheme="minorEastAsia" w:hAnsiTheme="minorEastAsia" w:eastAsiaTheme="minorEastAsia" w:cstheme="minorEastAsia"/>
                <w:sz w:val="24"/>
                <w:szCs w:val="24"/>
                <w:lang w:val="en-US" w:eastAsia="zh-CN"/>
              </w:rPr>
              <w:t xml:space="preserve">                    2分</w:t>
            </w:r>
          </w:p>
          <w:p w14:paraId="3A3FCE42">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en-US"/>
              </w:rPr>
              <w:t>（</w:t>
            </w:r>
            <w:r>
              <w:rPr>
                <w:rFonts w:hint="eastAsia" w:asciiTheme="minorEastAsia" w:hAnsiTheme="minorEastAsia" w:eastAsiaTheme="minorEastAsia" w:cstheme="minorEastAsia"/>
                <w:b/>
                <w:bCs/>
                <w:color w:val="auto"/>
                <w:sz w:val="24"/>
                <w:szCs w:val="24"/>
                <w:lang w:val="en-US" w:eastAsia="zh-CN"/>
              </w:rPr>
              <w:t>十一</w:t>
            </w:r>
            <w:r>
              <w:rPr>
                <w:rFonts w:hint="eastAsia" w:asciiTheme="minorEastAsia" w:hAnsiTheme="minorEastAsia" w:eastAsiaTheme="minorEastAsia" w:cstheme="minorEastAsia"/>
                <w:b/>
                <w:bCs/>
                <w:color w:val="auto"/>
                <w:sz w:val="24"/>
                <w:szCs w:val="24"/>
                <w:lang w:val="en-US" w:eastAsia="en-US"/>
              </w:rPr>
              <w:t>）</w:t>
            </w:r>
            <w:r>
              <w:rPr>
                <w:rFonts w:hint="eastAsia" w:asciiTheme="minorEastAsia" w:hAnsiTheme="minorEastAsia" w:eastAsiaTheme="minorEastAsia" w:cstheme="minorEastAsia"/>
                <w:b/>
                <w:bCs/>
                <w:color w:val="auto"/>
                <w:sz w:val="24"/>
                <w:szCs w:val="24"/>
                <w:lang w:eastAsia="zh-CN"/>
              </w:rPr>
              <w:t>高清电子胃镜-设备优势性参数要求</w:t>
            </w:r>
          </w:p>
          <w:p w14:paraId="419A20F6">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2.1视野角：</w:t>
            </w:r>
            <w:r>
              <w:rPr>
                <w:rFonts w:hint="eastAsia" w:asciiTheme="minorEastAsia" w:hAnsiTheme="minorEastAsia" w:eastAsiaTheme="minorEastAsia" w:cstheme="minorEastAsia"/>
                <w:sz w:val="24"/>
                <w:szCs w:val="24"/>
                <w:highlight w:val="none"/>
                <w:lang w:eastAsia="zh-CN"/>
              </w:rPr>
              <w:t>广角≥140°，</w:t>
            </w:r>
            <w:r>
              <w:rPr>
                <w:rFonts w:hint="eastAsia" w:asciiTheme="minorEastAsia" w:hAnsiTheme="minorEastAsia" w:eastAsiaTheme="minorEastAsia" w:cstheme="minorEastAsia"/>
                <w:sz w:val="24"/>
                <w:szCs w:val="24"/>
                <w:highlight w:val="none"/>
              </w:rPr>
              <w:t>长焦≥4</w:t>
            </w:r>
            <w:r>
              <w:rPr>
                <w:rFonts w:hint="eastAsia" w:asciiTheme="minorEastAsia" w:hAnsiTheme="minorEastAsia" w:eastAsiaTheme="minorEastAsia" w:cstheme="minorEastAsia"/>
                <w:sz w:val="24"/>
                <w:szCs w:val="24"/>
                <w:highlight w:val="none"/>
                <w:lang w:eastAsia="zh-CN"/>
              </w:rPr>
              <w:t>9</w:t>
            </w:r>
            <w:r>
              <w:rPr>
                <w:rFonts w:hint="eastAsia" w:asciiTheme="minorEastAsia" w:hAnsiTheme="minorEastAsia" w:eastAsiaTheme="minorEastAsia" w:cstheme="minorEastAsia"/>
                <w:sz w:val="24"/>
                <w:szCs w:val="24"/>
                <w:highlight w:val="none"/>
              </w:rPr>
              <w:t>°</w:t>
            </w:r>
          </w:p>
          <w:p w14:paraId="409392FB">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（1）60°＜长焦≤80°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1分</w:t>
            </w:r>
          </w:p>
          <w:p w14:paraId="78DD9B06">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（2）长焦</w:t>
            </w:r>
            <w:r>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sz w:val="24"/>
                <w:szCs w:val="24"/>
                <w:highlight w:val="none"/>
              </w:rPr>
              <w:t xml:space="preserve">80°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2分</w:t>
            </w:r>
          </w:p>
          <w:p w14:paraId="1F73C3BA">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2.6插入部外径：≤9.8mm</w:t>
            </w:r>
          </w:p>
          <w:p w14:paraId="61B5519B">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（1）9.7mm≤插入部外径＜9.8mm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1分</w:t>
            </w:r>
          </w:p>
          <w:p w14:paraId="5980F90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r>
              <w:rPr>
                <w:rFonts w:hint="eastAsia" w:asciiTheme="minorEastAsia" w:hAnsiTheme="minorEastAsia" w:eastAsiaTheme="minorEastAsia" w:cstheme="minorEastAsia"/>
                <w:sz w:val="24"/>
                <w:szCs w:val="24"/>
              </w:rPr>
              <w:t xml:space="preserve">（2）插入部外径＜9.7mm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2分</w:t>
            </w:r>
          </w:p>
          <w:p w14:paraId="3BB1CA47">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z w:val="22"/>
                <w:szCs w:val="22"/>
              </w:rPr>
              <w:t>以上参数技术支持资料有要求的以需求为准，没有要求的，技术支持资料包括但不限于：公开发布的印刷资料（彩页或产品宣传册）/国家认可的第三方检测机构出具的检测报告/官方网站发布的技术资料截图等相关证明文件并加盖公章。如证明材料与应答不符，以证明材料为准，不满足上述要求，视为该条技术条款未响应。</w:t>
            </w:r>
          </w:p>
        </w:tc>
        <w:tc>
          <w:tcPr>
            <w:tcW w:w="634" w:type="dxa"/>
            <w:shd w:val="clear" w:color="auto" w:fill="auto"/>
            <w:vAlign w:val="center"/>
          </w:tcPr>
          <w:p w14:paraId="43E1FDC5">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28</w:t>
            </w:r>
          </w:p>
        </w:tc>
      </w:tr>
      <w:tr w14:paraId="3501C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661" w:type="dxa"/>
            <w:gridSpan w:val="3"/>
            <w:noWrap w:val="0"/>
            <w:vAlign w:val="center"/>
          </w:tcPr>
          <w:p w14:paraId="2A13EB1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三、技术因素</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暗标部分</w:t>
            </w:r>
            <w:r>
              <w:rPr>
                <w:rFonts w:hint="eastAsia" w:ascii="宋体" w:hAnsi="宋体" w:eastAsia="宋体" w:cs="宋体"/>
                <w:b/>
                <w:bCs/>
                <w:color w:val="auto"/>
                <w:sz w:val="24"/>
                <w:szCs w:val="24"/>
                <w:lang w:eastAsia="zh-CN"/>
              </w:rPr>
              <w:t>）</w:t>
            </w:r>
          </w:p>
        </w:tc>
        <w:tc>
          <w:tcPr>
            <w:tcW w:w="634" w:type="dxa"/>
            <w:noWrap w:val="0"/>
            <w:vAlign w:val="center"/>
          </w:tcPr>
          <w:p w14:paraId="3E62A8D1">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39</w:t>
            </w:r>
          </w:p>
        </w:tc>
      </w:tr>
      <w:tr w14:paraId="1DFC3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9" w:type="dxa"/>
            <w:shd w:val="clear" w:color="auto" w:fill="auto"/>
            <w:noWrap w:val="0"/>
            <w:vAlign w:val="center"/>
          </w:tcPr>
          <w:p w14:paraId="754B57A6">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rPr>
              <w:t>1</w:t>
            </w:r>
          </w:p>
        </w:tc>
        <w:tc>
          <w:tcPr>
            <w:tcW w:w="1488" w:type="dxa"/>
            <w:shd w:val="clear" w:color="auto" w:fill="auto"/>
            <w:noWrap w:val="0"/>
            <w:vAlign w:val="center"/>
          </w:tcPr>
          <w:p w14:paraId="2DD942E0">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rPr>
              <w:t>项目实施方案</w:t>
            </w:r>
          </w:p>
        </w:tc>
        <w:tc>
          <w:tcPr>
            <w:tcW w:w="6624" w:type="dxa"/>
            <w:shd w:val="clear" w:color="auto" w:fill="auto"/>
            <w:noWrap w:val="0"/>
            <w:vAlign w:val="center"/>
          </w:tcPr>
          <w:p w14:paraId="06F21DC0">
            <w:pPr>
              <w:widowControl/>
              <w:numPr>
                <w:ilvl w:val="0"/>
                <w:numId w:val="0"/>
              </w:numPr>
              <w:spacing w:line="240" w:lineRule="atLeast"/>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供应商针对本项目制定相应的实施方案,包含但不限于以下几个方面：</w:t>
            </w:r>
          </w:p>
          <w:p w14:paraId="77A21BED">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1.项目实施总体方案；</w:t>
            </w:r>
          </w:p>
          <w:p w14:paraId="7C17BB0C">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2.项目实施重点难点分析；</w:t>
            </w:r>
          </w:p>
          <w:p w14:paraId="2D2AD46A">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3.项目实施进度计划保障措施；</w:t>
            </w:r>
          </w:p>
          <w:p w14:paraId="04A4CE67">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4.项目实施时间节点保障措施；</w:t>
            </w:r>
          </w:p>
          <w:p w14:paraId="2ABBCD30">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5.项目实施风险管控保障措施。</w:t>
            </w:r>
          </w:p>
          <w:p w14:paraId="0A77CD98">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实施</w:t>
            </w:r>
            <w:r>
              <w:rPr>
                <w:rFonts w:hint="eastAsia" w:ascii="宋体" w:hAnsi="宋体" w:eastAsia="宋体" w:cs="宋体"/>
                <w:snapToGrid w:val="0"/>
                <w:color w:val="auto"/>
                <w:kern w:val="0"/>
                <w:sz w:val="24"/>
                <w:szCs w:val="24"/>
                <w:lang w:val="en-US" w:eastAsia="zh-CN" w:bidi="ar"/>
              </w:rPr>
              <w:t>方案需针对本项目采购内容及实际特点进行编写，每提供一小项内容适用于本项目且无缺陷的方案得2分，方案内容存在缺陷得1分，</w:t>
            </w:r>
            <w:r>
              <w:rPr>
                <w:rFonts w:ascii="宋体" w:hAnsi="宋体" w:eastAsia="宋体" w:cs="宋体"/>
                <w:sz w:val="24"/>
                <w:szCs w:val="24"/>
              </w:rPr>
              <w:t>不提供不得分</w:t>
            </w:r>
            <w:r>
              <w:rPr>
                <w:rFonts w:hint="eastAsia" w:ascii="宋体" w:hAnsi="宋体" w:eastAsia="宋体" w:cs="宋体"/>
                <w:snapToGrid w:val="0"/>
                <w:color w:val="auto"/>
                <w:kern w:val="0"/>
                <w:sz w:val="24"/>
                <w:szCs w:val="24"/>
                <w:lang w:val="en-US" w:eastAsia="zh-CN" w:bidi="ar"/>
              </w:rPr>
              <w:t>。</w:t>
            </w:r>
          </w:p>
          <w:p w14:paraId="0D9C7975">
            <w:pPr>
              <w:keepNext w:val="0"/>
              <w:keepLines w:val="0"/>
              <w:widowControl/>
              <w:suppressLineNumbers w:val="0"/>
              <w:jc w:val="left"/>
              <w:rPr>
                <w:rFonts w:hint="eastAsia" w:ascii="宋体" w:hAnsi="宋体" w:eastAsia="宋体" w:cs="宋体"/>
                <w:b w:val="0"/>
                <w:bCs/>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
              </w:rPr>
              <w:t>（缺陷是指：方案内容不切合行业实际、不符合国家法规政策、涉及的规范及标准错误，或方案内容生编硬造、套用其他项目方案、简单复制招标文件，或存在不可能实现的夸大情形描述、与实际情况不符，或方案内容过于简略、存在与本目无关的文字内容，或内容不适用本项目实际情况、前后内容不一致，或内容逻辑漏洞、原理错误、地点区域错误）</w:t>
            </w:r>
          </w:p>
        </w:tc>
        <w:tc>
          <w:tcPr>
            <w:tcW w:w="634" w:type="dxa"/>
            <w:shd w:val="clear" w:color="auto" w:fill="auto"/>
            <w:noWrap w:val="0"/>
            <w:vAlign w:val="center"/>
          </w:tcPr>
          <w:p w14:paraId="4CD0A28C">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10</w:t>
            </w:r>
          </w:p>
        </w:tc>
      </w:tr>
      <w:tr w14:paraId="77C85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9" w:type="dxa"/>
            <w:shd w:val="clear" w:color="auto" w:fill="auto"/>
            <w:noWrap w:val="0"/>
            <w:vAlign w:val="center"/>
          </w:tcPr>
          <w:p w14:paraId="0FD5CBD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2</w:t>
            </w:r>
          </w:p>
        </w:tc>
        <w:tc>
          <w:tcPr>
            <w:tcW w:w="1488" w:type="dxa"/>
            <w:shd w:val="clear" w:color="auto" w:fill="auto"/>
            <w:noWrap w:val="0"/>
            <w:vAlign w:val="center"/>
          </w:tcPr>
          <w:p w14:paraId="65E9A10A">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rPr>
              <w:t>售后服务</w:t>
            </w:r>
          </w:p>
        </w:tc>
        <w:tc>
          <w:tcPr>
            <w:tcW w:w="6624" w:type="dxa"/>
            <w:shd w:val="clear" w:color="auto" w:fill="auto"/>
            <w:noWrap w:val="0"/>
            <w:vAlign w:val="center"/>
          </w:tcPr>
          <w:p w14:paraId="32FFD2BD">
            <w:pPr>
              <w:widowControl/>
              <w:numPr>
                <w:ilvl w:val="0"/>
                <w:numId w:val="0"/>
              </w:numPr>
              <w:spacing w:line="240" w:lineRule="atLeast"/>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供应商针对本项目制定相应的</w:t>
            </w:r>
            <w:r>
              <w:rPr>
                <w:rFonts w:hint="eastAsia" w:ascii="宋体" w:hAnsi="宋体" w:eastAsia="宋体" w:cs="宋体"/>
                <w:color w:val="auto"/>
                <w:sz w:val="24"/>
                <w:szCs w:val="24"/>
              </w:rPr>
              <w:t>售后服务</w:t>
            </w:r>
            <w:r>
              <w:rPr>
                <w:rFonts w:hint="eastAsia" w:ascii="宋体" w:hAnsi="宋体" w:eastAsia="宋体" w:cs="宋体"/>
                <w:color w:val="auto"/>
                <w:sz w:val="24"/>
                <w:szCs w:val="24"/>
                <w:lang w:val="en-US" w:eastAsia="zh-CN"/>
              </w:rPr>
              <w:t>方案</w:t>
            </w:r>
            <w:r>
              <w:rPr>
                <w:rFonts w:hint="eastAsia" w:ascii="宋体" w:hAnsi="宋体" w:eastAsia="宋体" w:cs="宋体"/>
                <w:b w:val="0"/>
                <w:bCs/>
                <w:color w:val="auto"/>
                <w:sz w:val="24"/>
                <w:szCs w:val="24"/>
                <w:lang w:val="en-US" w:eastAsia="zh-CN"/>
              </w:rPr>
              <w:t>,包含但不限于以下几个方面：</w:t>
            </w:r>
          </w:p>
          <w:p w14:paraId="09AA8E0C">
            <w:pPr>
              <w:widowControl/>
              <w:numPr>
                <w:ilvl w:val="0"/>
                <w:numId w:val="0"/>
              </w:numPr>
              <w:spacing w:line="240" w:lineRule="atLeast"/>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1.具体的售后服务内容；</w:t>
            </w:r>
          </w:p>
          <w:p w14:paraId="6033457B">
            <w:pPr>
              <w:widowControl/>
              <w:numPr>
                <w:ilvl w:val="0"/>
                <w:numId w:val="0"/>
              </w:numPr>
              <w:spacing w:line="240" w:lineRule="atLeast"/>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2.售后服务机构设置的便捷性；</w:t>
            </w:r>
          </w:p>
          <w:p w14:paraId="3DA2F51A">
            <w:pPr>
              <w:widowControl/>
              <w:numPr>
                <w:ilvl w:val="0"/>
                <w:numId w:val="0"/>
              </w:numPr>
              <w:spacing w:line="240" w:lineRule="atLeast"/>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3.故障响应方式、时间；</w:t>
            </w:r>
          </w:p>
          <w:p w14:paraId="7DF737E8">
            <w:pPr>
              <w:widowControl/>
              <w:numPr>
                <w:ilvl w:val="0"/>
                <w:numId w:val="0"/>
              </w:numPr>
              <w:spacing w:line="240" w:lineRule="atLeast"/>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4.设备维护的经验；</w:t>
            </w:r>
          </w:p>
          <w:p w14:paraId="4E814CFD">
            <w:pPr>
              <w:widowControl/>
              <w:numPr>
                <w:ilvl w:val="0"/>
                <w:numId w:val="0"/>
              </w:numPr>
              <w:spacing w:line="240" w:lineRule="atLeast"/>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z w:val="24"/>
                <w:szCs w:val="24"/>
                <w:lang w:val="en-US" w:eastAsia="zh-CN"/>
              </w:rPr>
              <w:t>5.备品、</w:t>
            </w:r>
            <w:r>
              <w:rPr>
                <w:rFonts w:ascii="宋体" w:hAnsi="宋体" w:eastAsia="宋体" w:cs="宋体"/>
                <w:sz w:val="24"/>
                <w:szCs w:val="24"/>
              </w:rPr>
              <w:t>配件</w:t>
            </w:r>
            <w:r>
              <w:rPr>
                <w:rFonts w:hint="eastAsia" w:ascii="宋体" w:hAnsi="宋体" w:eastAsia="宋体" w:cs="宋体"/>
                <w:sz w:val="24"/>
                <w:szCs w:val="24"/>
                <w:lang w:val="en-US" w:eastAsia="zh-CN"/>
              </w:rPr>
              <w:t>的</w:t>
            </w:r>
            <w:r>
              <w:rPr>
                <w:rFonts w:ascii="宋体" w:hAnsi="宋体" w:eastAsia="宋体" w:cs="宋体"/>
                <w:sz w:val="24"/>
                <w:szCs w:val="24"/>
              </w:rPr>
              <w:t>供应</w:t>
            </w:r>
            <w:r>
              <w:rPr>
                <w:rFonts w:hint="eastAsia" w:ascii="宋体" w:hAnsi="宋体" w:eastAsia="宋体" w:cs="宋体"/>
                <w:sz w:val="24"/>
                <w:szCs w:val="24"/>
                <w:lang w:eastAsia="zh-CN"/>
              </w:rPr>
              <w:t>。</w:t>
            </w:r>
          </w:p>
          <w:p w14:paraId="0BA3A3A3">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color w:val="auto"/>
                <w:sz w:val="24"/>
                <w:szCs w:val="24"/>
                <w:lang w:val="en-US" w:eastAsia="zh-CN"/>
              </w:rPr>
              <w:t>项目售后服务</w:t>
            </w:r>
            <w:r>
              <w:rPr>
                <w:rFonts w:hint="eastAsia" w:ascii="宋体" w:hAnsi="宋体" w:eastAsia="宋体" w:cs="宋体"/>
                <w:snapToGrid w:val="0"/>
                <w:color w:val="auto"/>
                <w:kern w:val="0"/>
                <w:sz w:val="24"/>
                <w:szCs w:val="24"/>
                <w:lang w:val="en-US" w:eastAsia="zh-CN" w:bidi="ar"/>
              </w:rPr>
              <w:t>需针对本项目采购内容及实际特点进行编写，每提供一小项内容适用于本项目且无缺陷的方案得2分，方案内容存在缺陷得1分，</w:t>
            </w:r>
            <w:r>
              <w:rPr>
                <w:rFonts w:ascii="宋体" w:hAnsi="宋体" w:eastAsia="宋体" w:cs="宋体"/>
                <w:sz w:val="24"/>
                <w:szCs w:val="24"/>
              </w:rPr>
              <w:t>不提供不得分</w:t>
            </w:r>
            <w:r>
              <w:rPr>
                <w:rFonts w:hint="eastAsia" w:ascii="宋体" w:hAnsi="宋体" w:eastAsia="宋体" w:cs="宋体"/>
                <w:snapToGrid w:val="0"/>
                <w:color w:val="auto"/>
                <w:kern w:val="0"/>
                <w:sz w:val="24"/>
                <w:szCs w:val="24"/>
                <w:lang w:val="en-US" w:eastAsia="zh-CN" w:bidi="ar"/>
              </w:rPr>
              <w:t>。</w:t>
            </w:r>
          </w:p>
          <w:p w14:paraId="19E5B29F">
            <w:pPr>
              <w:keepNext w:val="0"/>
              <w:keepLines w:val="0"/>
              <w:widowControl/>
              <w:numPr>
                <w:ilvl w:val="0"/>
                <w:numId w:val="0"/>
              </w:numPr>
              <w:suppressLineNumbers w:val="0"/>
              <w:ind w:left="0" w:leftChars="0" w:firstLine="0" w:firstLineChars="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缺陷是指：方案内容不切合行业实际、不符合国家法规政策、涉及的规范及标准错误，或方案内容生编硬造、套用其他项目方案、简单复制招标文件，或存在不可能实现的夸大情形描述、与实际情况不符，或方案内容过于简略、存在与本目无关的文字内容，或内容不适用本项目实际情况、前后内容不一致，或内容逻辑漏洞、原理错误、地点区域错误）</w:t>
            </w:r>
          </w:p>
        </w:tc>
        <w:tc>
          <w:tcPr>
            <w:tcW w:w="634" w:type="dxa"/>
            <w:shd w:val="clear" w:color="auto" w:fill="auto"/>
            <w:noWrap w:val="0"/>
            <w:vAlign w:val="center"/>
          </w:tcPr>
          <w:p w14:paraId="013A0442">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r w14:paraId="44184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9" w:type="dxa"/>
            <w:shd w:val="clear" w:color="auto" w:fill="auto"/>
            <w:noWrap w:val="0"/>
            <w:vAlign w:val="center"/>
          </w:tcPr>
          <w:p w14:paraId="1E715474">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3</w:t>
            </w:r>
          </w:p>
        </w:tc>
        <w:tc>
          <w:tcPr>
            <w:tcW w:w="1488" w:type="dxa"/>
            <w:shd w:val="clear" w:color="auto" w:fill="auto"/>
            <w:noWrap w:val="0"/>
            <w:vAlign w:val="center"/>
          </w:tcPr>
          <w:p w14:paraId="6EED6115">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eastAsia="zh-CN"/>
              </w:rPr>
              <w:t>运行及培训</w:t>
            </w:r>
          </w:p>
        </w:tc>
        <w:tc>
          <w:tcPr>
            <w:tcW w:w="6624" w:type="dxa"/>
            <w:shd w:val="clear" w:color="auto" w:fill="auto"/>
            <w:noWrap w:val="0"/>
            <w:vAlign w:val="center"/>
          </w:tcPr>
          <w:p w14:paraId="7CC02426">
            <w:pPr>
              <w:widowControl/>
              <w:numPr>
                <w:ilvl w:val="0"/>
                <w:numId w:val="0"/>
              </w:numPr>
              <w:spacing w:line="240" w:lineRule="atLeast"/>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供应商针对本项目制定相应的运行及培训</w:t>
            </w:r>
            <w:r>
              <w:rPr>
                <w:rFonts w:hint="eastAsia" w:ascii="宋体" w:hAnsi="宋体" w:eastAsia="宋体" w:cs="宋体"/>
                <w:color w:val="auto"/>
                <w:sz w:val="24"/>
                <w:szCs w:val="24"/>
                <w:lang w:val="en-US" w:eastAsia="zh-CN"/>
              </w:rPr>
              <w:t>方案</w:t>
            </w:r>
            <w:r>
              <w:rPr>
                <w:rFonts w:hint="eastAsia" w:ascii="宋体" w:hAnsi="宋体" w:eastAsia="宋体" w:cs="宋体"/>
                <w:b w:val="0"/>
                <w:bCs/>
                <w:color w:val="auto"/>
                <w:sz w:val="24"/>
                <w:szCs w:val="24"/>
                <w:lang w:val="en-US" w:eastAsia="zh-CN"/>
              </w:rPr>
              <w:t>,包含但不限于以下几个方面：</w:t>
            </w:r>
          </w:p>
          <w:p w14:paraId="6ACCA779">
            <w:pPr>
              <w:widowControl/>
              <w:numPr>
                <w:ilvl w:val="0"/>
                <w:numId w:val="0"/>
              </w:numPr>
              <w:spacing w:line="240" w:lineRule="atLeast"/>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1.培训计划；</w:t>
            </w:r>
          </w:p>
          <w:p w14:paraId="6CAB7647">
            <w:pPr>
              <w:widowControl/>
              <w:numPr>
                <w:ilvl w:val="0"/>
                <w:numId w:val="0"/>
              </w:numPr>
              <w:spacing w:line="240" w:lineRule="atLeast"/>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2.培训内容及目标；</w:t>
            </w:r>
          </w:p>
          <w:p w14:paraId="61011147">
            <w:pPr>
              <w:widowControl/>
              <w:numPr>
                <w:ilvl w:val="0"/>
                <w:numId w:val="0"/>
              </w:numPr>
              <w:spacing w:line="240" w:lineRule="atLeast"/>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3.培训方式；</w:t>
            </w:r>
          </w:p>
          <w:p w14:paraId="25647A42">
            <w:pPr>
              <w:widowControl/>
              <w:numPr>
                <w:ilvl w:val="0"/>
                <w:numId w:val="0"/>
              </w:numPr>
              <w:spacing w:line="240" w:lineRule="atLeast"/>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4.保证培训成效的措施。</w:t>
            </w:r>
          </w:p>
          <w:p w14:paraId="294980C3">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color w:val="auto"/>
                <w:sz w:val="24"/>
                <w:szCs w:val="24"/>
                <w:lang w:val="en-US" w:eastAsia="zh-CN"/>
              </w:rPr>
              <w:t>项目运行及培训</w:t>
            </w:r>
            <w:r>
              <w:rPr>
                <w:rFonts w:hint="eastAsia" w:ascii="宋体" w:hAnsi="宋体" w:eastAsia="宋体" w:cs="宋体"/>
                <w:snapToGrid w:val="0"/>
                <w:color w:val="auto"/>
                <w:kern w:val="0"/>
                <w:sz w:val="24"/>
                <w:szCs w:val="24"/>
                <w:lang w:val="en-US" w:eastAsia="zh-CN" w:bidi="ar"/>
              </w:rPr>
              <w:t>方案需针对本项目采购内容及实际特点进行编写，每提供一小项内容适用于本项目且无缺陷的方案得2分，方案内容存在缺陷得1分，</w:t>
            </w:r>
            <w:r>
              <w:rPr>
                <w:rFonts w:ascii="宋体" w:hAnsi="宋体" w:eastAsia="宋体" w:cs="宋体"/>
                <w:sz w:val="24"/>
                <w:szCs w:val="24"/>
              </w:rPr>
              <w:t>不提供不得分</w:t>
            </w:r>
            <w:r>
              <w:rPr>
                <w:rFonts w:hint="eastAsia" w:ascii="宋体" w:hAnsi="宋体" w:eastAsia="宋体" w:cs="宋体"/>
                <w:snapToGrid w:val="0"/>
                <w:color w:val="auto"/>
                <w:kern w:val="0"/>
                <w:sz w:val="24"/>
                <w:szCs w:val="24"/>
                <w:lang w:val="en-US" w:eastAsia="zh-CN" w:bidi="ar"/>
              </w:rPr>
              <w:t>。</w:t>
            </w:r>
          </w:p>
          <w:p w14:paraId="62CFFD04">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缺陷是指：方案内容不切合行业实际、不符合国家法规政策、涉及的规范及标准错误，或方案内容生编硬造、套用其他项目方案、简单复制招标文件，或存在不可能实现的夸大情形描述、与实际情况不符，或方案内容过于简略、存在与本目无关的文字内容，或内容不适用本项目实际情况、前后内容不一致，或内容逻辑漏洞、原理错误、地点区域错误）</w:t>
            </w:r>
          </w:p>
        </w:tc>
        <w:tc>
          <w:tcPr>
            <w:tcW w:w="634" w:type="dxa"/>
            <w:shd w:val="clear" w:color="auto" w:fill="auto"/>
            <w:noWrap w:val="0"/>
            <w:vAlign w:val="center"/>
          </w:tcPr>
          <w:p w14:paraId="1235396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r>
      <w:tr w14:paraId="04802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9" w:type="dxa"/>
            <w:noWrap w:val="0"/>
            <w:vAlign w:val="center"/>
          </w:tcPr>
          <w:p w14:paraId="02584105">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488" w:type="dxa"/>
            <w:shd w:val="clear" w:color="auto" w:fill="auto"/>
            <w:noWrap w:val="0"/>
            <w:vAlign w:val="center"/>
          </w:tcPr>
          <w:p w14:paraId="51F1525A">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安装调试方案</w:t>
            </w:r>
          </w:p>
        </w:tc>
        <w:tc>
          <w:tcPr>
            <w:tcW w:w="6624" w:type="dxa"/>
            <w:shd w:val="clear" w:color="auto" w:fill="auto"/>
            <w:noWrap w:val="0"/>
            <w:vAlign w:val="center"/>
          </w:tcPr>
          <w:p w14:paraId="15098AE0">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供应商针对本项目制定相应的安装调试方案,包含但不限于以下几个方面：</w:t>
            </w:r>
          </w:p>
          <w:p w14:paraId="01D6B090">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1.安装调试技术保障措施； </w:t>
            </w:r>
          </w:p>
          <w:p w14:paraId="53BFFCA8">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2.安装调试质量保障措施； </w:t>
            </w:r>
          </w:p>
          <w:p w14:paraId="1F21FCDE">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3.安装调试进度保障措施； </w:t>
            </w:r>
          </w:p>
          <w:p w14:paraId="17D4BCA1">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4.安装调试安全保障措施；</w:t>
            </w:r>
          </w:p>
          <w:p w14:paraId="3417C9C7">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项目安装调试方案需针对本项目采购内容及实际特点进行编写，每提供一小项内容适用于本项目且无缺陷的方案得1分，方案内容存在缺陷得0.5分，不提供不得分。</w:t>
            </w:r>
          </w:p>
          <w:p w14:paraId="6811FFD8">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缺陷是指：方案内容不切合行业实际、不符合国家法规政策、涉及的规范及标准错误，或方案内容生编硬造、套用其他项目方案、简单复制招标文件，或存在不可能实现的夸大情形描述、与实际情况不符，或方案内容过于简略、存在与本目无关的文字内容，或内容不适用本项目实际情况、前后内容不一致，或内容逻辑漏洞、原理错误、地点区域错误）</w:t>
            </w:r>
          </w:p>
        </w:tc>
        <w:tc>
          <w:tcPr>
            <w:tcW w:w="634" w:type="dxa"/>
            <w:shd w:val="clear" w:color="auto" w:fill="auto"/>
            <w:noWrap w:val="0"/>
            <w:vAlign w:val="center"/>
          </w:tcPr>
          <w:p w14:paraId="7B1FC364">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r>
      <w:tr w14:paraId="3A3E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9" w:type="dxa"/>
            <w:noWrap w:val="0"/>
            <w:vAlign w:val="center"/>
          </w:tcPr>
          <w:p w14:paraId="0E996BE1">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488" w:type="dxa"/>
            <w:shd w:val="clear" w:color="auto" w:fill="auto"/>
            <w:noWrap w:val="0"/>
            <w:vAlign w:val="center"/>
          </w:tcPr>
          <w:p w14:paraId="173292F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供货保证措施及运输方案</w:t>
            </w:r>
          </w:p>
        </w:tc>
        <w:tc>
          <w:tcPr>
            <w:tcW w:w="6624" w:type="dxa"/>
            <w:shd w:val="clear" w:color="auto" w:fill="auto"/>
            <w:noWrap w:val="0"/>
            <w:vAlign w:val="center"/>
          </w:tcPr>
          <w:p w14:paraId="13F04F6E">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供应商针对本项目制定相应的供货保证措施及运输方案,包含但不限于以下几个方面：</w:t>
            </w:r>
          </w:p>
          <w:p w14:paraId="50FA1CA6">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1.供货流程及时间安排；</w:t>
            </w:r>
          </w:p>
          <w:p w14:paraId="7E3CA757">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2.运输方案及应急措施；</w:t>
            </w:r>
          </w:p>
          <w:p w14:paraId="1FA411AE">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3.运输过程中出现损坏的处理方案； </w:t>
            </w:r>
          </w:p>
          <w:p w14:paraId="788A7B60">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4.到达指定地点后交接、签收、验货方案。</w:t>
            </w:r>
          </w:p>
          <w:p w14:paraId="667C8AB3">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项目</w:t>
            </w:r>
            <w:r>
              <w:rPr>
                <w:rFonts w:hint="eastAsia" w:ascii="宋体" w:hAnsi="宋体" w:eastAsia="宋体" w:cs="宋体"/>
                <w:snapToGrid w:val="0"/>
                <w:color w:val="auto"/>
                <w:kern w:val="0"/>
                <w:sz w:val="24"/>
                <w:szCs w:val="24"/>
                <w:lang w:val="en-US" w:eastAsia="zh-CN" w:bidi="ar-SA"/>
              </w:rPr>
              <w:t>供货保证措施及运输方案</w:t>
            </w:r>
            <w:r>
              <w:rPr>
                <w:rFonts w:hint="eastAsia" w:ascii="宋体" w:hAnsi="宋体" w:eastAsia="宋体" w:cs="宋体"/>
                <w:snapToGrid w:val="0"/>
                <w:color w:val="auto"/>
                <w:kern w:val="0"/>
                <w:sz w:val="24"/>
                <w:szCs w:val="24"/>
                <w:lang w:val="en-US" w:eastAsia="zh-CN" w:bidi="ar"/>
              </w:rPr>
              <w:t>需针对本项目采购内容及实际特点进行编写，每提供一小项内容适用于本项目且无缺陷的方案得1分，方案内容存在缺陷得0.5分，不提供不得分。</w:t>
            </w:r>
          </w:p>
          <w:p w14:paraId="157DCDA7">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缺陷是指：方案内容不切合行业实际、不符合国家法规政策、涉及的规范及标准错误，或方案内容生编硬造、套用其他项目方案、简单复制招标文件，或存在不可能实现的夸大情形描述、与实际情况不符，或方案内容过于简略、存在与本目无关的文字内容，或内容不适用本项目实际情况、前后内容不一致，或内容逻辑漏洞、原理错误、地点区域错误）</w:t>
            </w:r>
          </w:p>
        </w:tc>
        <w:tc>
          <w:tcPr>
            <w:tcW w:w="634" w:type="dxa"/>
            <w:shd w:val="clear" w:color="auto" w:fill="auto"/>
            <w:noWrap w:val="0"/>
            <w:vAlign w:val="center"/>
          </w:tcPr>
          <w:p w14:paraId="6D76C3A3">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r>
      <w:tr w14:paraId="737BB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trPr>
        <w:tc>
          <w:tcPr>
            <w:tcW w:w="549" w:type="dxa"/>
            <w:noWrap w:val="0"/>
            <w:vAlign w:val="center"/>
          </w:tcPr>
          <w:p w14:paraId="56901AA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488" w:type="dxa"/>
            <w:shd w:val="clear" w:color="auto" w:fill="auto"/>
            <w:noWrap w:val="0"/>
            <w:vAlign w:val="center"/>
          </w:tcPr>
          <w:p w14:paraId="41B4E286">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napToGrid w:val="0"/>
                <w:color w:val="auto"/>
                <w:kern w:val="0"/>
                <w:sz w:val="24"/>
                <w:szCs w:val="24"/>
                <w:lang w:val="en-US" w:eastAsia="zh-CN" w:bidi="ar-SA"/>
              </w:rPr>
            </w:pPr>
            <w:r>
              <w:rPr>
                <w:rFonts w:ascii="宋体" w:hAnsi="宋体" w:eastAsia="宋体" w:cs="宋体"/>
                <w:sz w:val="24"/>
                <w:szCs w:val="24"/>
              </w:rPr>
              <w:t>应急方案</w:t>
            </w:r>
          </w:p>
        </w:tc>
        <w:tc>
          <w:tcPr>
            <w:tcW w:w="6624" w:type="dxa"/>
            <w:shd w:val="clear" w:color="auto" w:fill="auto"/>
            <w:noWrap w:val="0"/>
            <w:vAlign w:val="center"/>
          </w:tcPr>
          <w:p w14:paraId="08367CD2">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供应商针对本项目制定相应的应急方案,包含但不限于以下几个方面：</w:t>
            </w:r>
          </w:p>
          <w:p w14:paraId="454D3CFA">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1.供货应急响应；</w:t>
            </w:r>
          </w:p>
          <w:p w14:paraId="647FE3A4">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2.设备故障应急；</w:t>
            </w:r>
          </w:p>
          <w:p w14:paraId="780CD36F">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3.安全事故应急。</w:t>
            </w:r>
          </w:p>
          <w:p w14:paraId="7D050B26">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项目应急方案需针对本项目采购内容及实际特点进行编写，每提供一小项内容适用于本项目且无缺陷的方案得1分，方案内容存在缺陷得0.5分，不提供不得分。</w:t>
            </w:r>
          </w:p>
          <w:p w14:paraId="5DC7F589">
            <w:pPr>
              <w:keepNext w:val="0"/>
              <w:keepLines w:val="0"/>
              <w:widowControl/>
              <w:suppressLineNumbers w:val="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缺陷是指：方案内容不切合行业实际、不符合国家法规政策、涉及的规范及标准错误，或方案内容生编硬造、套用其他项目方案、简单复制招标文件，或存在不可能实现的夸大情形描述、与实际情况不符，或方案内容过于简略、存在与本目无关的文字内容，或内容不适用本项目实际情况、前后内容不一致，或内容逻辑漏洞、原理错误、地点区域错误）</w:t>
            </w:r>
          </w:p>
        </w:tc>
        <w:tc>
          <w:tcPr>
            <w:tcW w:w="634" w:type="dxa"/>
            <w:shd w:val="clear" w:color="auto" w:fill="auto"/>
            <w:noWrap w:val="0"/>
            <w:vAlign w:val="center"/>
          </w:tcPr>
          <w:p w14:paraId="67234649">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r>
      <w:tr w14:paraId="5EBAB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61" w:type="dxa"/>
            <w:gridSpan w:val="3"/>
            <w:vAlign w:val="center"/>
          </w:tcPr>
          <w:p w14:paraId="6B8B2782">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得分合计</w:t>
            </w:r>
          </w:p>
        </w:tc>
        <w:tc>
          <w:tcPr>
            <w:tcW w:w="634" w:type="dxa"/>
            <w:vAlign w:val="center"/>
          </w:tcPr>
          <w:p w14:paraId="56FC77F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bl>
    <w:p w14:paraId="224EEE05">
      <w:pPr>
        <w:bidi w:val="0"/>
        <w:outlineLvl w:val="9"/>
        <w:rPr>
          <w:rFonts w:hint="eastAsia" w:ascii="宋体" w:hAnsi="宋体" w:eastAsia="宋体" w:cs="宋体"/>
          <w:b/>
          <w:bCs/>
          <w:color w:val="auto"/>
          <w:sz w:val="24"/>
          <w:szCs w:val="24"/>
        </w:rPr>
      </w:pPr>
    </w:p>
    <w:p w14:paraId="7DAD782E">
      <w:pPr>
        <w:bidi w:val="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3.3.3 评标委员会在评审时，价格分扣除（如有以下任意一种情况，须在开标一览表中明确标注，否则不予扣除。）：</w:t>
      </w:r>
    </w:p>
    <w:p w14:paraId="5FAEEFF9">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对于列入财政部、发展改革委、生态环境部、市场监管总局发布的《节能产品、环境标志产品政府采购品目清单》但不属于国家强制采购的产品，对其投标价格给予3%的价格扣除，并按照扣除后的价格参加评审，需提供节能产品/环境标志产品清单说明表（格式自拟）。</w:t>
      </w:r>
    </w:p>
    <w:p w14:paraId="63E717E1">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对于列入财政部、国家发改委、信息产业部发布的《无线局域网认证产品政府采购清单》的产品，对其投标价格给予3%的价格扣除，并按扣除后的价格参加评审。采购项目或者分包中既包含清单中产品也包含非清单中产品的，只对列入清单的产品按其在总报价中所占的比例给予价格扣除，需提供无线局域网认证产品政府采购清单说明表（格式自拟）。</w:t>
      </w:r>
    </w:p>
    <w:p w14:paraId="1AB3FB7D">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（3）投标产品同时列入上述多个清单的，将上述规定的价格扣除比例叠加后计算价格扣除。</w:t>
      </w:r>
    </w:p>
    <w:p w14:paraId="1EBAC647">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（4）根据《进一步加大政府采购支持中小企业力度的通知》（财库[2022]19号）规定，</w:t>
      </w:r>
      <w:r>
        <w:rPr>
          <w:rFonts w:hint="eastAsia" w:ascii="宋体" w:hAnsi="宋体" w:eastAsia="宋体" w:cs="宋体"/>
          <w:b/>
          <w:bCs/>
          <w:color w:val="auto"/>
          <w:sz w:val="24"/>
          <w:szCs w:val="24"/>
        </w:rPr>
        <w:t>对小型和微型企业的产品给予10%的价格扣除，并按照扣除后的价格参加评审。</w:t>
      </w:r>
    </w:p>
    <w:p w14:paraId="28F19927">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（5）监狱企业视同小型、微型企业，监狱企业投标的提供省级以上监狱管理局、戒毒管理局(含新疆生产建设兵团)出具的属于监狱企业的证明文件，不再提供《中小企业声明函》；</w:t>
      </w:r>
    </w:p>
    <w:p w14:paraId="4146F8C2">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（6）残疾人福利性单位视同小型、微型企业，残疾人福利性单位属于小型、微型企业的，不重复享受政策。符合条件的残疾人福利性单位在参加政府采购活动时，应当提供《残疾人福利性单位声明函》。</w:t>
      </w:r>
    </w:p>
    <w:p w14:paraId="088431FD">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7）价格扣除的依据：第（1）至（2）条提供投标货物相关认证证书复印件和清单说明表（格式自拟）加盖投标人公章。第（4）条提供《中小企业声明函（货物）》、第（5）条提供由省级以上监狱管理局、戒毒管理局(含新疆生产建设兵团)出具的属于监狱企业的证明文件、第（6）条提供《残疾人福利性单位声明函》。</w:t>
      </w:r>
    </w:p>
    <w:p w14:paraId="761A8839">
      <w:pPr>
        <w:spacing w:before="180" w:line="219" w:lineRule="auto"/>
        <w:ind w:left="15"/>
        <w:outlineLvl w:val="9"/>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3.4</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编写评标报告，推荐中标候选人名单：3名。</w:t>
      </w:r>
    </w:p>
    <w:p w14:paraId="3C6A7A27">
      <w:pPr>
        <w:outlineLvl w:val="9"/>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pP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br w:type="page"/>
      </w:r>
    </w:p>
    <w:p w14:paraId="6E53B663">
      <w:pPr>
        <w:pStyle w:val="2"/>
        <w:keepNext/>
        <w:keepLines/>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b/>
          <w:bCs w:val="0"/>
          <w:color w:val="auto"/>
          <w:sz w:val="32"/>
          <w:szCs w:val="32"/>
        </w:rPr>
      </w:pPr>
      <w:bookmarkStart w:id="36" w:name="_Toc12764"/>
      <w:bookmarkStart w:id="37" w:name="_Toc12484"/>
      <w:r>
        <w:rPr>
          <w:rFonts w:hint="eastAsia"/>
          <w:b/>
          <w:bCs w:val="0"/>
          <w:color w:val="auto"/>
          <w:sz w:val="32"/>
          <w:szCs w:val="32"/>
        </w:rPr>
        <w:t>第四章 合同条款（参考格式）</w:t>
      </w:r>
      <w:bookmarkEnd w:id="36"/>
      <w:bookmarkEnd w:id="37"/>
    </w:p>
    <w:p w14:paraId="19E54855">
      <w:pPr>
        <w:spacing w:line="360" w:lineRule="auto"/>
        <w:ind w:firstLine="480" w:firstLineChars="200"/>
        <w:jc w:val="both"/>
        <w:rPr>
          <w:rFonts w:hint="eastAsia" w:ascii="宋体" w:hAnsi="宋体" w:cs="宋体"/>
          <w:b/>
          <w:color w:val="auto"/>
          <w:sz w:val="24"/>
          <w:szCs w:val="24"/>
        </w:rPr>
      </w:pPr>
      <w:r>
        <w:rPr>
          <w:rFonts w:hint="eastAsia" w:ascii="宋体" w:hAnsi="宋体" w:cs="宋体"/>
          <w:b/>
          <w:color w:val="auto"/>
          <w:sz w:val="24"/>
          <w:szCs w:val="24"/>
        </w:rPr>
        <w:t>（</w:t>
      </w:r>
      <w:r>
        <w:rPr>
          <w:rFonts w:hint="eastAsia" w:ascii="宋体" w:hAnsi="宋体" w:cs="宋体"/>
          <w:b/>
          <w:color w:val="auto"/>
          <w:sz w:val="24"/>
          <w:szCs w:val="24"/>
          <w:lang w:eastAsia="zh-CN"/>
        </w:rPr>
        <w:t>以下合同模版仅供参考，</w:t>
      </w:r>
      <w:r>
        <w:rPr>
          <w:rFonts w:hint="eastAsia" w:ascii="宋体" w:hAnsi="宋体" w:cs="宋体"/>
          <w:b/>
          <w:color w:val="auto"/>
          <w:sz w:val="24"/>
          <w:szCs w:val="24"/>
        </w:rPr>
        <w:t>实际合同以双方签订为准）</w:t>
      </w:r>
    </w:p>
    <w:p w14:paraId="2E0E9DEC">
      <w:pPr>
        <w:spacing w:before="243" w:line="225" w:lineRule="auto"/>
        <w:ind w:left="2897"/>
        <w:outlineLvl w:val="9"/>
        <w:rPr>
          <w:rFonts w:hint="eastAsia" w:ascii="宋体" w:hAnsi="宋体" w:eastAsia="宋体" w:cs="宋体"/>
          <w:color w:val="auto"/>
          <w:sz w:val="31"/>
          <w:szCs w:val="31"/>
        </w:rPr>
      </w:pPr>
      <w:r>
        <w:rPr>
          <w:rFonts w:hint="eastAsia" w:ascii="宋体" w:hAnsi="宋体" w:eastAsia="宋体" w:cs="宋体"/>
          <w:color w:val="auto"/>
          <w:spacing w:val="10"/>
          <w:sz w:val="31"/>
          <w:szCs w:val="31"/>
          <w14:textOutline w14:w="5793" w14:cap="sq" w14:cmpd="sng">
            <w14:solidFill>
              <w14:srgbClr w14:val="000000"/>
            </w14:solidFill>
            <w14:prstDash w14:val="solid"/>
            <w14:bevel/>
          </w14:textOutline>
        </w:rPr>
        <w:t>政府采购合同条款及格式</w:t>
      </w:r>
    </w:p>
    <w:p w14:paraId="0CA2EABD">
      <w:pPr>
        <w:spacing w:before="232" w:line="466" w:lineRule="exact"/>
        <w:ind w:left="494"/>
        <w:outlineLvl w:val="9"/>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合同编号：</w:t>
      </w:r>
    </w:p>
    <w:p w14:paraId="0F12558A">
      <w:pPr>
        <w:spacing w:before="1" w:line="222" w:lineRule="auto"/>
        <w:ind w:left="493"/>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签订地点：</w:t>
      </w:r>
    </w:p>
    <w:p w14:paraId="2CD650C3">
      <w:pPr>
        <w:spacing w:before="177" w:line="221" w:lineRule="auto"/>
        <w:ind w:left="493"/>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签订日期：</w:t>
      </w:r>
    </w:p>
    <w:p w14:paraId="23D22AA4">
      <w:pPr>
        <w:spacing w:before="182" w:line="219" w:lineRule="auto"/>
        <w:ind w:left="492"/>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采购任务编号：</w:t>
      </w:r>
    </w:p>
    <w:p w14:paraId="36B060A3">
      <w:pPr>
        <w:spacing w:before="182" w:line="359" w:lineRule="auto"/>
        <w:ind w:left="14" w:right="92" w:firstLine="490"/>
        <w:outlineLvl w:val="9"/>
        <w:rPr>
          <w:rFonts w:hint="eastAsia" w:ascii="宋体" w:hAnsi="宋体" w:eastAsia="宋体" w:cs="宋体"/>
          <w:color w:val="auto"/>
          <w:sz w:val="24"/>
          <w:szCs w:val="24"/>
        </w:rPr>
      </w:pPr>
      <w:r>
        <w:rPr>
          <w:rFonts w:hint="eastAsia" w:ascii="宋体" w:hAnsi="宋体" w:eastAsia="宋体" w:cs="宋体"/>
          <w:color w:val="auto"/>
          <w:sz w:val="24"/>
          <w:szCs w:val="24"/>
        </w:rPr>
        <w:t>（需方）需求的“</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86"/>
          <w:sz w:val="24"/>
          <w:szCs w:val="24"/>
        </w:rPr>
        <w:t xml:space="preserve"> </w:t>
      </w:r>
      <w:r>
        <w:rPr>
          <w:rFonts w:hint="eastAsia" w:ascii="宋体" w:hAnsi="宋体" w:eastAsia="宋体" w:cs="宋体"/>
          <w:color w:val="auto"/>
          <w:sz w:val="24"/>
          <w:szCs w:val="24"/>
        </w:rPr>
        <w:t>”（货物名称）经以编号为的招标文件在国内公开招</w:t>
      </w:r>
      <w:r>
        <w:rPr>
          <w:rFonts w:hint="eastAsia" w:ascii="宋体" w:hAnsi="宋体" w:eastAsia="宋体" w:cs="宋体"/>
          <w:color w:val="auto"/>
          <w:spacing w:val="-1"/>
          <w:sz w:val="24"/>
          <w:szCs w:val="24"/>
        </w:rPr>
        <w:t>标，经评标委员会评定（供方</w:t>
      </w:r>
      <w:r>
        <w:rPr>
          <w:rFonts w:hint="eastAsia" w:ascii="宋体" w:hAnsi="宋体" w:eastAsia="宋体" w:cs="宋体"/>
          <w:color w:val="auto"/>
          <w:spacing w:val="-19"/>
          <w:sz w:val="24"/>
          <w:szCs w:val="24"/>
        </w:rPr>
        <w:t>）（</w:t>
      </w:r>
      <w:r>
        <w:rPr>
          <w:rFonts w:hint="eastAsia" w:ascii="宋体" w:hAnsi="宋体" w:eastAsia="宋体" w:cs="宋体"/>
          <w:color w:val="auto"/>
          <w:spacing w:val="-1"/>
          <w:sz w:val="24"/>
          <w:szCs w:val="24"/>
        </w:rPr>
        <w:t>包号）为中标单位。供需双方按照《中华人民共和国合同法》和</w:t>
      </w:r>
      <w:r>
        <w:rPr>
          <w:rFonts w:hint="eastAsia" w:ascii="宋体" w:hAnsi="宋体" w:eastAsia="宋体" w:cs="宋体"/>
          <w:color w:val="auto"/>
          <w:spacing w:val="-2"/>
          <w:sz w:val="24"/>
          <w:szCs w:val="24"/>
        </w:rPr>
        <w:t>有关法律法规，遵循平等、自愿、公平和诚实信用原则，同意按照下面的条款和条件订立本合同，共同信守。</w:t>
      </w:r>
    </w:p>
    <w:p w14:paraId="0A8DE358">
      <w:pPr>
        <w:spacing w:before="181" w:line="219" w:lineRule="auto"/>
        <w:ind w:left="497"/>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一、货物名称、产地、规格、数量</w:t>
      </w:r>
    </w:p>
    <w:p w14:paraId="7E7F9125">
      <w:pPr>
        <w:spacing w:line="147" w:lineRule="exact"/>
        <w:outlineLvl w:val="9"/>
        <w:rPr>
          <w:rFonts w:hint="eastAsia" w:ascii="宋体" w:hAnsi="宋体" w:eastAsia="宋体" w:cs="宋体"/>
          <w:color w:val="auto"/>
        </w:rPr>
      </w:pPr>
    </w:p>
    <w:tbl>
      <w:tblPr>
        <w:tblStyle w:val="20"/>
        <w:tblW w:w="938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2"/>
        <w:gridCol w:w="1151"/>
        <w:gridCol w:w="2519"/>
        <w:gridCol w:w="899"/>
        <w:gridCol w:w="1259"/>
        <w:gridCol w:w="2008"/>
      </w:tblGrid>
      <w:tr w14:paraId="27EC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552" w:type="dxa"/>
            <w:tcBorders>
              <w:top w:val="single" w:color="000000" w:sz="2" w:space="0"/>
              <w:left w:val="single" w:color="000000" w:sz="2" w:space="0"/>
            </w:tcBorders>
            <w:vAlign w:val="top"/>
          </w:tcPr>
          <w:p w14:paraId="66D33299">
            <w:pPr>
              <w:pStyle w:val="21"/>
              <w:spacing w:before="81" w:line="219" w:lineRule="auto"/>
              <w:ind w:left="309"/>
              <w:outlineLvl w:val="9"/>
              <w:rPr>
                <w:rFonts w:hint="eastAsia" w:ascii="宋体" w:hAnsi="宋体" w:eastAsia="宋体" w:cs="宋体"/>
                <w:color w:val="auto"/>
              </w:rPr>
            </w:pPr>
            <w:r>
              <w:rPr>
                <w:rFonts w:hint="eastAsia" w:ascii="宋体" w:hAnsi="宋体" w:eastAsia="宋体" w:cs="宋体"/>
                <w:color w:val="auto"/>
                <w:spacing w:val="-4"/>
              </w:rPr>
              <w:t>货物名称</w:t>
            </w:r>
          </w:p>
        </w:tc>
        <w:tc>
          <w:tcPr>
            <w:tcW w:w="1151" w:type="dxa"/>
            <w:tcBorders>
              <w:top w:val="single" w:color="000000" w:sz="2" w:space="0"/>
            </w:tcBorders>
            <w:vAlign w:val="top"/>
          </w:tcPr>
          <w:p w14:paraId="2683E465">
            <w:pPr>
              <w:pStyle w:val="21"/>
              <w:spacing w:before="81" w:line="220" w:lineRule="auto"/>
              <w:ind w:left="457"/>
              <w:outlineLvl w:val="9"/>
              <w:rPr>
                <w:rFonts w:hint="eastAsia" w:ascii="宋体" w:hAnsi="宋体" w:eastAsia="宋体" w:cs="宋体"/>
                <w:color w:val="auto"/>
              </w:rPr>
            </w:pPr>
            <w:r>
              <w:rPr>
                <w:rFonts w:hint="eastAsia" w:ascii="宋体" w:hAnsi="宋体" w:eastAsia="宋体" w:cs="宋体"/>
                <w:color w:val="auto"/>
                <w:spacing w:val="-5"/>
              </w:rPr>
              <w:t>产地</w:t>
            </w:r>
          </w:p>
        </w:tc>
        <w:tc>
          <w:tcPr>
            <w:tcW w:w="2519" w:type="dxa"/>
            <w:tcBorders>
              <w:top w:val="single" w:color="000000" w:sz="2" w:space="0"/>
            </w:tcBorders>
            <w:vAlign w:val="top"/>
          </w:tcPr>
          <w:p w14:paraId="0A89B0E8">
            <w:pPr>
              <w:pStyle w:val="21"/>
              <w:spacing w:before="81" w:line="220" w:lineRule="auto"/>
              <w:ind w:left="1023"/>
              <w:outlineLvl w:val="9"/>
              <w:rPr>
                <w:rFonts w:hint="eastAsia" w:ascii="宋体" w:hAnsi="宋体" w:eastAsia="宋体" w:cs="宋体"/>
                <w:color w:val="auto"/>
              </w:rPr>
            </w:pPr>
            <w:r>
              <w:rPr>
                <w:rFonts w:hint="eastAsia" w:ascii="宋体" w:hAnsi="宋体" w:eastAsia="宋体" w:cs="宋体"/>
                <w:color w:val="auto"/>
                <w:spacing w:val="-6"/>
              </w:rPr>
              <w:t>规格</w:t>
            </w:r>
          </w:p>
        </w:tc>
        <w:tc>
          <w:tcPr>
            <w:tcW w:w="899" w:type="dxa"/>
            <w:tcBorders>
              <w:top w:val="single" w:color="000000" w:sz="2" w:space="0"/>
            </w:tcBorders>
            <w:vAlign w:val="top"/>
          </w:tcPr>
          <w:p w14:paraId="50BB893D">
            <w:pPr>
              <w:pStyle w:val="21"/>
              <w:spacing w:before="81" w:line="220" w:lineRule="auto"/>
              <w:ind w:left="216"/>
              <w:outlineLvl w:val="9"/>
              <w:rPr>
                <w:rFonts w:hint="eastAsia" w:ascii="宋体" w:hAnsi="宋体" w:eastAsia="宋体" w:cs="宋体"/>
                <w:color w:val="auto"/>
              </w:rPr>
            </w:pPr>
            <w:r>
              <w:rPr>
                <w:rFonts w:hint="eastAsia" w:ascii="宋体" w:hAnsi="宋体" w:eastAsia="宋体" w:cs="宋体"/>
                <w:color w:val="auto"/>
                <w:spacing w:val="-6"/>
              </w:rPr>
              <w:t>数量</w:t>
            </w:r>
          </w:p>
        </w:tc>
        <w:tc>
          <w:tcPr>
            <w:tcW w:w="1259" w:type="dxa"/>
            <w:tcBorders>
              <w:top w:val="single" w:color="000000" w:sz="2" w:space="0"/>
            </w:tcBorders>
            <w:vAlign w:val="top"/>
          </w:tcPr>
          <w:p w14:paraId="145C976B">
            <w:pPr>
              <w:pStyle w:val="21"/>
              <w:spacing w:before="80" w:line="219" w:lineRule="auto"/>
              <w:ind w:left="157"/>
              <w:outlineLvl w:val="9"/>
              <w:rPr>
                <w:rFonts w:hint="eastAsia" w:ascii="宋体" w:hAnsi="宋体" w:eastAsia="宋体" w:cs="宋体"/>
                <w:color w:val="auto"/>
              </w:rPr>
            </w:pPr>
            <w:r>
              <w:rPr>
                <w:rFonts w:hint="eastAsia" w:ascii="宋体" w:hAnsi="宋体" w:eastAsia="宋体" w:cs="宋体"/>
                <w:color w:val="auto"/>
                <w:spacing w:val="-3"/>
              </w:rPr>
              <w:t>单价(元)</w:t>
            </w:r>
          </w:p>
        </w:tc>
        <w:tc>
          <w:tcPr>
            <w:tcW w:w="2008" w:type="dxa"/>
            <w:tcBorders>
              <w:top w:val="single" w:color="000000" w:sz="2" w:space="0"/>
              <w:right w:val="single" w:color="000000" w:sz="2" w:space="0"/>
            </w:tcBorders>
            <w:vAlign w:val="top"/>
          </w:tcPr>
          <w:p w14:paraId="6908AB90">
            <w:pPr>
              <w:pStyle w:val="21"/>
              <w:spacing w:before="81" w:line="220" w:lineRule="auto"/>
              <w:ind w:left="295"/>
              <w:outlineLvl w:val="9"/>
              <w:rPr>
                <w:rFonts w:hint="eastAsia" w:ascii="宋体" w:hAnsi="宋体" w:eastAsia="宋体" w:cs="宋体"/>
                <w:color w:val="auto"/>
              </w:rPr>
            </w:pPr>
            <w:r>
              <w:rPr>
                <w:rFonts w:hint="eastAsia" w:ascii="宋体" w:hAnsi="宋体" w:eastAsia="宋体" w:cs="宋体"/>
                <w:color w:val="auto"/>
                <w:spacing w:val="-3"/>
              </w:rPr>
              <w:t>小计金额(元)</w:t>
            </w:r>
          </w:p>
        </w:tc>
      </w:tr>
      <w:tr w14:paraId="71898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552" w:type="dxa"/>
            <w:tcBorders>
              <w:left w:val="single" w:color="000000" w:sz="2" w:space="0"/>
            </w:tcBorders>
            <w:vAlign w:val="top"/>
          </w:tcPr>
          <w:p w14:paraId="053FE27E">
            <w:pPr>
              <w:outlineLvl w:val="9"/>
              <w:rPr>
                <w:rFonts w:hint="eastAsia" w:ascii="宋体" w:hAnsi="宋体" w:eastAsia="宋体" w:cs="宋体"/>
                <w:color w:val="auto"/>
                <w:sz w:val="21"/>
              </w:rPr>
            </w:pPr>
          </w:p>
        </w:tc>
        <w:tc>
          <w:tcPr>
            <w:tcW w:w="1151" w:type="dxa"/>
            <w:vAlign w:val="top"/>
          </w:tcPr>
          <w:p w14:paraId="405F4FF0">
            <w:pPr>
              <w:outlineLvl w:val="9"/>
              <w:rPr>
                <w:rFonts w:hint="eastAsia" w:ascii="宋体" w:hAnsi="宋体" w:eastAsia="宋体" w:cs="宋体"/>
                <w:color w:val="auto"/>
                <w:sz w:val="21"/>
              </w:rPr>
            </w:pPr>
          </w:p>
        </w:tc>
        <w:tc>
          <w:tcPr>
            <w:tcW w:w="2519" w:type="dxa"/>
            <w:vAlign w:val="top"/>
          </w:tcPr>
          <w:p w14:paraId="3529F373">
            <w:pPr>
              <w:outlineLvl w:val="9"/>
              <w:rPr>
                <w:rFonts w:hint="eastAsia" w:ascii="宋体" w:hAnsi="宋体" w:eastAsia="宋体" w:cs="宋体"/>
                <w:color w:val="auto"/>
                <w:sz w:val="21"/>
              </w:rPr>
            </w:pPr>
          </w:p>
        </w:tc>
        <w:tc>
          <w:tcPr>
            <w:tcW w:w="899" w:type="dxa"/>
            <w:vAlign w:val="top"/>
          </w:tcPr>
          <w:p w14:paraId="23F8E5B8">
            <w:pPr>
              <w:outlineLvl w:val="9"/>
              <w:rPr>
                <w:rFonts w:hint="eastAsia" w:ascii="宋体" w:hAnsi="宋体" w:eastAsia="宋体" w:cs="宋体"/>
                <w:color w:val="auto"/>
                <w:sz w:val="21"/>
              </w:rPr>
            </w:pPr>
          </w:p>
        </w:tc>
        <w:tc>
          <w:tcPr>
            <w:tcW w:w="1259" w:type="dxa"/>
            <w:vAlign w:val="top"/>
          </w:tcPr>
          <w:p w14:paraId="4D11F592">
            <w:pPr>
              <w:outlineLvl w:val="9"/>
              <w:rPr>
                <w:rFonts w:hint="eastAsia" w:ascii="宋体" w:hAnsi="宋体" w:eastAsia="宋体" w:cs="宋体"/>
                <w:color w:val="auto"/>
                <w:sz w:val="21"/>
              </w:rPr>
            </w:pPr>
          </w:p>
        </w:tc>
        <w:tc>
          <w:tcPr>
            <w:tcW w:w="2008" w:type="dxa"/>
            <w:tcBorders>
              <w:right w:val="single" w:color="000000" w:sz="2" w:space="0"/>
            </w:tcBorders>
            <w:vAlign w:val="top"/>
          </w:tcPr>
          <w:p w14:paraId="0948958E">
            <w:pPr>
              <w:outlineLvl w:val="9"/>
              <w:rPr>
                <w:rFonts w:hint="eastAsia" w:ascii="宋体" w:hAnsi="宋体" w:eastAsia="宋体" w:cs="宋体"/>
                <w:color w:val="auto"/>
                <w:sz w:val="21"/>
              </w:rPr>
            </w:pPr>
          </w:p>
        </w:tc>
      </w:tr>
      <w:tr w14:paraId="2B3ED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2" w:type="dxa"/>
            <w:tcBorders>
              <w:left w:val="single" w:color="000000" w:sz="2" w:space="0"/>
            </w:tcBorders>
            <w:vAlign w:val="top"/>
          </w:tcPr>
          <w:p w14:paraId="2184980D">
            <w:pPr>
              <w:outlineLvl w:val="9"/>
              <w:rPr>
                <w:rFonts w:hint="eastAsia" w:ascii="宋体" w:hAnsi="宋体" w:eastAsia="宋体" w:cs="宋体"/>
                <w:color w:val="auto"/>
                <w:sz w:val="21"/>
              </w:rPr>
            </w:pPr>
          </w:p>
        </w:tc>
        <w:tc>
          <w:tcPr>
            <w:tcW w:w="1151" w:type="dxa"/>
            <w:vAlign w:val="top"/>
          </w:tcPr>
          <w:p w14:paraId="31393280">
            <w:pPr>
              <w:outlineLvl w:val="9"/>
              <w:rPr>
                <w:rFonts w:hint="eastAsia" w:ascii="宋体" w:hAnsi="宋体" w:eastAsia="宋体" w:cs="宋体"/>
                <w:color w:val="auto"/>
                <w:sz w:val="21"/>
              </w:rPr>
            </w:pPr>
          </w:p>
        </w:tc>
        <w:tc>
          <w:tcPr>
            <w:tcW w:w="2519" w:type="dxa"/>
            <w:vAlign w:val="top"/>
          </w:tcPr>
          <w:p w14:paraId="1BE9F117">
            <w:pPr>
              <w:outlineLvl w:val="9"/>
              <w:rPr>
                <w:rFonts w:hint="eastAsia" w:ascii="宋体" w:hAnsi="宋体" w:eastAsia="宋体" w:cs="宋体"/>
                <w:color w:val="auto"/>
                <w:sz w:val="21"/>
              </w:rPr>
            </w:pPr>
          </w:p>
        </w:tc>
        <w:tc>
          <w:tcPr>
            <w:tcW w:w="899" w:type="dxa"/>
            <w:vAlign w:val="top"/>
          </w:tcPr>
          <w:p w14:paraId="1295FB04">
            <w:pPr>
              <w:outlineLvl w:val="9"/>
              <w:rPr>
                <w:rFonts w:hint="eastAsia" w:ascii="宋体" w:hAnsi="宋体" w:eastAsia="宋体" w:cs="宋体"/>
                <w:color w:val="auto"/>
                <w:sz w:val="21"/>
              </w:rPr>
            </w:pPr>
          </w:p>
        </w:tc>
        <w:tc>
          <w:tcPr>
            <w:tcW w:w="1259" w:type="dxa"/>
            <w:vAlign w:val="top"/>
          </w:tcPr>
          <w:p w14:paraId="5724D8A7">
            <w:pPr>
              <w:outlineLvl w:val="9"/>
              <w:rPr>
                <w:rFonts w:hint="eastAsia" w:ascii="宋体" w:hAnsi="宋体" w:eastAsia="宋体" w:cs="宋体"/>
                <w:color w:val="auto"/>
                <w:sz w:val="21"/>
              </w:rPr>
            </w:pPr>
          </w:p>
        </w:tc>
        <w:tc>
          <w:tcPr>
            <w:tcW w:w="2008" w:type="dxa"/>
            <w:tcBorders>
              <w:right w:val="single" w:color="000000" w:sz="2" w:space="0"/>
            </w:tcBorders>
            <w:vAlign w:val="top"/>
          </w:tcPr>
          <w:p w14:paraId="741467D0">
            <w:pPr>
              <w:outlineLvl w:val="9"/>
              <w:rPr>
                <w:rFonts w:hint="eastAsia" w:ascii="宋体" w:hAnsi="宋体" w:eastAsia="宋体" w:cs="宋体"/>
                <w:color w:val="auto"/>
                <w:sz w:val="21"/>
              </w:rPr>
            </w:pPr>
          </w:p>
        </w:tc>
      </w:tr>
      <w:tr w14:paraId="4DD3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52" w:type="dxa"/>
            <w:tcBorders>
              <w:left w:val="single" w:color="000000" w:sz="2" w:space="0"/>
              <w:bottom w:val="single" w:color="000000" w:sz="2" w:space="0"/>
            </w:tcBorders>
            <w:vAlign w:val="top"/>
          </w:tcPr>
          <w:p w14:paraId="508DA48F">
            <w:pPr>
              <w:outlineLvl w:val="9"/>
              <w:rPr>
                <w:rFonts w:hint="eastAsia" w:ascii="宋体" w:hAnsi="宋体" w:eastAsia="宋体" w:cs="宋体"/>
                <w:color w:val="auto"/>
                <w:sz w:val="21"/>
              </w:rPr>
            </w:pPr>
          </w:p>
        </w:tc>
        <w:tc>
          <w:tcPr>
            <w:tcW w:w="1151" w:type="dxa"/>
            <w:tcBorders>
              <w:bottom w:val="single" w:color="000000" w:sz="2" w:space="0"/>
            </w:tcBorders>
            <w:vAlign w:val="top"/>
          </w:tcPr>
          <w:p w14:paraId="37C7F36B">
            <w:pPr>
              <w:outlineLvl w:val="9"/>
              <w:rPr>
                <w:rFonts w:hint="eastAsia" w:ascii="宋体" w:hAnsi="宋体" w:eastAsia="宋体" w:cs="宋体"/>
                <w:color w:val="auto"/>
                <w:sz w:val="21"/>
              </w:rPr>
            </w:pPr>
          </w:p>
        </w:tc>
        <w:tc>
          <w:tcPr>
            <w:tcW w:w="2519" w:type="dxa"/>
            <w:tcBorders>
              <w:bottom w:val="single" w:color="000000" w:sz="2" w:space="0"/>
            </w:tcBorders>
            <w:vAlign w:val="top"/>
          </w:tcPr>
          <w:p w14:paraId="1D34902A">
            <w:pPr>
              <w:outlineLvl w:val="9"/>
              <w:rPr>
                <w:rFonts w:hint="eastAsia" w:ascii="宋体" w:hAnsi="宋体" w:eastAsia="宋体" w:cs="宋体"/>
                <w:color w:val="auto"/>
                <w:sz w:val="21"/>
              </w:rPr>
            </w:pPr>
          </w:p>
        </w:tc>
        <w:tc>
          <w:tcPr>
            <w:tcW w:w="899" w:type="dxa"/>
            <w:tcBorders>
              <w:bottom w:val="single" w:color="000000" w:sz="2" w:space="0"/>
            </w:tcBorders>
            <w:vAlign w:val="top"/>
          </w:tcPr>
          <w:p w14:paraId="72A54A60">
            <w:pPr>
              <w:outlineLvl w:val="9"/>
              <w:rPr>
                <w:rFonts w:hint="eastAsia" w:ascii="宋体" w:hAnsi="宋体" w:eastAsia="宋体" w:cs="宋体"/>
                <w:color w:val="auto"/>
                <w:sz w:val="21"/>
              </w:rPr>
            </w:pPr>
          </w:p>
        </w:tc>
        <w:tc>
          <w:tcPr>
            <w:tcW w:w="1259" w:type="dxa"/>
            <w:tcBorders>
              <w:bottom w:val="single" w:color="000000" w:sz="2" w:space="0"/>
            </w:tcBorders>
            <w:vAlign w:val="top"/>
          </w:tcPr>
          <w:p w14:paraId="1B9F2C09">
            <w:pPr>
              <w:outlineLvl w:val="9"/>
              <w:rPr>
                <w:rFonts w:hint="eastAsia" w:ascii="宋体" w:hAnsi="宋体" w:eastAsia="宋体" w:cs="宋体"/>
                <w:color w:val="auto"/>
                <w:sz w:val="21"/>
              </w:rPr>
            </w:pPr>
          </w:p>
        </w:tc>
        <w:tc>
          <w:tcPr>
            <w:tcW w:w="2008" w:type="dxa"/>
            <w:tcBorders>
              <w:bottom w:val="single" w:color="000000" w:sz="2" w:space="0"/>
              <w:right w:val="single" w:color="000000" w:sz="2" w:space="0"/>
            </w:tcBorders>
            <w:vAlign w:val="top"/>
          </w:tcPr>
          <w:p w14:paraId="083FC0DE">
            <w:pPr>
              <w:outlineLvl w:val="9"/>
              <w:rPr>
                <w:rFonts w:hint="eastAsia" w:ascii="宋体" w:hAnsi="宋体" w:eastAsia="宋体" w:cs="宋体"/>
                <w:color w:val="auto"/>
                <w:sz w:val="21"/>
              </w:rPr>
            </w:pPr>
          </w:p>
        </w:tc>
      </w:tr>
    </w:tbl>
    <w:p w14:paraId="406DACF3">
      <w:pPr>
        <w:spacing w:before="34" w:line="219" w:lineRule="auto"/>
        <w:ind w:left="497"/>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二、合同价款</w:t>
      </w:r>
    </w:p>
    <w:p w14:paraId="7F339757">
      <w:pPr>
        <w:spacing w:before="183" w:line="219" w:lineRule="auto"/>
        <w:ind w:left="496"/>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合同总价：人民币（大写）元</w:t>
      </w:r>
      <w:r>
        <w:rPr>
          <w:rFonts w:hint="eastAsia" w:ascii="宋体" w:hAnsi="宋体" w:eastAsia="宋体" w:cs="宋体"/>
          <w:color w:val="auto"/>
          <w:spacing w:val="-23"/>
          <w:sz w:val="24"/>
          <w:szCs w:val="24"/>
        </w:rPr>
        <w:t>，（</w:t>
      </w:r>
      <w:r>
        <w:rPr>
          <w:rFonts w:hint="eastAsia" w:ascii="宋体" w:hAnsi="宋体" w:eastAsia="宋体" w:cs="宋体"/>
          <w:color w:val="auto"/>
          <w:spacing w:val="1"/>
          <w:sz w:val="24"/>
          <w:szCs w:val="24"/>
        </w:rPr>
        <w:t>小写）元。</w:t>
      </w:r>
    </w:p>
    <w:p w14:paraId="36446241">
      <w:pPr>
        <w:spacing w:before="184" w:line="466" w:lineRule="exact"/>
        <w:ind w:left="493"/>
        <w:outlineLvl w:val="9"/>
        <w:rPr>
          <w:rFonts w:hint="eastAsia" w:ascii="宋体" w:hAnsi="宋体" w:eastAsia="宋体" w:cs="宋体"/>
          <w:color w:val="auto"/>
          <w:sz w:val="24"/>
          <w:szCs w:val="24"/>
        </w:rPr>
      </w:pPr>
      <w:r>
        <w:rPr>
          <w:rFonts w:hint="eastAsia" w:ascii="宋体" w:hAnsi="宋体" w:eastAsia="宋体" w:cs="宋体"/>
          <w:color w:val="auto"/>
          <w:position w:val="17"/>
          <w:sz w:val="24"/>
          <w:szCs w:val="24"/>
          <w14:textOutline w14:w="4358" w14:cap="sq" w14:cmpd="sng">
            <w14:solidFill>
              <w14:srgbClr w14:val="000000"/>
            </w14:solidFill>
            <w14:prstDash w14:val="solid"/>
            <w14:bevel/>
          </w14:textOutline>
        </w:rPr>
        <w:t>三、交货地点及交货时间</w:t>
      </w:r>
    </w:p>
    <w:p w14:paraId="4577D427">
      <w:pPr>
        <w:spacing w:line="219" w:lineRule="auto"/>
        <w:ind w:left="498"/>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3.1</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交货时间及地点：</w:t>
      </w:r>
    </w:p>
    <w:p w14:paraId="7A9D0EFD">
      <w:pPr>
        <w:spacing w:before="184" w:line="219" w:lineRule="auto"/>
        <w:ind w:left="498"/>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3.1.1</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交货期/合同履行期限：</w:t>
      </w:r>
      <w:r>
        <w:rPr>
          <w:rFonts w:hint="eastAsia" w:ascii="宋体" w:hAnsi="宋体" w:eastAsia="宋体" w:cs="宋体"/>
          <w:color w:val="auto"/>
          <w:spacing w:val="-1"/>
          <w:sz w:val="24"/>
          <w:szCs w:val="24"/>
        </w:rPr>
        <w:t>。</w:t>
      </w:r>
    </w:p>
    <w:p w14:paraId="1C30BAFA">
      <w:pPr>
        <w:spacing w:before="180" w:line="290" w:lineRule="auto"/>
        <w:ind w:left="515" w:right="7321" w:hanging="17"/>
        <w:outlineLvl w:val="9"/>
        <w:rPr>
          <w:rFonts w:hint="eastAsia" w:ascii="宋体" w:hAnsi="宋体" w:eastAsia="宋体" w:cs="宋体"/>
          <w:color w:val="auto"/>
          <w:spacing w:val="2"/>
          <w:position w:val="17"/>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color w:val="auto"/>
          <w:spacing w:val="-7"/>
          <w:sz w:val="24"/>
          <w:szCs w:val="24"/>
          <w14:textOutline w14:w="4358" w14:cap="sq" w14:cmpd="sng">
            <w14:solidFill>
              <w14:srgbClr w14:val="000000"/>
            </w14:solidFill>
            <w14:prstDash w14:val="solid"/>
            <w14:bevel/>
          </w14:textOutline>
        </w:rPr>
        <w:t>3.1.2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7"/>
          <w:sz w:val="24"/>
          <w:szCs w:val="24"/>
          <w14:textOutline w14:w="4358" w14:cap="sq" w14:cmpd="sng">
            <w14:solidFill>
              <w14:srgbClr w14:val="000000"/>
            </w14:solidFill>
            <w14:prstDash w14:val="solid"/>
            <w14:bevel/>
          </w14:textOutline>
        </w:rPr>
        <w:t>地点：</w:t>
      </w:r>
      <w:r>
        <w:rPr>
          <w:rFonts w:hint="eastAsia" w:ascii="宋体" w:hAnsi="宋体" w:eastAsia="宋体" w:cs="宋体"/>
          <w:color w:val="auto"/>
          <w:spacing w:val="2"/>
          <w:position w:val="17"/>
          <w:sz w:val="24"/>
          <w:szCs w:val="24"/>
          <w14:textOutline w14:w="4358" w14:cap="sq" w14:cmpd="sng">
            <w14:solidFill>
              <w14:srgbClr w14:val="000000"/>
            </w14:solidFill>
            <w14:prstDash w14:val="solid"/>
            <w14:bevel/>
          </w14:textOutline>
        </w:rPr>
        <w:t>四、付款</w:t>
      </w:r>
      <w:r>
        <w:rPr>
          <w:rFonts w:hint="eastAsia" w:ascii="宋体" w:hAnsi="宋体" w:eastAsia="宋体" w:cs="宋体"/>
          <w:color w:val="auto"/>
          <w:spacing w:val="2"/>
          <w:position w:val="17"/>
          <w:sz w:val="24"/>
          <w:szCs w:val="24"/>
          <w:lang w:eastAsia="zh-CN"/>
          <w14:textOutline w14:w="4358" w14:cap="sq" w14:cmpd="sng">
            <w14:solidFill>
              <w14:srgbClr w14:val="000000"/>
            </w14:solidFill>
            <w14:prstDash w14:val="solid"/>
            <w14:bevel/>
          </w14:textOutline>
        </w:rPr>
        <w:t>：</w:t>
      </w:r>
    </w:p>
    <w:p w14:paraId="7E07B617">
      <w:pPr>
        <w:spacing w:before="180" w:line="468" w:lineRule="exact"/>
        <w:ind w:left="497"/>
        <w:outlineLvl w:val="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14:textOutline w14:w="4358" w14:cap="sq" w14:cmpd="sng">
            <w14:solidFill>
              <w14:srgbClr w14:val="000000"/>
            </w14:solidFill>
            <w14:prstDash w14:val="solid"/>
            <w14:bevel/>
          </w14:textOutline>
        </w:rPr>
        <w:t>五、安装调试</w:t>
      </w:r>
      <w:r>
        <w:rPr>
          <w:rFonts w:hint="eastAsia" w:ascii="宋体" w:hAnsi="宋体" w:eastAsia="宋体" w:cs="宋体"/>
          <w:color w:val="auto"/>
          <w:spacing w:val="-16"/>
          <w:position w:val="17"/>
          <w:sz w:val="24"/>
          <w:szCs w:val="24"/>
          <w14:textOutline w14:w="4358" w14:cap="sq" w14:cmpd="sng">
            <w14:solidFill>
              <w14:srgbClr w14:val="000000"/>
            </w14:solidFill>
            <w14:prstDash w14:val="solid"/>
            <w14:bevel/>
          </w14:textOutline>
        </w:rPr>
        <w:t>：（</w:t>
      </w:r>
      <w:r>
        <w:rPr>
          <w:rFonts w:hint="eastAsia" w:ascii="宋体" w:hAnsi="宋体" w:eastAsia="宋体" w:cs="宋体"/>
          <w:color w:val="auto"/>
          <w:spacing w:val="2"/>
          <w:position w:val="17"/>
          <w:sz w:val="24"/>
          <w:szCs w:val="24"/>
          <w14:textOutline w14:w="4358" w14:cap="sq" w14:cmpd="sng">
            <w14:solidFill>
              <w14:srgbClr w14:val="000000"/>
            </w14:solidFill>
            <w14:prstDash w14:val="solid"/>
            <w14:bevel/>
          </w14:textOutline>
        </w:rPr>
        <w:t>严格执行国家相关标准）</w:t>
      </w:r>
    </w:p>
    <w:p w14:paraId="0D60961F">
      <w:pPr>
        <w:spacing w:line="220" w:lineRule="auto"/>
        <w:ind w:left="495"/>
        <w:outlineLvl w:val="9"/>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六、验收（严格执行国家相关标准）</w:t>
      </w:r>
    </w:p>
    <w:p w14:paraId="06DB9A16">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1.乙方应在约定的期限内按甲方订货限期要求将产品送至甲方指定的地点。装车、运输、保险等费用由乙方承担。</w:t>
      </w:r>
    </w:p>
    <w:p w14:paraId="2B13D4A7">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2.乙方应按约定的数量交付产品。</w:t>
      </w:r>
    </w:p>
    <w:p w14:paraId="5DC8B353">
      <w:pPr>
        <w:spacing w:before="182" w:line="220" w:lineRule="auto"/>
        <w:ind w:left="492"/>
        <w:outlineLvl w:val="9"/>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七、知识产权及有关规定</w:t>
      </w:r>
    </w:p>
    <w:p w14:paraId="4914DA44">
      <w:pPr>
        <w:spacing w:before="182" w:line="219" w:lineRule="auto"/>
        <w:ind w:left="499"/>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7.1</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
          <w:sz w:val="24"/>
          <w:szCs w:val="24"/>
        </w:rPr>
        <w:t>供方应保证所供货物符合国家的有关规定。</w:t>
      </w:r>
    </w:p>
    <w:p w14:paraId="1F2B19A0">
      <w:pPr>
        <w:spacing w:before="181" w:line="220" w:lineRule="auto"/>
        <w:ind w:left="497"/>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八、伴随服务</w:t>
      </w:r>
    </w:p>
    <w:p w14:paraId="42B189FB">
      <w:pPr>
        <w:spacing w:before="48" w:line="219" w:lineRule="auto"/>
        <w:ind w:left="48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8.1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供方还应提供下列服务：货物的运输、装车。</w:t>
      </w:r>
    </w:p>
    <w:p w14:paraId="5A7FC924">
      <w:pPr>
        <w:spacing w:before="182" w:line="219" w:lineRule="auto"/>
        <w:ind w:left="48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8.2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
          <w:sz w:val="24"/>
          <w:szCs w:val="24"/>
        </w:rPr>
        <w:t>上述伴随服务的费用应包含在合同价中，不单独进行支付。</w:t>
      </w:r>
    </w:p>
    <w:p w14:paraId="1001A254">
      <w:pPr>
        <w:spacing w:before="181" w:line="220" w:lineRule="auto"/>
        <w:ind w:left="486"/>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九、质量保证期及售后服务</w:t>
      </w:r>
    </w:p>
    <w:p w14:paraId="5E336497">
      <w:pPr>
        <w:spacing w:before="181" w:line="221" w:lineRule="auto"/>
        <w:ind w:left="481"/>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9.1</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3"/>
          <w:sz w:val="24"/>
          <w:szCs w:val="24"/>
        </w:rPr>
        <w:t>质量保证期：。</w:t>
      </w:r>
    </w:p>
    <w:p w14:paraId="6C7A2B0E">
      <w:pPr>
        <w:spacing w:before="178" w:line="220" w:lineRule="auto"/>
        <w:ind w:left="481"/>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9.2</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售后服务：。</w:t>
      </w:r>
    </w:p>
    <w:p w14:paraId="614B669F">
      <w:pPr>
        <w:spacing w:before="183" w:line="219" w:lineRule="auto"/>
        <w:ind w:left="48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十、供方履约延误</w:t>
      </w:r>
    </w:p>
    <w:p w14:paraId="2BA9F183">
      <w:pPr>
        <w:spacing w:before="183" w:line="219" w:lineRule="auto"/>
        <w:ind w:left="498"/>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10.1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
          <w:sz w:val="24"/>
          <w:szCs w:val="24"/>
        </w:rPr>
        <w:t>供方应按照合同规定的时间、地点交货和提供服务。</w:t>
      </w:r>
    </w:p>
    <w:p w14:paraId="638E3D03">
      <w:pPr>
        <w:spacing w:before="180" w:line="468" w:lineRule="exact"/>
        <w:ind w:right="61"/>
        <w:jc w:val="right"/>
        <w:outlineLvl w:val="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10.2</w:t>
      </w:r>
      <w:r>
        <w:rPr>
          <w:rFonts w:hint="eastAsia" w:ascii="宋体" w:hAnsi="宋体" w:eastAsia="宋体" w:cs="宋体"/>
          <w:color w:val="auto"/>
          <w:spacing w:val="-42"/>
          <w:position w:val="17"/>
          <w:sz w:val="24"/>
          <w:szCs w:val="24"/>
        </w:rPr>
        <w:t xml:space="preserve"> </w:t>
      </w:r>
      <w:r>
        <w:rPr>
          <w:rFonts w:hint="eastAsia" w:ascii="宋体" w:hAnsi="宋体" w:eastAsia="宋体" w:cs="宋体"/>
          <w:color w:val="auto"/>
          <w:spacing w:val="2"/>
          <w:position w:val="17"/>
          <w:sz w:val="24"/>
          <w:szCs w:val="24"/>
        </w:rPr>
        <w:t>如供方无正当理由拖延交货或不按投标文件提供服务，将受到以下制裁</w:t>
      </w:r>
      <w:r>
        <w:rPr>
          <w:rFonts w:hint="eastAsia" w:ascii="宋体" w:hAnsi="宋体" w:eastAsia="宋体" w:cs="宋体"/>
          <w:color w:val="auto"/>
          <w:spacing w:val="1"/>
          <w:position w:val="17"/>
          <w:sz w:val="24"/>
          <w:szCs w:val="24"/>
        </w:rPr>
        <w:t>：没收</w:t>
      </w:r>
    </w:p>
    <w:p w14:paraId="56ADDA19">
      <w:pPr>
        <w:spacing w:line="220" w:lineRule="auto"/>
        <w:ind w:left="4"/>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履约保证金、加收误期赔偿和／或违约终止合同。</w:t>
      </w:r>
    </w:p>
    <w:p w14:paraId="3D000B80">
      <w:pPr>
        <w:spacing w:before="181" w:line="359" w:lineRule="auto"/>
        <w:ind w:firstLine="498"/>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10.3</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2"/>
          <w:sz w:val="24"/>
          <w:szCs w:val="24"/>
        </w:rPr>
        <w:t>在履行合同过程中，如果供方遇到可能妨碍其按时交货和提供服务的情况，应</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及时以书面形式将拖延的事实，可能拖延的期限和理由通知需方。需方</w:t>
      </w:r>
      <w:r>
        <w:rPr>
          <w:rFonts w:hint="eastAsia" w:ascii="宋体" w:hAnsi="宋体" w:eastAsia="宋体" w:cs="宋体"/>
          <w:color w:val="auto"/>
          <w:spacing w:val="-7"/>
          <w:sz w:val="24"/>
          <w:szCs w:val="24"/>
        </w:rPr>
        <w:t>在收到供方通知后，</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应尽快对情况进行评价，并确定是否通过修改合同，酌情延长交货时间和/或延期提供服</w:t>
      </w:r>
      <w:r>
        <w:rPr>
          <w:rFonts w:hint="eastAsia" w:ascii="宋体" w:hAnsi="宋体" w:eastAsia="宋体" w:cs="宋体"/>
          <w:color w:val="auto"/>
          <w:spacing w:val="-2"/>
          <w:sz w:val="24"/>
          <w:szCs w:val="24"/>
        </w:rPr>
        <w:t>务，或者终止合同。</w:t>
      </w:r>
    </w:p>
    <w:p w14:paraId="00D47E53">
      <w:pPr>
        <w:spacing w:before="179" w:line="220" w:lineRule="auto"/>
        <w:ind w:left="48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十一、误期赔偿</w:t>
      </w:r>
    </w:p>
    <w:p w14:paraId="61772727">
      <w:pPr>
        <w:spacing w:before="181" w:line="359" w:lineRule="auto"/>
        <w:ind w:left="1" w:right="63" w:firstLine="496"/>
        <w:jc w:val="both"/>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11.1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
          <w:sz w:val="24"/>
          <w:szCs w:val="24"/>
        </w:rPr>
        <w:t>除合同第</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
          <w:sz w:val="24"/>
          <w:szCs w:val="24"/>
        </w:rPr>
        <w:t>14</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条规定外，如果供方没有按照合</w:t>
      </w:r>
      <w:r>
        <w:rPr>
          <w:rFonts w:hint="eastAsia" w:ascii="宋体" w:hAnsi="宋体" w:eastAsia="宋体" w:cs="宋体"/>
          <w:color w:val="auto"/>
          <w:spacing w:val="-3"/>
          <w:sz w:val="24"/>
          <w:szCs w:val="24"/>
        </w:rPr>
        <w:t>同规定的时间交货和提供服务，供</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方应向需方支付误期赔偿费。误期赔偿费每天按迟交货物的交货价或延期服务的服务费用</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的百分之一（1%）计收，直至交货或提供服务为止。一天按</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
          <w:sz w:val="24"/>
          <w:szCs w:val="24"/>
        </w:rPr>
        <w:t>24</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小时计算，不足一天按一一天计算。但误期赔偿费的最高限额不超过合同价的百分之五（5%）。</w:t>
      </w:r>
    </w:p>
    <w:p w14:paraId="260A40B6">
      <w:pPr>
        <w:spacing w:before="184" w:line="219" w:lineRule="auto"/>
        <w:ind w:left="498"/>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11.2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
          <w:sz w:val="24"/>
          <w:szCs w:val="24"/>
        </w:rPr>
        <w:t>误期赔偿费可从应付货款和/或履约保证金中扣除。</w:t>
      </w:r>
    </w:p>
    <w:p w14:paraId="69C316EF">
      <w:pPr>
        <w:spacing w:before="181" w:line="219" w:lineRule="auto"/>
        <w:ind w:left="498"/>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11.3</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
          <w:sz w:val="24"/>
          <w:szCs w:val="24"/>
        </w:rPr>
        <w:t>收取误期赔偿费不影响需方采取合同</w:t>
      </w:r>
      <w:r>
        <w:rPr>
          <w:rFonts w:hint="eastAsia" w:ascii="宋体" w:hAnsi="宋体" w:eastAsia="宋体" w:cs="宋体"/>
          <w:color w:val="auto"/>
          <w:spacing w:val="-2"/>
          <w:sz w:val="24"/>
          <w:szCs w:val="24"/>
        </w:rPr>
        <w:t>规定的其他补救措施的权利。</w:t>
      </w:r>
    </w:p>
    <w:p w14:paraId="705B8EB5">
      <w:pPr>
        <w:spacing w:before="184" w:line="289" w:lineRule="auto"/>
        <w:ind w:left="481" w:right="2619" w:firstLine="16"/>
        <w:outlineLvl w:val="9"/>
        <w:rPr>
          <w:rFonts w:hint="eastAsia" w:ascii="宋体" w:hAnsi="宋体" w:eastAsia="宋体" w:cs="宋体"/>
          <w:b/>
          <w:bCs/>
          <w:color w:val="auto"/>
          <w:sz w:val="24"/>
          <w:szCs w:val="24"/>
          <w:lang w:eastAsia="zh-CN"/>
        </w:rPr>
      </w:pPr>
      <w:r>
        <w:rPr>
          <w:rFonts w:hint="eastAsia" w:ascii="宋体" w:hAnsi="宋体" w:eastAsia="宋体" w:cs="宋体"/>
          <w:color w:val="auto"/>
          <w:spacing w:val="-3"/>
          <w:sz w:val="24"/>
          <w:szCs w:val="24"/>
        </w:rPr>
        <w:t>11.5</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在收取误期赔偿费期间，需方有权决定是否终止合同</w:t>
      </w:r>
      <w:r>
        <w:rPr>
          <w:rFonts w:hint="eastAsia" w:ascii="宋体" w:hAnsi="宋体" w:eastAsia="宋体" w:cs="宋体"/>
          <w:b/>
          <w:bCs/>
          <w:color w:val="auto"/>
          <w:spacing w:val="-1"/>
          <w:sz w:val="24"/>
          <w:szCs w:val="24"/>
        </w:rPr>
        <w:t>十二、</w:t>
      </w:r>
      <w:r>
        <w:rPr>
          <w:rFonts w:hint="eastAsia" w:ascii="宋体" w:hAnsi="宋体" w:eastAsia="宋体" w:cs="宋体"/>
          <w:b/>
          <w:bCs/>
          <w:color w:val="auto"/>
          <w:spacing w:val="-1"/>
          <w:sz w:val="24"/>
          <w:szCs w:val="24"/>
          <w14:textOutline w14:w="4358" w14:cap="sq" w14:cmpd="sng">
            <w14:solidFill>
              <w14:srgbClr w14:val="000000"/>
            </w14:solidFill>
            <w14:prstDash w14:val="solid"/>
            <w14:bevel/>
          </w14:textOutline>
        </w:rPr>
        <w:t>履约保证金</w:t>
      </w:r>
      <w:r>
        <w:rPr>
          <w:rFonts w:hint="eastAsia" w:ascii="宋体" w:hAnsi="宋体" w:eastAsia="宋体" w:cs="宋体"/>
          <w:b/>
          <w:bCs/>
          <w:color w:val="auto"/>
          <w:spacing w:val="-1"/>
          <w:sz w:val="24"/>
          <w:szCs w:val="24"/>
          <w:lang w:eastAsia="zh-CN"/>
          <w14:textOutline w14:w="4358" w14:cap="sq" w14:cmpd="sng">
            <w14:solidFill>
              <w14:srgbClr w14:val="000000"/>
            </w14:solidFill>
            <w14:prstDash w14:val="solid"/>
            <w14:bevel/>
          </w14:textOutline>
        </w:rPr>
        <w:t>（无）</w:t>
      </w:r>
    </w:p>
    <w:p w14:paraId="0A42946F">
      <w:pPr>
        <w:spacing w:before="184" w:line="220" w:lineRule="auto"/>
        <w:ind w:left="48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十三、不可抗力</w:t>
      </w:r>
    </w:p>
    <w:p w14:paraId="587F7C93">
      <w:pPr>
        <w:spacing w:before="179" w:line="466" w:lineRule="exact"/>
        <w:ind w:right="61"/>
        <w:jc w:val="right"/>
        <w:outlineLvl w:val="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13.1</w:t>
      </w:r>
      <w:r>
        <w:rPr>
          <w:rFonts w:hint="eastAsia" w:ascii="宋体" w:hAnsi="宋体" w:eastAsia="宋体" w:cs="宋体"/>
          <w:color w:val="auto"/>
          <w:spacing w:val="-42"/>
          <w:position w:val="17"/>
          <w:sz w:val="24"/>
          <w:szCs w:val="24"/>
        </w:rPr>
        <w:t xml:space="preserve"> </w:t>
      </w:r>
      <w:r>
        <w:rPr>
          <w:rFonts w:hint="eastAsia" w:ascii="宋体" w:hAnsi="宋体" w:eastAsia="宋体" w:cs="宋体"/>
          <w:color w:val="auto"/>
          <w:spacing w:val="2"/>
          <w:position w:val="17"/>
          <w:sz w:val="24"/>
          <w:szCs w:val="24"/>
        </w:rPr>
        <w:t>如果供需双方因不可抗力而导致合同实施延误或不能履行合同义务，不</w:t>
      </w:r>
      <w:r>
        <w:rPr>
          <w:rFonts w:hint="eastAsia" w:ascii="宋体" w:hAnsi="宋体" w:eastAsia="宋体" w:cs="宋体"/>
          <w:color w:val="auto"/>
          <w:spacing w:val="1"/>
          <w:position w:val="17"/>
          <w:sz w:val="24"/>
          <w:szCs w:val="24"/>
        </w:rPr>
        <w:t>应该承</w:t>
      </w:r>
    </w:p>
    <w:p w14:paraId="5ED4E27E">
      <w:pPr>
        <w:spacing w:line="220" w:lineRule="auto"/>
        <w:ind w:left="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担误期赔偿或不能履行合同义务的责任。</w:t>
      </w:r>
    </w:p>
    <w:p w14:paraId="2D3C4CFE">
      <w:pPr>
        <w:spacing w:before="182" w:line="359" w:lineRule="auto"/>
        <w:ind w:right="63" w:firstLine="497"/>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13.2</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本条所述的“不可抗力</w:t>
      </w:r>
      <w:r>
        <w:rPr>
          <w:rFonts w:hint="eastAsia" w:ascii="宋体" w:hAnsi="宋体" w:eastAsia="宋体" w:cs="宋体"/>
          <w:color w:val="auto"/>
          <w:spacing w:val="-84"/>
          <w:sz w:val="24"/>
          <w:szCs w:val="24"/>
        </w:rPr>
        <w:t xml:space="preserve"> </w:t>
      </w:r>
      <w:r>
        <w:rPr>
          <w:rFonts w:hint="eastAsia" w:ascii="宋体" w:hAnsi="宋体" w:eastAsia="宋体" w:cs="宋体"/>
          <w:color w:val="auto"/>
          <w:spacing w:val="1"/>
          <w:sz w:val="24"/>
          <w:szCs w:val="24"/>
        </w:rPr>
        <w:t>”系指那些双方无法控制，不可预见的事件，但不包括</w:t>
      </w:r>
      <w:r>
        <w:rPr>
          <w:rFonts w:hint="eastAsia" w:ascii="宋体" w:hAnsi="宋体" w:eastAsia="宋体" w:cs="宋体"/>
          <w:color w:val="auto"/>
          <w:spacing w:val="-2"/>
          <w:sz w:val="24"/>
          <w:szCs w:val="24"/>
        </w:rPr>
        <w:t>供需双方的违约或疏忽。这些事件包括但不限于：战争、严重火灾、洪水、台风、地震以</w:t>
      </w:r>
      <w:r>
        <w:rPr>
          <w:rFonts w:hint="eastAsia" w:ascii="宋体" w:hAnsi="宋体" w:eastAsia="宋体" w:cs="宋体"/>
          <w:color w:val="auto"/>
          <w:sz w:val="24"/>
          <w:szCs w:val="24"/>
        </w:rPr>
        <w:t>及其它供需双方商定的事件(供需双方认定国家政策重</w:t>
      </w:r>
      <w:r>
        <w:rPr>
          <w:rFonts w:hint="eastAsia" w:ascii="宋体" w:hAnsi="宋体" w:eastAsia="宋体" w:cs="宋体"/>
          <w:color w:val="auto"/>
          <w:spacing w:val="-1"/>
          <w:sz w:val="24"/>
          <w:szCs w:val="24"/>
        </w:rPr>
        <w:t>大变化属不可抗力)。</w:t>
      </w:r>
    </w:p>
    <w:p w14:paraId="5559C2F7">
      <w:pPr>
        <w:spacing w:before="182" w:line="359" w:lineRule="auto"/>
        <w:ind w:right="63" w:firstLine="497"/>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13.3 在不可抗力事件发生后，当事方应尽快以书面形式将不可抗力的情况和原因通知对方。供需双方应尽实际可能继续履行合同义务，并积极寻求采取合理的方案履行不受 不可抗力影响的其他事项。供需双方应通过友好协商在合理的时间内达成进一步履行合同的协议。</w:t>
      </w:r>
    </w:p>
    <w:p w14:paraId="2EE82803">
      <w:pPr>
        <w:spacing w:before="180" w:line="221" w:lineRule="auto"/>
        <w:ind w:left="494"/>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十四、税费</w:t>
      </w:r>
    </w:p>
    <w:p w14:paraId="52F553D4">
      <w:pPr>
        <w:spacing w:before="179" w:line="219" w:lineRule="auto"/>
        <w:ind w:left="51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14.1</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根据现行法律规定对需方征收的与本合同有关的一切税费均由需方负</w:t>
      </w:r>
      <w:r>
        <w:rPr>
          <w:rFonts w:hint="eastAsia" w:ascii="宋体" w:hAnsi="宋体" w:eastAsia="宋体" w:cs="宋体"/>
          <w:color w:val="auto"/>
          <w:spacing w:val="-2"/>
          <w:sz w:val="24"/>
          <w:szCs w:val="24"/>
        </w:rPr>
        <w:t>担。</w:t>
      </w:r>
    </w:p>
    <w:p w14:paraId="47CABEF5">
      <w:pPr>
        <w:spacing w:before="183" w:line="219" w:lineRule="auto"/>
        <w:ind w:left="51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14.2</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根据现行法律规定对供方征收的与本合同有关的一切税费均由供方负</w:t>
      </w:r>
      <w:r>
        <w:rPr>
          <w:rFonts w:hint="eastAsia" w:ascii="宋体" w:hAnsi="宋体" w:eastAsia="宋体" w:cs="宋体"/>
          <w:color w:val="auto"/>
          <w:spacing w:val="-2"/>
          <w:sz w:val="24"/>
          <w:szCs w:val="24"/>
        </w:rPr>
        <w:t>担。</w:t>
      </w:r>
    </w:p>
    <w:p w14:paraId="5667EAF5">
      <w:pPr>
        <w:spacing w:before="183" w:line="219" w:lineRule="auto"/>
        <w:ind w:left="51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14.3</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
          <w:sz w:val="24"/>
          <w:szCs w:val="24"/>
        </w:rPr>
        <w:t>在中国境外发生的与执行本合同有关的一切税费均由</w:t>
      </w:r>
      <w:r>
        <w:rPr>
          <w:rFonts w:hint="eastAsia" w:ascii="宋体" w:hAnsi="宋体" w:eastAsia="宋体" w:cs="宋体"/>
          <w:color w:val="auto"/>
          <w:spacing w:val="-2"/>
          <w:sz w:val="24"/>
          <w:szCs w:val="24"/>
        </w:rPr>
        <w:t>供方负担。</w:t>
      </w:r>
    </w:p>
    <w:p w14:paraId="4E8AE000">
      <w:pPr>
        <w:spacing w:before="180" w:line="220" w:lineRule="auto"/>
        <w:ind w:left="494"/>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十五、争端的解决</w:t>
      </w:r>
    </w:p>
    <w:p w14:paraId="67D073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8" w:firstLineChars="200"/>
        <w:jc w:val="left"/>
        <w:textAlignment w:val="baseline"/>
        <w:outlineLvl w:val="9"/>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15.1 供需双方应通过友好协商，解决在执行本合同过程中所发生的或与本合同有关的一切争端。如从协商开始十（10）天内仍不能解决，可以向有关合同管理部门提请调解。</w:t>
      </w:r>
    </w:p>
    <w:p w14:paraId="5A6B4A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8" w:firstLineChars="200"/>
        <w:jc w:val="left"/>
        <w:textAlignment w:val="baseline"/>
        <w:outlineLvl w:val="9"/>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15.2 如果调解不成，供需双方的任何一方可以向人民法院提起诉讼。诉讼由合同签订地人民法院管辖。</w:t>
      </w:r>
    </w:p>
    <w:p w14:paraId="2BF9B2C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8" w:firstLineChars="200"/>
        <w:jc w:val="left"/>
        <w:textAlignment w:val="baseline"/>
        <w:outlineLvl w:val="9"/>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15.3 诉讼费除法院另有裁决外均由败诉方负担。</w:t>
      </w:r>
    </w:p>
    <w:p w14:paraId="53DBF4A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8" w:firstLineChars="200"/>
        <w:jc w:val="left"/>
        <w:textAlignment w:val="baseline"/>
        <w:outlineLvl w:val="9"/>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15.4 在诉讼期间，除正在进行诉讼的部分外，本合同的其它部分应继续执行。</w:t>
      </w:r>
    </w:p>
    <w:p w14:paraId="1C66155A">
      <w:pPr>
        <w:spacing w:before="182" w:line="222" w:lineRule="auto"/>
        <w:ind w:left="494"/>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十六、违约终止合同</w:t>
      </w:r>
    </w:p>
    <w:p w14:paraId="611F13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在需方因供方违约而按合同约定采取的任何补救措施不受影响的情况下，需方可在下列情况下向供方发出书面通知，提出终止部分或全部合同。</w:t>
      </w:r>
    </w:p>
    <w:p w14:paraId="0DB9426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（1）如果供方未能在合同规定的限期或需方同意延长的限期内提供部分或全部货物和服务。</w:t>
      </w:r>
    </w:p>
    <w:p w14:paraId="33E33F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（2）如果供方未能履行合同规定的其它任何义务。</w:t>
      </w:r>
    </w:p>
    <w:p w14:paraId="16CDAF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（3）如果需方认为供方在本合同的竞争或实施中有腐败和欺诈行为。为此，定义如下：“腐败行为 ”是指提供、给予、接受或索取任何有价值的东西来影响采购人员在采购过程 或合同实施过程中的行为；“欺诈行为 ”是指为了影响采购过程或合同实施过程而谎报事 实，损害采购人的利益，包括供货单位之间串通，人为地使供货活动丧失竞争性，损害采购人所能获得的权益。</w:t>
      </w:r>
    </w:p>
    <w:p w14:paraId="1DFFE3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16.2 如果需方根据上述第 16.1 款的规定，终止了全部或部分合同，需方可以依其认 为适当的条件和方法购买与未交货物类似的货物，供方应对购买类似货物所超出的那部分 费用负责。供方提交的履约保证金将被作为需方采取上述补救措施的购买资金的一部分。并且，供方应继续履行合同中未终止的部分。</w:t>
      </w:r>
    </w:p>
    <w:p w14:paraId="6E3462E2">
      <w:pPr>
        <w:numPr>
          <w:ilvl w:val="0"/>
          <w:numId w:val="1"/>
        </w:numPr>
        <w:spacing w:before="183" w:line="220" w:lineRule="auto"/>
        <w:ind w:left="494"/>
        <w:outlineLvl w:val="9"/>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破产终止合同</w:t>
      </w:r>
    </w:p>
    <w:p w14:paraId="06D05CA5">
      <w:pPr>
        <w:spacing w:before="48" w:line="359" w:lineRule="auto"/>
        <w:ind w:left="24" w:firstLine="474"/>
        <w:jc w:val="both"/>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17.1</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2"/>
          <w:sz w:val="24"/>
          <w:szCs w:val="24"/>
        </w:rPr>
        <w:t>如果供方破产或丧失清偿能力，需方可在任何时候以书面形式通知供方</w:t>
      </w:r>
      <w:r>
        <w:rPr>
          <w:rFonts w:hint="eastAsia" w:ascii="宋体" w:hAnsi="宋体" w:eastAsia="宋体" w:cs="宋体"/>
          <w:color w:val="auto"/>
          <w:spacing w:val="1"/>
          <w:sz w:val="24"/>
          <w:szCs w:val="24"/>
        </w:rPr>
        <w:t>终止合</w:t>
      </w:r>
      <w:r>
        <w:rPr>
          <w:rFonts w:hint="eastAsia" w:ascii="宋体" w:hAnsi="宋体" w:eastAsia="宋体" w:cs="宋体"/>
          <w:color w:val="auto"/>
          <w:spacing w:val="-2"/>
          <w:sz w:val="24"/>
          <w:szCs w:val="24"/>
        </w:rPr>
        <w:t>同而不给供方补偿。该终止合同将不损害或影</w:t>
      </w:r>
      <w:r>
        <w:rPr>
          <w:rFonts w:hint="eastAsia" w:ascii="宋体" w:hAnsi="宋体" w:eastAsia="宋体" w:cs="宋体"/>
          <w:color w:val="auto"/>
          <w:spacing w:val="-3"/>
          <w:sz w:val="24"/>
          <w:szCs w:val="24"/>
        </w:rPr>
        <w:t>响需方已经采取或将要采取任何补救措施的权力。</w:t>
      </w:r>
    </w:p>
    <w:p w14:paraId="22918015">
      <w:pPr>
        <w:spacing w:before="181" w:line="221" w:lineRule="auto"/>
        <w:ind w:left="48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十八、合同转让和分包</w:t>
      </w:r>
    </w:p>
    <w:p w14:paraId="08597F25">
      <w:pPr>
        <w:spacing w:before="179" w:line="219" w:lineRule="auto"/>
        <w:ind w:left="498"/>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18.1</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供方不得部分转让和分包或全部转让和分包其应履行的</w:t>
      </w:r>
      <w:r>
        <w:rPr>
          <w:rFonts w:hint="eastAsia" w:ascii="宋体" w:hAnsi="宋体" w:eastAsia="宋体" w:cs="宋体"/>
          <w:color w:val="auto"/>
          <w:spacing w:val="-2"/>
          <w:sz w:val="24"/>
          <w:szCs w:val="24"/>
        </w:rPr>
        <w:t>合同义务。</w:t>
      </w:r>
    </w:p>
    <w:p w14:paraId="5794F14E">
      <w:pPr>
        <w:spacing w:before="182" w:line="220" w:lineRule="auto"/>
        <w:ind w:left="48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十九、需要补充的合同条款</w:t>
      </w:r>
    </w:p>
    <w:p w14:paraId="18E3E6D5">
      <w:pPr>
        <w:spacing w:before="182" w:line="220" w:lineRule="auto"/>
        <w:ind w:left="558"/>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19.1</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根据评标过程中或者商务谈判时商定的条款和条件在订立合同时</w:t>
      </w:r>
      <w:r>
        <w:rPr>
          <w:rFonts w:hint="eastAsia" w:ascii="宋体" w:hAnsi="宋体" w:eastAsia="宋体" w:cs="宋体"/>
          <w:color w:val="auto"/>
          <w:spacing w:val="-2"/>
          <w:sz w:val="24"/>
          <w:szCs w:val="24"/>
        </w:rPr>
        <w:t>标明。</w:t>
      </w:r>
    </w:p>
    <w:p w14:paraId="4F1E11B5">
      <w:pPr>
        <w:spacing w:before="179" w:line="220" w:lineRule="auto"/>
        <w:ind w:left="484"/>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二十、适用法律</w:t>
      </w:r>
    </w:p>
    <w:p w14:paraId="083F3C6B">
      <w:pPr>
        <w:spacing w:before="183" w:line="219" w:lineRule="auto"/>
        <w:ind w:left="483"/>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20.1</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本合同按照中华人民共和国的现行法律进行解释。</w:t>
      </w:r>
    </w:p>
    <w:p w14:paraId="51790C16">
      <w:pPr>
        <w:spacing w:before="180" w:line="221" w:lineRule="auto"/>
        <w:ind w:left="484"/>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二十一、合同生效</w:t>
      </w:r>
    </w:p>
    <w:p w14:paraId="694166DF">
      <w:pPr>
        <w:spacing w:before="178" w:line="468" w:lineRule="exact"/>
        <w:jc w:val="right"/>
        <w:outlineLvl w:val="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21.1</w:t>
      </w:r>
      <w:r>
        <w:rPr>
          <w:rFonts w:hint="eastAsia" w:ascii="宋体" w:hAnsi="宋体" w:eastAsia="宋体" w:cs="宋体"/>
          <w:color w:val="auto"/>
          <w:spacing w:val="-30"/>
          <w:position w:val="17"/>
          <w:sz w:val="24"/>
          <w:szCs w:val="24"/>
        </w:rPr>
        <w:t xml:space="preserve"> </w:t>
      </w:r>
      <w:r>
        <w:rPr>
          <w:rFonts w:hint="eastAsia" w:ascii="宋体" w:hAnsi="宋体" w:eastAsia="宋体" w:cs="宋体"/>
          <w:color w:val="auto"/>
          <w:spacing w:val="2"/>
          <w:position w:val="17"/>
          <w:sz w:val="24"/>
          <w:szCs w:val="24"/>
        </w:rPr>
        <w:t>本合同在供需双方法定代表人或其授权代理人签字并加盖公章并且采购方收到</w:t>
      </w:r>
    </w:p>
    <w:p w14:paraId="08BDDF16">
      <w:pPr>
        <w:spacing w:before="1" w:line="219" w:lineRule="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供方提交的履约保证金后生效。</w:t>
      </w:r>
    </w:p>
    <w:p w14:paraId="7B5D3769">
      <w:pPr>
        <w:spacing w:before="183" w:line="219" w:lineRule="auto"/>
        <w:ind w:left="484"/>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二十二、合同附件</w:t>
      </w:r>
    </w:p>
    <w:p w14:paraId="2E624ADE">
      <w:pPr>
        <w:spacing w:before="181" w:line="290" w:lineRule="auto"/>
        <w:ind w:left="497" w:right="660" w:hanging="14"/>
        <w:outlineLvl w:val="9"/>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22.1</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下列文件构成本合同不可分割的组成部分，与本合同具有同等法律效力</w:t>
      </w:r>
    </w:p>
    <w:p w14:paraId="6EA9BBB1">
      <w:pPr>
        <w:spacing w:before="181" w:line="290" w:lineRule="auto"/>
        <w:ind w:left="497" w:right="660" w:hanging="14"/>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1、招标文件及澄清、补充文件；</w:t>
      </w:r>
    </w:p>
    <w:p w14:paraId="372E360F">
      <w:pPr>
        <w:spacing w:before="180" w:line="219" w:lineRule="auto"/>
        <w:ind w:left="483"/>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2、供方的投标文件、在投标期间的书面承诺文件和售后服务承诺书；</w:t>
      </w:r>
    </w:p>
    <w:p w14:paraId="041A753D">
      <w:pPr>
        <w:spacing w:before="182" w:line="466" w:lineRule="exact"/>
        <w:ind w:left="485"/>
        <w:outlineLvl w:val="9"/>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3、产品样本（与合同配置不符之处，以合同为准</w:t>
      </w:r>
      <w:r>
        <w:rPr>
          <w:rFonts w:hint="eastAsia" w:ascii="宋体" w:hAnsi="宋体" w:eastAsia="宋体" w:cs="宋体"/>
          <w:color w:val="auto"/>
          <w:spacing w:val="3"/>
          <w:position w:val="17"/>
          <w:sz w:val="24"/>
          <w:szCs w:val="24"/>
        </w:rPr>
        <w:t>）；</w:t>
      </w:r>
    </w:p>
    <w:p w14:paraId="7EB34730">
      <w:pPr>
        <w:spacing w:line="219" w:lineRule="auto"/>
        <w:ind w:left="480"/>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4、中标通知书；</w:t>
      </w:r>
    </w:p>
    <w:p w14:paraId="0562AEF7">
      <w:pPr>
        <w:spacing w:before="183" w:line="466" w:lineRule="exact"/>
        <w:ind w:left="485"/>
        <w:outlineLvl w:val="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5、政府采购验收报告单；</w:t>
      </w:r>
    </w:p>
    <w:p w14:paraId="73A8AC44">
      <w:pPr>
        <w:spacing w:line="219" w:lineRule="auto"/>
        <w:ind w:left="482"/>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6、合同的其他附件：</w:t>
      </w:r>
    </w:p>
    <w:p w14:paraId="644C9432">
      <w:pPr>
        <w:spacing w:before="184" w:line="219" w:lineRule="auto"/>
        <w:ind w:left="482"/>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上述合同附件如果有不一致之处，以日期在后的和对需方有利的为准。</w:t>
      </w:r>
    </w:p>
    <w:p w14:paraId="0C20FB45">
      <w:pPr>
        <w:spacing w:before="180" w:line="220" w:lineRule="auto"/>
        <w:ind w:left="484"/>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二十三、合同修改</w:t>
      </w:r>
    </w:p>
    <w:p w14:paraId="57D007F7">
      <w:pPr>
        <w:spacing w:before="182" w:line="468" w:lineRule="exact"/>
        <w:jc w:val="right"/>
        <w:outlineLvl w:val="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23.1</w:t>
      </w:r>
      <w:r>
        <w:rPr>
          <w:rFonts w:hint="eastAsia" w:ascii="宋体" w:hAnsi="宋体" w:eastAsia="宋体" w:cs="宋体"/>
          <w:color w:val="auto"/>
          <w:spacing w:val="-30"/>
          <w:position w:val="17"/>
          <w:sz w:val="24"/>
          <w:szCs w:val="24"/>
        </w:rPr>
        <w:t xml:space="preserve"> </w:t>
      </w:r>
      <w:r>
        <w:rPr>
          <w:rFonts w:hint="eastAsia" w:ascii="宋体" w:hAnsi="宋体" w:eastAsia="宋体" w:cs="宋体"/>
          <w:color w:val="auto"/>
          <w:spacing w:val="2"/>
          <w:position w:val="17"/>
          <w:sz w:val="24"/>
          <w:szCs w:val="24"/>
        </w:rPr>
        <w:t>除供需双方和采购方签署书面修改、补充协议，并成为本合同不可分割的一部</w:t>
      </w:r>
    </w:p>
    <w:p w14:paraId="5073AF88">
      <w:pPr>
        <w:spacing w:before="1" w:line="219" w:lineRule="auto"/>
        <w:ind w:left="3"/>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分之外，本合同条件不得有任何变化或修改。</w:t>
      </w:r>
    </w:p>
    <w:p w14:paraId="1C0E5308">
      <w:pPr>
        <w:spacing w:before="180" w:line="221" w:lineRule="auto"/>
        <w:ind w:left="484"/>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二十四、合同备案</w:t>
      </w:r>
    </w:p>
    <w:p w14:paraId="06C6BF71">
      <w:pPr>
        <w:spacing w:before="179" w:line="219" w:lineRule="auto"/>
        <w:ind w:left="483"/>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24.1 自本合同订立之日起七个工作日内，向本级政府采购监督管理部门备案。</w:t>
      </w:r>
    </w:p>
    <w:p w14:paraId="611DF42C">
      <w:pPr>
        <w:spacing w:before="184" w:line="359" w:lineRule="auto"/>
        <w:ind w:left="2" w:right="2" w:firstLine="481"/>
        <w:outlineLvl w:val="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二十五、政府采购法对政府采购合同变更终止的规定：</w:t>
      </w:r>
      <w:r>
        <w:rPr>
          <w:rFonts w:hint="eastAsia" w:ascii="宋体" w:hAnsi="宋体" w:eastAsia="宋体" w:cs="宋体"/>
          <w:color w:val="auto"/>
          <w:spacing w:val="-2"/>
          <w:sz w:val="24"/>
          <w:szCs w:val="24"/>
        </w:rPr>
        <w:t>“政府采购合同的双方</w:t>
      </w:r>
      <w:r>
        <w:rPr>
          <w:rFonts w:hint="eastAsia" w:ascii="宋体" w:hAnsi="宋体" w:eastAsia="宋体" w:cs="宋体"/>
          <w:color w:val="auto"/>
          <w:spacing w:val="-3"/>
          <w:sz w:val="24"/>
          <w:szCs w:val="24"/>
        </w:rPr>
        <w:t>当事人</w:t>
      </w:r>
      <w:r>
        <w:rPr>
          <w:rFonts w:hint="eastAsia" w:ascii="宋体" w:hAnsi="宋体" w:eastAsia="宋体" w:cs="宋体"/>
          <w:color w:val="auto"/>
          <w:spacing w:val="-2"/>
          <w:sz w:val="24"/>
          <w:szCs w:val="24"/>
        </w:rPr>
        <w:t>不得擅自变更、中止或者终止合同。政府采购合同继续履行将损害国家利益和社会公共利益的，双方当事人应当变更、中止或者终止合同。有过错的一方应当承担赔偿责任，双方</w:t>
      </w:r>
      <w:r>
        <w:rPr>
          <w:rFonts w:hint="eastAsia" w:ascii="宋体" w:hAnsi="宋体" w:eastAsia="宋体" w:cs="宋体"/>
          <w:color w:val="auto"/>
          <w:spacing w:val="-1"/>
          <w:sz w:val="24"/>
          <w:szCs w:val="24"/>
        </w:rPr>
        <w:t>都有过错的，各自承担相应的责任。”在本合同中</w:t>
      </w:r>
      <w:r>
        <w:rPr>
          <w:rFonts w:hint="eastAsia" w:ascii="宋体" w:hAnsi="宋体" w:eastAsia="宋体" w:cs="宋体"/>
          <w:color w:val="auto"/>
          <w:spacing w:val="-2"/>
          <w:sz w:val="24"/>
          <w:szCs w:val="24"/>
        </w:rPr>
        <w:t>，双方当事人指供需双方。</w:t>
      </w:r>
    </w:p>
    <w:p w14:paraId="6A6578D1">
      <w:pPr>
        <w:spacing w:before="1" w:line="219" w:lineRule="auto"/>
        <w:ind w:left="4"/>
        <w:outlineLvl w:val="9"/>
        <w:rPr>
          <w:rFonts w:hint="eastAsia" w:ascii="宋体" w:hAnsi="宋体" w:eastAsia="宋体" w:cs="宋体"/>
          <w:color w:val="auto"/>
          <w:spacing w:val="-2"/>
          <w:sz w:val="24"/>
          <w:szCs w:val="24"/>
        </w:rPr>
      </w:pPr>
    </w:p>
    <w:p w14:paraId="20B33304">
      <w:pPr>
        <w:spacing w:before="1" w:line="219" w:lineRule="auto"/>
        <w:ind w:left="4"/>
        <w:outlineLvl w:val="9"/>
        <w:rPr>
          <w:rFonts w:hint="eastAsia" w:ascii="宋体" w:hAnsi="宋体" w:eastAsia="宋体" w:cs="宋体"/>
          <w:color w:val="auto"/>
          <w:spacing w:val="-2"/>
          <w:sz w:val="24"/>
          <w:szCs w:val="24"/>
        </w:rPr>
      </w:pPr>
    </w:p>
    <w:p w14:paraId="005849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需方：</w:t>
      </w:r>
      <w:r>
        <w:rPr>
          <w:rFonts w:hint="eastAsia" w:ascii="宋体" w:hAnsi="宋体" w:eastAsia="宋体" w:cs="宋体"/>
          <w:color w:val="auto"/>
          <w:sz w:val="24"/>
          <w:szCs w:val="24"/>
          <w:lang w:val="en-US" w:eastAsia="zh-CN"/>
        </w:rPr>
        <w:t xml:space="preserve">                                   供方：</w:t>
      </w:r>
    </w:p>
    <w:p w14:paraId="15D088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w:t>
      </w:r>
    </w:p>
    <w:p w14:paraId="0B7777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w:t>
      </w:r>
    </w:p>
    <w:p w14:paraId="5B5B04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或授权委托人：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或授权委托人：</w:t>
      </w:r>
    </w:p>
    <w:p w14:paraId="73EB05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签字日期：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签字日期：</w:t>
      </w:r>
    </w:p>
    <w:p w14:paraId="332AA1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邮政编码：</w:t>
      </w:r>
    </w:p>
    <w:p w14:paraId="46F4DE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电话：</w:t>
      </w:r>
    </w:p>
    <w:p w14:paraId="60A497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传真：</w:t>
      </w:r>
    </w:p>
    <w:p w14:paraId="7BF980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联系人：</w:t>
      </w:r>
    </w:p>
    <w:p w14:paraId="464A47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p>
    <w:p w14:paraId="60608C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账户名称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账户名称</w:t>
      </w:r>
      <w:r>
        <w:rPr>
          <w:rFonts w:hint="eastAsia" w:ascii="宋体" w:hAnsi="宋体" w:eastAsia="宋体" w:cs="宋体"/>
          <w:color w:val="auto"/>
          <w:sz w:val="24"/>
          <w:szCs w:val="24"/>
          <w:lang w:eastAsia="zh-CN"/>
        </w:rPr>
        <w:t>：</w:t>
      </w:r>
    </w:p>
    <w:p w14:paraId="6BC22A8A">
      <w:pPr>
        <w:keepNext w:val="0"/>
        <w:keepLines w:val="0"/>
        <w:pageBreakBefore w:val="0"/>
        <w:widowControl/>
        <w:kinsoku w:val="0"/>
        <w:wordWrap/>
        <w:overflowPunct/>
        <w:topLinePunct w:val="0"/>
        <w:autoSpaceDE w:val="0"/>
        <w:autoSpaceDN w:val="0"/>
        <w:bidi w:val="0"/>
        <w:adjustRightInd w:val="0"/>
        <w:snapToGrid w:val="0"/>
        <w:spacing w:before="1" w:line="360" w:lineRule="auto"/>
        <w:ind w:left="4"/>
        <w:textAlignment w:val="baseline"/>
        <w:outlineLvl w:val="9"/>
        <w:rPr>
          <w:rFonts w:hint="eastAsia" w:ascii="宋体" w:hAnsi="宋体" w:eastAsia="宋体" w:cs="宋体"/>
          <w:color w:val="auto"/>
          <w:spacing w:val="-2"/>
          <w:sz w:val="24"/>
          <w:szCs w:val="24"/>
        </w:rPr>
      </w:pP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账号：</w:t>
      </w:r>
    </w:p>
    <w:p w14:paraId="2230CA93">
      <w:pPr>
        <w:outlineLvl w:val="9"/>
        <w:rPr>
          <w:rFonts w:hint="eastAsia" w:ascii="宋体" w:hAnsi="宋体" w:eastAsia="宋体" w:cs="宋体"/>
          <w:color w:val="auto"/>
          <w:spacing w:val="8"/>
          <w:sz w:val="35"/>
          <w:szCs w:val="35"/>
          <w14:textOutline w14:w="6537" w14:cap="sq" w14:cmpd="sng">
            <w14:solidFill>
              <w14:srgbClr w14:val="000000"/>
            </w14:solidFill>
            <w14:prstDash w14:val="solid"/>
            <w14:bevel/>
          </w14:textOutline>
        </w:rPr>
      </w:pPr>
      <w:r>
        <w:rPr>
          <w:rFonts w:hint="eastAsia" w:ascii="宋体" w:hAnsi="宋体" w:eastAsia="宋体" w:cs="宋体"/>
          <w:color w:val="auto"/>
          <w:spacing w:val="8"/>
          <w:sz w:val="35"/>
          <w:szCs w:val="35"/>
          <w14:textOutline w14:w="6537" w14:cap="sq" w14:cmpd="sng">
            <w14:solidFill>
              <w14:srgbClr w14:val="000000"/>
            </w14:solidFill>
            <w14:prstDash w14:val="solid"/>
            <w14:bevel/>
          </w14:textOutline>
        </w:rPr>
        <w:br w:type="page"/>
      </w:r>
    </w:p>
    <w:p w14:paraId="01F566F5">
      <w:pPr>
        <w:pStyle w:val="2"/>
        <w:keepNext/>
        <w:keepLines/>
        <w:pageBreakBefore w:val="0"/>
        <w:widowControl/>
        <w:numPr>
          <w:ilvl w:val="0"/>
          <w:numId w:val="2"/>
        </w:numPr>
        <w:kinsoku w:val="0"/>
        <w:wordWrap/>
        <w:overflowPunct/>
        <w:topLinePunct w:val="0"/>
        <w:autoSpaceDE w:val="0"/>
        <w:autoSpaceDN w:val="0"/>
        <w:bidi w:val="0"/>
        <w:adjustRightInd w:val="0"/>
        <w:snapToGrid w:val="0"/>
        <w:spacing w:after="0" w:line="360" w:lineRule="auto"/>
        <w:jc w:val="center"/>
        <w:textAlignment w:val="baseline"/>
        <w:rPr>
          <w:rFonts w:hint="eastAsia"/>
          <w:color w:val="auto"/>
          <w:sz w:val="32"/>
          <w:szCs w:val="22"/>
          <w:highlight w:val="none"/>
        </w:rPr>
      </w:pPr>
      <w:bookmarkStart w:id="38" w:name="_Toc9810"/>
      <w:r>
        <w:rPr>
          <w:rFonts w:hint="eastAsia"/>
          <w:color w:val="auto"/>
          <w:sz w:val="32"/>
          <w:szCs w:val="22"/>
          <w:highlight w:val="none"/>
        </w:rPr>
        <w:t>采购需求</w:t>
      </w:r>
      <w:bookmarkEnd w:id="38"/>
    </w:p>
    <w:p w14:paraId="079259D0">
      <w:pPr>
        <w:spacing w:line="360" w:lineRule="auto"/>
        <w:jc w:val="both"/>
        <w:outlineLvl w:val="9"/>
        <w:rPr>
          <w:rFonts w:hint="eastAsia" w:ascii="宋体" w:hAnsi="宋体" w:eastAsia="宋体" w:cs="宋体"/>
          <w:b/>
          <w:bCs/>
          <w:color w:val="FF0000"/>
          <w:kern w:val="44"/>
          <w:sz w:val="28"/>
          <w:szCs w:val="28"/>
          <w:highlight w:val="yellow"/>
          <w:lang w:val="zh-CN" w:eastAsia="zh-CN"/>
        </w:rPr>
      </w:pPr>
      <w:r>
        <w:rPr>
          <w:rFonts w:hint="eastAsia" w:ascii="宋体" w:hAnsi="宋体" w:eastAsia="宋体" w:cs="宋体"/>
          <w:b/>
          <w:bCs/>
          <w:color w:val="auto"/>
          <w:kern w:val="44"/>
          <w:sz w:val="28"/>
          <w:szCs w:val="28"/>
          <w:highlight w:val="none"/>
          <w:lang w:val="zh-CN" w:eastAsia="zh-CN"/>
        </w:rPr>
        <w:t>一、采购清单</w:t>
      </w:r>
    </w:p>
    <w:tbl>
      <w:tblPr>
        <w:tblStyle w:val="17"/>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693"/>
        <w:gridCol w:w="945"/>
        <w:gridCol w:w="1560"/>
        <w:gridCol w:w="1500"/>
        <w:gridCol w:w="1215"/>
        <w:gridCol w:w="1203"/>
      </w:tblGrid>
      <w:tr w14:paraId="41E4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2166EBFC">
            <w:pPr>
              <w:widowControl w:val="0"/>
              <w:jc w:val="center"/>
              <w:rPr>
                <w:rFonts w:hint="eastAsia" w:asciiTheme="minorEastAsia" w:hAnsiTheme="minorEastAsia" w:eastAsiaTheme="minorEastAsia" w:cstheme="minorEastAsia"/>
                <w:b/>
                <w:bCs/>
                <w:color w:val="auto"/>
                <w:kern w:val="44"/>
                <w:sz w:val="24"/>
                <w:szCs w:val="24"/>
                <w:highlight w:val="none"/>
                <w:vertAlign w:val="baseline"/>
                <w:lang w:val="en-US" w:eastAsia="zh-CN"/>
              </w:rPr>
            </w:pPr>
            <w:r>
              <w:rPr>
                <w:rFonts w:hint="eastAsia" w:asciiTheme="minorEastAsia" w:hAnsiTheme="minorEastAsia" w:eastAsiaTheme="minorEastAsia" w:cstheme="minorEastAsia"/>
                <w:b/>
                <w:bCs/>
                <w:color w:val="auto"/>
                <w:kern w:val="44"/>
                <w:sz w:val="24"/>
                <w:szCs w:val="24"/>
                <w:highlight w:val="none"/>
                <w:vertAlign w:val="baseline"/>
                <w:lang w:val="en-US" w:eastAsia="zh-CN"/>
              </w:rPr>
              <w:t>序号</w:t>
            </w:r>
          </w:p>
        </w:tc>
        <w:tc>
          <w:tcPr>
            <w:tcW w:w="2693" w:type="dxa"/>
            <w:noWrap w:val="0"/>
            <w:vAlign w:val="center"/>
          </w:tcPr>
          <w:p w14:paraId="1B7BBBAD">
            <w:pPr>
              <w:widowControl w:val="0"/>
              <w:jc w:val="center"/>
              <w:rPr>
                <w:rFonts w:hint="eastAsia" w:asciiTheme="minorEastAsia" w:hAnsiTheme="minorEastAsia" w:eastAsiaTheme="minorEastAsia" w:cstheme="minorEastAsia"/>
                <w:b/>
                <w:bCs/>
                <w:color w:val="auto"/>
                <w:kern w:val="44"/>
                <w:sz w:val="24"/>
                <w:szCs w:val="24"/>
                <w:highlight w:val="none"/>
                <w:vertAlign w:val="baseline"/>
                <w:lang w:val="zh-CN"/>
              </w:rPr>
            </w:pPr>
            <w:r>
              <w:rPr>
                <w:rFonts w:hint="eastAsia" w:asciiTheme="minorEastAsia" w:hAnsiTheme="minorEastAsia" w:eastAsiaTheme="minorEastAsia" w:cstheme="minorEastAsia"/>
                <w:b/>
                <w:bCs/>
                <w:color w:val="auto"/>
                <w:kern w:val="44"/>
                <w:sz w:val="24"/>
                <w:szCs w:val="24"/>
                <w:highlight w:val="none"/>
                <w:vertAlign w:val="baseline"/>
                <w:lang w:val="en-US" w:eastAsia="zh-CN"/>
              </w:rPr>
              <w:t>标的</w:t>
            </w:r>
            <w:r>
              <w:rPr>
                <w:rFonts w:hint="eastAsia" w:asciiTheme="minorEastAsia" w:hAnsiTheme="minorEastAsia" w:eastAsiaTheme="minorEastAsia" w:cstheme="minorEastAsia"/>
                <w:b/>
                <w:bCs/>
                <w:color w:val="auto"/>
                <w:kern w:val="44"/>
                <w:sz w:val="24"/>
                <w:szCs w:val="24"/>
                <w:highlight w:val="none"/>
                <w:vertAlign w:val="baseline"/>
                <w:lang w:val="zh-CN"/>
              </w:rPr>
              <w:t>名称</w:t>
            </w:r>
          </w:p>
        </w:tc>
        <w:tc>
          <w:tcPr>
            <w:tcW w:w="945" w:type="dxa"/>
            <w:noWrap w:val="0"/>
            <w:vAlign w:val="center"/>
          </w:tcPr>
          <w:p w14:paraId="29ED840E">
            <w:pPr>
              <w:widowControl w:val="0"/>
              <w:jc w:val="center"/>
              <w:rPr>
                <w:rFonts w:hint="eastAsia" w:asciiTheme="minorEastAsia" w:hAnsiTheme="minorEastAsia" w:eastAsiaTheme="minorEastAsia" w:cstheme="minorEastAsia"/>
                <w:b/>
                <w:bCs/>
                <w:color w:val="auto"/>
                <w:kern w:val="44"/>
                <w:sz w:val="24"/>
                <w:szCs w:val="24"/>
                <w:highlight w:val="none"/>
                <w:vertAlign w:val="baseline"/>
                <w:lang w:val="zh-CN"/>
              </w:rPr>
            </w:pPr>
            <w:r>
              <w:rPr>
                <w:rFonts w:hint="eastAsia" w:asciiTheme="minorEastAsia" w:hAnsiTheme="minorEastAsia" w:eastAsiaTheme="minorEastAsia" w:cstheme="minorEastAsia"/>
                <w:b/>
                <w:bCs/>
                <w:color w:val="auto"/>
                <w:kern w:val="44"/>
                <w:sz w:val="24"/>
                <w:szCs w:val="24"/>
                <w:highlight w:val="none"/>
                <w:vertAlign w:val="baseline"/>
                <w:lang w:val="zh-CN"/>
              </w:rPr>
              <w:t>数量</w:t>
            </w:r>
          </w:p>
        </w:tc>
        <w:tc>
          <w:tcPr>
            <w:tcW w:w="1560" w:type="dxa"/>
            <w:noWrap w:val="0"/>
            <w:vAlign w:val="center"/>
          </w:tcPr>
          <w:p w14:paraId="252C753D">
            <w:pPr>
              <w:widowControl w:val="0"/>
              <w:jc w:val="center"/>
              <w:rPr>
                <w:rFonts w:hint="eastAsia" w:asciiTheme="minorEastAsia" w:hAnsiTheme="minorEastAsia" w:eastAsiaTheme="minorEastAsia" w:cstheme="minorEastAsia"/>
                <w:b/>
                <w:bCs/>
                <w:color w:val="auto"/>
                <w:kern w:val="44"/>
                <w:sz w:val="24"/>
                <w:szCs w:val="24"/>
                <w:highlight w:val="none"/>
                <w:vertAlign w:val="baseline"/>
                <w:lang w:val="en-US" w:eastAsia="zh-CN"/>
              </w:rPr>
            </w:pPr>
            <w:r>
              <w:rPr>
                <w:rFonts w:hint="eastAsia" w:asciiTheme="minorEastAsia" w:hAnsiTheme="minorEastAsia" w:eastAsiaTheme="minorEastAsia" w:cstheme="minorEastAsia"/>
                <w:b/>
                <w:bCs/>
                <w:color w:val="auto"/>
                <w:kern w:val="44"/>
                <w:sz w:val="24"/>
                <w:szCs w:val="24"/>
                <w:highlight w:val="none"/>
                <w:vertAlign w:val="baseline"/>
                <w:lang w:val="en-US" w:eastAsia="zh-CN"/>
              </w:rPr>
              <w:t>单价</w:t>
            </w:r>
            <w:r>
              <w:rPr>
                <w:rFonts w:hint="eastAsia" w:asciiTheme="minorEastAsia" w:hAnsiTheme="minorEastAsia" w:eastAsiaTheme="minorEastAsia" w:cstheme="minorEastAsia"/>
                <w:b/>
                <w:bCs/>
                <w:color w:val="auto"/>
                <w:kern w:val="44"/>
                <w:sz w:val="24"/>
                <w:szCs w:val="24"/>
                <w:highlight w:val="none"/>
                <w:vertAlign w:val="baseline"/>
                <w:lang w:val="zh-CN"/>
              </w:rPr>
              <w:t>（元）</w:t>
            </w:r>
          </w:p>
        </w:tc>
        <w:tc>
          <w:tcPr>
            <w:tcW w:w="1500" w:type="dxa"/>
            <w:noWrap w:val="0"/>
            <w:vAlign w:val="center"/>
          </w:tcPr>
          <w:p w14:paraId="21D113B9">
            <w:pPr>
              <w:widowControl w:val="0"/>
              <w:jc w:val="center"/>
              <w:rPr>
                <w:rFonts w:hint="eastAsia" w:asciiTheme="minorEastAsia" w:hAnsiTheme="minorEastAsia" w:eastAsiaTheme="minorEastAsia" w:cstheme="minorEastAsia"/>
                <w:b/>
                <w:bCs/>
                <w:color w:val="auto"/>
                <w:kern w:val="44"/>
                <w:sz w:val="24"/>
                <w:szCs w:val="24"/>
                <w:highlight w:val="none"/>
                <w:vertAlign w:val="baseline"/>
                <w:lang w:val="en-US" w:eastAsia="zh-CN"/>
              </w:rPr>
            </w:pPr>
            <w:r>
              <w:rPr>
                <w:rFonts w:hint="eastAsia" w:asciiTheme="minorEastAsia" w:hAnsiTheme="minorEastAsia" w:eastAsiaTheme="minorEastAsia" w:cstheme="minorEastAsia"/>
                <w:b/>
                <w:bCs/>
                <w:color w:val="auto"/>
                <w:kern w:val="44"/>
                <w:sz w:val="24"/>
                <w:szCs w:val="24"/>
                <w:highlight w:val="none"/>
                <w:vertAlign w:val="baseline"/>
                <w:lang w:val="en-US" w:eastAsia="zh-CN"/>
              </w:rPr>
              <w:t>预算金额</w:t>
            </w:r>
          </w:p>
          <w:p w14:paraId="10C3B708">
            <w:pPr>
              <w:widowControl w:val="0"/>
              <w:jc w:val="center"/>
              <w:rPr>
                <w:rFonts w:hint="eastAsia" w:asciiTheme="minorEastAsia" w:hAnsiTheme="minorEastAsia" w:eastAsiaTheme="minorEastAsia" w:cstheme="minorEastAsia"/>
                <w:b/>
                <w:bCs/>
                <w:color w:val="auto"/>
                <w:kern w:val="44"/>
                <w:sz w:val="24"/>
                <w:szCs w:val="24"/>
                <w:highlight w:val="none"/>
                <w:vertAlign w:val="baseline"/>
                <w:lang w:val="zh-CN"/>
              </w:rPr>
            </w:pPr>
            <w:r>
              <w:rPr>
                <w:rFonts w:hint="eastAsia" w:asciiTheme="minorEastAsia" w:hAnsiTheme="minorEastAsia" w:eastAsiaTheme="minorEastAsia" w:cstheme="minorEastAsia"/>
                <w:b/>
                <w:bCs/>
                <w:color w:val="auto"/>
                <w:kern w:val="44"/>
                <w:sz w:val="24"/>
                <w:szCs w:val="24"/>
                <w:highlight w:val="none"/>
                <w:vertAlign w:val="baseline"/>
                <w:lang w:val="zh-CN"/>
              </w:rPr>
              <w:t>（元）</w:t>
            </w:r>
          </w:p>
        </w:tc>
        <w:tc>
          <w:tcPr>
            <w:tcW w:w="1215" w:type="dxa"/>
            <w:noWrap w:val="0"/>
            <w:vAlign w:val="center"/>
          </w:tcPr>
          <w:p w14:paraId="2B95E48D">
            <w:pPr>
              <w:widowControl w:val="0"/>
              <w:jc w:val="center"/>
              <w:rPr>
                <w:rFonts w:hint="default" w:asciiTheme="minorEastAsia" w:hAnsiTheme="minorEastAsia" w:eastAsiaTheme="minorEastAsia" w:cstheme="minorEastAsia"/>
                <w:b/>
                <w:bCs/>
                <w:color w:val="auto"/>
                <w:kern w:val="44"/>
                <w:sz w:val="24"/>
                <w:szCs w:val="24"/>
                <w:highlight w:val="none"/>
                <w:vertAlign w:val="baseline"/>
                <w:lang w:val="en-US" w:eastAsia="zh-CN"/>
              </w:rPr>
            </w:pPr>
            <w:r>
              <w:rPr>
                <w:rFonts w:hint="eastAsia" w:asciiTheme="minorEastAsia" w:hAnsiTheme="minorEastAsia" w:eastAsiaTheme="minorEastAsia" w:cstheme="minorEastAsia"/>
                <w:b/>
                <w:bCs/>
                <w:color w:val="auto"/>
                <w:kern w:val="44"/>
                <w:sz w:val="24"/>
                <w:szCs w:val="24"/>
                <w:highlight w:val="none"/>
                <w:vertAlign w:val="baseline"/>
                <w:lang w:val="en-US" w:eastAsia="zh-CN"/>
              </w:rPr>
              <w:t>是否为核心产品</w:t>
            </w:r>
          </w:p>
        </w:tc>
        <w:tc>
          <w:tcPr>
            <w:tcW w:w="1203" w:type="dxa"/>
            <w:noWrap w:val="0"/>
            <w:vAlign w:val="center"/>
          </w:tcPr>
          <w:p w14:paraId="080B4639">
            <w:pPr>
              <w:widowControl w:val="0"/>
              <w:jc w:val="center"/>
              <w:rPr>
                <w:rFonts w:hint="default" w:asciiTheme="minorEastAsia" w:hAnsiTheme="minorEastAsia" w:eastAsiaTheme="minorEastAsia" w:cstheme="minorEastAsia"/>
                <w:b/>
                <w:bCs/>
                <w:color w:val="auto"/>
                <w:kern w:val="44"/>
                <w:sz w:val="24"/>
                <w:szCs w:val="24"/>
                <w:highlight w:val="none"/>
                <w:vertAlign w:val="baseline"/>
                <w:lang w:val="en-US" w:eastAsia="zh-CN"/>
              </w:rPr>
            </w:pPr>
            <w:r>
              <w:rPr>
                <w:rFonts w:hint="eastAsia" w:asciiTheme="minorEastAsia" w:hAnsiTheme="minorEastAsia" w:eastAsiaTheme="minorEastAsia" w:cstheme="minorEastAsia"/>
                <w:b/>
                <w:bCs/>
                <w:color w:val="auto"/>
                <w:kern w:val="44"/>
                <w:sz w:val="24"/>
                <w:szCs w:val="24"/>
                <w:highlight w:val="none"/>
                <w:vertAlign w:val="baseline"/>
                <w:lang w:val="en-US" w:eastAsia="zh-CN"/>
              </w:rPr>
              <w:t>是否接受进口产品</w:t>
            </w:r>
          </w:p>
        </w:tc>
      </w:tr>
      <w:tr w14:paraId="0FFA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7E84A402">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w:t>
            </w:r>
          </w:p>
        </w:tc>
        <w:tc>
          <w:tcPr>
            <w:tcW w:w="2693" w:type="dxa"/>
            <w:shd w:val="clear" w:color="auto" w:fill="auto"/>
            <w:noWrap w:val="0"/>
            <w:vAlign w:val="center"/>
          </w:tcPr>
          <w:p w14:paraId="5AA6A202">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zh-CN" w:eastAsia="en-US"/>
              </w:rPr>
            </w:pPr>
            <w:r>
              <w:rPr>
                <w:rFonts w:hint="eastAsia" w:asciiTheme="minorEastAsia" w:hAnsiTheme="minorEastAsia" w:eastAsiaTheme="minorEastAsia" w:cstheme="minorEastAsia"/>
                <w:b w:val="0"/>
                <w:bCs w:val="0"/>
                <w:color w:val="auto"/>
                <w:kern w:val="44"/>
                <w:sz w:val="24"/>
                <w:szCs w:val="24"/>
                <w:highlight w:val="none"/>
                <w:vertAlign w:val="baseline"/>
                <w:lang w:val="zh-CN" w:eastAsia="en-US"/>
              </w:rPr>
              <w:t>ABS转运车</w:t>
            </w:r>
          </w:p>
        </w:tc>
        <w:tc>
          <w:tcPr>
            <w:tcW w:w="945" w:type="dxa"/>
            <w:shd w:val="clear" w:color="auto" w:fill="auto"/>
            <w:noWrap w:val="0"/>
            <w:vAlign w:val="center"/>
          </w:tcPr>
          <w:p w14:paraId="25FC3453">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7台</w:t>
            </w:r>
          </w:p>
        </w:tc>
        <w:tc>
          <w:tcPr>
            <w:tcW w:w="1560" w:type="dxa"/>
            <w:shd w:val="clear" w:color="auto" w:fill="auto"/>
            <w:noWrap w:val="0"/>
            <w:vAlign w:val="center"/>
          </w:tcPr>
          <w:p w14:paraId="083B6EE7">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zh-CN"/>
              </w:rPr>
              <w:t>6000.00</w:t>
            </w:r>
          </w:p>
        </w:tc>
        <w:tc>
          <w:tcPr>
            <w:tcW w:w="1500" w:type="dxa"/>
            <w:shd w:val="clear" w:color="auto" w:fill="auto"/>
            <w:noWrap w:val="0"/>
            <w:vAlign w:val="center"/>
          </w:tcPr>
          <w:p w14:paraId="3FE5E963">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zh-CN"/>
              </w:rPr>
              <w:t>42000.00</w:t>
            </w:r>
          </w:p>
        </w:tc>
        <w:tc>
          <w:tcPr>
            <w:tcW w:w="1215" w:type="dxa"/>
            <w:shd w:val="clear" w:color="auto" w:fill="auto"/>
            <w:noWrap w:val="0"/>
            <w:vAlign w:val="center"/>
          </w:tcPr>
          <w:p w14:paraId="0EDF8E3C">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59CBF9D7">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1483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328632EA">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w:t>
            </w:r>
          </w:p>
        </w:tc>
        <w:tc>
          <w:tcPr>
            <w:tcW w:w="2693" w:type="dxa"/>
            <w:shd w:val="clear" w:color="auto" w:fill="auto"/>
            <w:noWrap w:val="0"/>
            <w:vAlign w:val="center"/>
          </w:tcPr>
          <w:p w14:paraId="14EF1B14">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内镜纯水机</w:t>
            </w:r>
          </w:p>
        </w:tc>
        <w:tc>
          <w:tcPr>
            <w:tcW w:w="945" w:type="dxa"/>
            <w:shd w:val="clear" w:color="auto" w:fill="auto"/>
            <w:noWrap w:val="0"/>
            <w:vAlign w:val="center"/>
          </w:tcPr>
          <w:p w14:paraId="2BBA31AE">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1套</w:t>
            </w:r>
          </w:p>
        </w:tc>
        <w:tc>
          <w:tcPr>
            <w:tcW w:w="1560" w:type="dxa"/>
            <w:shd w:val="clear" w:color="auto" w:fill="auto"/>
            <w:noWrap w:val="0"/>
            <w:vAlign w:val="center"/>
          </w:tcPr>
          <w:p w14:paraId="5D5FE4FE">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200000.00</w:t>
            </w:r>
          </w:p>
        </w:tc>
        <w:tc>
          <w:tcPr>
            <w:tcW w:w="1500" w:type="dxa"/>
            <w:shd w:val="clear" w:color="auto" w:fill="auto"/>
            <w:noWrap w:val="0"/>
            <w:vAlign w:val="center"/>
          </w:tcPr>
          <w:p w14:paraId="155340AA">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200000.00</w:t>
            </w:r>
          </w:p>
        </w:tc>
        <w:tc>
          <w:tcPr>
            <w:tcW w:w="1215" w:type="dxa"/>
            <w:shd w:val="clear" w:color="auto" w:fill="auto"/>
            <w:noWrap w:val="0"/>
            <w:vAlign w:val="center"/>
          </w:tcPr>
          <w:p w14:paraId="4C95DC44">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bCs/>
                <w:color w:val="auto"/>
                <w:kern w:val="44"/>
                <w:sz w:val="24"/>
                <w:szCs w:val="24"/>
                <w:highlight w:val="none"/>
                <w:vertAlign w:val="baseline"/>
                <w:lang w:val="en-US" w:eastAsia="zh-CN"/>
              </w:rPr>
              <w:t>是</w:t>
            </w:r>
          </w:p>
        </w:tc>
        <w:tc>
          <w:tcPr>
            <w:tcW w:w="1203" w:type="dxa"/>
            <w:shd w:val="clear" w:color="auto" w:fill="auto"/>
            <w:noWrap w:val="0"/>
            <w:vAlign w:val="center"/>
          </w:tcPr>
          <w:p w14:paraId="1C5F2E99">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5712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31288187">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3</w:t>
            </w:r>
          </w:p>
        </w:tc>
        <w:tc>
          <w:tcPr>
            <w:tcW w:w="2693" w:type="dxa"/>
            <w:shd w:val="clear" w:color="auto" w:fill="auto"/>
            <w:noWrap w:val="0"/>
            <w:vAlign w:val="center"/>
          </w:tcPr>
          <w:p w14:paraId="06A17DA2">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内镜进水系统</w:t>
            </w:r>
          </w:p>
        </w:tc>
        <w:tc>
          <w:tcPr>
            <w:tcW w:w="945" w:type="dxa"/>
            <w:shd w:val="clear" w:color="auto" w:fill="auto"/>
            <w:noWrap w:val="0"/>
            <w:vAlign w:val="center"/>
          </w:tcPr>
          <w:p w14:paraId="67F3E49D">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2套</w:t>
            </w:r>
          </w:p>
        </w:tc>
        <w:tc>
          <w:tcPr>
            <w:tcW w:w="1560" w:type="dxa"/>
            <w:shd w:val="clear" w:color="auto" w:fill="auto"/>
            <w:noWrap w:val="0"/>
            <w:vAlign w:val="center"/>
          </w:tcPr>
          <w:p w14:paraId="0EDB96EA">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50000.00</w:t>
            </w:r>
          </w:p>
        </w:tc>
        <w:tc>
          <w:tcPr>
            <w:tcW w:w="1500" w:type="dxa"/>
            <w:shd w:val="clear" w:color="auto" w:fill="auto"/>
            <w:noWrap w:val="0"/>
            <w:vAlign w:val="center"/>
          </w:tcPr>
          <w:p w14:paraId="0CB25BDD">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100000.00</w:t>
            </w:r>
          </w:p>
        </w:tc>
        <w:tc>
          <w:tcPr>
            <w:tcW w:w="1215" w:type="dxa"/>
            <w:shd w:val="clear" w:color="auto" w:fill="auto"/>
            <w:noWrap w:val="0"/>
            <w:vAlign w:val="center"/>
          </w:tcPr>
          <w:p w14:paraId="461B17E2">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72C80AC9">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0658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06D35D4B">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4</w:t>
            </w:r>
          </w:p>
        </w:tc>
        <w:tc>
          <w:tcPr>
            <w:tcW w:w="2693" w:type="dxa"/>
            <w:shd w:val="clear" w:color="auto" w:fill="auto"/>
            <w:noWrap w:val="0"/>
            <w:vAlign w:val="center"/>
          </w:tcPr>
          <w:p w14:paraId="26176E61">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负压吸引器</w:t>
            </w:r>
          </w:p>
        </w:tc>
        <w:tc>
          <w:tcPr>
            <w:tcW w:w="945" w:type="dxa"/>
            <w:shd w:val="clear" w:color="auto" w:fill="auto"/>
            <w:noWrap w:val="0"/>
            <w:vAlign w:val="center"/>
          </w:tcPr>
          <w:p w14:paraId="7153C14A">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8台</w:t>
            </w:r>
          </w:p>
        </w:tc>
        <w:tc>
          <w:tcPr>
            <w:tcW w:w="1560" w:type="dxa"/>
            <w:shd w:val="clear" w:color="auto" w:fill="auto"/>
            <w:noWrap w:val="0"/>
            <w:vAlign w:val="center"/>
          </w:tcPr>
          <w:p w14:paraId="36B97E1E">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3000.00</w:t>
            </w:r>
          </w:p>
        </w:tc>
        <w:tc>
          <w:tcPr>
            <w:tcW w:w="1500" w:type="dxa"/>
            <w:shd w:val="clear" w:color="auto" w:fill="auto"/>
            <w:noWrap w:val="0"/>
            <w:vAlign w:val="center"/>
          </w:tcPr>
          <w:p w14:paraId="5319D666">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24000.00</w:t>
            </w:r>
          </w:p>
        </w:tc>
        <w:tc>
          <w:tcPr>
            <w:tcW w:w="1215" w:type="dxa"/>
            <w:shd w:val="clear" w:color="auto" w:fill="auto"/>
            <w:noWrap w:val="0"/>
            <w:vAlign w:val="center"/>
          </w:tcPr>
          <w:p w14:paraId="0344364B">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6EA72B88">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2D3B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35966EB0">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5</w:t>
            </w:r>
          </w:p>
        </w:tc>
        <w:tc>
          <w:tcPr>
            <w:tcW w:w="2693" w:type="dxa"/>
            <w:shd w:val="clear" w:color="auto" w:fill="auto"/>
            <w:noWrap w:val="0"/>
            <w:vAlign w:val="center"/>
          </w:tcPr>
          <w:p w14:paraId="69413E3F">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内镜清洗工作台</w:t>
            </w:r>
          </w:p>
        </w:tc>
        <w:tc>
          <w:tcPr>
            <w:tcW w:w="945" w:type="dxa"/>
            <w:shd w:val="clear" w:color="auto" w:fill="auto"/>
            <w:noWrap w:val="0"/>
            <w:vAlign w:val="center"/>
          </w:tcPr>
          <w:p w14:paraId="6A1C7924">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2套</w:t>
            </w:r>
          </w:p>
        </w:tc>
        <w:tc>
          <w:tcPr>
            <w:tcW w:w="1560" w:type="dxa"/>
            <w:shd w:val="clear" w:color="auto" w:fill="auto"/>
            <w:noWrap w:val="0"/>
            <w:vAlign w:val="center"/>
          </w:tcPr>
          <w:p w14:paraId="28245136">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100000.00</w:t>
            </w:r>
          </w:p>
        </w:tc>
        <w:tc>
          <w:tcPr>
            <w:tcW w:w="1500" w:type="dxa"/>
            <w:shd w:val="clear" w:color="auto" w:fill="auto"/>
            <w:noWrap w:val="0"/>
            <w:vAlign w:val="center"/>
          </w:tcPr>
          <w:p w14:paraId="7A051830">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200000.00</w:t>
            </w:r>
          </w:p>
        </w:tc>
        <w:tc>
          <w:tcPr>
            <w:tcW w:w="1215" w:type="dxa"/>
            <w:shd w:val="clear" w:color="auto" w:fill="auto"/>
            <w:noWrap w:val="0"/>
            <w:vAlign w:val="center"/>
          </w:tcPr>
          <w:p w14:paraId="5039F733">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35B370F0">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2B15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2C92DC3F">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6</w:t>
            </w:r>
          </w:p>
        </w:tc>
        <w:tc>
          <w:tcPr>
            <w:tcW w:w="2693" w:type="dxa"/>
            <w:shd w:val="clear" w:color="auto" w:fill="auto"/>
            <w:noWrap w:val="0"/>
            <w:vAlign w:val="center"/>
          </w:tcPr>
          <w:p w14:paraId="2105CBD9">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全自动内镜清洗消毒机</w:t>
            </w:r>
          </w:p>
        </w:tc>
        <w:tc>
          <w:tcPr>
            <w:tcW w:w="945" w:type="dxa"/>
            <w:shd w:val="clear" w:color="auto" w:fill="auto"/>
            <w:noWrap w:val="0"/>
            <w:vAlign w:val="center"/>
          </w:tcPr>
          <w:p w14:paraId="06E33585">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2套</w:t>
            </w:r>
          </w:p>
        </w:tc>
        <w:tc>
          <w:tcPr>
            <w:tcW w:w="1560" w:type="dxa"/>
            <w:shd w:val="clear" w:color="auto" w:fill="auto"/>
            <w:noWrap w:val="0"/>
            <w:vAlign w:val="center"/>
          </w:tcPr>
          <w:p w14:paraId="1C86FC27">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200000.00</w:t>
            </w:r>
          </w:p>
        </w:tc>
        <w:tc>
          <w:tcPr>
            <w:tcW w:w="1500" w:type="dxa"/>
            <w:shd w:val="clear" w:color="auto" w:fill="auto"/>
            <w:noWrap w:val="0"/>
            <w:vAlign w:val="center"/>
          </w:tcPr>
          <w:p w14:paraId="58BEDDB4">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400000.00</w:t>
            </w:r>
          </w:p>
        </w:tc>
        <w:tc>
          <w:tcPr>
            <w:tcW w:w="1215" w:type="dxa"/>
            <w:shd w:val="clear" w:color="auto" w:fill="auto"/>
            <w:noWrap w:val="0"/>
            <w:vAlign w:val="center"/>
          </w:tcPr>
          <w:p w14:paraId="7DC5607E">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0D9B0CA5">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32A5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2E27D791">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7</w:t>
            </w:r>
          </w:p>
        </w:tc>
        <w:tc>
          <w:tcPr>
            <w:tcW w:w="2693" w:type="dxa"/>
            <w:shd w:val="clear" w:color="auto" w:fill="auto"/>
            <w:noWrap w:val="0"/>
            <w:vAlign w:val="center"/>
          </w:tcPr>
          <w:p w14:paraId="7A7AF800">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碳13呼气试验检测仪</w:t>
            </w:r>
          </w:p>
        </w:tc>
        <w:tc>
          <w:tcPr>
            <w:tcW w:w="945" w:type="dxa"/>
            <w:shd w:val="clear" w:color="auto" w:fill="auto"/>
            <w:noWrap w:val="0"/>
            <w:vAlign w:val="center"/>
          </w:tcPr>
          <w:p w14:paraId="6AA760DA">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1台</w:t>
            </w:r>
          </w:p>
        </w:tc>
        <w:tc>
          <w:tcPr>
            <w:tcW w:w="1560" w:type="dxa"/>
            <w:shd w:val="clear" w:color="auto" w:fill="auto"/>
            <w:noWrap w:val="0"/>
            <w:vAlign w:val="center"/>
          </w:tcPr>
          <w:p w14:paraId="2DE09108">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68000.00</w:t>
            </w:r>
          </w:p>
        </w:tc>
        <w:tc>
          <w:tcPr>
            <w:tcW w:w="1500" w:type="dxa"/>
            <w:shd w:val="clear" w:color="auto" w:fill="auto"/>
            <w:noWrap w:val="0"/>
            <w:vAlign w:val="center"/>
          </w:tcPr>
          <w:p w14:paraId="66D4812B">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68000.00</w:t>
            </w:r>
          </w:p>
        </w:tc>
        <w:tc>
          <w:tcPr>
            <w:tcW w:w="1215" w:type="dxa"/>
            <w:shd w:val="clear" w:color="auto" w:fill="auto"/>
            <w:noWrap w:val="0"/>
            <w:vAlign w:val="center"/>
          </w:tcPr>
          <w:p w14:paraId="46DFBEF4">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2C86CA36">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79C8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25D45B66">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8</w:t>
            </w:r>
          </w:p>
        </w:tc>
        <w:tc>
          <w:tcPr>
            <w:tcW w:w="2693" w:type="dxa"/>
            <w:shd w:val="clear" w:color="auto" w:fill="auto"/>
            <w:noWrap w:val="0"/>
            <w:vAlign w:val="center"/>
          </w:tcPr>
          <w:p w14:paraId="34E97E38">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碳14呼气试验检测仪</w:t>
            </w:r>
          </w:p>
        </w:tc>
        <w:tc>
          <w:tcPr>
            <w:tcW w:w="945" w:type="dxa"/>
            <w:shd w:val="clear" w:color="auto" w:fill="auto"/>
            <w:noWrap w:val="0"/>
            <w:vAlign w:val="center"/>
          </w:tcPr>
          <w:p w14:paraId="71F643E3">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1台</w:t>
            </w:r>
          </w:p>
        </w:tc>
        <w:tc>
          <w:tcPr>
            <w:tcW w:w="1560" w:type="dxa"/>
            <w:shd w:val="clear" w:color="auto" w:fill="auto"/>
            <w:noWrap w:val="0"/>
            <w:vAlign w:val="center"/>
          </w:tcPr>
          <w:p w14:paraId="056582A6">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40000.00</w:t>
            </w:r>
          </w:p>
        </w:tc>
        <w:tc>
          <w:tcPr>
            <w:tcW w:w="1500" w:type="dxa"/>
            <w:shd w:val="clear" w:color="auto" w:fill="auto"/>
            <w:noWrap w:val="0"/>
            <w:vAlign w:val="center"/>
          </w:tcPr>
          <w:p w14:paraId="160539B0">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40000.00</w:t>
            </w:r>
          </w:p>
        </w:tc>
        <w:tc>
          <w:tcPr>
            <w:tcW w:w="1215" w:type="dxa"/>
            <w:shd w:val="clear" w:color="auto" w:fill="auto"/>
            <w:noWrap w:val="0"/>
            <w:vAlign w:val="center"/>
          </w:tcPr>
          <w:p w14:paraId="4677163B">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517011A5">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07EA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2769D734">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9</w:t>
            </w:r>
          </w:p>
        </w:tc>
        <w:tc>
          <w:tcPr>
            <w:tcW w:w="2693" w:type="dxa"/>
            <w:shd w:val="clear" w:color="auto" w:fill="auto"/>
            <w:noWrap w:val="0"/>
            <w:vAlign w:val="center"/>
          </w:tcPr>
          <w:p w14:paraId="3D30686E">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内镜主机</w:t>
            </w:r>
          </w:p>
        </w:tc>
        <w:tc>
          <w:tcPr>
            <w:tcW w:w="945" w:type="dxa"/>
            <w:shd w:val="clear" w:color="auto" w:fill="auto"/>
            <w:noWrap w:val="0"/>
            <w:vAlign w:val="center"/>
          </w:tcPr>
          <w:p w14:paraId="6AB295ED">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2台</w:t>
            </w:r>
          </w:p>
        </w:tc>
        <w:tc>
          <w:tcPr>
            <w:tcW w:w="1560" w:type="dxa"/>
            <w:shd w:val="clear" w:color="auto" w:fill="auto"/>
            <w:noWrap w:val="0"/>
            <w:vAlign w:val="center"/>
          </w:tcPr>
          <w:p w14:paraId="562ED4A9">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1030000.00</w:t>
            </w:r>
          </w:p>
        </w:tc>
        <w:tc>
          <w:tcPr>
            <w:tcW w:w="1500" w:type="dxa"/>
            <w:shd w:val="clear" w:color="auto" w:fill="auto"/>
            <w:noWrap w:val="0"/>
            <w:vAlign w:val="center"/>
          </w:tcPr>
          <w:p w14:paraId="6DCEB36E">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2060000.00</w:t>
            </w:r>
          </w:p>
        </w:tc>
        <w:tc>
          <w:tcPr>
            <w:tcW w:w="1215" w:type="dxa"/>
            <w:shd w:val="clear" w:color="auto" w:fill="auto"/>
            <w:noWrap w:val="0"/>
            <w:vAlign w:val="center"/>
          </w:tcPr>
          <w:p w14:paraId="1C732451">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483417CB">
            <w:pPr>
              <w:widowControl w:val="0"/>
              <w:jc w:val="center"/>
              <w:rPr>
                <w:rFonts w:hint="default" w:asciiTheme="minorEastAsia" w:hAnsiTheme="minorEastAsia" w:eastAsiaTheme="minorEastAsia" w:cstheme="minorEastAsia"/>
                <w:b/>
                <w:bCs/>
                <w:color w:val="auto"/>
                <w:kern w:val="44"/>
                <w:sz w:val="24"/>
                <w:szCs w:val="24"/>
                <w:highlight w:val="none"/>
                <w:vertAlign w:val="baseline"/>
                <w:lang w:val="en-US" w:eastAsia="zh-CN"/>
              </w:rPr>
            </w:pPr>
            <w:r>
              <w:rPr>
                <w:rFonts w:hint="eastAsia" w:asciiTheme="minorEastAsia" w:hAnsiTheme="minorEastAsia" w:eastAsiaTheme="minorEastAsia" w:cstheme="minorEastAsia"/>
                <w:b/>
                <w:bCs/>
                <w:color w:val="auto"/>
                <w:kern w:val="44"/>
                <w:sz w:val="24"/>
                <w:szCs w:val="24"/>
                <w:highlight w:val="none"/>
                <w:vertAlign w:val="baseline"/>
                <w:lang w:val="en-US" w:eastAsia="zh-CN"/>
              </w:rPr>
              <w:t>是</w:t>
            </w:r>
          </w:p>
        </w:tc>
      </w:tr>
      <w:tr w14:paraId="2F24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5008383D">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10</w:t>
            </w:r>
          </w:p>
        </w:tc>
        <w:tc>
          <w:tcPr>
            <w:tcW w:w="2693" w:type="dxa"/>
            <w:shd w:val="clear" w:color="auto" w:fill="auto"/>
            <w:noWrap w:val="0"/>
            <w:vAlign w:val="center"/>
          </w:tcPr>
          <w:p w14:paraId="6DBA2122">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高清电子肠镜</w:t>
            </w:r>
          </w:p>
        </w:tc>
        <w:tc>
          <w:tcPr>
            <w:tcW w:w="945" w:type="dxa"/>
            <w:shd w:val="clear" w:color="auto" w:fill="auto"/>
            <w:noWrap w:val="0"/>
            <w:vAlign w:val="center"/>
          </w:tcPr>
          <w:p w14:paraId="777B34A2">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5个</w:t>
            </w:r>
          </w:p>
        </w:tc>
        <w:tc>
          <w:tcPr>
            <w:tcW w:w="1560" w:type="dxa"/>
            <w:shd w:val="clear" w:color="auto" w:fill="auto"/>
            <w:noWrap w:val="0"/>
            <w:vAlign w:val="center"/>
          </w:tcPr>
          <w:p w14:paraId="01FF24C7">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500000.00</w:t>
            </w:r>
          </w:p>
        </w:tc>
        <w:tc>
          <w:tcPr>
            <w:tcW w:w="1500" w:type="dxa"/>
            <w:shd w:val="clear" w:color="auto" w:fill="auto"/>
            <w:noWrap w:val="0"/>
            <w:vAlign w:val="center"/>
          </w:tcPr>
          <w:p w14:paraId="11C42B08">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2500000.00</w:t>
            </w:r>
          </w:p>
        </w:tc>
        <w:tc>
          <w:tcPr>
            <w:tcW w:w="1215" w:type="dxa"/>
            <w:shd w:val="clear" w:color="auto" w:fill="auto"/>
            <w:noWrap w:val="0"/>
            <w:vAlign w:val="center"/>
          </w:tcPr>
          <w:p w14:paraId="3F3DBD96">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44D9A7C9">
            <w:pPr>
              <w:widowControl w:val="0"/>
              <w:jc w:val="center"/>
              <w:rPr>
                <w:rFonts w:hint="eastAsia" w:asciiTheme="minorEastAsia" w:hAnsiTheme="minorEastAsia" w:eastAsiaTheme="minorEastAsia" w:cstheme="minorEastAsia"/>
                <w:b/>
                <w:bCs/>
                <w:color w:val="auto"/>
                <w:kern w:val="44"/>
                <w:sz w:val="24"/>
                <w:szCs w:val="24"/>
                <w:highlight w:val="none"/>
                <w:vertAlign w:val="baseline"/>
                <w:lang w:val="en-US" w:eastAsia="zh-CN"/>
              </w:rPr>
            </w:pPr>
            <w:r>
              <w:rPr>
                <w:rFonts w:hint="eastAsia" w:asciiTheme="minorEastAsia" w:hAnsiTheme="minorEastAsia" w:eastAsiaTheme="minorEastAsia" w:cstheme="minorEastAsia"/>
                <w:b/>
                <w:bCs/>
                <w:color w:val="auto"/>
                <w:kern w:val="44"/>
                <w:sz w:val="24"/>
                <w:szCs w:val="24"/>
                <w:highlight w:val="none"/>
                <w:vertAlign w:val="baseline"/>
                <w:lang w:val="en-US" w:eastAsia="zh-CN"/>
              </w:rPr>
              <w:t>是</w:t>
            </w:r>
          </w:p>
        </w:tc>
      </w:tr>
      <w:tr w14:paraId="4D93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0AA33FDB">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11</w:t>
            </w:r>
          </w:p>
        </w:tc>
        <w:tc>
          <w:tcPr>
            <w:tcW w:w="2693" w:type="dxa"/>
            <w:shd w:val="clear" w:color="auto" w:fill="auto"/>
            <w:noWrap w:val="0"/>
            <w:vAlign w:val="center"/>
          </w:tcPr>
          <w:p w14:paraId="0FD84856">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高清电子胃镜</w:t>
            </w:r>
          </w:p>
        </w:tc>
        <w:tc>
          <w:tcPr>
            <w:tcW w:w="945" w:type="dxa"/>
            <w:shd w:val="clear" w:color="auto" w:fill="auto"/>
            <w:noWrap w:val="0"/>
            <w:vAlign w:val="center"/>
          </w:tcPr>
          <w:p w14:paraId="36CA0053">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10个</w:t>
            </w:r>
          </w:p>
        </w:tc>
        <w:tc>
          <w:tcPr>
            <w:tcW w:w="1560" w:type="dxa"/>
            <w:shd w:val="clear" w:color="auto" w:fill="auto"/>
            <w:noWrap w:val="0"/>
            <w:vAlign w:val="center"/>
          </w:tcPr>
          <w:p w14:paraId="06F3B63C">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500000.00</w:t>
            </w:r>
          </w:p>
        </w:tc>
        <w:tc>
          <w:tcPr>
            <w:tcW w:w="1500" w:type="dxa"/>
            <w:shd w:val="clear" w:color="auto" w:fill="auto"/>
            <w:noWrap w:val="0"/>
            <w:vAlign w:val="center"/>
          </w:tcPr>
          <w:p w14:paraId="71463520">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5000000.00</w:t>
            </w:r>
          </w:p>
        </w:tc>
        <w:tc>
          <w:tcPr>
            <w:tcW w:w="1215" w:type="dxa"/>
            <w:shd w:val="clear" w:color="auto" w:fill="auto"/>
            <w:noWrap w:val="0"/>
            <w:vAlign w:val="center"/>
          </w:tcPr>
          <w:p w14:paraId="46796431">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01C048D7">
            <w:pPr>
              <w:widowControl w:val="0"/>
              <w:jc w:val="center"/>
              <w:rPr>
                <w:rFonts w:hint="eastAsia" w:asciiTheme="minorEastAsia" w:hAnsiTheme="minorEastAsia" w:eastAsiaTheme="minorEastAsia" w:cstheme="minorEastAsia"/>
                <w:b/>
                <w:bCs/>
                <w:color w:val="auto"/>
                <w:kern w:val="44"/>
                <w:sz w:val="24"/>
                <w:szCs w:val="24"/>
                <w:highlight w:val="none"/>
                <w:vertAlign w:val="baseline"/>
                <w:lang w:val="en-US" w:eastAsia="zh-CN"/>
              </w:rPr>
            </w:pPr>
            <w:r>
              <w:rPr>
                <w:rFonts w:hint="eastAsia" w:asciiTheme="minorEastAsia" w:hAnsiTheme="minorEastAsia" w:eastAsiaTheme="minorEastAsia" w:cstheme="minorEastAsia"/>
                <w:b/>
                <w:bCs/>
                <w:color w:val="auto"/>
                <w:kern w:val="44"/>
                <w:sz w:val="24"/>
                <w:szCs w:val="24"/>
                <w:highlight w:val="none"/>
                <w:vertAlign w:val="baseline"/>
                <w:lang w:val="en-US" w:eastAsia="zh-CN"/>
              </w:rPr>
              <w:t>是</w:t>
            </w:r>
          </w:p>
        </w:tc>
      </w:tr>
      <w:tr w14:paraId="5096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5A3EF88C">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12</w:t>
            </w:r>
          </w:p>
        </w:tc>
        <w:tc>
          <w:tcPr>
            <w:tcW w:w="2693" w:type="dxa"/>
            <w:shd w:val="clear" w:color="auto" w:fill="auto"/>
            <w:noWrap w:val="0"/>
            <w:vAlign w:val="center"/>
          </w:tcPr>
          <w:p w14:paraId="7E4A5E2D">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高频电刀</w:t>
            </w:r>
          </w:p>
        </w:tc>
        <w:tc>
          <w:tcPr>
            <w:tcW w:w="945" w:type="dxa"/>
            <w:shd w:val="clear" w:color="auto" w:fill="auto"/>
            <w:noWrap w:val="0"/>
            <w:vAlign w:val="center"/>
          </w:tcPr>
          <w:p w14:paraId="4725DD9B">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2台</w:t>
            </w:r>
          </w:p>
        </w:tc>
        <w:tc>
          <w:tcPr>
            <w:tcW w:w="1560" w:type="dxa"/>
            <w:shd w:val="clear" w:color="auto" w:fill="auto"/>
            <w:noWrap w:val="0"/>
            <w:vAlign w:val="center"/>
          </w:tcPr>
          <w:p w14:paraId="785AC711">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150000.00</w:t>
            </w:r>
          </w:p>
        </w:tc>
        <w:tc>
          <w:tcPr>
            <w:tcW w:w="1500" w:type="dxa"/>
            <w:shd w:val="clear" w:color="auto" w:fill="auto"/>
            <w:noWrap w:val="0"/>
            <w:vAlign w:val="center"/>
          </w:tcPr>
          <w:p w14:paraId="05974289">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300000.00</w:t>
            </w:r>
          </w:p>
        </w:tc>
        <w:tc>
          <w:tcPr>
            <w:tcW w:w="1215" w:type="dxa"/>
            <w:shd w:val="clear" w:color="auto" w:fill="auto"/>
            <w:noWrap w:val="0"/>
            <w:vAlign w:val="center"/>
          </w:tcPr>
          <w:p w14:paraId="6CEAC774">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4663ED7B">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2DAD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2EF73E2E">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13</w:t>
            </w:r>
          </w:p>
        </w:tc>
        <w:tc>
          <w:tcPr>
            <w:tcW w:w="2693" w:type="dxa"/>
            <w:shd w:val="clear" w:color="auto" w:fill="auto"/>
            <w:noWrap w:val="0"/>
            <w:vAlign w:val="center"/>
          </w:tcPr>
          <w:p w14:paraId="7A25A8A9">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内镜吊塔</w:t>
            </w:r>
          </w:p>
        </w:tc>
        <w:tc>
          <w:tcPr>
            <w:tcW w:w="945" w:type="dxa"/>
            <w:shd w:val="clear" w:color="auto" w:fill="auto"/>
            <w:noWrap w:val="0"/>
            <w:vAlign w:val="center"/>
          </w:tcPr>
          <w:p w14:paraId="25B417CA">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7台</w:t>
            </w:r>
          </w:p>
        </w:tc>
        <w:tc>
          <w:tcPr>
            <w:tcW w:w="1560" w:type="dxa"/>
            <w:shd w:val="clear" w:color="auto" w:fill="auto"/>
            <w:noWrap w:val="0"/>
            <w:vAlign w:val="center"/>
          </w:tcPr>
          <w:p w14:paraId="4134205B">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100000.00</w:t>
            </w:r>
          </w:p>
        </w:tc>
        <w:tc>
          <w:tcPr>
            <w:tcW w:w="1500" w:type="dxa"/>
            <w:shd w:val="clear" w:color="auto" w:fill="auto"/>
            <w:noWrap w:val="0"/>
            <w:vAlign w:val="center"/>
          </w:tcPr>
          <w:p w14:paraId="6723520C">
            <w:pPr>
              <w:widowControl w:val="0"/>
              <w:jc w:val="center"/>
              <w:rPr>
                <w:rFonts w:hint="default"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700000.00</w:t>
            </w:r>
          </w:p>
        </w:tc>
        <w:tc>
          <w:tcPr>
            <w:tcW w:w="1215" w:type="dxa"/>
            <w:shd w:val="clear" w:color="auto" w:fill="auto"/>
            <w:noWrap w:val="0"/>
            <w:vAlign w:val="center"/>
          </w:tcPr>
          <w:p w14:paraId="6AE96300">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36279122">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5405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27F32E1B">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14</w:t>
            </w:r>
          </w:p>
        </w:tc>
        <w:tc>
          <w:tcPr>
            <w:tcW w:w="2693" w:type="dxa"/>
            <w:shd w:val="clear" w:color="auto" w:fill="auto"/>
            <w:noWrap w:val="0"/>
            <w:vAlign w:val="center"/>
          </w:tcPr>
          <w:p w14:paraId="0E6B047D">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二氧化碳送气装置</w:t>
            </w:r>
          </w:p>
        </w:tc>
        <w:tc>
          <w:tcPr>
            <w:tcW w:w="945" w:type="dxa"/>
            <w:shd w:val="clear" w:color="auto" w:fill="auto"/>
            <w:noWrap w:val="0"/>
            <w:vAlign w:val="center"/>
          </w:tcPr>
          <w:p w14:paraId="1C15D846">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1套</w:t>
            </w:r>
          </w:p>
        </w:tc>
        <w:tc>
          <w:tcPr>
            <w:tcW w:w="1560" w:type="dxa"/>
            <w:shd w:val="clear" w:color="auto" w:fill="auto"/>
            <w:noWrap w:val="0"/>
            <w:vAlign w:val="center"/>
          </w:tcPr>
          <w:p w14:paraId="08233EE9">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75000.00</w:t>
            </w:r>
          </w:p>
        </w:tc>
        <w:tc>
          <w:tcPr>
            <w:tcW w:w="1500" w:type="dxa"/>
            <w:shd w:val="clear" w:color="auto" w:fill="auto"/>
            <w:noWrap w:val="0"/>
            <w:vAlign w:val="center"/>
          </w:tcPr>
          <w:p w14:paraId="1DD17539">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75000.00</w:t>
            </w:r>
          </w:p>
        </w:tc>
        <w:tc>
          <w:tcPr>
            <w:tcW w:w="1215" w:type="dxa"/>
            <w:shd w:val="clear" w:color="auto" w:fill="auto"/>
            <w:noWrap w:val="0"/>
            <w:vAlign w:val="center"/>
          </w:tcPr>
          <w:p w14:paraId="79DE3BA9">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0AFBD291">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06B3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noWrap w:val="0"/>
            <w:vAlign w:val="center"/>
          </w:tcPr>
          <w:p w14:paraId="30E72288">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15</w:t>
            </w:r>
          </w:p>
        </w:tc>
        <w:tc>
          <w:tcPr>
            <w:tcW w:w="2693" w:type="dxa"/>
            <w:shd w:val="clear" w:color="auto" w:fill="auto"/>
            <w:noWrap w:val="0"/>
            <w:vAlign w:val="center"/>
          </w:tcPr>
          <w:p w14:paraId="231933FF">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扇形器械车</w:t>
            </w:r>
          </w:p>
        </w:tc>
        <w:tc>
          <w:tcPr>
            <w:tcW w:w="945" w:type="dxa"/>
            <w:shd w:val="clear" w:color="auto" w:fill="auto"/>
            <w:noWrap w:val="0"/>
            <w:vAlign w:val="center"/>
          </w:tcPr>
          <w:p w14:paraId="75593FED">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3台</w:t>
            </w:r>
          </w:p>
        </w:tc>
        <w:tc>
          <w:tcPr>
            <w:tcW w:w="1560" w:type="dxa"/>
            <w:shd w:val="clear" w:color="auto" w:fill="auto"/>
            <w:noWrap w:val="0"/>
            <w:vAlign w:val="center"/>
          </w:tcPr>
          <w:p w14:paraId="4EBF006A">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3000.00</w:t>
            </w:r>
          </w:p>
        </w:tc>
        <w:tc>
          <w:tcPr>
            <w:tcW w:w="1500" w:type="dxa"/>
            <w:shd w:val="clear" w:color="auto" w:fill="auto"/>
            <w:noWrap w:val="0"/>
            <w:vAlign w:val="center"/>
          </w:tcPr>
          <w:p w14:paraId="113F0E65">
            <w:pPr>
              <w:widowControl w:val="0"/>
              <w:jc w:val="center"/>
              <w:rPr>
                <w:rFonts w:hint="default"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9000.00</w:t>
            </w:r>
          </w:p>
        </w:tc>
        <w:tc>
          <w:tcPr>
            <w:tcW w:w="1215" w:type="dxa"/>
            <w:shd w:val="clear" w:color="auto" w:fill="auto"/>
            <w:noWrap w:val="0"/>
            <w:vAlign w:val="center"/>
          </w:tcPr>
          <w:p w14:paraId="776AFB7F">
            <w:pPr>
              <w:widowControl w:val="0"/>
              <w:jc w:val="center"/>
              <w:rPr>
                <w:rFonts w:hint="eastAsia" w:asciiTheme="minorEastAsia" w:hAnsiTheme="minorEastAsia" w:eastAsiaTheme="minorEastAsia" w:cstheme="minorEastAsia"/>
                <w:b w:val="0"/>
                <w:bCs w:val="0"/>
                <w:snapToGrid w:val="0"/>
                <w:color w:val="auto"/>
                <w:kern w:val="44"/>
                <w:sz w:val="24"/>
                <w:szCs w:val="24"/>
                <w:highlight w:val="none"/>
                <w:vertAlign w:val="baseline"/>
                <w:lang w:val="en-US" w:eastAsia="zh-CN" w:bidi="ar-SA"/>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c>
          <w:tcPr>
            <w:tcW w:w="1203" w:type="dxa"/>
            <w:shd w:val="clear" w:color="auto" w:fill="auto"/>
            <w:noWrap w:val="0"/>
            <w:vAlign w:val="center"/>
          </w:tcPr>
          <w:p w14:paraId="3DDC31D2">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en-US" w:eastAsia="zh-CN"/>
              </w:rPr>
              <w:t>/</w:t>
            </w:r>
          </w:p>
        </w:tc>
      </w:tr>
      <w:tr w14:paraId="3154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6" w:type="dxa"/>
            <w:gridSpan w:val="7"/>
            <w:noWrap w:val="0"/>
            <w:vAlign w:val="center"/>
          </w:tcPr>
          <w:p w14:paraId="6C209FDA">
            <w:pPr>
              <w:widowControl w:val="0"/>
              <w:jc w:val="center"/>
              <w:rPr>
                <w:rFonts w:hint="eastAsia" w:asciiTheme="minorEastAsia" w:hAnsiTheme="minorEastAsia" w:eastAsiaTheme="minorEastAsia" w:cstheme="minorEastAsia"/>
                <w:b w:val="0"/>
                <w:bCs w:val="0"/>
                <w:color w:val="auto"/>
                <w:kern w:val="44"/>
                <w:sz w:val="24"/>
                <w:szCs w:val="24"/>
                <w:highlight w:val="none"/>
                <w:vertAlign w:val="baseline"/>
                <w:lang w:val="zh-CN" w:eastAsia="zh-CN"/>
              </w:rPr>
            </w:pPr>
            <w:r>
              <w:rPr>
                <w:rFonts w:hint="eastAsia" w:asciiTheme="minorEastAsia" w:hAnsiTheme="minorEastAsia" w:eastAsiaTheme="minorEastAsia" w:cstheme="minorEastAsia"/>
                <w:b w:val="0"/>
                <w:bCs w:val="0"/>
                <w:color w:val="auto"/>
                <w:kern w:val="44"/>
                <w:sz w:val="24"/>
                <w:szCs w:val="24"/>
                <w:highlight w:val="none"/>
                <w:vertAlign w:val="baseline"/>
                <w:lang w:val="zh-CN" w:eastAsia="zh-CN"/>
              </w:rPr>
              <w:t>总预算金额：1171.80万元</w:t>
            </w:r>
          </w:p>
        </w:tc>
      </w:tr>
    </w:tbl>
    <w:p w14:paraId="03E12395">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jc w:val="both"/>
        <w:textAlignment w:val="baseline"/>
        <w:outlineLvl w:val="9"/>
        <w:rPr>
          <w:rFonts w:hint="eastAsia" w:ascii="宋体" w:hAnsi="宋体" w:eastAsia="宋体" w:cs="宋体"/>
          <w:b/>
          <w:bCs/>
          <w:color w:val="auto"/>
          <w:kern w:val="44"/>
          <w:sz w:val="21"/>
          <w:szCs w:val="21"/>
          <w:highlight w:val="none"/>
          <w:lang w:val="zh-CN"/>
        </w:rPr>
      </w:pPr>
      <w:r>
        <w:rPr>
          <w:rFonts w:hint="eastAsia" w:ascii="宋体" w:hAnsi="宋体" w:eastAsia="宋体" w:cs="宋体"/>
          <w:b/>
          <w:bCs/>
          <w:snapToGrid w:val="0"/>
          <w:color w:val="auto"/>
          <w:kern w:val="0"/>
          <w:sz w:val="21"/>
          <w:szCs w:val="21"/>
          <w:highlight w:val="none"/>
          <w:lang w:val="en-US" w:eastAsia="zh-CN" w:bidi="ar"/>
        </w:rPr>
        <w:t>★</w:t>
      </w:r>
      <w:r>
        <w:rPr>
          <w:rFonts w:hint="eastAsia" w:ascii="宋体" w:hAnsi="宋体" w:eastAsia="宋体" w:cs="宋体"/>
          <w:b/>
          <w:bCs/>
          <w:color w:val="auto"/>
          <w:kern w:val="44"/>
          <w:sz w:val="21"/>
          <w:szCs w:val="21"/>
          <w:highlight w:val="none"/>
          <w:lang w:val="zh-CN"/>
        </w:rPr>
        <w:t>注：投标供应商对本项目进行报价时，均不允许超过</w:t>
      </w:r>
      <w:r>
        <w:rPr>
          <w:rFonts w:hint="eastAsia" w:ascii="宋体" w:hAnsi="宋体" w:eastAsia="宋体" w:cs="宋体"/>
          <w:b/>
          <w:bCs/>
          <w:color w:val="auto"/>
          <w:kern w:val="44"/>
          <w:sz w:val="21"/>
          <w:szCs w:val="21"/>
          <w:highlight w:val="none"/>
          <w:lang w:val="en-US" w:eastAsia="zh-CN"/>
        </w:rPr>
        <w:t>上表中体现的“预算金额</w:t>
      </w:r>
      <w:r>
        <w:rPr>
          <w:rFonts w:hint="eastAsia" w:ascii="宋体" w:hAnsi="宋体" w:eastAsia="宋体" w:cs="宋体"/>
          <w:b/>
          <w:bCs/>
          <w:color w:val="auto"/>
          <w:kern w:val="44"/>
          <w:sz w:val="21"/>
          <w:szCs w:val="21"/>
          <w:highlight w:val="none"/>
          <w:lang w:val="zh-CN" w:eastAsia="zh-CN"/>
        </w:rPr>
        <w:t>”</w:t>
      </w:r>
      <w:r>
        <w:rPr>
          <w:rFonts w:hint="eastAsia" w:ascii="宋体" w:hAnsi="宋体" w:eastAsia="宋体" w:cs="宋体"/>
          <w:b/>
          <w:bCs/>
          <w:color w:val="auto"/>
          <w:kern w:val="44"/>
          <w:sz w:val="21"/>
          <w:szCs w:val="21"/>
          <w:highlight w:val="none"/>
          <w:lang w:val="zh-CN"/>
        </w:rPr>
        <w:t>及</w:t>
      </w:r>
      <w:r>
        <w:rPr>
          <w:rFonts w:hint="eastAsia" w:ascii="宋体" w:hAnsi="宋体" w:eastAsia="宋体" w:cs="宋体"/>
          <w:b/>
          <w:bCs/>
          <w:color w:val="auto"/>
          <w:kern w:val="44"/>
          <w:sz w:val="21"/>
          <w:szCs w:val="21"/>
          <w:highlight w:val="none"/>
          <w:lang w:val="en-US" w:eastAsia="zh-CN"/>
        </w:rPr>
        <w:t>“</w:t>
      </w:r>
      <w:r>
        <w:rPr>
          <w:rFonts w:hint="eastAsia" w:ascii="宋体" w:hAnsi="宋体" w:eastAsia="宋体" w:cs="宋体"/>
          <w:b/>
          <w:bCs/>
          <w:color w:val="auto"/>
          <w:kern w:val="44"/>
          <w:sz w:val="21"/>
          <w:szCs w:val="21"/>
          <w:highlight w:val="none"/>
          <w:lang w:val="zh-CN"/>
        </w:rPr>
        <w:t>总预算金额</w:t>
      </w:r>
      <w:r>
        <w:rPr>
          <w:rFonts w:hint="eastAsia" w:ascii="宋体" w:hAnsi="宋体" w:eastAsia="宋体" w:cs="宋体"/>
          <w:b/>
          <w:bCs/>
          <w:color w:val="auto"/>
          <w:kern w:val="44"/>
          <w:sz w:val="21"/>
          <w:szCs w:val="21"/>
          <w:highlight w:val="none"/>
          <w:lang w:val="zh-CN" w:eastAsia="zh-CN"/>
        </w:rPr>
        <w:t>”</w:t>
      </w:r>
      <w:r>
        <w:rPr>
          <w:rFonts w:hint="eastAsia" w:ascii="宋体" w:hAnsi="宋体" w:eastAsia="宋体" w:cs="宋体"/>
          <w:b/>
          <w:bCs/>
          <w:color w:val="auto"/>
          <w:kern w:val="44"/>
          <w:sz w:val="21"/>
          <w:szCs w:val="21"/>
          <w:highlight w:val="none"/>
          <w:lang w:val="zh-CN"/>
        </w:rPr>
        <w:t>金额。</w:t>
      </w:r>
    </w:p>
    <w:p w14:paraId="0262D4A4">
      <w:pPr>
        <w:spacing w:line="360" w:lineRule="auto"/>
        <w:jc w:val="both"/>
        <w:outlineLvl w:val="9"/>
        <w:rPr>
          <w:rFonts w:hint="eastAsia" w:ascii="宋体" w:hAnsi="宋体" w:eastAsia="宋体" w:cs="宋体"/>
          <w:b/>
          <w:bCs/>
          <w:color w:val="auto"/>
          <w:kern w:val="44"/>
          <w:sz w:val="28"/>
          <w:szCs w:val="28"/>
          <w:highlight w:val="none"/>
          <w:lang w:val="zh-CN" w:eastAsia="zh-CN"/>
        </w:rPr>
      </w:pPr>
      <w:r>
        <w:rPr>
          <w:rFonts w:hint="eastAsia" w:ascii="宋体" w:hAnsi="宋体" w:eastAsia="宋体" w:cs="宋体"/>
          <w:b/>
          <w:bCs/>
          <w:color w:val="auto"/>
          <w:kern w:val="44"/>
          <w:sz w:val="28"/>
          <w:szCs w:val="28"/>
          <w:highlight w:val="none"/>
          <w:lang w:val="zh-CN" w:eastAsia="zh-CN"/>
        </w:rPr>
        <w:t>二、采购设备技术参数</w:t>
      </w:r>
    </w:p>
    <w:p w14:paraId="6E0AA0CD">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（一）ABS转运车</w:t>
      </w:r>
    </w:p>
    <w:p w14:paraId="2733D48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rPr>
        <w:t>规格：19</w:t>
      </w: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rPr>
        <w:t>0</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rPr>
        <w:t>640</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rPr>
        <w:t>500/900mm</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±30mm</w:t>
      </w:r>
      <w:r>
        <w:rPr>
          <w:rFonts w:hint="eastAsia" w:asciiTheme="minorEastAsia" w:hAnsiTheme="minorEastAsia" w:eastAsiaTheme="minorEastAsia" w:cstheme="minorEastAsia"/>
          <w:color w:val="auto"/>
          <w:sz w:val="22"/>
          <w:szCs w:val="22"/>
          <w:lang w:eastAsia="zh-CN"/>
        </w:rPr>
        <w:t>）</w:t>
      </w:r>
    </w:p>
    <w:p w14:paraId="22D2BED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2.</w:t>
      </w:r>
      <w:r>
        <w:rPr>
          <w:rFonts w:hint="eastAsia" w:asciiTheme="minorEastAsia" w:hAnsiTheme="minorEastAsia" w:eastAsiaTheme="minorEastAsia" w:cstheme="minorEastAsia"/>
          <w:color w:val="auto"/>
          <w:sz w:val="22"/>
          <w:szCs w:val="22"/>
        </w:rPr>
        <w:t>平车框架结构采用优质铝合金压铸成型。</w:t>
      </w:r>
    </w:p>
    <w:p w14:paraId="09C37B0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rPr>
        <w:t>平车面纵梁采用30mm*20mm*2mm，矩形空心型钢制造。</w:t>
      </w:r>
      <w:r>
        <w:rPr>
          <w:rFonts w:hint="eastAsia" w:asciiTheme="minorEastAsia" w:hAnsiTheme="minorEastAsia" w:eastAsiaTheme="minorEastAsia" w:cstheme="minorEastAsia"/>
          <w:color w:val="auto"/>
          <w:sz w:val="22"/>
          <w:szCs w:val="22"/>
        </w:rPr>
        <w:br w:type="textWrapping"/>
      </w: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color w:val="auto"/>
          <w:sz w:val="22"/>
          <w:szCs w:val="22"/>
        </w:rPr>
        <w:t>平车面及护栏采用高级工程塑料一次成型。</w:t>
      </w:r>
    </w:p>
    <w:p w14:paraId="2094E99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5.</w:t>
      </w:r>
      <w:r>
        <w:rPr>
          <w:rFonts w:hint="eastAsia" w:asciiTheme="minorEastAsia" w:hAnsiTheme="minorEastAsia" w:eastAsiaTheme="minorEastAsia" w:cstheme="minorEastAsia"/>
          <w:color w:val="auto"/>
          <w:sz w:val="22"/>
          <w:szCs w:val="22"/>
        </w:rPr>
        <w:t>平车全长</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rPr>
        <w:t>1930mm, 床面宽度</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rPr>
        <w:t>6</w:t>
      </w: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color w:val="auto"/>
          <w:sz w:val="22"/>
          <w:szCs w:val="22"/>
        </w:rPr>
        <w:t>0mm，靠背可起伏0-45</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rPr>
        <w:t>。</w:t>
      </w:r>
    </w:p>
    <w:p w14:paraId="5FE7E86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6.</w:t>
      </w:r>
      <w:r>
        <w:rPr>
          <w:rFonts w:hint="eastAsia" w:asciiTheme="minorEastAsia" w:hAnsiTheme="minorEastAsia" w:eastAsiaTheme="minorEastAsia" w:cstheme="minorEastAsia"/>
          <w:color w:val="auto"/>
          <w:sz w:val="22"/>
          <w:szCs w:val="22"/>
        </w:rPr>
        <w:t>平车面分体设计，上体采用气弹簧做为支撑力源。</w:t>
      </w:r>
    </w:p>
    <w:p w14:paraId="028FD3F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rPr>
        <w:t>平车手摇柄（螺杆配有离合装置）可调整车面高度500</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rPr>
        <w:t xml:space="preserve">900mm。 </w:t>
      </w:r>
      <w:r>
        <w:rPr>
          <w:rFonts w:hint="eastAsia" w:asciiTheme="minorEastAsia" w:hAnsiTheme="minorEastAsia" w:eastAsiaTheme="minorEastAsia" w:cstheme="minorEastAsia"/>
          <w:color w:val="auto"/>
          <w:sz w:val="22"/>
          <w:szCs w:val="22"/>
        </w:rPr>
        <w:br w:type="textWrapping"/>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rPr>
        <w:t>平车采用先进的中控刹车系统。配导向轮装置，一人可轻松操作。</w:t>
      </w:r>
    </w:p>
    <w:p w14:paraId="05B0892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9.</w:t>
      </w:r>
      <w:r>
        <w:rPr>
          <w:rFonts w:hint="eastAsia" w:asciiTheme="minorEastAsia" w:hAnsiTheme="minorEastAsia" w:eastAsiaTheme="minorEastAsia" w:cstheme="minorEastAsia"/>
          <w:color w:val="auto"/>
          <w:sz w:val="22"/>
          <w:szCs w:val="22"/>
        </w:rPr>
        <w:t>封闭式底架，高级静音脚轮，125mm,有脚踏制动。</w:t>
      </w:r>
    </w:p>
    <w:p w14:paraId="64F92C2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10.</w:t>
      </w:r>
      <w:r>
        <w:rPr>
          <w:rFonts w:hint="eastAsia" w:asciiTheme="minorEastAsia" w:hAnsiTheme="minorEastAsia" w:eastAsiaTheme="minorEastAsia" w:cstheme="minorEastAsia"/>
          <w:color w:val="auto"/>
          <w:sz w:val="22"/>
          <w:szCs w:val="22"/>
        </w:rPr>
        <w:t>配备不锈钢伸缩输液架。</w:t>
      </w:r>
      <w:r>
        <w:rPr>
          <w:rFonts w:hint="eastAsia" w:asciiTheme="minorEastAsia" w:hAnsiTheme="minorEastAsia" w:eastAsiaTheme="minorEastAsia" w:cstheme="minorEastAsia"/>
          <w:color w:val="auto"/>
          <w:sz w:val="22"/>
          <w:szCs w:val="22"/>
        </w:rPr>
        <w:br w:type="textWrapping"/>
      </w:r>
      <w:r>
        <w:rPr>
          <w:rFonts w:hint="eastAsia" w:asciiTheme="minorEastAsia" w:hAnsiTheme="minorEastAsia" w:eastAsiaTheme="minorEastAsia" w:cstheme="minorEastAsia"/>
          <w:color w:val="auto"/>
          <w:sz w:val="22"/>
          <w:szCs w:val="22"/>
          <w:lang w:val="en-US" w:eastAsia="zh-CN"/>
        </w:rPr>
        <w:t>11.</w:t>
      </w:r>
      <w:r>
        <w:rPr>
          <w:rFonts w:hint="eastAsia" w:asciiTheme="minorEastAsia" w:hAnsiTheme="minorEastAsia" w:eastAsiaTheme="minorEastAsia" w:cstheme="minorEastAsia"/>
          <w:color w:val="auto"/>
          <w:sz w:val="22"/>
          <w:szCs w:val="22"/>
        </w:rPr>
        <w:t xml:space="preserve">平车从整体设计、制造上满足需求。 </w:t>
      </w:r>
    </w:p>
    <w:p w14:paraId="66A24ABC">
      <w:pPr>
        <w:jc w:val="center"/>
        <w:rPr>
          <w:rFonts w:hint="eastAsia" w:asciiTheme="minorEastAsia" w:hAnsiTheme="minorEastAsia" w:eastAsiaTheme="minorEastAsia" w:cstheme="minorEastAsia"/>
          <w:b/>
          <w:bCs/>
          <w:sz w:val="24"/>
          <w:szCs w:val="24"/>
        </w:rPr>
      </w:pPr>
    </w:p>
    <w:p w14:paraId="7CEBDEEA">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（二）内镜纯水机</w:t>
      </w:r>
    </w:p>
    <w:p w14:paraId="3961997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用途：为内镜清洗中心提供无菌水 </w:t>
      </w:r>
    </w:p>
    <w:p w14:paraId="15CD37F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2.</w:t>
      </w:r>
      <w:r>
        <w:rPr>
          <w:rFonts w:hint="eastAsia" w:asciiTheme="minorEastAsia" w:hAnsiTheme="minorEastAsia" w:eastAsiaTheme="minorEastAsia" w:cstheme="minorEastAsia"/>
          <w:color w:val="auto"/>
          <w:sz w:val="22"/>
          <w:szCs w:val="22"/>
          <w:lang w:eastAsia="zh-CN"/>
        </w:rPr>
        <w:t>产水量≥</w:t>
      </w:r>
      <w:r>
        <w:rPr>
          <w:rFonts w:hint="eastAsia" w:asciiTheme="minorEastAsia" w:hAnsiTheme="minorEastAsia" w:eastAsiaTheme="minorEastAsia" w:cstheme="minorEastAsia"/>
          <w:color w:val="auto"/>
          <w:sz w:val="22"/>
          <w:szCs w:val="22"/>
          <w:lang w:val="en-US" w:eastAsia="zh-CN"/>
        </w:rPr>
        <w:t>5</w:t>
      </w:r>
      <w:r>
        <w:rPr>
          <w:rFonts w:hint="eastAsia" w:asciiTheme="minorEastAsia" w:hAnsiTheme="minorEastAsia" w:eastAsiaTheme="minorEastAsia" w:cstheme="minorEastAsia"/>
          <w:color w:val="auto"/>
          <w:sz w:val="22"/>
          <w:szCs w:val="22"/>
          <w:lang w:eastAsia="zh-CN"/>
        </w:rPr>
        <w:t>00L/h/套</w:t>
      </w:r>
    </w:p>
    <w:p w14:paraId="33540EB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lang w:eastAsia="zh-CN"/>
        </w:rPr>
        <w:t>水利用率≥60% </w:t>
      </w:r>
    </w:p>
    <w:p w14:paraId="2A1382D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color w:val="auto"/>
          <w:sz w:val="22"/>
          <w:szCs w:val="22"/>
          <w:lang w:eastAsia="zh-CN"/>
        </w:rPr>
        <w:t>脱盐率≥ 99% </w:t>
      </w:r>
    </w:p>
    <w:p w14:paraId="39DE219B">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w:t>
      </w:r>
      <w:r>
        <w:rPr>
          <w:rFonts w:hint="eastAsia" w:asciiTheme="minorEastAsia" w:hAnsiTheme="minorEastAsia" w:eastAsiaTheme="minorEastAsia" w:cstheme="minorEastAsia"/>
          <w:color w:val="auto"/>
          <w:sz w:val="22"/>
          <w:szCs w:val="22"/>
          <w:lang w:eastAsia="zh-CN"/>
        </w:rPr>
        <w:t>水质</w:t>
      </w:r>
      <w:r>
        <w:rPr>
          <w:rFonts w:hint="eastAsia" w:asciiTheme="minorEastAsia" w:hAnsiTheme="minorEastAsia" w:eastAsiaTheme="minorEastAsia" w:cstheme="minorEastAsia"/>
          <w:color w:val="auto"/>
          <w:sz w:val="22"/>
          <w:szCs w:val="22"/>
          <w:lang w:val="en-US" w:eastAsia="zh-CN"/>
        </w:rPr>
        <w:t>要求</w:t>
      </w:r>
    </w:p>
    <w:p w14:paraId="261BDBD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▲5</w:t>
      </w:r>
      <w:r>
        <w:rPr>
          <w:rFonts w:hint="eastAsia" w:asciiTheme="minorEastAsia" w:hAnsiTheme="minorEastAsia" w:eastAsiaTheme="minorEastAsia" w:cstheme="minorEastAsia"/>
          <w:color w:val="auto"/>
          <w:sz w:val="22"/>
          <w:szCs w:val="22"/>
          <w:lang w:eastAsia="zh-CN"/>
        </w:rPr>
        <w:t>.1水质符合GB5749的规定，并保证细菌总数≤10CFU/100ml，生产纯水的滤膜孔径为≤0.0001um。</w:t>
      </w:r>
    </w:p>
    <w:p w14:paraId="67C612C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▲5</w:t>
      </w:r>
      <w:r>
        <w:rPr>
          <w:rFonts w:hint="eastAsia" w:asciiTheme="minorEastAsia" w:hAnsiTheme="minorEastAsia" w:eastAsiaTheme="minorEastAsia" w:cstheme="minorEastAsia"/>
          <w:color w:val="auto"/>
          <w:sz w:val="22"/>
          <w:szCs w:val="22"/>
          <w:lang w:eastAsia="zh-CN"/>
        </w:rPr>
        <w:t>.2符合卫计局颁布的WS507-2016软式内镜清洗消毒技术规范。 </w:t>
      </w:r>
    </w:p>
    <w:p w14:paraId="355C39F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6.▲</w:t>
      </w:r>
      <w:r>
        <w:rPr>
          <w:rFonts w:hint="eastAsia" w:asciiTheme="minorEastAsia" w:hAnsiTheme="minorEastAsia" w:eastAsiaTheme="minorEastAsia" w:cstheme="minorEastAsia"/>
          <w:color w:val="auto"/>
          <w:sz w:val="22"/>
          <w:szCs w:val="22"/>
          <w:lang w:eastAsia="zh-CN"/>
        </w:rPr>
        <w:t xml:space="preserve">设备技术要求 </w:t>
      </w:r>
    </w:p>
    <w:p w14:paraId="6AE1939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▲6</w:t>
      </w:r>
      <w:r>
        <w:rPr>
          <w:rFonts w:hint="eastAsia" w:asciiTheme="minorEastAsia" w:hAnsiTheme="minorEastAsia" w:eastAsiaTheme="minorEastAsia" w:cstheme="minorEastAsia"/>
          <w:color w:val="auto"/>
          <w:sz w:val="22"/>
          <w:szCs w:val="22"/>
          <w:lang w:eastAsia="zh-CN"/>
        </w:rPr>
        <w:t>.1</w:t>
      </w:r>
      <w:r>
        <w:rPr>
          <w:rFonts w:hint="eastAsia" w:asciiTheme="minorEastAsia" w:hAnsiTheme="minorEastAsia" w:eastAsiaTheme="minorEastAsia" w:cstheme="minorEastAsia"/>
          <w:color w:val="auto"/>
          <w:sz w:val="22"/>
          <w:szCs w:val="22"/>
          <w:lang w:val="en-US" w:eastAsia="zh-CN"/>
        </w:rPr>
        <w:t>彩色触摸屏≥7英寸，</w:t>
      </w:r>
      <w:r>
        <w:rPr>
          <w:rFonts w:hint="eastAsia" w:asciiTheme="minorEastAsia" w:hAnsiTheme="minorEastAsia" w:eastAsiaTheme="minorEastAsia" w:cstheme="minorEastAsia"/>
          <w:color w:val="auto"/>
          <w:sz w:val="22"/>
          <w:szCs w:val="22"/>
          <w:lang w:eastAsia="zh-CN"/>
        </w:rPr>
        <w:t>智能人机控制系统，全自动控制操作，全程监控设备运行的状态，具备自动液位保护、压力故障保护停机、水质超标报警排放。</w:t>
      </w:r>
    </w:p>
    <w:p w14:paraId="74D3416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▲6</w:t>
      </w:r>
      <w:r>
        <w:rPr>
          <w:rFonts w:hint="eastAsia" w:asciiTheme="minorEastAsia" w:hAnsiTheme="minorEastAsia" w:eastAsiaTheme="minorEastAsia" w:cstheme="minorEastAsia"/>
          <w:color w:val="auto"/>
          <w:sz w:val="22"/>
          <w:szCs w:val="22"/>
          <w:lang w:eastAsia="zh-CN"/>
        </w:rPr>
        <w:t>.2预处理采用不锈钢超滤器，0.01um的膜孔径有效拦截水中泥沙、铁锈、有机物、细菌和病毒。超滤器设计有开机自动冲洗、水满待机冲洗、自动循环冲洗功能。</w:t>
      </w:r>
    </w:p>
    <w:p w14:paraId="2C1D6DD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▲6</w:t>
      </w:r>
      <w:r>
        <w:rPr>
          <w:rFonts w:hint="eastAsia" w:asciiTheme="minorEastAsia" w:hAnsiTheme="minorEastAsia" w:eastAsiaTheme="minorEastAsia" w:cstheme="minorEastAsia"/>
          <w:color w:val="auto"/>
          <w:sz w:val="22"/>
          <w:szCs w:val="22"/>
          <w:lang w:eastAsia="zh-CN"/>
        </w:rPr>
        <w:t>.3反渗透主机部分设计开/关机自动冲洗、脉动循环正反洗、水满待机冲洗功能。</w:t>
      </w:r>
    </w:p>
    <w:p w14:paraId="259B9FD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▲6</w:t>
      </w:r>
      <w:r>
        <w:rPr>
          <w:rFonts w:hint="eastAsia" w:asciiTheme="minorEastAsia" w:hAnsiTheme="minorEastAsia" w:eastAsiaTheme="minorEastAsia" w:cstheme="minorEastAsia"/>
          <w:color w:val="auto"/>
          <w:sz w:val="22"/>
          <w:szCs w:val="22"/>
          <w:lang w:eastAsia="zh-CN"/>
        </w:rPr>
        <w:t>.4设备配备各种显示仪表，能够实时在线的显示水质，流量，压力等信息。</w:t>
      </w:r>
    </w:p>
    <w:p w14:paraId="517B12D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▲6</w:t>
      </w:r>
      <w:r>
        <w:rPr>
          <w:rFonts w:hint="eastAsia" w:asciiTheme="minorEastAsia" w:hAnsiTheme="minorEastAsia" w:eastAsiaTheme="minorEastAsia" w:cstheme="minorEastAsia"/>
          <w:color w:val="auto"/>
          <w:sz w:val="22"/>
          <w:szCs w:val="22"/>
          <w:lang w:eastAsia="zh-CN"/>
        </w:rPr>
        <w:t>.5供水管路采用蛇形循环方式，设置定时循环模式，当长时间不用水，启动循环模式，避免管路中死水形成。</w:t>
      </w:r>
    </w:p>
    <w:p w14:paraId="1EA54E8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▲6</w:t>
      </w:r>
      <w:r>
        <w:rPr>
          <w:rFonts w:hint="eastAsia" w:asciiTheme="minorEastAsia" w:hAnsiTheme="minorEastAsia" w:eastAsiaTheme="minorEastAsia" w:cstheme="minorEastAsia"/>
          <w:color w:val="auto"/>
          <w:sz w:val="22"/>
          <w:szCs w:val="22"/>
          <w:lang w:eastAsia="zh-CN"/>
        </w:rPr>
        <w:t>.6主机采用一体化设计。</w:t>
      </w:r>
    </w:p>
    <w:p w14:paraId="46FBF04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lang w:eastAsia="zh-CN"/>
        </w:rPr>
        <w:t>控制方式：采用智能人机控制方式，一键自动运行。</w:t>
      </w:r>
    </w:p>
    <w:p w14:paraId="20FDEA1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lang w:eastAsia="zh-CN"/>
        </w:rPr>
        <w:t>原水泵过流部件为304不锈钢，流量</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lang w:eastAsia="zh-CN"/>
        </w:rPr>
        <w:t>2m3/h、扬程</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lang w:eastAsia="zh-CN"/>
        </w:rPr>
        <w:t>30m。</w:t>
      </w:r>
    </w:p>
    <w:p w14:paraId="1937E5F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9.▲</w:t>
      </w:r>
      <w:r>
        <w:rPr>
          <w:rFonts w:hint="eastAsia" w:asciiTheme="minorEastAsia" w:hAnsiTheme="minorEastAsia" w:eastAsiaTheme="minorEastAsia" w:cstheme="minorEastAsia"/>
          <w:color w:val="auto"/>
          <w:sz w:val="22"/>
          <w:szCs w:val="22"/>
          <w:lang w:eastAsia="zh-CN"/>
        </w:rPr>
        <w:t>纯水输送系统：含压力控制器及304不锈钢自吸式射流输送泵，输送泵配压力控制器，终端设备用水启用，停用水时根据压力自动进入待机状态。</w:t>
      </w:r>
    </w:p>
    <w:p w14:paraId="29CB8BE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w:t>
      </w:r>
      <w:r>
        <w:rPr>
          <w:rFonts w:hint="eastAsia" w:asciiTheme="minorEastAsia" w:hAnsiTheme="minorEastAsia" w:eastAsiaTheme="minorEastAsia" w:cstheme="minorEastAsia"/>
          <w:color w:val="auto"/>
          <w:sz w:val="22"/>
          <w:szCs w:val="22"/>
          <w:lang w:val="en-US" w:eastAsia="zh-CN"/>
        </w:rPr>
        <w:t>0.</w:t>
      </w:r>
      <w:r>
        <w:rPr>
          <w:rFonts w:hint="eastAsia" w:asciiTheme="minorEastAsia" w:hAnsiTheme="minorEastAsia" w:eastAsiaTheme="minorEastAsia" w:cstheme="minorEastAsia"/>
          <w:color w:val="auto"/>
          <w:sz w:val="22"/>
          <w:szCs w:val="22"/>
          <w:lang w:eastAsia="zh-CN"/>
        </w:rPr>
        <w:t>电源要求：单相AC220V±10%,50Hz、功率</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lang w:eastAsia="zh-CN"/>
        </w:rPr>
        <w:t>2.5Kw。</w:t>
      </w:r>
    </w:p>
    <w:p w14:paraId="444EBFA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主机采用开放式结构，底部自带万向轮，采用模块化设计和安装。</w:t>
      </w:r>
    </w:p>
    <w:p w14:paraId="3ECA0EA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w:t>
      </w:r>
      <w:r>
        <w:rPr>
          <w:rFonts w:hint="eastAsia" w:asciiTheme="minorEastAsia" w:hAnsiTheme="minorEastAsia" w:eastAsiaTheme="minorEastAsia" w:cstheme="minorEastAsia"/>
          <w:color w:val="auto"/>
          <w:sz w:val="22"/>
          <w:szCs w:val="22"/>
          <w:lang w:val="en-US" w:eastAsia="zh-CN"/>
        </w:rPr>
        <w:t>2.▲</w:t>
      </w:r>
      <w:r>
        <w:rPr>
          <w:rFonts w:hint="eastAsia" w:asciiTheme="minorEastAsia" w:hAnsiTheme="minorEastAsia" w:eastAsiaTheme="minorEastAsia" w:cstheme="minorEastAsia"/>
          <w:color w:val="auto"/>
          <w:sz w:val="22"/>
          <w:szCs w:val="22"/>
          <w:lang w:eastAsia="zh-CN"/>
        </w:rPr>
        <w:t>消毒系统：化学消毒结合紫外线回路消毒，输送管道采用循环方式。</w:t>
      </w:r>
    </w:p>
    <w:p w14:paraId="5231995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lang w:eastAsia="zh-CN"/>
        </w:rPr>
        <w:t>1</w:t>
      </w: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lang w:eastAsia="zh-CN"/>
        </w:rPr>
        <w:t>系统具有故障诊断</w:t>
      </w:r>
      <w:r>
        <w:rPr>
          <w:rFonts w:hint="eastAsia" w:asciiTheme="minorEastAsia" w:hAnsiTheme="minorEastAsia" w:eastAsiaTheme="minorEastAsia" w:cstheme="minorEastAsia"/>
          <w:color w:val="auto"/>
          <w:sz w:val="22"/>
          <w:szCs w:val="22"/>
          <w:lang w:val="en-US" w:eastAsia="zh-CN"/>
        </w:rPr>
        <w:t>功能</w:t>
      </w:r>
      <w:r>
        <w:rPr>
          <w:rFonts w:hint="eastAsia" w:asciiTheme="minorEastAsia" w:hAnsiTheme="minorEastAsia" w:eastAsiaTheme="minorEastAsia" w:cstheme="minorEastAsia"/>
          <w:color w:val="auto"/>
          <w:sz w:val="22"/>
          <w:szCs w:val="22"/>
          <w:lang w:eastAsia="zh-CN"/>
        </w:rPr>
        <w:t>，根据压力、流量、水质等参数的偏离情况进行预判告警和指示；设备具有原水缺水、停电、过载、过流的自动保护功能；反渗透膜自动冲洗，开机、关机自动大流量冲洗，排出淤积水，同时运行中自动检测工作状况，随时进行冲洗；具备电器过流报警与保护</w:t>
      </w:r>
      <w:r>
        <w:rPr>
          <w:rFonts w:hint="eastAsia" w:asciiTheme="minorEastAsia" w:hAnsiTheme="minorEastAsia" w:eastAsiaTheme="minorEastAsia" w:cstheme="minorEastAsia"/>
          <w:color w:val="auto"/>
          <w:sz w:val="22"/>
          <w:szCs w:val="22"/>
          <w:highlight w:val="none"/>
          <w:lang w:eastAsia="zh-CN"/>
        </w:rPr>
        <w:t>装置。</w:t>
      </w:r>
    </w:p>
    <w:p w14:paraId="18D4BC3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14.▲提供</w:t>
      </w:r>
      <w:r>
        <w:rPr>
          <w:rFonts w:hint="eastAsia" w:asciiTheme="minorEastAsia" w:hAnsiTheme="minorEastAsia" w:eastAsiaTheme="minorEastAsia" w:cstheme="minorEastAsia"/>
          <w:color w:val="auto"/>
          <w:sz w:val="22"/>
          <w:szCs w:val="22"/>
          <w:highlight w:val="none"/>
          <w:lang w:eastAsia="zh-CN"/>
        </w:rPr>
        <w:t>无菌水检测报告。</w:t>
      </w:r>
    </w:p>
    <w:p w14:paraId="04000A08">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heme="minorEastAsia" w:hAnsiTheme="minorEastAsia" w:eastAsiaTheme="minorEastAsia" w:cstheme="minorEastAsia"/>
          <w:color w:val="auto"/>
          <w:sz w:val="22"/>
          <w:szCs w:val="22"/>
          <w:highlight w:val="none"/>
          <w:lang w:val="en-US" w:eastAsia="zh-CN"/>
        </w:rPr>
      </w:pPr>
    </w:p>
    <w:p w14:paraId="66B9E812">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（三）内镜进水系统</w:t>
      </w:r>
    </w:p>
    <w:p w14:paraId="553A712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1</w:t>
      </w: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eastAsia="zh-CN"/>
        </w:rPr>
        <w:t>可兼容</w:t>
      </w:r>
      <w:r>
        <w:rPr>
          <w:rFonts w:hint="eastAsia" w:asciiTheme="minorEastAsia" w:hAnsiTheme="minorEastAsia" w:eastAsiaTheme="minorEastAsia" w:cstheme="minorEastAsia"/>
          <w:color w:val="auto"/>
          <w:sz w:val="22"/>
          <w:szCs w:val="22"/>
          <w:highlight w:val="none"/>
          <w:lang w:val="en-US" w:eastAsia="zh-CN"/>
        </w:rPr>
        <w:t>不</w:t>
      </w:r>
      <w:r>
        <w:rPr>
          <w:rFonts w:hint="eastAsia" w:asciiTheme="minorEastAsia" w:hAnsiTheme="minorEastAsia" w:eastAsiaTheme="minorEastAsia" w:cstheme="minorEastAsia"/>
          <w:color w:val="auto"/>
          <w:sz w:val="22"/>
          <w:szCs w:val="22"/>
          <w:highlight w:val="none"/>
          <w:lang w:eastAsia="zh-CN"/>
        </w:rPr>
        <w:t>同品牌胃肠镜与超声内镜</w:t>
      </w:r>
    </w:p>
    <w:p w14:paraId="199C6F4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color w:val="auto"/>
          <w:sz w:val="22"/>
          <w:szCs w:val="22"/>
          <w:highlight w:val="none"/>
          <w:lang w:eastAsia="zh-CN"/>
        </w:rPr>
        <w:br w:type="textWrapping"/>
      </w:r>
      <w:r>
        <w:rPr>
          <w:rFonts w:hint="eastAsia" w:asciiTheme="minorEastAsia" w:hAnsiTheme="minorEastAsia" w:eastAsiaTheme="minorEastAsia" w:cstheme="minorEastAsia"/>
          <w:b/>
          <w:bCs/>
          <w:sz w:val="24"/>
          <w:szCs w:val="24"/>
          <w:highlight w:val="none"/>
        </w:rPr>
        <w:t>（四）负压吸引器</w:t>
      </w:r>
    </w:p>
    <w:p w14:paraId="70978A4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1.采用大流量无油润滑真空泵，抽气速率高，无油雾污染，泵体无需日常维护和保养。</w:t>
      </w:r>
    </w:p>
    <w:p w14:paraId="6D557E5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2.大口径贮液瓶，配上带密封环的瓶塞。</w:t>
      </w:r>
    </w:p>
    <w:p w14:paraId="5D650AD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3.设有溢流保护装置。</w:t>
      </w:r>
    </w:p>
    <w:p w14:paraId="0DB0336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4.采用透明无毒聚氯乙烯吸引软管。</w:t>
      </w:r>
    </w:p>
    <w:p w14:paraId="277ED86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5.配备的空气过滤器。</w:t>
      </w:r>
    </w:p>
    <w:p w14:paraId="4AFCA75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6.手动开关和脚踏开关并联连接。</w:t>
      </w:r>
    </w:p>
    <w:p w14:paraId="171EC01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lang w:eastAsia="zh-CN"/>
        </w:rPr>
        <w:t>.极限负压值：≥0.09MPa(680mmHg)</w:t>
      </w:r>
    </w:p>
    <w:p w14:paraId="62B3659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lang w:eastAsia="zh-CN"/>
        </w:rPr>
        <w:t>.负压调节范围：0.02～0.09MPa(150～680mmHg)</w:t>
      </w:r>
    </w:p>
    <w:p w14:paraId="07685D2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9</w:t>
      </w:r>
      <w:r>
        <w:rPr>
          <w:rFonts w:hint="eastAsia" w:asciiTheme="minorEastAsia" w:hAnsiTheme="minorEastAsia" w:eastAsiaTheme="minorEastAsia" w:cstheme="minorEastAsia"/>
          <w:color w:val="auto"/>
          <w:sz w:val="22"/>
          <w:szCs w:val="22"/>
          <w:lang w:eastAsia="zh-CN"/>
        </w:rPr>
        <w:t>.抽气速率：≥40L/min</w:t>
      </w:r>
    </w:p>
    <w:p w14:paraId="1063952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10</w:t>
      </w:r>
      <w:r>
        <w:rPr>
          <w:rFonts w:hint="eastAsia" w:asciiTheme="minorEastAsia" w:hAnsiTheme="minorEastAsia" w:eastAsiaTheme="minorEastAsia" w:cstheme="minorEastAsia"/>
          <w:color w:val="auto"/>
          <w:sz w:val="22"/>
          <w:szCs w:val="22"/>
          <w:lang w:eastAsia="zh-CN"/>
        </w:rPr>
        <w:t>.贮液瓶：2500ml×2只(玻璃)</w:t>
      </w:r>
    </w:p>
    <w:p w14:paraId="10BA31A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11</w:t>
      </w:r>
      <w:r>
        <w:rPr>
          <w:rFonts w:hint="eastAsia" w:asciiTheme="minorEastAsia" w:hAnsiTheme="minorEastAsia" w:eastAsiaTheme="minorEastAsia" w:cstheme="minorEastAsia"/>
          <w:color w:val="auto"/>
          <w:sz w:val="22"/>
          <w:szCs w:val="22"/>
          <w:lang w:eastAsia="zh-CN"/>
        </w:rPr>
        <w:t>.电源：AC220V 50Hz</w:t>
      </w:r>
    </w:p>
    <w:p w14:paraId="4991DC6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12</w:t>
      </w:r>
      <w:r>
        <w:rPr>
          <w:rFonts w:hint="eastAsia" w:asciiTheme="minorEastAsia" w:hAnsiTheme="minorEastAsia" w:eastAsiaTheme="minorEastAsia" w:cstheme="minorEastAsia"/>
          <w:color w:val="auto"/>
          <w:sz w:val="22"/>
          <w:szCs w:val="22"/>
          <w:lang w:eastAsia="zh-CN"/>
        </w:rPr>
        <w:t>.输入功率：≥250</w:t>
      </w:r>
      <w:r>
        <w:rPr>
          <w:rFonts w:hint="eastAsia" w:asciiTheme="minorEastAsia" w:hAnsiTheme="minorEastAsia" w:eastAsiaTheme="minorEastAsia" w:cstheme="minorEastAsia"/>
          <w:color w:val="auto"/>
          <w:sz w:val="22"/>
          <w:szCs w:val="22"/>
          <w:lang w:val="en-US" w:eastAsia="zh-CN"/>
        </w:rPr>
        <w:t>W</w:t>
      </w:r>
    </w:p>
    <w:p w14:paraId="1C8BA70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p>
    <w:p w14:paraId="56F74759">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（五）内镜清洗工作台</w:t>
      </w:r>
    </w:p>
    <w:p w14:paraId="125D151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1.用途：用于胃镜、肠镜软式内镜的手工清洗、消毒及干燥。</w:t>
      </w:r>
    </w:p>
    <w:p w14:paraId="1321372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2.结构：一体化结构组成，包括清洗槽、漂洗槽、消毒槽、末洗槽、干燥台等单元组成。</w:t>
      </w:r>
    </w:p>
    <w:p w14:paraId="1F90E4F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主体材质：包含台面、清洗槽、功能背板、干燥台等，材质为高分子复合材料（ABS+亚克力PMMA特种复合性材料及特种工艺制成）整体一次成型，原料厚度≥10mm，台面厚度≥70mm，颜色为白色，表面光亮平滑、耐磨、耐酸碱、易清洗，细菌附着率低、抗菌抗渗透性优异，材质通过医药行业标准YY0992-2016耐腐蚀性测试，1% NaOH溶液中浸泡72小时无变化，5% H2SO4 溶液中浸泡72小时无变化，提供第三方材料耐腐蚀性报告。</w:t>
      </w:r>
    </w:p>
    <w:p w14:paraId="63A3A09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4.柜体要求：分段式柜体，柜体底部离地高度≥100mm。柜体底板采用PVC防水板。</w:t>
      </w:r>
    </w:p>
    <w:p w14:paraId="4F68E01C">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5.支架要求：材质为304不锈钢材质，厚度≥1.0mm，高≥800mm。</w:t>
      </w:r>
    </w:p>
    <w:p w14:paraId="588A4E6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6.柜门要求：材质采用钢化玻璃，柜门采用上挡板和下柜门分体设计；柜门铰链为阻尼铰链，实现自动闭合。</w:t>
      </w:r>
    </w:p>
    <w:p w14:paraId="5484A62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▲7.清洗槽结构：槽内底部采用“米”字型凹槽设计。所有槽应有容量标识,标示的分度值应≤2L,容量标示误差应不超20%。提供相关有效证明材料。</w:t>
      </w:r>
    </w:p>
    <w:p w14:paraId="59BE88A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8.清洗槽尺寸：</w:t>
      </w:r>
    </w:p>
    <w:p w14:paraId="702BEE7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 xml:space="preserve">双方槽：≥长1200mm×宽750mm，内径：≥长490mm×宽470mm×深200mm；                                      </w:t>
      </w:r>
    </w:p>
    <w:p w14:paraId="1AD6435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9.干燥台结构：内凹式平台圆弧设计，台面设计有条形凸起。</w:t>
      </w:r>
    </w:p>
    <w:p w14:paraId="14E6CBE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▲10.干燥台尺寸：≥长1500mm×宽750mm。</w:t>
      </w:r>
    </w:p>
    <w:p w14:paraId="65FD8C3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11.浸泡槽盖：采用透明亚克力并配有手柄。</w:t>
      </w:r>
    </w:p>
    <w:p w14:paraId="1B98022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12.全自动灌注器：由操作面板和执行部件等组成；漂洗采用流动水灌注,不从槽内使用循环水或直接吸取暴露在空气中的水源进行灌注。</w:t>
      </w:r>
    </w:p>
    <w:p w14:paraId="52C0261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13.酶洗、浸泡灌注助剂(清洗液、消毒液)时, 自动灌流器(自动控制器)应配置双向自动封闭的活接头；单手操作,可自动封闭,灌流压力应≤0.4MPa。具有过滤功能；完成一次性 注液、注气、吸引、计时4个环节,并有自动注气功能(可根据需要自行设定时间)。</w:t>
      </w:r>
    </w:p>
    <w:p w14:paraId="2F85507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14.控制器要求：一个槽体配置一套工作面板，用于辅助各个槽体清洗（消毒）、漂洗；液晶显示，采用触摸控制按键，控制每槽实际操作流程。</w:t>
      </w:r>
    </w:p>
    <w:p w14:paraId="5B4A42A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15.酶液/消毒液计时：显示屏实时记录灌注剩余时间1秒-99分钟，时间可调。</w:t>
      </w:r>
    </w:p>
    <w:p w14:paraId="0ADB84A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▲16.镜体测漏器 (泄漏检测装置) 和注水装置均应配置适宜的活接头，软式内镜通入≤ 0.03MPa 空气时, 具有泄漏检测装置。</w:t>
      </w:r>
    </w:p>
    <w:p w14:paraId="06DFF55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17.快速接头：配置整套对接头，采用高分子塑料，快速插头底座设计位置位于洗消槽后方。</w:t>
      </w:r>
    </w:p>
    <w:p w14:paraId="666E35A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18.供气系统：采用无油空气压缩机供气，供气量：≥120L/min 储气量≥30L。</w:t>
      </w:r>
    </w:p>
    <w:p w14:paraId="6783B8A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19.供水管路：给水管采用PP-R冷、热水管材和管件，采用同质热熔连接技术，管材、管件完全熔为一体。</w:t>
      </w:r>
    </w:p>
    <w:p w14:paraId="40E5160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20.排水管路：排水管采用PVC-U排水管材和管件；采用同质化学连接技术，管材、管件完全熔为一体。</w:t>
      </w:r>
    </w:p>
    <w:p w14:paraId="3A70BD0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21.中心气体处理器：分离空气中的油污、水分，提高气体的清洁度，具有自动调节气压和自动过滤水分的功能。</w:t>
      </w:r>
    </w:p>
    <w:p w14:paraId="784FD6E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22.高压水枪/高压气枪：材质为304不锈钢，耐受压力0-0.7MPa。</w:t>
      </w:r>
    </w:p>
    <w:p w14:paraId="176C991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23.水质过滤器：过滤型水处理器，为末洗槽提供过滤水，精度≤0.1μm，流量≥0.3T/h，可更换滤芯。出水水质细菌总数≤10CFU/100mL；细菌内毒素≤0.25EU/mL。</w:t>
      </w:r>
    </w:p>
    <w:p w14:paraId="2DFF7CE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24.水源双控控制：供水系统有自动、手动两种方式，自动控制配置电磁开关及控制开关。</w:t>
      </w:r>
    </w:p>
    <w:p w14:paraId="7BE2EB2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25.水龙头：采用304不锈钢，陶瓷阀芯和出水嘴的起泡器过滤件，360°旋转式设计，有冷热水接口，冷热水开关独立控制。</w:t>
      </w:r>
    </w:p>
    <w:p w14:paraId="4C55A35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26.落水器：采用PVC材质，耐腐蚀密封圈采用橡胶。</w:t>
      </w:r>
      <w:r>
        <w:rPr>
          <w:rFonts w:hint="eastAsia" w:asciiTheme="minorEastAsia" w:hAnsiTheme="minorEastAsia" w:eastAsiaTheme="minorEastAsia" w:cstheme="minorEastAsia"/>
          <w:color w:val="auto"/>
          <w:sz w:val="22"/>
          <w:szCs w:val="22"/>
          <w:lang w:val="en-US" w:eastAsia="zh-CN"/>
        </w:rPr>
        <w:tab/>
      </w:r>
    </w:p>
    <w:p w14:paraId="65A35DD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27.医疗器械注册证：提供二类器械备案凭证。</w:t>
      </w:r>
    </w:p>
    <w:p w14:paraId="0A97A1D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28.检测报告：提供省级以上单位出具检测报告，性能检测报告、电磁兼容检测等。</w:t>
      </w:r>
    </w:p>
    <w:p w14:paraId="1F5C1E0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p>
    <w:p w14:paraId="23CAB5F3">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（六）全自动内镜清洗消毒机</w:t>
      </w:r>
    </w:p>
    <w:p w14:paraId="51269AC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1.适用于各种型号的软式内窥镜</w:t>
      </w:r>
    </w:p>
    <w:p w14:paraId="755F527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2.详细技术参数：</w:t>
      </w:r>
    </w:p>
    <w:p w14:paraId="5B73CCB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2.1具备全过程故障报警功能并直观体现在显示屏上：消毒液不足报警；清洗酶不足报警；酒精不足报警；过滤器太脏或水压太低或太高报警；内镜漏气报警；排水受堵报警；消毒槽水位太低报警。</w:t>
      </w:r>
    </w:p>
    <w:p w14:paraId="37C448B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▲2.2水槽内部岛式设计，节约消毒液，消毒液箱添加消毒液量可调节，针对不同内镜，可自由添加8-12L的消毒液。</w:t>
      </w:r>
    </w:p>
    <w:p w14:paraId="4ED8A32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2.3设备设计有旋转式喷淋装置，可以全方位对内镜外表面进行冲洗，喷淋旋转速度可根据要求调节快慢。</w:t>
      </w:r>
    </w:p>
    <w:p w14:paraId="696131D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▲2.4采用三通道清洗消毒，全程灌流、灌气，清洗消毒无死角。盖子材质使用高分子材质透明塑料盖。（提供高分子材质透明塑料盖实物图证明）</w:t>
      </w:r>
    </w:p>
    <w:p w14:paraId="4CBBEBB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▲2.5开门方式：设备选用机动门盖，有两种开门方式，在双手拿镜时也可以轻松开启自动门。</w:t>
      </w:r>
    </w:p>
    <w:p w14:paraId="4B383BF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2.6整机的工作流程、步骤转换及工作时间均在显示屏上显示，设备操作界面为彩色电容触摸屏≥7英寸，设备内置≥9种操作模式，包括常规洗消、早消毒、晚消毒、阳性病人消毒等。</w:t>
      </w:r>
    </w:p>
    <w:p w14:paraId="7BECC43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2.7测漏功能两种模式，可全程检测，也可以只在清洗前检测，如有泄漏，会提供可视和声讯报警信号，并自动终止程序运行。</w:t>
      </w:r>
    </w:p>
    <w:p w14:paraId="4CCA58C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 xml:space="preserve">2.8设备内置高精度空气过滤器，使作用于内镜的气体均为洁净气体，≤0.2μm的微粒滤除率≥99.9% </w:t>
      </w:r>
    </w:p>
    <w:p w14:paraId="0E56ED6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2.9具备自身消毒功能，采用消毒液可对机器内部全管道、腔体进行循环冲洗、浸泡消毒，可定期进行自身消毒或出现阳性病人时的自身消毒处理，消毒液储存箱盖可拆卸。</w:t>
      </w:r>
    </w:p>
    <w:p w14:paraId="77D795B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2.10多酶与酒精壶装有可调节液位浮球，可以使用户根据科室使用量的大小，自由添加耗材。</w:t>
      </w:r>
    </w:p>
    <w:p w14:paraId="348B333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2.11开放式消毒液，可使用邻苯二甲醛、过氧乙酸、含氯的消毒剂，消毒时间均可调整。</w:t>
      </w:r>
    </w:p>
    <w:p w14:paraId="1A15D77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2.12消毒液使用次数记录功能。</w:t>
      </w:r>
    </w:p>
    <w:p w14:paraId="6B1863F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2.13具备打印功能。</w:t>
      </w:r>
    </w:p>
    <w:p w14:paraId="287DDF3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▲2.14设备选用机动门盖，省去人工开盖的繁琐及可能造成的二次污染，自动化程度高，有显示屏触摸开关门。</w:t>
      </w:r>
    </w:p>
    <w:p w14:paraId="7DD015E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2.15设备配置外接超级过滤器≤0.02μm。</w:t>
      </w:r>
    </w:p>
    <w:p w14:paraId="72B90D1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2.16采用排水泵进行强排水，减少排水时间，节省清洗总时间。杜绝因排水不畅造成的消毒液稀释。</w:t>
      </w:r>
    </w:p>
    <w:p w14:paraId="21FB1EB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▲2.17提供邻苯二甲醛、过氧乙酸、含氯消毒液的第三方消毒检测报告。</w:t>
      </w:r>
    </w:p>
    <w:p w14:paraId="789331F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2.18提供电磁兼容报告、二类的注册证。</w:t>
      </w:r>
    </w:p>
    <w:p w14:paraId="79BAFFD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lang w:val="en-US" w:eastAsia="zh-CN"/>
        </w:rPr>
        <w:t>2.19供水要求及压力自来水，水量：40L/分以上；0.2Mpa≤压力≤0.5Mpa；额定电能参数 AC220V、</w:t>
      </w:r>
      <w:r>
        <w:rPr>
          <w:rFonts w:hint="eastAsia" w:asciiTheme="minorEastAsia" w:hAnsiTheme="minorEastAsia" w:eastAsiaTheme="minorEastAsia" w:cstheme="minorEastAsia"/>
          <w:color w:val="auto"/>
          <w:sz w:val="22"/>
          <w:szCs w:val="22"/>
          <w:highlight w:val="none"/>
          <w:lang w:val="en-US" w:eastAsia="zh-CN"/>
        </w:rPr>
        <w:t>50Hz、10A。</w:t>
      </w:r>
    </w:p>
    <w:p w14:paraId="07117A67">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2.20消毒液储存箱容量≥10升，适酶储存箱容量≥2升，酒精储存箱容量≥2升。</w:t>
      </w:r>
    </w:p>
    <w:p w14:paraId="1723688C">
      <w:pPr>
        <w:jc w:val="center"/>
        <w:rPr>
          <w:rFonts w:hint="eastAsia" w:asciiTheme="minorEastAsia" w:hAnsiTheme="minorEastAsia" w:eastAsiaTheme="minorEastAsia" w:cstheme="minorEastAsia"/>
          <w:b/>
          <w:bCs/>
          <w:sz w:val="24"/>
          <w:szCs w:val="24"/>
          <w:highlight w:val="none"/>
        </w:rPr>
      </w:pPr>
    </w:p>
    <w:p w14:paraId="0857328F">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（七）碳13呼气试验检测仪</w:t>
      </w:r>
    </w:p>
    <w:p w14:paraId="71FC716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1.一键式操作完成测量；</w:t>
      </w:r>
    </w:p>
    <w:p w14:paraId="23784F2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2.分析速度≤4分钟对样品；</w:t>
      </w:r>
    </w:p>
    <w:p w14:paraId="51DA8CD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3.开机预热时间≤35分钟；</w:t>
      </w:r>
    </w:p>
    <w:p w14:paraId="03E09D4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4.具有病人信息存储及查询功能；</w:t>
      </w:r>
    </w:p>
    <w:p w14:paraId="346710F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5.具有仪器自检功能；</w:t>
      </w:r>
    </w:p>
    <w:p w14:paraId="08C7892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6.精密度：δsd≤0.3‰，C.V.≤±1%；</w:t>
      </w:r>
    </w:p>
    <w:p w14:paraId="1ED4EC1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7.通道数≥10；</w:t>
      </w:r>
    </w:p>
    <w:p w14:paraId="0086B36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8.红外光源，高效率、长寿命、低衰减；</w:t>
      </w:r>
    </w:p>
    <w:p w14:paraId="0252410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9.要求提供设备配套使用的尿素13C呼气试验药盒所提供的采样系统有完好的呼气结束瞬间密闭装置（其中的呼气样品袋须内置自动止回阀）。</w:t>
      </w:r>
    </w:p>
    <w:p w14:paraId="7B68B7C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10.要求提供设备配套使用的尿素13C呼气试验药盒所提供的制剂采样时长≤30分钟。</w:t>
      </w:r>
    </w:p>
    <w:p w14:paraId="2C70B52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p>
    <w:p w14:paraId="781CCAE0">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（八）碳14呼气试验检测仪</w:t>
      </w:r>
    </w:p>
    <w:p w14:paraId="2BEE992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1.采用双通道采集数据。</w:t>
      </w:r>
    </w:p>
    <w:p w14:paraId="023CAD9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2.双测量室，同时测量2个样本。</w:t>
      </w:r>
    </w:p>
    <w:p w14:paraId="2DFCF70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3.无需淬灭校正。</w:t>
      </w:r>
    </w:p>
    <w:p w14:paraId="032A4A0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4.自动给出DPM及HP感染的阴性，不确定，阳性+，阳性++，阳性+++，阳性++++六类诊断结果。</w:t>
      </w:r>
    </w:p>
    <w:p w14:paraId="409F6F0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5.自动故障诊断。</w:t>
      </w:r>
    </w:p>
    <w:p w14:paraId="0A0CA22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6.自动扣除本底计数。</w:t>
      </w:r>
    </w:p>
    <w:p w14:paraId="48B292E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7.自动进行测量数据打印，自带热敏式微型打印机。</w:t>
      </w:r>
    </w:p>
    <w:p w14:paraId="0FACC49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▲8.采用8英寸触屏显示操作界面和输入患者信息</w:t>
      </w:r>
    </w:p>
    <w:p w14:paraId="2289EA7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▲9.具有RFID读卡器，通过授权仪器使用次数功能，达到专卡专用。</w:t>
      </w:r>
    </w:p>
    <w:p w14:paraId="59727B0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10.检测仪的本底计数率≤50min-1  。</w:t>
      </w:r>
    </w:p>
    <w:p w14:paraId="431CD00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▲11.检测仪检测样本的重复性≤10% 。</w:t>
      </w:r>
    </w:p>
    <w:p w14:paraId="25A0FED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▲12.检测仪检测样本的准确度±10% 。</w:t>
      </w:r>
    </w:p>
    <w:p w14:paraId="7926148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13.测量时间仪器自动选定250S。</w:t>
      </w:r>
    </w:p>
    <w:p w14:paraId="1A5F9FB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14.功耗≤30W。</w:t>
      </w:r>
    </w:p>
    <w:p w14:paraId="523CB0E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15.仪器可随时升级，与用户电脑系统连接实现海量数据管理和连接标准打印机打印格式化报告。</w:t>
      </w:r>
    </w:p>
    <w:p w14:paraId="4D3563F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16.可接入医院局域网，连接扫码枪，接入LIS，HIS等系统（接口费由中标供应商承担）。</w:t>
      </w:r>
    </w:p>
    <w:p w14:paraId="739B4DC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p>
    <w:p w14:paraId="48547878">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（九）内镜主机</w:t>
      </w:r>
    </w:p>
    <w:p w14:paraId="7D714F6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（一）系统总体要求</w:t>
      </w:r>
    </w:p>
    <w:p w14:paraId="53AD4A4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1.系统中产品为主机光源分体机或一体机</w:t>
      </w:r>
    </w:p>
    <w:p w14:paraId="632AA12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（二）图像处理装置 </w:t>
      </w:r>
    </w:p>
    <w:p w14:paraId="5E46F6A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1.支持数字及模拟信号输出，同时数字信号输出模式≥3种</w:t>
      </w:r>
    </w:p>
    <w:p w14:paraId="71237CE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2.基础兼容性：兼容同品牌电子上消化道内窥镜、十二指肠镜、电子结肠内窥镜及超声电子支气管镜等</w:t>
      </w:r>
    </w:p>
    <w:p w14:paraId="440213E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3.主机具备画中画功能</w:t>
      </w:r>
    </w:p>
    <w:p w14:paraId="47589AE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4.具有图像预冻结模式</w:t>
      </w:r>
    </w:p>
    <w:p w14:paraId="68FF731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5.测光模式≥3种</w:t>
      </w:r>
    </w:p>
    <w:p w14:paraId="2BEDACD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6.具有≥3种强调功能</w:t>
      </w:r>
    </w:p>
    <w:p w14:paraId="3C82AAF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7.色彩调节：可对红色和蓝色进行调节，红色≥9档，蓝色≥9档</w:t>
      </w:r>
    </w:p>
    <w:p w14:paraId="603366A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8.可调节内镜图像大小</w:t>
      </w:r>
    </w:p>
    <w:p w14:paraId="5D481DE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9.图像对比度≥3档可调</w:t>
      </w:r>
    </w:p>
    <w:p w14:paraId="5A3979C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10.具有白平衡调节功能</w:t>
      </w:r>
    </w:p>
    <w:p w14:paraId="3F1853B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11.具有光学数字观察功能，且≥2种</w:t>
      </w:r>
    </w:p>
    <w:p w14:paraId="16000FB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（三）冷光源</w:t>
      </w:r>
    </w:p>
    <w:p w14:paraId="50DC97E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1.具备亮度调节功能≥4档</w:t>
      </w:r>
    </w:p>
    <w:p w14:paraId="5774AB6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2.检查灯为氙气灯≥290W，持续照明≥400H；或为LED灯≥4色，持续照明时间≥10000H</w:t>
      </w:r>
    </w:p>
    <w:p w14:paraId="1B2DB1F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3.送水方式采用可拆卸水瓶加压</w:t>
      </w:r>
    </w:p>
    <w:p w14:paraId="01DAED5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4.前面板具备指示灯</w:t>
      </w:r>
    </w:p>
    <w:p w14:paraId="2885F8B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5.送气压力调节功能≥4级</w:t>
      </w:r>
    </w:p>
    <w:p w14:paraId="7D32376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（四）高清晰液晶监视器≥27英寸</w:t>
      </w:r>
    </w:p>
    <w:p w14:paraId="6410B64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（五）内窥镜专用台车</w:t>
      </w:r>
    </w:p>
    <w:p w14:paraId="7ED58F4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p>
    <w:p w14:paraId="1A287636">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（十）高清电子肠镜</w:t>
      </w:r>
    </w:p>
    <w:p w14:paraId="714804B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1.高清电子结肠镜（检查）</w:t>
      </w:r>
    </w:p>
    <w:p w14:paraId="4DF789B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1.1具有副送水功能</w:t>
      </w:r>
    </w:p>
    <w:p w14:paraId="525BCE7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1.2视野角：≥140°</w:t>
      </w:r>
    </w:p>
    <w:p w14:paraId="55993AD9">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1.3景深：≥6-100mm </w:t>
      </w:r>
    </w:p>
    <w:p w14:paraId="1007CA9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1.4视野方向：0°直视</w:t>
      </w:r>
    </w:p>
    <w:p w14:paraId="565B427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1.5弯曲角度：向上≥180°、向下≥180°，向左≥160°，向右≥160°</w:t>
      </w:r>
    </w:p>
    <w:p w14:paraId="49EF578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1.6先端部外径：≤12.2mm（加分项）</w:t>
      </w:r>
    </w:p>
    <w:p w14:paraId="42F8A54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1.7插入部外径：≤12mm</w:t>
      </w:r>
    </w:p>
    <w:p w14:paraId="68AF3A5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1.8器械钳道内径：≥3.1mm </w:t>
      </w:r>
    </w:p>
    <w:p w14:paraId="1A77C13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1.9导光束：≥2条</w:t>
      </w:r>
    </w:p>
    <w:p w14:paraId="6BF7502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1.10工作长度：≥1300mm</w:t>
      </w:r>
    </w:p>
    <w:p w14:paraId="541DE47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1.11总长度：≥1600mm</w:t>
      </w:r>
    </w:p>
    <w:p w14:paraId="6B95D19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1.12具有肠镜插入性辅助技术（如硬度可变）</w:t>
      </w:r>
    </w:p>
    <w:p w14:paraId="78F3D54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2.高清电子结肠镜（光学放大）</w:t>
      </w:r>
    </w:p>
    <w:p w14:paraId="38DD5DF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2.1具有副送水功能</w:t>
      </w:r>
    </w:p>
    <w:p w14:paraId="4C9D461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2.2视野角：广角≥140°，长焦≥45°</w:t>
      </w:r>
    </w:p>
    <w:p w14:paraId="685B84A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2.3景深：广角≥8-100mm，长焦≥1-2mm</w:t>
      </w:r>
    </w:p>
    <w:p w14:paraId="55C5938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2.4视野方向：0°直视</w:t>
      </w:r>
    </w:p>
    <w:p w14:paraId="2D0CD4B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2.5弯曲角度：向上≥180°、向下≥180°，向左≥160°，向右≥160°</w:t>
      </w:r>
    </w:p>
    <w:p w14:paraId="25B43FE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2.6先端部外径：≤13.0mm</w:t>
      </w:r>
    </w:p>
    <w:p w14:paraId="1066C96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2.7插入部外径：≤13.2mm</w:t>
      </w:r>
    </w:p>
    <w:p w14:paraId="75C8983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2.8器械钳道内径：≥3.1mm（加分项）</w:t>
      </w:r>
    </w:p>
    <w:p w14:paraId="7B9D7CE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2.9 工作长度：≥1300mm</w:t>
      </w:r>
    </w:p>
    <w:p w14:paraId="302B9CA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2.10总长度：≥1600mm</w:t>
      </w:r>
    </w:p>
    <w:p w14:paraId="7A3A65A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2.11具有肠镜插入性辅助技术（如硬度可变）</w:t>
      </w:r>
    </w:p>
    <w:p w14:paraId="6142758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p>
    <w:p w14:paraId="5C3B79B1">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（十一）高清电子胃镜</w:t>
      </w:r>
    </w:p>
    <w:p w14:paraId="3F1EDA7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1.高清电子胃镜（治疗型）</w:t>
      </w:r>
    </w:p>
    <w:p w14:paraId="14A2E0B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1.1视野角：≥140°</w:t>
      </w:r>
    </w:p>
    <w:p w14:paraId="7FCD72C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1.2景深：≥3-100mm</w:t>
      </w:r>
    </w:p>
    <w:p w14:paraId="05C2B8F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1.3视野方向：0°直视</w:t>
      </w:r>
    </w:p>
    <w:p w14:paraId="383C643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1.4弯曲角度：向上≥210°，向下＞110°，向右≥100°，向左≥100°</w:t>
      </w:r>
    </w:p>
    <w:p w14:paraId="6429593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1.5先端部外径：≤9.9mm</w:t>
      </w:r>
    </w:p>
    <w:p w14:paraId="6D02C83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1.6插入部外径：≤10mm</w:t>
      </w:r>
    </w:p>
    <w:p w14:paraId="28BEC2A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1.7器械钳道内径：≥3.2mm</w:t>
      </w:r>
    </w:p>
    <w:p w14:paraId="79DDFD8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1.8具有副送水功能</w:t>
      </w:r>
    </w:p>
    <w:p w14:paraId="38B63CD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1.10工作长度：≥1000mm </w:t>
      </w:r>
    </w:p>
    <w:p w14:paraId="7092242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1.11总长度：≥1300mm</w:t>
      </w:r>
    </w:p>
    <w:p w14:paraId="545599E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2.高清电子胃镜（光学放大）</w:t>
      </w:r>
    </w:p>
    <w:p w14:paraId="75634AB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2.1视野角：广角≥140°，长焦≥49°</w:t>
      </w:r>
    </w:p>
    <w:p w14:paraId="6B107AC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2.2景深：广角≥8-100mm，长焦≥1.5-3mm</w:t>
      </w:r>
    </w:p>
    <w:p w14:paraId="07A46F4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2.3视野方向：0°直视</w:t>
      </w:r>
    </w:p>
    <w:p w14:paraId="244E39B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2.4弯曲角度：向上≥210°，向下≥90°，向右≥100°，向左≥100°</w:t>
      </w:r>
    </w:p>
    <w:p w14:paraId="59D2116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2.5先端部外径：≤10.6mm</w:t>
      </w:r>
    </w:p>
    <w:p w14:paraId="5F15D29D">
      <w:pPr>
        <w:keepNext w:val="0"/>
        <w:keepLines w:val="0"/>
        <w:pageBreakBefore w:val="0"/>
        <w:widowControl/>
        <w:kinsoku w:val="0"/>
        <w:wordWrap/>
        <w:overflowPunct/>
        <w:topLinePunct w:val="0"/>
        <w:autoSpaceDE w:val="0"/>
        <w:autoSpaceDN w:val="0"/>
        <w:bidi w:val="0"/>
        <w:adjustRightInd w:val="0"/>
        <w:snapToGrid w:val="0"/>
        <w:textAlignment w:val="baseline"/>
        <w:rPr>
          <w:highlight w:val="none"/>
        </w:rPr>
      </w:pPr>
      <w:r>
        <w:rPr>
          <w:rFonts w:hint="eastAsia" w:asciiTheme="minorEastAsia" w:hAnsiTheme="minorEastAsia" w:eastAsiaTheme="minorEastAsia" w:cstheme="minorEastAsia"/>
          <w:color w:val="auto"/>
          <w:sz w:val="22"/>
          <w:szCs w:val="22"/>
          <w:highlight w:val="none"/>
          <w:lang w:val="en-US" w:eastAsia="zh-CN"/>
        </w:rPr>
        <w:t xml:space="preserve">2.6插入部外径：≤9.8mm </w:t>
      </w:r>
    </w:p>
    <w:p w14:paraId="4D94CAF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p>
    <w:p w14:paraId="7389E7E1">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（十二）高频电刀</w:t>
      </w:r>
    </w:p>
    <w:p w14:paraId="2FC5739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strike w:val="0"/>
          <w:dstrike w:val="0"/>
          <w:color w:val="auto"/>
          <w:sz w:val="22"/>
          <w:szCs w:val="22"/>
          <w:highlight w:val="none"/>
          <w:lang w:val="en-US" w:eastAsia="zh-CN"/>
        </w:rPr>
      </w:pPr>
      <w:r>
        <w:rPr>
          <w:rFonts w:hint="eastAsia" w:asciiTheme="minorEastAsia" w:hAnsiTheme="minorEastAsia" w:eastAsiaTheme="minorEastAsia" w:cstheme="minorEastAsia"/>
          <w:strike w:val="0"/>
          <w:dstrike w:val="0"/>
          <w:color w:val="auto"/>
          <w:sz w:val="22"/>
          <w:szCs w:val="22"/>
          <w:highlight w:val="none"/>
          <w:lang w:val="en-US" w:eastAsia="zh-CN"/>
        </w:rPr>
        <w:t>1.纯切：5-300W</w:t>
      </w:r>
    </w:p>
    <w:p w14:paraId="641471E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strike w:val="0"/>
          <w:dstrike w:val="0"/>
          <w:color w:val="auto"/>
          <w:sz w:val="22"/>
          <w:szCs w:val="22"/>
          <w:highlight w:val="none"/>
          <w:lang w:val="en-US" w:eastAsia="zh-CN"/>
        </w:rPr>
      </w:pPr>
      <w:r>
        <w:rPr>
          <w:rFonts w:hint="eastAsia" w:asciiTheme="minorEastAsia" w:hAnsiTheme="minorEastAsia" w:eastAsiaTheme="minorEastAsia" w:cstheme="minorEastAsia"/>
          <w:strike w:val="0"/>
          <w:dstrike w:val="0"/>
          <w:color w:val="auto"/>
          <w:sz w:val="22"/>
          <w:szCs w:val="22"/>
          <w:highlight w:val="none"/>
          <w:lang w:val="en-US" w:eastAsia="zh-CN"/>
        </w:rPr>
        <w:t xml:space="preserve">2.混切效果1：5-200W </w:t>
      </w:r>
    </w:p>
    <w:p w14:paraId="34A4576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3.电凝额定输出功率：</w:t>
      </w:r>
    </w:p>
    <w:p w14:paraId="7F12A9A6">
      <w:pPr>
        <w:keepNext w:val="0"/>
        <w:keepLines w:val="0"/>
        <w:pageBreakBefore w:val="0"/>
        <w:widowControl/>
        <w:kinsoku w:val="0"/>
        <w:wordWrap/>
        <w:overflowPunct/>
        <w:topLinePunct w:val="0"/>
        <w:autoSpaceDE w:val="0"/>
        <w:autoSpaceDN w:val="0"/>
        <w:bidi w:val="0"/>
        <w:adjustRightInd w:val="0"/>
        <w:snapToGrid w:val="0"/>
        <w:ind w:firstLine="220" w:firstLineChars="10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3.1强力凝：5-120W</w:t>
      </w:r>
    </w:p>
    <w:p w14:paraId="6CA15A5C">
      <w:pPr>
        <w:keepNext w:val="0"/>
        <w:keepLines w:val="0"/>
        <w:pageBreakBefore w:val="0"/>
        <w:widowControl/>
        <w:kinsoku w:val="0"/>
        <w:wordWrap/>
        <w:overflowPunct/>
        <w:topLinePunct w:val="0"/>
        <w:autoSpaceDE w:val="0"/>
        <w:autoSpaceDN w:val="0"/>
        <w:bidi w:val="0"/>
        <w:adjustRightInd w:val="0"/>
        <w:snapToGrid w:val="0"/>
        <w:ind w:firstLine="220" w:firstLineChars="10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3.4柔和凝：5-120W</w:t>
      </w:r>
    </w:p>
    <w:p w14:paraId="0E65164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4.供电电源：单相AC220V,50Hz ，最大输出功率≥300W。 </w:t>
      </w:r>
    </w:p>
    <w:p w14:paraId="0D7BB50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5.氩气高频手术设备具有高频电刀功能和氩气功能（APC）的一体机。</w:t>
      </w:r>
    </w:p>
    <w:p w14:paraId="6CE58CF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6.具有4种电切、5种电凝输出模式。</w:t>
      </w:r>
    </w:p>
    <w:p w14:paraId="018F18B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7.单、双中性极板检测功能，极板故障时，发出声光报警，并停止输出。</w:t>
      </w:r>
    </w:p>
    <w:p w14:paraId="678A1FB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8.可用于内镜电切模式。</w:t>
      </w:r>
    </w:p>
    <w:p w14:paraId="361D7CD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9.具备自动监测的回路控制系统。</w:t>
      </w:r>
    </w:p>
    <w:p w14:paraId="7285C96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highlight w:val="red"/>
          <w:lang w:val="en-US" w:eastAsia="zh-CN"/>
        </w:rPr>
      </w:pPr>
      <w:r>
        <w:rPr>
          <w:rFonts w:hint="eastAsia" w:asciiTheme="minorEastAsia" w:hAnsiTheme="minorEastAsia" w:eastAsiaTheme="minorEastAsia" w:cstheme="minorEastAsia"/>
          <w:color w:val="auto"/>
          <w:sz w:val="22"/>
          <w:szCs w:val="22"/>
          <w:lang w:val="en-US" w:eastAsia="zh-CN"/>
        </w:rPr>
        <w:t>10.氩束激发距离在7-10mm。</w:t>
      </w:r>
    </w:p>
    <w:p w14:paraId="6DD31C0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11.氩束凝模式具有一键冲洗功能。</w:t>
      </w:r>
    </w:p>
    <w:p w14:paraId="6D587DE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12.具有单独记忆功能，能独立记忆上次工作的功能状态和数值设定。</w:t>
      </w:r>
    </w:p>
    <w:p w14:paraId="24905C2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13.具有高频输出参数自动监控，监控实际值与当前所设定的高频输出参数设定值之间的偏差。</w:t>
      </w:r>
    </w:p>
    <w:p w14:paraId="5CA800C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14.具有功率峰值系统控制(PPS)，能识别低阻抗负载，使高频发生器短暂地提供足够的功率，从而确保所设定的切割质量。</w:t>
      </w:r>
    </w:p>
    <w:p w14:paraId="1E27D06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15.具备外径≤1.7mm的氩束电极，且具备单独注册证。</w:t>
      </w:r>
    </w:p>
    <w:p w14:paraId="1D5B788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16.具备语音提示功能、音量可调。</w:t>
      </w:r>
    </w:p>
    <w:p w14:paraId="483D517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17.设备具备开机自检功能，每次启动后，设备自动测试性能。</w:t>
      </w:r>
    </w:p>
    <w:p w14:paraId="7C9B5AC5">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heme="minorEastAsia" w:hAnsiTheme="minorEastAsia" w:eastAsiaTheme="minorEastAsia" w:cstheme="minorEastAsia"/>
          <w:color w:val="auto"/>
          <w:sz w:val="22"/>
          <w:szCs w:val="22"/>
          <w:lang w:val="en-US" w:eastAsia="zh-CN"/>
        </w:rPr>
      </w:pPr>
    </w:p>
    <w:p w14:paraId="3FA0D711">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（十三）内镜吊塔</w:t>
      </w:r>
    </w:p>
    <w:p w14:paraId="3CAF7C4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1.吊塔主体材料为6005高强度铝合金，方形全封闭式设计。</w:t>
      </w:r>
    </w:p>
    <w:p w14:paraId="63BA04B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2.吊塔承重≥650Kg。</w:t>
      </w:r>
    </w:p>
    <w:p w14:paraId="19DDA20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3.悬臂、终端箱转动范围≥340°。</w:t>
      </w:r>
    </w:p>
    <w:p w14:paraId="5BACE39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4.所有吊塔均须配有良好的机械系统。</w:t>
      </w:r>
    </w:p>
    <w:p w14:paraId="18BFA73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5.吊塔气电终端箱体为≥6面体结构。</w:t>
      </w:r>
    </w:p>
    <w:p w14:paraId="70618CE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6.托盘须为铝合金材质，一体成型，纯平设计，表面无螺钉。</w:t>
      </w:r>
    </w:p>
    <w:p w14:paraId="1E5E566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7.抽屉，采用抽拉式，且自带吸合功能。</w:t>
      </w:r>
    </w:p>
    <w:p w14:paraId="6AD9313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8.基础架平缓施加荷载至10000N.m的试验扭矩，持续10min，法兰盘水平偏角≤0.4°。</w:t>
      </w:r>
    </w:p>
    <w:p w14:paraId="68C0CEF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9.吊塔关节轴承运行次数≥11万次。</w:t>
      </w:r>
    </w:p>
    <w:p w14:paraId="44CB734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bookmarkStart w:id="39" w:name="_Hlk169502323"/>
      <w:r>
        <w:rPr>
          <w:rFonts w:hint="eastAsia" w:asciiTheme="minorEastAsia" w:hAnsiTheme="minorEastAsia" w:eastAsiaTheme="minorEastAsia" w:cstheme="minorEastAsia"/>
          <w:color w:val="auto"/>
          <w:sz w:val="22"/>
          <w:szCs w:val="22"/>
          <w:lang w:val="en-US" w:eastAsia="zh-CN"/>
        </w:rPr>
        <w:t>10.吊塔所有气体插座和接头为德标制式。各种气体插座均为不同颜色和不同形状，防止误操作，具有原位待接通功能，可带气维修。</w:t>
      </w:r>
    </w:p>
    <w:p w14:paraId="72710D7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11.气体终端可提供≥10万次插拔测试证明</w:t>
      </w:r>
      <w:bookmarkStart w:id="40" w:name="_Hlk169502396"/>
      <w:r>
        <w:rPr>
          <w:rFonts w:hint="eastAsia" w:asciiTheme="minorEastAsia" w:hAnsiTheme="minorEastAsia" w:eastAsiaTheme="minorEastAsia" w:cstheme="minorEastAsia"/>
          <w:color w:val="auto"/>
          <w:sz w:val="22"/>
          <w:szCs w:val="22"/>
          <w:lang w:val="en-US" w:eastAsia="zh-CN"/>
        </w:rPr>
        <w:t>。</w:t>
      </w:r>
    </w:p>
    <w:bookmarkEnd w:id="39"/>
    <w:bookmarkEnd w:id="40"/>
    <w:p w14:paraId="2490497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12.底板具有开孔，在模拟氧气泄露流量为1L/min时，腔体内部的氧气浓度≤25%。</w:t>
      </w:r>
    </w:p>
    <w:p w14:paraId="0AB9B2B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13.吊塔的外壳防护等级应符合GB/T 4208-2017中IP20的规定。</w:t>
      </w:r>
    </w:p>
    <w:p w14:paraId="5CE61BD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14.吊塔的外壳防火等级至少为UL94-V1级。</w:t>
      </w:r>
    </w:p>
    <w:p w14:paraId="6B86239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15.吊塔在正常工作过程中噪声应≤50dB（A）。</w:t>
      </w:r>
    </w:p>
    <w:p w14:paraId="687F401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配置要求如下：</w:t>
      </w:r>
    </w:p>
    <w:p w14:paraId="379DED4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16.机械双臂结构，悬臂长度≥1000mm。</w:t>
      </w:r>
    </w:p>
    <w:p w14:paraId="06ABCD2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17.气电箱为吊柱式，气电箱长度≥1000mm。</w:t>
      </w:r>
    </w:p>
    <w:p w14:paraId="5385C90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18.气体终端（氧气2个，负压吸引1个，空气2个，二氧化碳气体1个），并包含对应气体的插头。</w:t>
      </w:r>
    </w:p>
    <w:p w14:paraId="2941CAB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19.电源插座10A 15个。</w:t>
      </w:r>
    </w:p>
    <w:p w14:paraId="0E5B933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20.罗格朗RJ45，含线，CAT6 4个。</w:t>
      </w:r>
    </w:p>
    <w:p w14:paraId="6E1ABD6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21.支持预留相关视频线接口如：HDMI/SDI。</w:t>
      </w:r>
    </w:p>
    <w:p w14:paraId="1D13E12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22.仪器承载托盘3个，其中1个带收纳型鼠标及键盘托1个带自吸合抽屉，双臂延伸臂输液架1个，腔镜杯托1个。</w:t>
      </w:r>
    </w:p>
    <w:p w14:paraId="4FD77D8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p>
    <w:p w14:paraId="30506313">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（十四）二氧化碳送气装置</w:t>
      </w:r>
    </w:p>
    <w:p w14:paraId="35CEE23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1.具备一键式开关机操作，显示压力</w:t>
      </w:r>
    </w:p>
    <w:p w14:paraId="518F78D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2.可实现一种以上流量的气流调节功能</w:t>
      </w:r>
    </w:p>
    <w:p w14:paraId="11BA9AA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p>
    <w:p w14:paraId="28B4094C">
      <w:pPr>
        <w:keepNext w:val="0"/>
        <w:keepLines w:val="0"/>
        <w:pageBreakBefore w:val="0"/>
        <w:widowControl/>
        <w:numPr>
          <w:ilvl w:val="0"/>
          <w:numId w:val="0"/>
        </w:numPr>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十五</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扇形器械车</w:t>
      </w:r>
    </w:p>
    <w:p w14:paraId="0F8C0DE9">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1.材质：304不锈钢</w:t>
      </w:r>
    </w:p>
    <w:p w14:paraId="4CEF98E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2.尺寸：≥1370*400*950mm</w:t>
      </w:r>
    </w:p>
    <w:p w14:paraId="1DF13B4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3.其它：扇形，上下两层</w:t>
      </w:r>
    </w:p>
    <w:p w14:paraId="05A11378">
      <w:pPr>
        <w:rPr>
          <w:rFonts w:hint="eastAsia" w:asciiTheme="minorEastAsia" w:hAnsiTheme="minorEastAsia" w:eastAsiaTheme="minorEastAsia" w:cstheme="minorEastAsia"/>
          <w:b/>
          <w:bCs/>
          <w:sz w:val="24"/>
          <w:szCs w:val="24"/>
        </w:rPr>
      </w:pPr>
    </w:p>
    <w:p w14:paraId="17FEBA85">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jc w:val="both"/>
        <w:textAlignment w:val="baseline"/>
        <w:outlineLvl w:val="9"/>
        <w:rPr>
          <w:rFonts w:hint="eastAsia" w:ascii="宋体" w:hAnsi="宋体" w:eastAsia="宋体" w:cs="宋体"/>
          <w:b/>
          <w:bCs/>
          <w:color w:val="auto"/>
          <w:kern w:val="44"/>
          <w:sz w:val="28"/>
          <w:szCs w:val="28"/>
          <w:highlight w:val="none"/>
          <w:lang w:val="en-US" w:eastAsia="zh-CN"/>
        </w:rPr>
      </w:pPr>
      <w:r>
        <w:rPr>
          <w:rFonts w:hint="eastAsia" w:ascii="宋体" w:hAnsi="宋体" w:eastAsia="宋体" w:cs="宋体"/>
          <w:b/>
          <w:bCs/>
          <w:color w:val="auto"/>
          <w:kern w:val="44"/>
          <w:sz w:val="28"/>
          <w:szCs w:val="28"/>
          <w:highlight w:val="none"/>
          <w:lang w:val="en-US" w:eastAsia="zh-CN"/>
        </w:rPr>
        <w:t>三、售后服务条款</w:t>
      </w:r>
    </w:p>
    <w:p w14:paraId="553D08C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bookmarkStart w:id="41" w:name="_Toc6096"/>
      <w:r>
        <w:rPr>
          <w:rFonts w:hint="eastAsia" w:asciiTheme="minorEastAsia" w:hAnsiTheme="minorEastAsia" w:eastAsiaTheme="minorEastAsia" w:cstheme="minorEastAsia"/>
          <w:color w:val="auto"/>
          <w:sz w:val="24"/>
          <w:szCs w:val="24"/>
          <w:highlight w:val="none"/>
          <w:lang w:val="en-US" w:eastAsia="zh-CN"/>
        </w:rPr>
        <w:t>1.免费保修期为全保，包含但不限于人工费、零配件更换、软件升级等各项费用，并提供易损件报价和出保后保修价格；</w:t>
      </w:r>
    </w:p>
    <w:p w14:paraId="6EA1E15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2.服务人员资质：投标人配置的服务工程师必须为培训合格，取得设备生产厂家相关服务资格授权的人员，并提供相关资质资料；</w:t>
      </w:r>
    </w:p>
    <w:p w14:paraId="363D4DD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3.零备件供应：所有更换的零配件均为原厂认证合格的、未经使用的零配件，且备品备件库须保证设备10年以上使用；</w:t>
      </w:r>
    </w:p>
    <w:p w14:paraId="32594DA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4.响应时间要求：投标人接到维修电话后应在2小时内做应答处理，24小时内到现场服务排除故障；</w:t>
      </w:r>
    </w:p>
    <w:p w14:paraId="475FEA5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5.保修期内服务时间：维修、维护工作时间包含周末和其他非标准工作时间，即365天×24小时服务；</w:t>
      </w:r>
    </w:p>
    <w:p w14:paraId="30787BC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6.维保清单：投标人须提供专业全面的设备维护保养清单；</w:t>
      </w:r>
    </w:p>
    <w:p w14:paraId="5C4CC0E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7.保养：投标人保修期内每年至少提供2次设备维护保养，并提供保养服务报告；</w:t>
      </w:r>
    </w:p>
    <w:p w14:paraId="2A43023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8.报告：投标人保修期内每年至少提供1次故障原因分析报告、质控报告、年度设备运行状态报告；特殊故障时必须提交故障分析报告；</w:t>
      </w:r>
    </w:p>
    <w:p w14:paraId="10B3DFF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9.设备校准：需校准的实验室设备，投标人提供每年一次设备校准，免费提供设备校准所需的试剂及耗材，并提供校准报告。如设备维修后需校准，也免费提供以上服务；</w:t>
      </w:r>
    </w:p>
    <w:p w14:paraId="4F749A5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10.培训：投标人免费提供设备使用中必要的培训及指导，直至使用级维护人员能够正确了解使用本设备；</w:t>
      </w:r>
    </w:p>
    <w:p w14:paraId="7FB2C78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11.资料提供：投标人须向甲方提供设备使用维护手册、维修手册、软件备份、故障代码表、维修密码等维护维修必需的材料和信息；</w:t>
      </w:r>
    </w:p>
    <w:p w14:paraId="1889EA4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12.系统升级：投标人提供原厂系统免费软件升级；</w:t>
      </w:r>
    </w:p>
    <w:p w14:paraId="5684A1D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13.开机率：设备保修期内，投标人须保证设备开机率达到95%以上（如未达到，按该设备上个月的收入总额计算每日平均值按日赔偿甲方损失，或相应延长保修期，如延长保修期，质保金的给付日期也相应延长）；</w:t>
      </w:r>
    </w:p>
    <w:p w14:paraId="3F2641E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伴随技术服务：大型特殊设备使用初期，如手术、诊断检查过程中，投标人需提供伴随服务，配备手术跟台、设备操作指导工程师一名，协助甲方设备使用人员调试、操作设备，保证相关工作顺利进行，且提供伴随服务工程师要求有临床相关专业经验和相应资质；</w:t>
      </w:r>
    </w:p>
    <w:p w14:paraId="20EB734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color w:val="auto"/>
          <w:sz w:val="32"/>
          <w:szCs w:val="22"/>
          <w:highlight w:val="none"/>
        </w:rPr>
      </w:pPr>
      <w:r>
        <w:rPr>
          <w:rFonts w:hint="eastAsia" w:asciiTheme="minorEastAsia" w:hAnsiTheme="minorEastAsia" w:eastAsiaTheme="minorEastAsia" w:cstheme="minorEastAsia"/>
          <w:color w:val="auto"/>
          <w:sz w:val="24"/>
          <w:szCs w:val="24"/>
          <w:highlight w:val="none"/>
          <w:lang w:val="en-US" w:eastAsia="zh-CN"/>
        </w:rPr>
        <w:t>15.售后服务承诺：投标人须对以上所有服务条款进行承诺，并提供售后服务承诺函。</w:t>
      </w:r>
      <w:r>
        <w:rPr>
          <w:rFonts w:hint="eastAsia"/>
          <w:color w:val="auto"/>
          <w:sz w:val="32"/>
          <w:szCs w:val="22"/>
          <w:highlight w:val="none"/>
        </w:rPr>
        <w:br w:type="page"/>
      </w:r>
    </w:p>
    <w:p w14:paraId="30FD3032">
      <w:pPr>
        <w:pStyle w:val="2"/>
        <w:keepNext/>
        <w:keepLines/>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color w:val="auto"/>
          <w:sz w:val="32"/>
          <w:szCs w:val="22"/>
        </w:rPr>
      </w:pPr>
      <w:r>
        <w:rPr>
          <w:rFonts w:hint="eastAsia"/>
          <w:color w:val="auto"/>
          <w:sz w:val="32"/>
          <w:szCs w:val="22"/>
        </w:rPr>
        <w:t>第六章 投标文件构成及格式</w:t>
      </w:r>
      <w:bookmarkEnd w:id="41"/>
    </w:p>
    <w:p w14:paraId="03D62DF4">
      <w:pPr>
        <w:pStyle w:val="5"/>
        <w:spacing w:line="318" w:lineRule="auto"/>
        <w:outlineLvl w:val="9"/>
        <w:rPr>
          <w:rFonts w:hint="eastAsia" w:ascii="宋体" w:hAnsi="宋体" w:eastAsia="宋体" w:cs="宋体"/>
          <w:color w:val="auto"/>
        </w:rPr>
      </w:pPr>
    </w:p>
    <w:p w14:paraId="493EE45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采购人特别声明：</w:t>
      </w:r>
    </w:p>
    <w:p w14:paraId="77D688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投标人应提交本“投标文件格式 ”所列举和要求的全部投标文件，并且所提交的投标</w:t>
      </w:r>
    </w:p>
    <w:p w14:paraId="2FAD9B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文件都是真实有效的，否则，将是投标人的风险。</w:t>
      </w:r>
    </w:p>
    <w:p w14:paraId="2493D2AD">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64AB278E">
      <w:pPr>
        <w:pStyle w:val="15"/>
        <w:rPr>
          <w:rFonts w:hint="eastAsia" w:ascii="宋体" w:hAnsi="宋体" w:eastAsia="宋体" w:cs="宋体"/>
          <w:color w:val="auto"/>
          <w:kern w:val="44"/>
          <w:sz w:val="36"/>
          <w:highlight w:val="none"/>
          <w:lang w:val="zh-CN"/>
        </w:rPr>
      </w:pPr>
    </w:p>
    <w:p w14:paraId="48EA1A94">
      <w:pPr>
        <w:pStyle w:val="15"/>
        <w:keepNext w:val="0"/>
        <w:keepLines w:val="0"/>
        <w:pageBreakBefore w:val="0"/>
        <w:widowControl w:val="0"/>
        <w:kinsoku/>
        <w:wordWrap/>
        <w:overflowPunct/>
        <w:topLinePunct w:val="0"/>
        <w:autoSpaceDE/>
        <w:autoSpaceDN/>
        <w:bidi w:val="0"/>
        <w:adjustRightInd w:val="0"/>
        <w:snapToGrid/>
        <w:textAlignment w:val="baseline"/>
        <w:outlineLvl w:val="9"/>
        <w:rPr>
          <w:rFonts w:hint="eastAsia" w:ascii="宋体" w:hAnsi="宋体" w:eastAsia="宋体" w:cs="宋体"/>
          <w:color w:val="auto"/>
          <w:sz w:val="28"/>
          <w:szCs w:val="28"/>
          <w:highlight w:val="none"/>
          <w:u w:val="single"/>
        </w:rPr>
      </w:pPr>
    </w:p>
    <w:p w14:paraId="4B5670F4">
      <w:pPr>
        <w:pStyle w:val="15"/>
        <w:keepNext w:val="0"/>
        <w:keepLines w:val="0"/>
        <w:pageBreakBefore w:val="0"/>
        <w:widowControl w:val="0"/>
        <w:kinsoku/>
        <w:wordWrap/>
        <w:overflowPunct/>
        <w:topLinePunct w:val="0"/>
        <w:autoSpaceDE/>
        <w:autoSpaceDN/>
        <w:bidi w:val="0"/>
        <w:adjustRightInd w:val="0"/>
        <w:snapToGrid/>
        <w:textAlignment w:val="baseline"/>
        <w:outlineLvl w:val="9"/>
        <w:rPr>
          <w:rFonts w:hint="eastAsia" w:ascii="宋体" w:hAnsi="宋体" w:eastAsia="宋体" w:cs="宋体"/>
          <w:color w:val="auto"/>
          <w:kern w:val="44"/>
          <w:sz w:val="36"/>
          <w:highlight w:val="none"/>
          <w:lang w:val="zh-CN"/>
        </w:rPr>
      </w:pPr>
      <w:r>
        <w:rPr>
          <w:rFonts w:hint="eastAsia" w:ascii="宋体" w:hAnsi="宋体" w:eastAsia="宋体" w:cs="宋体"/>
          <w:color w:val="auto"/>
          <w:sz w:val="28"/>
          <w:szCs w:val="28"/>
          <w:highlight w:val="none"/>
          <w:u w:val="single"/>
        </w:rPr>
        <w:t xml:space="preserve">                                </w:t>
      </w:r>
      <w:bookmarkStart w:id="42" w:name="_Toc6030"/>
      <w:r>
        <w:rPr>
          <w:rFonts w:hint="eastAsia" w:ascii="宋体" w:hAnsi="宋体" w:eastAsia="宋体" w:cs="宋体"/>
          <w:color w:val="auto"/>
          <w:sz w:val="28"/>
          <w:szCs w:val="28"/>
          <w:highlight w:val="none"/>
        </w:rPr>
        <w:t>（项目名称）</w:t>
      </w:r>
      <w:bookmarkEnd w:id="42"/>
    </w:p>
    <w:p w14:paraId="1D49B517">
      <w:pPr>
        <w:spacing w:line="360" w:lineRule="auto"/>
        <w:jc w:val="center"/>
        <w:rPr>
          <w:rFonts w:hint="eastAsia" w:ascii="宋体" w:hAnsi="宋体" w:eastAsia="宋体" w:cs="宋体"/>
          <w:color w:val="auto"/>
          <w:sz w:val="28"/>
          <w:szCs w:val="28"/>
          <w:highlight w:val="none"/>
        </w:rPr>
      </w:pPr>
    </w:p>
    <w:p w14:paraId="3F00259E">
      <w:pPr>
        <w:spacing w:line="360" w:lineRule="auto"/>
        <w:jc w:val="center"/>
        <w:rPr>
          <w:rFonts w:hint="eastAsia" w:ascii="宋体" w:hAnsi="宋体" w:eastAsia="宋体" w:cs="宋体"/>
          <w:color w:val="auto"/>
          <w:sz w:val="28"/>
          <w:szCs w:val="28"/>
          <w:highlight w:val="none"/>
        </w:rPr>
      </w:pPr>
    </w:p>
    <w:p w14:paraId="763066D9">
      <w:pPr>
        <w:spacing w:line="360" w:lineRule="auto"/>
        <w:jc w:val="center"/>
        <w:rPr>
          <w:rFonts w:hint="eastAsia" w:ascii="宋体" w:hAnsi="宋体" w:eastAsia="宋体" w:cs="宋体"/>
          <w:color w:val="auto"/>
          <w:sz w:val="28"/>
          <w:szCs w:val="28"/>
          <w:highlight w:val="none"/>
        </w:rPr>
      </w:pPr>
    </w:p>
    <w:p w14:paraId="776D92C9">
      <w:pPr>
        <w:spacing w:line="360" w:lineRule="auto"/>
        <w:jc w:val="center"/>
        <w:rPr>
          <w:rFonts w:hint="eastAsia" w:ascii="宋体" w:hAnsi="宋体" w:eastAsia="宋体" w:cs="宋体"/>
          <w:color w:val="auto"/>
          <w:sz w:val="28"/>
          <w:szCs w:val="28"/>
          <w:highlight w:val="none"/>
        </w:rPr>
      </w:pPr>
    </w:p>
    <w:p w14:paraId="35AC0AD1">
      <w:pPr>
        <w:spacing w:line="360" w:lineRule="auto"/>
        <w:jc w:val="center"/>
        <w:rPr>
          <w:rFonts w:hint="eastAsia" w:ascii="宋体" w:hAnsi="宋体" w:eastAsia="宋体" w:cs="宋体"/>
          <w:color w:val="auto"/>
          <w:sz w:val="28"/>
          <w:szCs w:val="28"/>
          <w:highlight w:val="none"/>
        </w:rPr>
      </w:pPr>
    </w:p>
    <w:p w14:paraId="2CD513F1">
      <w:pPr>
        <w:spacing w:line="360" w:lineRule="auto"/>
        <w:jc w:val="center"/>
        <w:rPr>
          <w:rFonts w:hint="eastAsia" w:ascii="宋体" w:hAnsi="宋体" w:eastAsia="宋体" w:cs="宋体"/>
          <w:color w:val="auto"/>
          <w:sz w:val="72"/>
          <w:szCs w:val="72"/>
          <w:highlight w:val="none"/>
          <w:lang w:eastAsia="zh-CN"/>
        </w:rPr>
      </w:pPr>
      <w:r>
        <w:rPr>
          <w:rFonts w:hint="eastAsia" w:ascii="宋体" w:hAnsi="宋体" w:eastAsia="宋体" w:cs="宋体"/>
          <w:color w:val="auto"/>
          <w:sz w:val="72"/>
          <w:szCs w:val="72"/>
          <w:highlight w:val="none"/>
          <w:lang w:eastAsia="zh-CN"/>
        </w:rPr>
        <w:t>投</w:t>
      </w:r>
      <w:r>
        <w:rPr>
          <w:rFonts w:hint="eastAsia" w:ascii="宋体" w:hAnsi="宋体" w:eastAsia="宋体" w:cs="宋体"/>
          <w:color w:val="auto"/>
          <w:sz w:val="72"/>
          <w:szCs w:val="72"/>
          <w:highlight w:val="none"/>
          <w:lang w:val="en-US" w:eastAsia="zh-CN"/>
        </w:rPr>
        <w:t xml:space="preserve"> </w:t>
      </w:r>
      <w:r>
        <w:rPr>
          <w:rFonts w:hint="eastAsia" w:ascii="宋体" w:hAnsi="宋体" w:eastAsia="宋体" w:cs="宋体"/>
          <w:color w:val="auto"/>
          <w:sz w:val="72"/>
          <w:szCs w:val="72"/>
          <w:highlight w:val="none"/>
          <w:lang w:eastAsia="zh-CN"/>
        </w:rPr>
        <w:t>标</w:t>
      </w:r>
      <w:r>
        <w:rPr>
          <w:rFonts w:hint="eastAsia" w:ascii="宋体" w:hAnsi="宋体" w:eastAsia="宋体" w:cs="宋体"/>
          <w:color w:val="auto"/>
          <w:sz w:val="72"/>
          <w:szCs w:val="72"/>
          <w:highlight w:val="none"/>
          <w:lang w:val="en-US" w:eastAsia="zh-CN"/>
        </w:rPr>
        <w:t xml:space="preserve"> </w:t>
      </w:r>
      <w:r>
        <w:rPr>
          <w:rFonts w:hint="eastAsia" w:ascii="宋体" w:hAnsi="宋体" w:eastAsia="宋体" w:cs="宋体"/>
          <w:color w:val="auto"/>
          <w:sz w:val="72"/>
          <w:szCs w:val="72"/>
          <w:highlight w:val="none"/>
          <w:lang w:eastAsia="zh-CN"/>
        </w:rPr>
        <w:t>文</w:t>
      </w:r>
      <w:r>
        <w:rPr>
          <w:rFonts w:hint="eastAsia" w:ascii="宋体" w:hAnsi="宋体" w:eastAsia="宋体" w:cs="宋体"/>
          <w:color w:val="auto"/>
          <w:sz w:val="72"/>
          <w:szCs w:val="72"/>
          <w:highlight w:val="none"/>
          <w:lang w:val="en-US" w:eastAsia="zh-CN"/>
        </w:rPr>
        <w:t xml:space="preserve"> </w:t>
      </w:r>
      <w:r>
        <w:rPr>
          <w:rFonts w:hint="eastAsia" w:ascii="宋体" w:hAnsi="宋体" w:eastAsia="宋体" w:cs="宋体"/>
          <w:color w:val="auto"/>
          <w:sz w:val="72"/>
          <w:szCs w:val="72"/>
          <w:highlight w:val="none"/>
          <w:lang w:eastAsia="zh-CN"/>
        </w:rPr>
        <w:t>件</w:t>
      </w:r>
    </w:p>
    <w:p w14:paraId="4248D42C">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39183A98">
      <w:pPr>
        <w:spacing w:line="480" w:lineRule="auto"/>
        <w:ind w:firstLine="3360" w:firstLineChars="1200"/>
        <w:rPr>
          <w:rFonts w:hint="eastAsia" w:ascii="宋体" w:hAnsi="宋体" w:eastAsia="宋体" w:cs="宋体"/>
          <w:color w:val="auto"/>
          <w:sz w:val="28"/>
          <w:szCs w:val="28"/>
          <w:highlight w:val="none"/>
          <w:u w:val="single"/>
        </w:rPr>
      </w:pPr>
    </w:p>
    <w:p w14:paraId="5BA6476C">
      <w:pPr>
        <w:spacing w:line="360" w:lineRule="auto"/>
        <w:jc w:val="center"/>
        <w:rPr>
          <w:rFonts w:hint="eastAsia" w:ascii="宋体" w:hAnsi="宋体" w:eastAsia="宋体" w:cs="宋体"/>
          <w:color w:val="auto"/>
          <w:sz w:val="28"/>
          <w:szCs w:val="28"/>
          <w:highlight w:val="none"/>
        </w:rPr>
      </w:pPr>
    </w:p>
    <w:p w14:paraId="57C6DD1D">
      <w:pPr>
        <w:spacing w:line="360" w:lineRule="auto"/>
        <w:ind w:firstLine="1260" w:firstLineChars="450"/>
        <w:rPr>
          <w:rFonts w:hint="eastAsia" w:ascii="宋体" w:hAnsi="宋体" w:eastAsia="宋体" w:cs="宋体"/>
          <w:color w:val="auto"/>
          <w:sz w:val="28"/>
          <w:szCs w:val="28"/>
          <w:highlight w:val="none"/>
        </w:rPr>
      </w:pPr>
    </w:p>
    <w:p w14:paraId="7C96F196">
      <w:pPr>
        <w:spacing w:line="360" w:lineRule="auto"/>
        <w:ind w:firstLine="1260" w:firstLineChars="450"/>
        <w:rPr>
          <w:rFonts w:hint="eastAsia" w:ascii="宋体" w:hAnsi="宋体" w:eastAsia="宋体" w:cs="宋体"/>
          <w:color w:val="auto"/>
          <w:sz w:val="28"/>
          <w:szCs w:val="28"/>
          <w:highlight w:val="none"/>
        </w:rPr>
      </w:pPr>
    </w:p>
    <w:p w14:paraId="3010AD4D">
      <w:pPr>
        <w:spacing w:line="360" w:lineRule="auto"/>
        <w:ind w:firstLine="1260" w:firstLineChars="450"/>
        <w:rPr>
          <w:rFonts w:hint="eastAsia" w:ascii="宋体" w:hAnsi="宋体" w:eastAsia="宋体" w:cs="宋体"/>
          <w:color w:val="auto"/>
          <w:sz w:val="28"/>
          <w:szCs w:val="28"/>
          <w:highlight w:val="none"/>
        </w:rPr>
      </w:pPr>
    </w:p>
    <w:p w14:paraId="1AFD1F57">
      <w:pPr>
        <w:spacing w:line="360" w:lineRule="auto"/>
        <w:ind w:firstLine="1260" w:firstLineChars="450"/>
        <w:rPr>
          <w:rFonts w:hint="eastAsia" w:ascii="宋体" w:hAnsi="宋体" w:eastAsia="宋体" w:cs="宋体"/>
          <w:color w:val="auto"/>
          <w:sz w:val="28"/>
          <w:szCs w:val="28"/>
          <w:highlight w:val="none"/>
        </w:rPr>
      </w:pPr>
    </w:p>
    <w:p w14:paraId="46146866">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A2B10BD">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并盖章</w:t>
      </w:r>
      <w:r>
        <w:rPr>
          <w:rFonts w:hint="eastAsia" w:ascii="宋体" w:hAnsi="宋体" w:eastAsia="宋体" w:cs="宋体"/>
          <w:color w:val="auto"/>
          <w:sz w:val="24"/>
          <w:szCs w:val="24"/>
          <w:highlight w:val="none"/>
        </w:rPr>
        <w:t>）</w:t>
      </w:r>
    </w:p>
    <w:p w14:paraId="5E8BF9CE">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09DE366">
      <w:pP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3B9424D9">
      <w:pPr>
        <w:keepNext w:val="0"/>
        <w:keepLines w:val="0"/>
        <w:pageBreakBefore w:val="0"/>
        <w:widowControl/>
        <w:kinsoku w:val="0"/>
        <w:wordWrap/>
        <w:overflowPunct/>
        <w:topLinePunct w:val="0"/>
        <w:autoSpaceDE w:val="0"/>
        <w:autoSpaceDN w:val="0"/>
        <w:bidi w:val="0"/>
        <w:adjustRightInd w:val="0"/>
        <w:snapToGrid w:val="0"/>
        <w:ind w:firstLine="316" w:firstLineChars="100"/>
        <w:jc w:val="center"/>
        <w:textAlignment w:val="baseline"/>
        <w:outlineLvl w:val="9"/>
        <w:rPr>
          <w:rFonts w:hint="eastAsia" w:ascii="宋体" w:hAnsi="宋体" w:eastAsia="宋体" w:cs="宋体"/>
          <w:color w:val="auto"/>
          <w:spacing w:val="-2"/>
          <w:sz w:val="32"/>
          <w:szCs w:val="32"/>
          <w:lang w:val="en-US" w:eastAsia="zh-CN"/>
          <w14:textOutline w14:w="4358" w14:cap="sq" w14:cmpd="sng">
            <w14:solidFill>
              <w14:srgbClr w14:val="000000"/>
            </w14:solidFill>
            <w14:prstDash w14:val="solid"/>
            <w14:bevel/>
          </w14:textOutline>
        </w:rPr>
      </w:pPr>
      <w:r>
        <w:rPr>
          <w:rFonts w:hint="eastAsia" w:ascii="宋体" w:hAnsi="宋体" w:eastAsia="宋体" w:cs="宋体"/>
          <w:color w:val="auto"/>
          <w:spacing w:val="-2"/>
          <w:sz w:val="32"/>
          <w:szCs w:val="32"/>
          <w:lang w:val="en-US" w:eastAsia="zh-CN"/>
          <w14:textOutline w14:w="4358" w14:cap="sq" w14:cmpd="sng">
            <w14:solidFill>
              <w14:srgbClr w14:val="000000"/>
            </w14:solidFill>
            <w14:prstDash w14:val="solid"/>
            <w14:bevel/>
          </w14:textOutline>
        </w:rPr>
        <w:t>明标部分</w:t>
      </w:r>
    </w:p>
    <w:p w14:paraId="109C9B43">
      <w:pPr>
        <w:keepNext w:val="0"/>
        <w:keepLines w:val="0"/>
        <w:pageBreakBefore w:val="0"/>
        <w:widowControl/>
        <w:kinsoku w:val="0"/>
        <w:wordWrap/>
        <w:overflowPunct/>
        <w:topLinePunct w:val="0"/>
        <w:autoSpaceDE w:val="0"/>
        <w:autoSpaceDN w:val="0"/>
        <w:bidi w:val="0"/>
        <w:adjustRightInd w:val="0"/>
        <w:snapToGrid w:val="0"/>
        <w:ind w:firstLine="276" w:firstLineChars="100"/>
        <w:jc w:val="center"/>
        <w:textAlignment w:val="baseline"/>
        <w:outlineLvl w:val="9"/>
        <w:rPr>
          <w:rFonts w:hint="eastAsia" w:ascii="宋体" w:hAnsi="宋体" w:eastAsia="宋体" w:cs="宋体"/>
          <w:color w:val="auto"/>
          <w:spacing w:val="-2"/>
          <w:sz w:val="28"/>
          <w:szCs w:val="28"/>
          <w:lang w:val="en-US" w:eastAsia="zh-CN"/>
          <w14:textOutline w14:w="4358" w14:cap="sq" w14:cmpd="sng">
            <w14:solidFill>
              <w14:srgbClr w14:val="000000"/>
            </w14:solidFill>
            <w14:prstDash w14:val="solid"/>
            <w14:bevel/>
          </w14:textOutline>
        </w:rPr>
      </w:pPr>
    </w:p>
    <w:p w14:paraId="1A494DF2">
      <w:pPr>
        <w:jc w:val="center"/>
        <w:rPr>
          <w:rFonts w:hint="eastAsia" w:ascii="宋体" w:hAnsi="宋体" w:eastAsia="宋体" w:cs="宋体"/>
          <w:color w:val="auto"/>
          <w:spacing w:val="-2"/>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lang w:val="en-US" w:eastAsia="zh-CN"/>
          <w14:textOutline w14:w="4358" w14:cap="sq" w14:cmpd="sng">
            <w14:solidFill>
              <w14:srgbClr w14:val="000000"/>
            </w14:solidFill>
            <w14:prstDash w14:val="solid"/>
            <w14:bevel/>
          </w14:textOutline>
        </w:rPr>
        <w:t>目录（自行编制页码）</w:t>
      </w:r>
    </w:p>
    <w:p w14:paraId="21248DA6">
      <w:pPr>
        <w:jc w:val="both"/>
        <w:rPr>
          <w:rFonts w:hint="eastAsia" w:ascii="宋体" w:hAnsi="宋体" w:eastAsia="宋体" w:cs="宋体"/>
          <w:color w:val="auto"/>
          <w:spacing w:val="-2"/>
          <w:sz w:val="24"/>
          <w:szCs w:val="24"/>
          <w:lang w:val="en-US" w:eastAsia="zh-CN"/>
          <w14:textOutline w14:w="4358" w14:cap="sq" w14:cmpd="sng">
            <w14:solidFill>
              <w14:srgbClr w14:val="000000"/>
            </w14:solidFill>
            <w14:prstDash w14:val="solid"/>
            <w14:bevel/>
          </w14:textOutline>
        </w:rPr>
      </w:pPr>
    </w:p>
    <w:p w14:paraId="01F46ED1">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p>
    <w:p w14:paraId="4BD74AF5">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格式一：开标一览表</w:t>
      </w:r>
    </w:p>
    <w:p w14:paraId="45EA10E1">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格式二：投标函</w:t>
      </w:r>
    </w:p>
    <w:p w14:paraId="4FCC6F5A">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格式三：投标报价明细表</w:t>
      </w:r>
    </w:p>
    <w:p w14:paraId="636C7A47">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格式四：采购需求偏离表</w:t>
      </w:r>
    </w:p>
    <w:p w14:paraId="32FD68C1">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格式五：售后服务承诺书</w:t>
      </w:r>
    </w:p>
    <w:p w14:paraId="2025B01E">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格式六：法定代表人（单位负责人）身份证明</w:t>
      </w:r>
    </w:p>
    <w:p w14:paraId="2324BBF1">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格式七：授权委托书</w:t>
      </w:r>
    </w:p>
    <w:p w14:paraId="77DC9C9F">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格式八：中标服务费承诺书</w:t>
      </w:r>
    </w:p>
    <w:p w14:paraId="7E37F998">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格式九：中小企业声明函</w:t>
      </w:r>
    </w:p>
    <w:p w14:paraId="47D0DC93">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格式十：类似业绩一览表</w:t>
      </w:r>
    </w:p>
    <w:p w14:paraId="61805660">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格式十一：资格条件承诺函</w:t>
      </w:r>
    </w:p>
    <w:p w14:paraId="6EBCFDB9">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格式十</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：制造商（境内总代理商）授权书</w:t>
      </w:r>
    </w:p>
    <w:p w14:paraId="1C70A7FE">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格式十</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招标文件要求提供或供应商认为需要提供的其它材料</w:t>
      </w:r>
    </w:p>
    <w:p w14:paraId="4987913B">
      <w:pPr>
        <w:jc w:val="cente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639DD7BA">
      <w:pPr>
        <w:spacing w:before="182"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格式一：</w:t>
      </w:r>
    </w:p>
    <w:p w14:paraId="4441761C">
      <w:pPr>
        <w:spacing w:before="182" w:line="220" w:lineRule="auto"/>
        <w:ind w:left="3688"/>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开标一览表</w:t>
      </w:r>
    </w:p>
    <w:p w14:paraId="3A650862">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3563B520">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7F78875D">
      <w:pPr>
        <w:keepNext w:val="0"/>
        <w:keepLines w:val="0"/>
        <w:pageBreakBefore w:val="0"/>
        <w:widowControl/>
        <w:kinsoku w:val="0"/>
        <w:wordWrap/>
        <w:overflowPunct/>
        <w:topLinePunct w:val="0"/>
        <w:autoSpaceDE w:val="0"/>
        <w:autoSpaceDN w:val="0"/>
        <w:bidi w:val="0"/>
        <w:adjustRightInd w:val="0"/>
        <w:snapToGrid w:val="0"/>
        <w:spacing w:line="288" w:lineRule="auto"/>
        <w:jc w:val="right"/>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货币单位:元</w:t>
      </w:r>
    </w:p>
    <w:tbl>
      <w:tblPr>
        <w:tblStyle w:val="16"/>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9"/>
        <w:gridCol w:w="2301"/>
        <w:gridCol w:w="2162"/>
        <w:gridCol w:w="1985"/>
        <w:gridCol w:w="1083"/>
      </w:tblGrid>
      <w:tr w14:paraId="29DC3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1" w:hRule="atLeast"/>
          <w:jc w:val="center"/>
        </w:trPr>
        <w:tc>
          <w:tcPr>
            <w:tcW w:w="1081" w:type="pct"/>
            <w:noWrap w:val="0"/>
            <w:vAlign w:val="center"/>
          </w:tcPr>
          <w:p w14:paraId="602DFFE6">
            <w:pPr>
              <w:pStyle w:val="7"/>
              <w:keepNext w:val="0"/>
              <w:keepLines w:val="0"/>
              <w:pageBreakBefore w:val="0"/>
              <w:widowControl/>
              <w:kinsoku w:val="0"/>
              <w:wordWrap/>
              <w:overflowPunct/>
              <w:topLinePunct w:val="0"/>
              <w:autoSpaceDE w:val="0"/>
              <w:autoSpaceDN w:val="0"/>
              <w:bidi w:val="0"/>
              <w:adjustRightInd w:val="0"/>
              <w:snapToGrid w:val="0"/>
              <w:spacing w:after="0"/>
              <w:ind w:left="0" w:leftChars="0" w:firstLine="0" w:firstLineChars="0"/>
              <w:jc w:val="center"/>
              <w:textAlignment w:val="baseline"/>
              <w:rPr>
                <w:rFonts w:hint="eastAsia" w:ascii="宋体" w:hAnsi="宋体" w:eastAsia="宋体" w:cs="宋体"/>
                <w:b/>
                <w:bCs/>
                <w:snapToGrid w:val="0"/>
                <w:color w:val="auto"/>
                <w:kern w:val="0"/>
                <w:sz w:val="24"/>
                <w:szCs w:val="24"/>
                <w:lang w:eastAsia="zh-CN"/>
              </w:rPr>
            </w:pPr>
            <w:r>
              <w:rPr>
                <w:rFonts w:hint="eastAsia" w:ascii="宋体" w:hAnsi="宋体" w:eastAsia="宋体" w:cs="宋体"/>
                <w:b/>
                <w:bCs/>
                <w:snapToGrid w:val="0"/>
                <w:color w:val="auto"/>
                <w:kern w:val="0"/>
                <w:sz w:val="24"/>
                <w:szCs w:val="24"/>
                <w:lang w:eastAsia="zh-CN"/>
              </w:rPr>
              <w:t>投标人名称</w:t>
            </w:r>
          </w:p>
        </w:tc>
        <w:tc>
          <w:tcPr>
            <w:tcW w:w="1196" w:type="pct"/>
            <w:noWrap w:val="0"/>
            <w:vAlign w:val="center"/>
          </w:tcPr>
          <w:p w14:paraId="512AD2C2">
            <w:pPr>
              <w:pStyle w:val="7"/>
              <w:keepNext w:val="0"/>
              <w:keepLines w:val="0"/>
              <w:pageBreakBefore w:val="0"/>
              <w:widowControl/>
              <w:kinsoku w:val="0"/>
              <w:wordWrap/>
              <w:overflowPunct/>
              <w:topLinePunct w:val="0"/>
              <w:autoSpaceDE w:val="0"/>
              <w:autoSpaceDN w:val="0"/>
              <w:bidi w:val="0"/>
              <w:adjustRightInd w:val="0"/>
              <w:snapToGrid w:val="0"/>
              <w:spacing w:after="0"/>
              <w:ind w:left="0" w:leftChars="0" w:firstLine="0" w:firstLineChars="0"/>
              <w:jc w:val="center"/>
              <w:textAlignment w:val="baseline"/>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eastAsia="zh-CN"/>
              </w:rPr>
              <w:t>投标报价</w:t>
            </w:r>
            <w:r>
              <w:rPr>
                <w:rFonts w:hint="eastAsia" w:ascii="宋体" w:hAnsi="宋体" w:eastAsia="宋体" w:cs="宋体"/>
                <w:b/>
                <w:bCs/>
                <w:snapToGrid w:val="0"/>
                <w:color w:val="auto"/>
                <w:kern w:val="0"/>
                <w:sz w:val="24"/>
                <w:szCs w:val="24"/>
                <w:lang w:val="en-US" w:eastAsia="zh-CN"/>
              </w:rPr>
              <w:t>/总价</w:t>
            </w:r>
          </w:p>
          <w:p w14:paraId="39EE235E">
            <w:pPr>
              <w:pStyle w:val="7"/>
              <w:keepNext w:val="0"/>
              <w:keepLines w:val="0"/>
              <w:pageBreakBefore w:val="0"/>
              <w:widowControl/>
              <w:kinsoku w:val="0"/>
              <w:wordWrap/>
              <w:overflowPunct/>
              <w:topLinePunct w:val="0"/>
              <w:autoSpaceDE w:val="0"/>
              <w:autoSpaceDN w:val="0"/>
              <w:bidi w:val="0"/>
              <w:adjustRightInd w:val="0"/>
              <w:snapToGrid w:val="0"/>
              <w:spacing w:after="0"/>
              <w:ind w:left="0" w:leftChars="0" w:firstLine="0" w:firstLineChars="0"/>
              <w:jc w:val="center"/>
              <w:textAlignment w:val="baseline"/>
              <w:rPr>
                <w:rFonts w:hint="eastAsia" w:ascii="宋体" w:hAnsi="宋体" w:eastAsia="宋体" w:cs="宋体"/>
                <w:b/>
                <w:bCs/>
                <w:snapToGrid w:val="0"/>
                <w:color w:val="auto"/>
                <w:kern w:val="0"/>
                <w:sz w:val="24"/>
                <w:szCs w:val="24"/>
                <w:lang w:eastAsia="zh-CN"/>
              </w:rPr>
            </w:pPr>
            <w:r>
              <w:rPr>
                <w:rFonts w:hint="eastAsia" w:ascii="宋体" w:hAnsi="宋体" w:eastAsia="宋体" w:cs="宋体"/>
                <w:b/>
                <w:bCs/>
                <w:snapToGrid w:val="0"/>
                <w:color w:val="auto"/>
                <w:kern w:val="0"/>
                <w:sz w:val="24"/>
                <w:szCs w:val="24"/>
                <w:lang w:eastAsia="zh-CN"/>
              </w:rPr>
              <w:t>（元）</w:t>
            </w:r>
          </w:p>
        </w:tc>
        <w:tc>
          <w:tcPr>
            <w:tcW w:w="1124" w:type="pct"/>
            <w:noWrap w:val="0"/>
            <w:vAlign w:val="center"/>
          </w:tcPr>
          <w:p w14:paraId="37C04AA8">
            <w:pPr>
              <w:pStyle w:val="7"/>
              <w:keepNext w:val="0"/>
              <w:keepLines w:val="0"/>
              <w:pageBreakBefore w:val="0"/>
              <w:widowControl/>
              <w:kinsoku w:val="0"/>
              <w:wordWrap/>
              <w:overflowPunct/>
              <w:topLinePunct w:val="0"/>
              <w:autoSpaceDE w:val="0"/>
              <w:autoSpaceDN w:val="0"/>
              <w:bidi w:val="0"/>
              <w:adjustRightInd w:val="0"/>
              <w:snapToGrid w:val="0"/>
              <w:spacing w:after="0"/>
              <w:ind w:left="0" w:leftChars="0" w:firstLine="0" w:firstLineChars="0"/>
              <w:jc w:val="center"/>
              <w:textAlignment w:val="baseline"/>
              <w:rPr>
                <w:rFonts w:hint="eastAsia" w:ascii="宋体" w:hAnsi="宋体" w:eastAsia="宋体" w:cs="宋体"/>
                <w:b/>
                <w:bCs/>
                <w:snapToGrid w:val="0"/>
                <w:color w:val="auto"/>
                <w:kern w:val="0"/>
                <w:sz w:val="24"/>
                <w:szCs w:val="24"/>
                <w:lang w:eastAsia="zh-CN"/>
              </w:rPr>
            </w:pPr>
            <w:r>
              <w:rPr>
                <w:rFonts w:hint="eastAsia" w:ascii="宋体" w:hAnsi="宋体" w:eastAsia="宋体" w:cs="宋体"/>
                <w:b/>
                <w:bCs/>
                <w:snapToGrid w:val="0"/>
                <w:color w:val="auto"/>
                <w:kern w:val="0"/>
                <w:sz w:val="24"/>
                <w:szCs w:val="24"/>
                <w:lang w:eastAsia="zh-CN"/>
              </w:rPr>
              <w:t>合同履行期限</w:t>
            </w:r>
          </w:p>
        </w:tc>
        <w:tc>
          <w:tcPr>
            <w:tcW w:w="1032" w:type="pct"/>
            <w:noWrap w:val="0"/>
            <w:vAlign w:val="center"/>
          </w:tcPr>
          <w:p w14:paraId="5C2CCA41">
            <w:pPr>
              <w:pStyle w:val="7"/>
              <w:keepNext w:val="0"/>
              <w:keepLines w:val="0"/>
              <w:pageBreakBefore w:val="0"/>
              <w:widowControl/>
              <w:kinsoku w:val="0"/>
              <w:wordWrap/>
              <w:overflowPunct/>
              <w:topLinePunct w:val="0"/>
              <w:autoSpaceDE w:val="0"/>
              <w:autoSpaceDN w:val="0"/>
              <w:bidi w:val="0"/>
              <w:adjustRightInd w:val="0"/>
              <w:snapToGrid w:val="0"/>
              <w:spacing w:after="0"/>
              <w:ind w:left="0" w:leftChars="0" w:firstLine="0" w:firstLineChars="0"/>
              <w:jc w:val="center"/>
              <w:textAlignment w:val="baseline"/>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rPr>
              <w:t>质量</w:t>
            </w:r>
            <w:r>
              <w:rPr>
                <w:rFonts w:hint="eastAsia" w:ascii="宋体" w:hAnsi="宋体" w:eastAsia="宋体" w:cs="宋体"/>
                <w:b/>
                <w:bCs/>
                <w:snapToGrid w:val="0"/>
                <w:color w:val="auto"/>
                <w:kern w:val="0"/>
                <w:sz w:val="24"/>
                <w:szCs w:val="24"/>
                <w:lang w:val="en-US" w:eastAsia="zh-CN"/>
              </w:rPr>
              <w:t>标准</w:t>
            </w:r>
          </w:p>
        </w:tc>
        <w:tc>
          <w:tcPr>
            <w:tcW w:w="563" w:type="pct"/>
            <w:noWrap w:val="0"/>
            <w:vAlign w:val="center"/>
          </w:tcPr>
          <w:p w14:paraId="3BB21808">
            <w:pPr>
              <w:pStyle w:val="7"/>
              <w:keepNext w:val="0"/>
              <w:keepLines w:val="0"/>
              <w:pageBreakBefore w:val="0"/>
              <w:widowControl/>
              <w:kinsoku w:val="0"/>
              <w:wordWrap/>
              <w:overflowPunct/>
              <w:topLinePunct w:val="0"/>
              <w:autoSpaceDE w:val="0"/>
              <w:autoSpaceDN w:val="0"/>
              <w:bidi w:val="0"/>
              <w:adjustRightInd w:val="0"/>
              <w:snapToGrid w:val="0"/>
              <w:spacing w:after="0"/>
              <w:ind w:left="0" w:leftChars="0" w:firstLine="0" w:firstLineChars="0"/>
              <w:jc w:val="center"/>
              <w:textAlignment w:val="baseline"/>
              <w:rPr>
                <w:rFonts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rPr>
              <w:t>备注</w:t>
            </w:r>
          </w:p>
        </w:tc>
      </w:tr>
      <w:tr w14:paraId="04197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4" w:hRule="atLeast"/>
          <w:jc w:val="center"/>
        </w:trPr>
        <w:tc>
          <w:tcPr>
            <w:tcW w:w="1081" w:type="pct"/>
            <w:noWrap w:val="0"/>
            <w:vAlign w:val="center"/>
          </w:tcPr>
          <w:p w14:paraId="6C9CFC19">
            <w:pPr>
              <w:pStyle w:val="7"/>
              <w:keepNext w:val="0"/>
              <w:keepLines w:val="0"/>
              <w:pageBreakBefore w:val="0"/>
              <w:widowControl/>
              <w:kinsoku w:val="0"/>
              <w:wordWrap/>
              <w:overflowPunct/>
              <w:topLinePunct w:val="0"/>
              <w:autoSpaceDE w:val="0"/>
              <w:autoSpaceDN w:val="0"/>
              <w:bidi w:val="0"/>
              <w:adjustRightInd w:val="0"/>
              <w:snapToGrid w:val="0"/>
              <w:spacing w:after="0"/>
              <w:ind w:left="0" w:leftChars="0" w:firstLine="0"/>
              <w:jc w:val="center"/>
              <w:textAlignment w:val="baseline"/>
              <w:rPr>
                <w:rFonts w:ascii="宋体" w:hAnsi="宋体" w:eastAsia="宋体" w:cs="宋体"/>
                <w:snapToGrid w:val="0"/>
                <w:color w:val="auto"/>
                <w:kern w:val="0"/>
                <w:sz w:val="21"/>
                <w:szCs w:val="21"/>
              </w:rPr>
            </w:pPr>
          </w:p>
        </w:tc>
        <w:tc>
          <w:tcPr>
            <w:tcW w:w="1196" w:type="pct"/>
            <w:noWrap w:val="0"/>
            <w:vAlign w:val="center"/>
          </w:tcPr>
          <w:p w14:paraId="26A300F2">
            <w:pPr>
              <w:pStyle w:val="7"/>
              <w:keepNext w:val="0"/>
              <w:keepLines w:val="0"/>
              <w:pageBreakBefore w:val="0"/>
              <w:widowControl/>
              <w:kinsoku w:val="0"/>
              <w:wordWrap/>
              <w:overflowPunct/>
              <w:topLinePunct w:val="0"/>
              <w:autoSpaceDE w:val="0"/>
              <w:autoSpaceDN w:val="0"/>
              <w:bidi w:val="0"/>
              <w:adjustRightInd w:val="0"/>
              <w:snapToGrid w:val="0"/>
              <w:spacing w:after="0"/>
              <w:ind w:left="0" w:leftChars="0" w:firstLine="0"/>
              <w:jc w:val="center"/>
              <w:textAlignment w:val="baseline"/>
              <w:rPr>
                <w:rFonts w:ascii="宋体" w:hAnsi="宋体" w:eastAsia="宋体" w:cs="宋体"/>
                <w:snapToGrid w:val="0"/>
                <w:color w:val="auto"/>
                <w:kern w:val="0"/>
                <w:sz w:val="21"/>
                <w:szCs w:val="21"/>
              </w:rPr>
            </w:pPr>
          </w:p>
        </w:tc>
        <w:tc>
          <w:tcPr>
            <w:tcW w:w="1124" w:type="pct"/>
            <w:noWrap w:val="0"/>
            <w:vAlign w:val="center"/>
          </w:tcPr>
          <w:p w14:paraId="1D1D5596">
            <w:pPr>
              <w:pStyle w:val="7"/>
              <w:keepNext w:val="0"/>
              <w:keepLines w:val="0"/>
              <w:pageBreakBefore w:val="0"/>
              <w:widowControl/>
              <w:kinsoku w:val="0"/>
              <w:wordWrap/>
              <w:overflowPunct/>
              <w:topLinePunct w:val="0"/>
              <w:autoSpaceDE w:val="0"/>
              <w:autoSpaceDN w:val="0"/>
              <w:bidi w:val="0"/>
              <w:adjustRightInd w:val="0"/>
              <w:snapToGrid w:val="0"/>
              <w:spacing w:after="0"/>
              <w:ind w:left="0" w:leftChars="0" w:firstLine="0"/>
              <w:jc w:val="center"/>
              <w:textAlignment w:val="baseline"/>
              <w:rPr>
                <w:rFonts w:ascii="宋体" w:hAnsi="宋体" w:eastAsia="宋体" w:cs="宋体"/>
                <w:snapToGrid w:val="0"/>
                <w:color w:val="auto"/>
                <w:kern w:val="0"/>
                <w:sz w:val="21"/>
                <w:szCs w:val="21"/>
              </w:rPr>
            </w:pPr>
          </w:p>
        </w:tc>
        <w:tc>
          <w:tcPr>
            <w:tcW w:w="1032" w:type="pct"/>
            <w:noWrap w:val="0"/>
            <w:vAlign w:val="center"/>
          </w:tcPr>
          <w:p w14:paraId="54FD689E">
            <w:pPr>
              <w:pStyle w:val="7"/>
              <w:keepNext w:val="0"/>
              <w:keepLines w:val="0"/>
              <w:pageBreakBefore w:val="0"/>
              <w:widowControl/>
              <w:kinsoku w:val="0"/>
              <w:wordWrap/>
              <w:overflowPunct/>
              <w:topLinePunct w:val="0"/>
              <w:autoSpaceDE w:val="0"/>
              <w:autoSpaceDN w:val="0"/>
              <w:bidi w:val="0"/>
              <w:adjustRightInd w:val="0"/>
              <w:snapToGrid w:val="0"/>
              <w:spacing w:after="0"/>
              <w:ind w:left="0" w:leftChars="0" w:firstLine="0"/>
              <w:jc w:val="center"/>
              <w:textAlignment w:val="baseline"/>
              <w:rPr>
                <w:rFonts w:ascii="宋体" w:hAnsi="宋体" w:eastAsia="宋体" w:cs="宋体"/>
                <w:snapToGrid w:val="0"/>
                <w:color w:val="auto"/>
                <w:kern w:val="0"/>
                <w:sz w:val="21"/>
                <w:szCs w:val="21"/>
              </w:rPr>
            </w:pPr>
          </w:p>
        </w:tc>
        <w:tc>
          <w:tcPr>
            <w:tcW w:w="563" w:type="pct"/>
            <w:noWrap w:val="0"/>
            <w:vAlign w:val="center"/>
          </w:tcPr>
          <w:p w14:paraId="3C27AB5F">
            <w:pPr>
              <w:pStyle w:val="7"/>
              <w:keepNext w:val="0"/>
              <w:keepLines w:val="0"/>
              <w:pageBreakBefore w:val="0"/>
              <w:widowControl/>
              <w:kinsoku w:val="0"/>
              <w:wordWrap/>
              <w:overflowPunct/>
              <w:topLinePunct w:val="0"/>
              <w:autoSpaceDE w:val="0"/>
              <w:autoSpaceDN w:val="0"/>
              <w:bidi w:val="0"/>
              <w:adjustRightInd w:val="0"/>
              <w:snapToGrid w:val="0"/>
              <w:spacing w:after="0"/>
              <w:ind w:left="0" w:leftChars="0" w:firstLine="0"/>
              <w:jc w:val="center"/>
              <w:textAlignment w:val="baseline"/>
              <w:rPr>
                <w:rFonts w:ascii="宋体" w:hAnsi="宋体" w:eastAsia="宋体" w:cs="宋体"/>
                <w:snapToGrid w:val="0"/>
                <w:color w:val="auto"/>
                <w:kern w:val="0"/>
                <w:sz w:val="21"/>
                <w:szCs w:val="21"/>
              </w:rPr>
            </w:pPr>
          </w:p>
        </w:tc>
      </w:tr>
    </w:tbl>
    <w:p w14:paraId="7ACE8995">
      <w:pPr>
        <w:spacing w:before="78"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说明：</w:t>
      </w:r>
    </w:p>
    <w:p w14:paraId="60A4AC3F">
      <w:pPr>
        <w:keepNext w:val="0"/>
        <w:keepLines w:val="0"/>
        <w:pageBreakBefore w:val="0"/>
        <w:widowControl/>
        <w:kinsoku w:val="0"/>
        <w:wordWrap/>
        <w:overflowPunct/>
        <w:topLinePunct w:val="0"/>
        <w:autoSpaceDE w:val="0"/>
        <w:autoSpaceDN w:val="0"/>
        <w:bidi w:val="0"/>
        <w:adjustRightInd w:val="0"/>
        <w:snapToGrid w:val="0"/>
        <w:spacing w:before="183"/>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1.本“开标一览表”用于开标时唱标使用。</w:t>
      </w:r>
    </w:p>
    <w:p w14:paraId="78BB07A4">
      <w:pPr>
        <w:keepNext w:val="0"/>
        <w:keepLines w:val="0"/>
        <w:pageBreakBefore w:val="0"/>
        <w:widowControl/>
        <w:kinsoku w:val="0"/>
        <w:wordWrap/>
        <w:overflowPunct/>
        <w:topLinePunct w:val="0"/>
        <w:autoSpaceDE w:val="0"/>
        <w:autoSpaceDN w:val="0"/>
        <w:bidi w:val="0"/>
        <w:adjustRightInd w:val="0"/>
        <w:snapToGrid w:val="0"/>
        <w:spacing w:before="183"/>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2.此表中的各项内容应与投标文件的相应内容一致。</w:t>
      </w:r>
    </w:p>
    <w:p w14:paraId="198AE0B0">
      <w:pPr>
        <w:keepNext w:val="0"/>
        <w:keepLines w:val="0"/>
        <w:pageBreakBefore w:val="0"/>
        <w:widowControl/>
        <w:kinsoku w:val="0"/>
        <w:wordWrap/>
        <w:overflowPunct/>
        <w:topLinePunct w:val="0"/>
        <w:autoSpaceDE w:val="0"/>
        <w:autoSpaceDN w:val="0"/>
        <w:bidi w:val="0"/>
        <w:adjustRightInd w:val="0"/>
        <w:snapToGrid w:val="0"/>
        <w:spacing w:before="183"/>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3.只允许有一个报价，任何有选择性的报价或者有附加条件的报价采购人将不予接受。</w:t>
      </w:r>
    </w:p>
    <w:p w14:paraId="77E3731B">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outlineLvl w:val="9"/>
        <w:rPr>
          <w:rFonts w:hint="eastAsia" w:ascii="宋体" w:hAnsi="宋体" w:eastAsia="宋体" w:cs="宋体"/>
          <w:color w:val="auto"/>
          <w:sz w:val="24"/>
          <w:szCs w:val="24"/>
        </w:rPr>
      </w:pPr>
    </w:p>
    <w:p w14:paraId="2FB3E0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投标人名称（盖章）：</w:t>
      </w:r>
    </w:p>
    <w:p w14:paraId="77E25E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法定代表人（单位负责人）或授权代表（签字并盖章）：</w:t>
      </w:r>
    </w:p>
    <w:p w14:paraId="6E6A1F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22E4834B">
      <w:pPr>
        <w:keepNext w:val="0"/>
        <w:keepLines w:val="0"/>
        <w:pageBreakBefore w:val="0"/>
        <w:widowControl/>
        <w:kinsoku/>
        <w:wordWrap/>
        <w:overflowPunct/>
        <w:topLinePunct w:val="0"/>
        <w:autoSpaceDE/>
        <w:autoSpaceDN/>
        <w:bidi w:val="0"/>
        <w:adjustRightInd w:val="0"/>
        <w:snapToGrid w:val="0"/>
        <w:spacing w:after="0" w:afterLines="100"/>
        <w:jc w:val="center"/>
        <w:textAlignment w:val="baseline"/>
        <w:outlineLvl w:val="9"/>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41DA63C9">
      <w:pPr>
        <w:spacing w:before="78"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格式二：</w:t>
      </w:r>
    </w:p>
    <w:p w14:paraId="19673397">
      <w:pPr>
        <w:spacing w:before="182" w:line="220" w:lineRule="auto"/>
        <w:ind w:left="3809"/>
        <w:outlineLvl w:val="9"/>
        <w:rPr>
          <w:rFonts w:hint="eastAsia" w:ascii="宋体" w:hAnsi="宋体" w:eastAsia="宋体" w:cs="宋体"/>
          <w:color w:val="auto"/>
          <w:sz w:val="24"/>
          <w:szCs w:val="24"/>
        </w:rPr>
      </w:pPr>
      <w:bookmarkStart w:id="43" w:name="_Toc15346"/>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投标函</w:t>
      </w:r>
      <w:bookmarkEnd w:id="43"/>
    </w:p>
    <w:p w14:paraId="6E81D3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致：吉林省吉诚工程咨询有限公司</w:t>
      </w:r>
    </w:p>
    <w:p w14:paraId="053AB3D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我方参加你方就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（项目名称，项目编号/包号）组织的招标活动，并对此项目进行投标。</w:t>
      </w:r>
    </w:p>
    <w:p w14:paraId="1034B23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我方已详细审查全部招标文件，自愿参与投标并承诺如下：</w:t>
      </w:r>
    </w:p>
    <w:p w14:paraId="034A91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)按招标文件规定提供货物及服务的投标总价为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人民币</w:t>
      </w:r>
      <w:r>
        <w:rPr>
          <w:rFonts w:hint="eastAsia" w:ascii="宋体" w:hAnsi="宋体" w:eastAsia="宋体" w:cs="宋体"/>
          <w:color w:val="auto"/>
          <w:sz w:val="24"/>
          <w:szCs w:val="24"/>
          <w:lang w:eastAsia="zh-CN"/>
        </w:rPr>
        <w:t>，质保期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4E2FD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(2)我方保证根据招标文件规定履行合同责任和义务。</w:t>
      </w:r>
    </w:p>
    <w:p w14:paraId="72C20B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(3)我方已详细审核了全部招标文件，包括招标文件的修改、补充文件（如果有的话）、参考资料及有关的附件，我们知道必须放弃提出含糊不清或误解的问题的权利。</w:t>
      </w:r>
    </w:p>
    <w:p w14:paraId="190B65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(4)我方同意在投标人须知规定的开标日期起遵循本投标书，并在投标人须知规定的投标有效期满之前均具有约束力，并有可能中标。</w:t>
      </w:r>
    </w:p>
    <w:p w14:paraId="4F6D7B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(5)我方如果在规定的投标有效期内撤回投标，则我们的投标保证金可被贵方没收。</w:t>
      </w:r>
    </w:p>
    <w:p w14:paraId="11D61A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(6)我方已提供的全部文件资料是真实、准确的，并对此承担一切法律后果。</w:t>
      </w:r>
    </w:p>
    <w:p w14:paraId="597082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(7)我方完全理解贵方不一定要接受最低报价的投标或收到的任何投标。</w:t>
      </w:r>
    </w:p>
    <w:p w14:paraId="366A79C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(8)本投标自开标之日起 90 天内有效。</w:t>
      </w:r>
    </w:p>
    <w:p w14:paraId="6E2AA1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与本投标有关的正式通信地址为：</w:t>
      </w:r>
    </w:p>
    <w:p w14:paraId="47E240B7">
      <w:pPr>
        <w:pStyle w:val="5"/>
        <w:spacing w:line="245" w:lineRule="auto"/>
        <w:outlineLvl w:val="9"/>
        <w:rPr>
          <w:rFonts w:hint="eastAsia" w:ascii="宋体" w:hAnsi="宋体" w:eastAsia="宋体" w:cs="宋体"/>
          <w:color w:val="auto"/>
        </w:rPr>
      </w:pPr>
    </w:p>
    <w:p w14:paraId="03F0C9DD">
      <w:pPr>
        <w:pStyle w:val="5"/>
        <w:spacing w:line="246" w:lineRule="auto"/>
        <w:outlineLvl w:val="9"/>
        <w:rPr>
          <w:rFonts w:hint="eastAsia" w:ascii="宋体" w:hAnsi="宋体" w:eastAsia="宋体" w:cs="宋体"/>
          <w:color w:val="auto"/>
        </w:rPr>
      </w:pPr>
    </w:p>
    <w:p w14:paraId="12F9370C">
      <w:pPr>
        <w:spacing w:before="78" w:line="229" w:lineRule="auto"/>
        <w:outlineLvl w:val="9"/>
        <w:rPr>
          <w:rFonts w:hint="eastAsia" w:ascii="宋体" w:hAnsi="宋体" w:eastAsia="宋体" w:cs="宋体"/>
          <w:color w:val="auto"/>
          <w:sz w:val="24"/>
          <w:szCs w:val="24"/>
        </w:rPr>
      </w:pPr>
      <w:r>
        <w:rPr>
          <w:rFonts w:hint="eastAsia" w:ascii="宋体" w:hAnsi="宋体" w:eastAsia="宋体" w:cs="宋体"/>
          <w:color w:val="auto"/>
          <w:spacing w:val="-4"/>
          <w:sz w:val="24"/>
          <w:szCs w:val="24"/>
        </w:rPr>
        <w:t>地址：</w:t>
      </w:r>
    </w:p>
    <w:p w14:paraId="3B26A92D">
      <w:pPr>
        <w:spacing w:before="170" w:line="219" w:lineRule="auto"/>
        <w:ind w:left="28"/>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电话、传真或电传：</w:t>
      </w:r>
    </w:p>
    <w:p w14:paraId="6635A7FA">
      <w:pPr>
        <w:spacing w:before="181" w:line="219" w:lineRule="auto"/>
        <w:ind w:left="2"/>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投标人名称（盖章</w:t>
      </w:r>
      <w:r>
        <w:rPr>
          <w:rFonts w:hint="eastAsia" w:ascii="宋体" w:hAnsi="宋体" w:eastAsia="宋体" w:cs="宋体"/>
          <w:color w:val="auto"/>
          <w:spacing w:val="1"/>
          <w:sz w:val="24"/>
          <w:szCs w:val="24"/>
        </w:rPr>
        <w:t>）：</w:t>
      </w:r>
    </w:p>
    <w:p w14:paraId="0B84161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法定代表人（单位负责人）或授权代表（签字并盖章）：</w:t>
      </w:r>
    </w:p>
    <w:p w14:paraId="170F955E">
      <w:pPr>
        <w:spacing w:before="182" w:line="220" w:lineRule="auto"/>
        <w:ind w:left="41"/>
        <w:outlineLvl w:val="9"/>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30"/>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30"/>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3"/>
          <w:sz w:val="24"/>
          <w:szCs w:val="24"/>
        </w:rPr>
        <w:t>日</w:t>
      </w:r>
    </w:p>
    <w:p w14:paraId="5040C2A7">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1AB903A4">
      <w:pPr>
        <w:spacing w:before="48"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格式三：</w:t>
      </w:r>
    </w:p>
    <w:p w14:paraId="4F5F20EC">
      <w:pPr>
        <w:spacing w:before="181" w:line="219" w:lineRule="auto"/>
        <w:ind w:left="3550"/>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投标报价明细表</w:t>
      </w:r>
    </w:p>
    <w:p w14:paraId="12B79CD1">
      <w:pPr>
        <w:pStyle w:val="5"/>
        <w:spacing w:line="282" w:lineRule="auto"/>
        <w:outlineLvl w:val="9"/>
        <w:rPr>
          <w:rFonts w:hint="eastAsia" w:ascii="宋体" w:hAnsi="宋体" w:eastAsia="宋体" w:cs="宋体"/>
          <w:color w:val="auto"/>
        </w:rPr>
      </w:pPr>
    </w:p>
    <w:p w14:paraId="2BC4B107">
      <w:pPr>
        <w:pageBreakBefore w:val="0"/>
        <w:kinsoku/>
        <w:wordWrap/>
        <w:overflowPunct/>
        <w:topLinePunct w:val="0"/>
        <w:autoSpaceDE/>
        <w:autoSpaceDN/>
        <w:bidi w:val="0"/>
        <w:adjustRightInd w:val="0"/>
        <w:textAlignment w:val="baseline"/>
        <w:outlineLvl w:val="9"/>
        <w:rPr>
          <w:rFonts w:hint="eastAsia" w:ascii="宋体" w:hAnsi="宋体" w:cs="宋体"/>
          <w:color w:val="auto"/>
          <w:sz w:val="24"/>
          <w:highlight w:val="none"/>
          <w:u w:val="singl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u w:val="single"/>
        </w:rPr>
        <w:t xml:space="preserve">                       </w:t>
      </w:r>
    </w:p>
    <w:p w14:paraId="6DE08414">
      <w:pPr>
        <w:pageBreakBefore w:val="0"/>
        <w:kinsoku/>
        <w:wordWrap/>
        <w:overflowPunct/>
        <w:topLinePunct w:val="0"/>
        <w:autoSpaceDE/>
        <w:autoSpaceDN/>
        <w:bidi w:val="0"/>
        <w:adjustRightInd w:val="0"/>
        <w:textAlignment w:val="baseline"/>
        <w:outlineLvl w:val="9"/>
        <w:rPr>
          <w:rFonts w:hint="eastAsia" w:ascii="宋体" w:hAnsi="宋体" w:cs="宋体"/>
          <w:color w:val="auto"/>
          <w:sz w:val="24"/>
          <w:highlight w:val="none"/>
        </w:rPr>
      </w:pPr>
      <w:r>
        <w:rPr>
          <w:rFonts w:hint="eastAsia" w:ascii="宋体" w:hAnsi="宋体" w:cs="宋体"/>
          <w:color w:val="auto"/>
          <w:sz w:val="24"/>
          <w:highlight w:val="none"/>
        </w:rPr>
        <w:t xml:space="preserve">项目编号：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3D25CBC">
      <w:pPr>
        <w:pageBreakBefore w:val="0"/>
        <w:kinsoku/>
        <w:wordWrap/>
        <w:overflowPunct/>
        <w:topLinePunct w:val="0"/>
        <w:autoSpaceDE/>
        <w:autoSpaceDN/>
        <w:bidi w:val="0"/>
        <w:adjustRightInd w:val="0"/>
        <w:jc w:val="right"/>
        <w:textAlignment w:val="baseline"/>
        <w:outlineLvl w:val="9"/>
        <w:rPr>
          <w:rFonts w:hint="eastAsia" w:ascii="宋体" w:hAnsi="宋体" w:eastAsia="宋体"/>
          <w:color w:val="auto"/>
          <w:szCs w:val="30"/>
          <w:highlight w:val="none"/>
        </w:rPr>
      </w:pPr>
      <w:r>
        <w:rPr>
          <w:rFonts w:hint="eastAsia" w:ascii="宋体" w:hAnsi="宋体" w:cs="宋体"/>
          <w:color w:val="auto"/>
          <w:sz w:val="24"/>
          <w:highlight w:val="none"/>
        </w:rPr>
        <w:t>单位：元（人民币）</w:t>
      </w:r>
    </w:p>
    <w:tbl>
      <w:tblPr>
        <w:tblStyle w:val="16"/>
        <w:tblW w:w="9287" w:type="dxa"/>
        <w:tblInd w:w="93" w:type="dxa"/>
        <w:tblLayout w:type="fixed"/>
        <w:tblCellMar>
          <w:top w:w="0" w:type="dxa"/>
          <w:left w:w="108" w:type="dxa"/>
          <w:bottom w:w="0" w:type="dxa"/>
          <w:right w:w="108" w:type="dxa"/>
        </w:tblCellMar>
      </w:tblPr>
      <w:tblGrid>
        <w:gridCol w:w="858"/>
        <w:gridCol w:w="940"/>
        <w:gridCol w:w="1287"/>
        <w:gridCol w:w="1328"/>
        <w:gridCol w:w="715"/>
        <w:gridCol w:w="723"/>
        <w:gridCol w:w="1423"/>
        <w:gridCol w:w="1400"/>
        <w:gridCol w:w="613"/>
      </w:tblGrid>
      <w:tr w14:paraId="4993E9C7">
        <w:tblPrEx>
          <w:tblCellMar>
            <w:top w:w="0" w:type="dxa"/>
            <w:left w:w="108" w:type="dxa"/>
            <w:bottom w:w="0" w:type="dxa"/>
            <w:right w:w="108" w:type="dxa"/>
          </w:tblCellMar>
        </w:tblPrEx>
        <w:trPr>
          <w:trHeight w:val="570"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3FF7156A">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序号</w:t>
            </w:r>
          </w:p>
        </w:tc>
        <w:tc>
          <w:tcPr>
            <w:tcW w:w="940" w:type="dxa"/>
            <w:tcBorders>
              <w:top w:val="single" w:color="auto" w:sz="4" w:space="0"/>
              <w:left w:val="nil"/>
              <w:bottom w:val="single" w:color="auto" w:sz="4" w:space="0"/>
              <w:right w:val="single" w:color="auto" w:sz="4" w:space="0"/>
            </w:tcBorders>
            <w:noWrap w:val="0"/>
            <w:vAlign w:val="center"/>
          </w:tcPr>
          <w:p w14:paraId="1EA6D5E7">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内容</w:t>
            </w:r>
          </w:p>
        </w:tc>
        <w:tc>
          <w:tcPr>
            <w:tcW w:w="1287" w:type="dxa"/>
            <w:tcBorders>
              <w:top w:val="single" w:color="auto" w:sz="4" w:space="0"/>
              <w:left w:val="nil"/>
              <w:bottom w:val="single" w:color="auto" w:sz="4" w:space="0"/>
              <w:right w:val="single" w:color="auto" w:sz="4" w:space="0"/>
            </w:tcBorders>
            <w:noWrap w:val="0"/>
            <w:vAlign w:val="center"/>
          </w:tcPr>
          <w:p w14:paraId="1933088B">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规格型号</w:t>
            </w:r>
          </w:p>
        </w:tc>
        <w:tc>
          <w:tcPr>
            <w:tcW w:w="1328" w:type="dxa"/>
            <w:tcBorders>
              <w:top w:val="single" w:color="auto" w:sz="4" w:space="0"/>
              <w:left w:val="nil"/>
              <w:bottom w:val="single" w:color="auto" w:sz="4" w:space="0"/>
              <w:right w:val="single" w:color="auto" w:sz="4" w:space="0"/>
            </w:tcBorders>
            <w:noWrap w:val="0"/>
            <w:vAlign w:val="center"/>
          </w:tcPr>
          <w:p w14:paraId="73270A6E">
            <w:pPr>
              <w:widowControl/>
              <w:jc w:val="center"/>
              <w:rPr>
                <w:rFonts w:hint="eastAsia" w:ascii="宋体" w:hAnsi="宋体" w:eastAsia="宋体" w:cs="宋体"/>
                <w:b/>
                <w:bCs/>
                <w:color w:val="auto"/>
                <w:kern w:val="0"/>
                <w:sz w:val="22"/>
                <w:szCs w:val="22"/>
                <w:lang w:eastAsia="zh-CN"/>
              </w:rPr>
            </w:pPr>
            <w:r>
              <w:rPr>
                <w:rFonts w:hint="eastAsia" w:ascii="宋体" w:hAnsi="宋体" w:eastAsia="宋体" w:cs="宋体"/>
                <w:b/>
                <w:bCs/>
                <w:color w:val="auto"/>
                <w:kern w:val="0"/>
                <w:sz w:val="22"/>
                <w:szCs w:val="22"/>
                <w:lang w:eastAsia="zh-CN"/>
              </w:rPr>
              <w:t>品牌</w:t>
            </w:r>
          </w:p>
        </w:tc>
        <w:tc>
          <w:tcPr>
            <w:tcW w:w="715" w:type="dxa"/>
            <w:tcBorders>
              <w:top w:val="single" w:color="auto" w:sz="4" w:space="0"/>
              <w:left w:val="nil"/>
              <w:bottom w:val="single" w:color="auto" w:sz="4" w:space="0"/>
              <w:right w:val="single" w:color="auto" w:sz="4" w:space="0"/>
            </w:tcBorders>
            <w:noWrap w:val="0"/>
            <w:vAlign w:val="center"/>
          </w:tcPr>
          <w:p w14:paraId="1DD1D9EE">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单位</w:t>
            </w:r>
          </w:p>
        </w:tc>
        <w:tc>
          <w:tcPr>
            <w:tcW w:w="723" w:type="dxa"/>
            <w:tcBorders>
              <w:top w:val="single" w:color="auto" w:sz="4" w:space="0"/>
              <w:left w:val="nil"/>
              <w:bottom w:val="single" w:color="auto" w:sz="4" w:space="0"/>
              <w:right w:val="single" w:color="auto" w:sz="4" w:space="0"/>
            </w:tcBorders>
            <w:noWrap w:val="0"/>
            <w:vAlign w:val="center"/>
          </w:tcPr>
          <w:p w14:paraId="1D9ED71E">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数量</w:t>
            </w:r>
          </w:p>
        </w:tc>
        <w:tc>
          <w:tcPr>
            <w:tcW w:w="1423" w:type="dxa"/>
            <w:tcBorders>
              <w:top w:val="single" w:color="auto" w:sz="4" w:space="0"/>
              <w:left w:val="nil"/>
              <w:bottom w:val="single" w:color="auto" w:sz="4" w:space="0"/>
              <w:right w:val="single" w:color="auto" w:sz="4" w:space="0"/>
            </w:tcBorders>
            <w:noWrap w:val="0"/>
            <w:vAlign w:val="center"/>
          </w:tcPr>
          <w:p w14:paraId="60A82850">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单价（元）</w:t>
            </w:r>
          </w:p>
        </w:tc>
        <w:tc>
          <w:tcPr>
            <w:tcW w:w="1400" w:type="dxa"/>
            <w:tcBorders>
              <w:top w:val="single" w:color="auto" w:sz="4" w:space="0"/>
              <w:left w:val="nil"/>
              <w:bottom w:val="single" w:color="auto" w:sz="4" w:space="0"/>
              <w:right w:val="single" w:color="auto" w:sz="4" w:space="0"/>
            </w:tcBorders>
            <w:noWrap w:val="0"/>
            <w:vAlign w:val="center"/>
          </w:tcPr>
          <w:p w14:paraId="20906D7E">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合计（元）</w:t>
            </w:r>
          </w:p>
        </w:tc>
        <w:tc>
          <w:tcPr>
            <w:tcW w:w="613" w:type="dxa"/>
            <w:tcBorders>
              <w:top w:val="single" w:color="auto" w:sz="4" w:space="0"/>
              <w:left w:val="nil"/>
              <w:bottom w:val="single" w:color="auto" w:sz="4" w:space="0"/>
              <w:right w:val="single" w:color="auto" w:sz="4" w:space="0"/>
            </w:tcBorders>
            <w:noWrap w:val="0"/>
            <w:vAlign w:val="center"/>
          </w:tcPr>
          <w:p w14:paraId="5F468596">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备注</w:t>
            </w:r>
          </w:p>
        </w:tc>
      </w:tr>
      <w:tr w14:paraId="7B1729E3">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50A9144A">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940" w:type="dxa"/>
            <w:tcBorders>
              <w:top w:val="single" w:color="auto" w:sz="4" w:space="0"/>
              <w:left w:val="nil"/>
              <w:bottom w:val="single" w:color="auto" w:sz="4" w:space="0"/>
              <w:right w:val="single" w:color="auto" w:sz="4" w:space="0"/>
            </w:tcBorders>
            <w:noWrap w:val="0"/>
            <w:vAlign w:val="center"/>
          </w:tcPr>
          <w:p w14:paraId="3118D86F">
            <w:pPr>
              <w:widowControl/>
              <w:jc w:val="center"/>
              <w:rPr>
                <w:rFonts w:hint="eastAsia" w:ascii="宋体" w:hAnsi="宋体" w:eastAsia="宋体" w:cs="宋体"/>
                <w:color w:val="auto"/>
                <w:kern w:val="0"/>
                <w:sz w:val="20"/>
                <w:szCs w:val="20"/>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0B2301F0">
            <w:pPr>
              <w:widowControl/>
              <w:jc w:val="center"/>
              <w:rPr>
                <w:rFonts w:hint="eastAsia" w:ascii="宋体" w:hAnsi="宋体" w:eastAsia="宋体" w:cs="宋体"/>
                <w:color w:val="auto"/>
                <w:kern w:val="0"/>
                <w:sz w:val="20"/>
                <w:szCs w:val="20"/>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49D87F3B">
            <w:pPr>
              <w:widowControl/>
              <w:jc w:val="center"/>
              <w:rPr>
                <w:rFonts w:hint="eastAsia" w:ascii="宋体" w:hAnsi="宋体" w:eastAsia="宋体" w:cs="宋体"/>
                <w:color w:val="auto"/>
                <w:kern w:val="0"/>
                <w:sz w:val="20"/>
                <w:szCs w:val="20"/>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35F11E65">
            <w:pPr>
              <w:widowControl/>
              <w:jc w:val="center"/>
              <w:rPr>
                <w:rFonts w:hint="eastAsia" w:ascii="宋体" w:hAnsi="宋体" w:eastAsia="宋体" w:cs="宋体"/>
                <w:color w:val="auto"/>
                <w:kern w:val="0"/>
                <w:sz w:val="20"/>
                <w:szCs w:val="20"/>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06ED75E9">
            <w:pPr>
              <w:widowControl/>
              <w:jc w:val="center"/>
              <w:rPr>
                <w:rFonts w:hint="eastAsia" w:ascii="宋体" w:hAnsi="宋体" w:eastAsia="宋体" w:cs="宋体"/>
                <w:color w:val="auto"/>
                <w:kern w:val="0"/>
                <w:sz w:val="20"/>
                <w:szCs w:val="20"/>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2DBE2524">
            <w:pPr>
              <w:widowControl/>
              <w:jc w:val="center"/>
              <w:rPr>
                <w:rFonts w:hint="eastAsia" w:ascii="宋体" w:hAnsi="宋体" w:eastAsia="宋体" w:cs="宋体"/>
                <w:color w:val="auto"/>
                <w:kern w:val="0"/>
                <w:sz w:val="20"/>
                <w:szCs w:val="20"/>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7860C23E">
            <w:pPr>
              <w:widowControl/>
              <w:jc w:val="center"/>
              <w:rPr>
                <w:rFonts w:ascii="宋体" w:hAnsi="宋体" w:eastAsia="宋体" w:cs="宋体"/>
                <w:b/>
                <w:bCs/>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2B9A131F">
            <w:pPr>
              <w:widowControl/>
              <w:jc w:val="center"/>
              <w:rPr>
                <w:rFonts w:ascii="宋体" w:hAnsi="宋体" w:eastAsia="宋体" w:cs="宋体"/>
                <w:color w:val="auto"/>
                <w:kern w:val="0"/>
                <w:sz w:val="20"/>
                <w:szCs w:val="20"/>
              </w:rPr>
            </w:pPr>
          </w:p>
        </w:tc>
      </w:tr>
      <w:tr w14:paraId="2B7B9750">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51AF4E74">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w:t>
            </w:r>
          </w:p>
        </w:tc>
        <w:tc>
          <w:tcPr>
            <w:tcW w:w="940" w:type="dxa"/>
            <w:tcBorders>
              <w:top w:val="single" w:color="auto" w:sz="4" w:space="0"/>
              <w:left w:val="nil"/>
              <w:bottom w:val="single" w:color="auto" w:sz="4" w:space="0"/>
              <w:right w:val="single" w:color="auto" w:sz="4" w:space="0"/>
            </w:tcBorders>
            <w:noWrap w:val="0"/>
            <w:vAlign w:val="center"/>
          </w:tcPr>
          <w:p w14:paraId="6A9B8EC4">
            <w:pPr>
              <w:widowControl/>
              <w:jc w:val="center"/>
              <w:rPr>
                <w:rFonts w:hint="eastAsia" w:ascii="宋体" w:hAnsi="宋体" w:eastAsia="宋体" w:cs="宋体"/>
                <w:color w:val="auto"/>
                <w:kern w:val="0"/>
                <w:sz w:val="20"/>
                <w:szCs w:val="20"/>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1A575624">
            <w:pPr>
              <w:widowControl/>
              <w:jc w:val="center"/>
              <w:rPr>
                <w:rFonts w:hint="eastAsia" w:ascii="宋体" w:hAnsi="宋体" w:eastAsia="宋体" w:cs="宋体"/>
                <w:color w:val="auto"/>
                <w:kern w:val="0"/>
                <w:sz w:val="20"/>
                <w:szCs w:val="20"/>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7CDC1ACC">
            <w:pPr>
              <w:widowControl/>
              <w:jc w:val="center"/>
              <w:rPr>
                <w:rFonts w:hint="eastAsia" w:ascii="宋体" w:hAnsi="宋体" w:eastAsia="宋体" w:cs="宋体"/>
                <w:color w:val="auto"/>
                <w:kern w:val="0"/>
                <w:sz w:val="20"/>
                <w:szCs w:val="20"/>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54F4360F">
            <w:pPr>
              <w:widowControl/>
              <w:jc w:val="center"/>
              <w:rPr>
                <w:rFonts w:hint="eastAsia" w:ascii="宋体" w:hAnsi="宋体" w:eastAsia="宋体" w:cs="宋体"/>
                <w:color w:val="auto"/>
                <w:kern w:val="0"/>
                <w:sz w:val="20"/>
                <w:szCs w:val="20"/>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1221B6D5">
            <w:pPr>
              <w:widowControl/>
              <w:jc w:val="center"/>
              <w:rPr>
                <w:rFonts w:hint="eastAsia" w:ascii="宋体" w:hAnsi="宋体" w:eastAsia="宋体" w:cs="宋体"/>
                <w:color w:val="auto"/>
                <w:kern w:val="0"/>
                <w:sz w:val="20"/>
                <w:szCs w:val="20"/>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41F16AB4">
            <w:pPr>
              <w:widowControl/>
              <w:jc w:val="center"/>
              <w:rPr>
                <w:rFonts w:hint="eastAsia" w:ascii="宋体" w:hAnsi="宋体" w:eastAsia="宋体" w:cs="宋体"/>
                <w:color w:val="auto"/>
                <w:kern w:val="0"/>
                <w:sz w:val="20"/>
                <w:szCs w:val="20"/>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28D22D3E">
            <w:pPr>
              <w:widowControl/>
              <w:jc w:val="center"/>
              <w:rPr>
                <w:rFonts w:ascii="宋体" w:hAnsi="宋体" w:eastAsia="宋体" w:cs="宋体"/>
                <w:b/>
                <w:bCs/>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47761B72">
            <w:pPr>
              <w:widowControl/>
              <w:jc w:val="center"/>
              <w:rPr>
                <w:rFonts w:ascii="宋体" w:hAnsi="宋体" w:eastAsia="宋体" w:cs="宋体"/>
                <w:color w:val="auto"/>
                <w:kern w:val="0"/>
                <w:sz w:val="20"/>
                <w:szCs w:val="20"/>
              </w:rPr>
            </w:pPr>
          </w:p>
        </w:tc>
      </w:tr>
      <w:tr w14:paraId="0199D83A">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14DDEDEA">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w:t>
            </w:r>
          </w:p>
        </w:tc>
        <w:tc>
          <w:tcPr>
            <w:tcW w:w="940" w:type="dxa"/>
            <w:tcBorders>
              <w:top w:val="single" w:color="auto" w:sz="4" w:space="0"/>
              <w:left w:val="nil"/>
              <w:bottom w:val="single" w:color="auto" w:sz="4" w:space="0"/>
              <w:right w:val="single" w:color="auto" w:sz="4" w:space="0"/>
            </w:tcBorders>
            <w:noWrap w:val="0"/>
            <w:vAlign w:val="center"/>
          </w:tcPr>
          <w:p w14:paraId="1A904030">
            <w:pPr>
              <w:widowControl/>
              <w:jc w:val="center"/>
              <w:rPr>
                <w:rFonts w:hint="eastAsia" w:ascii="宋体" w:hAnsi="宋体" w:eastAsia="宋体" w:cs="宋体"/>
                <w:color w:val="auto"/>
                <w:kern w:val="0"/>
                <w:sz w:val="20"/>
                <w:szCs w:val="20"/>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1FD52628">
            <w:pPr>
              <w:widowControl/>
              <w:jc w:val="center"/>
              <w:rPr>
                <w:rFonts w:hint="eastAsia" w:ascii="宋体" w:hAnsi="宋体" w:eastAsia="宋体" w:cs="宋体"/>
                <w:color w:val="auto"/>
                <w:kern w:val="0"/>
                <w:sz w:val="20"/>
                <w:szCs w:val="20"/>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6D3331E8">
            <w:pPr>
              <w:widowControl/>
              <w:jc w:val="center"/>
              <w:rPr>
                <w:rFonts w:hint="eastAsia" w:ascii="宋体" w:hAnsi="宋体" w:eastAsia="宋体" w:cs="宋体"/>
                <w:color w:val="auto"/>
                <w:kern w:val="0"/>
                <w:sz w:val="20"/>
                <w:szCs w:val="20"/>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6B52B0CA">
            <w:pPr>
              <w:widowControl/>
              <w:jc w:val="center"/>
              <w:rPr>
                <w:rFonts w:hint="eastAsia" w:ascii="宋体" w:hAnsi="宋体" w:eastAsia="宋体" w:cs="宋体"/>
                <w:color w:val="auto"/>
                <w:kern w:val="0"/>
                <w:sz w:val="20"/>
                <w:szCs w:val="20"/>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035D6940">
            <w:pPr>
              <w:widowControl/>
              <w:jc w:val="center"/>
              <w:rPr>
                <w:rFonts w:hint="eastAsia" w:ascii="宋体" w:hAnsi="宋体" w:eastAsia="宋体" w:cs="宋体"/>
                <w:color w:val="auto"/>
                <w:kern w:val="0"/>
                <w:sz w:val="20"/>
                <w:szCs w:val="20"/>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21CA8036">
            <w:pPr>
              <w:widowControl/>
              <w:jc w:val="center"/>
              <w:rPr>
                <w:rFonts w:hint="eastAsia" w:ascii="宋体" w:hAnsi="宋体" w:eastAsia="宋体" w:cs="宋体"/>
                <w:color w:val="auto"/>
                <w:kern w:val="0"/>
                <w:sz w:val="20"/>
                <w:szCs w:val="20"/>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73DD4D21">
            <w:pPr>
              <w:widowControl/>
              <w:jc w:val="center"/>
              <w:rPr>
                <w:rFonts w:ascii="宋体" w:hAnsi="宋体" w:eastAsia="宋体" w:cs="宋体"/>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644F6C69">
            <w:pPr>
              <w:widowControl/>
              <w:jc w:val="center"/>
              <w:rPr>
                <w:rFonts w:ascii="宋体" w:hAnsi="宋体" w:eastAsia="宋体" w:cs="宋体"/>
                <w:color w:val="auto"/>
                <w:kern w:val="0"/>
                <w:sz w:val="20"/>
                <w:szCs w:val="20"/>
              </w:rPr>
            </w:pPr>
          </w:p>
        </w:tc>
      </w:tr>
      <w:tr w14:paraId="59A36A99">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76FD2FF3">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w:t>
            </w:r>
          </w:p>
        </w:tc>
        <w:tc>
          <w:tcPr>
            <w:tcW w:w="940" w:type="dxa"/>
            <w:tcBorders>
              <w:top w:val="single" w:color="auto" w:sz="4" w:space="0"/>
              <w:left w:val="nil"/>
              <w:bottom w:val="single" w:color="auto" w:sz="4" w:space="0"/>
              <w:right w:val="single" w:color="auto" w:sz="4" w:space="0"/>
            </w:tcBorders>
            <w:noWrap w:val="0"/>
            <w:vAlign w:val="center"/>
          </w:tcPr>
          <w:p w14:paraId="6A9F522C">
            <w:pPr>
              <w:widowControl/>
              <w:jc w:val="center"/>
              <w:rPr>
                <w:rFonts w:hint="eastAsia" w:ascii="宋体" w:hAnsi="宋体" w:eastAsia="宋体" w:cs="宋体"/>
                <w:color w:val="auto"/>
                <w:kern w:val="0"/>
                <w:sz w:val="20"/>
                <w:szCs w:val="20"/>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6AD447DD">
            <w:pPr>
              <w:widowControl/>
              <w:jc w:val="center"/>
              <w:rPr>
                <w:rFonts w:hint="eastAsia" w:ascii="宋体" w:hAnsi="宋体" w:eastAsia="宋体" w:cs="宋体"/>
                <w:color w:val="auto"/>
                <w:kern w:val="0"/>
                <w:sz w:val="20"/>
                <w:szCs w:val="20"/>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56531BA9">
            <w:pPr>
              <w:widowControl/>
              <w:jc w:val="center"/>
              <w:rPr>
                <w:rFonts w:hint="eastAsia" w:ascii="宋体" w:hAnsi="宋体" w:eastAsia="宋体" w:cs="宋体"/>
                <w:color w:val="auto"/>
                <w:kern w:val="0"/>
                <w:sz w:val="20"/>
                <w:szCs w:val="20"/>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2F5DAEF3">
            <w:pPr>
              <w:widowControl/>
              <w:jc w:val="center"/>
              <w:rPr>
                <w:rFonts w:hint="eastAsia" w:ascii="宋体" w:hAnsi="宋体" w:eastAsia="宋体" w:cs="宋体"/>
                <w:color w:val="auto"/>
                <w:kern w:val="0"/>
                <w:sz w:val="20"/>
                <w:szCs w:val="20"/>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2A477D12">
            <w:pPr>
              <w:widowControl/>
              <w:jc w:val="center"/>
              <w:rPr>
                <w:rFonts w:hint="eastAsia" w:ascii="宋体" w:hAnsi="宋体" w:eastAsia="宋体" w:cs="宋体"/>
                <w:color w:val="auto"/>
                <w:kern w:val="0"/>
                <w:sz w:val="20"/>
                <w:szCs w:val="20"/>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5D4CCA7A">
            <w:pPr>
              <w:widowControl/>
              <w:jc w:val="center"/>
              <w:rPr>
                <w:rFonts w:hint="eastAsia" w:ascii="宋体" w:hAnsi="宋体" w:eastAsia="宋体" w:cs="宋体"/>
                <w:color w:val="auto"/>
                <w:kern w:val="0"/>
                <w:sz w:val="20"/>
                <w:szCs w:val="20"/>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6A08251C">
            <w:pPr>
              <w:widowControl/>
              <w:jc w:val="center"/>
              <w:rPr>
                <w:rFonts w:ascii="宋体" w:hAnsi="宋体" w:eastAsia="宋体" w:cs="宋体"/>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52DC9275">
            <w:pPr>
              <w:widowControl/>
              <w:jc w:val="center"/>
              <w:rPr>
                <w:rFonts w:ascii="宋体" w:hAnsi="宋体" w:eastAsia="宋体" w:cs="宋体"/>
                <w:color w:val="auto"/>
                <w:kern w:val="0"/>
                <w:sz w:val="20"/>
                <w:szCs w:val="20"/>
              </w:rPr>
            </w:pPr>
          </w:p>
        </w:tc>
      </w:tr>
      <w:tr w14:paraId="66B8706B">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2FA00EEC">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w:t>
            </w:r>
          </w:p>
        </w:tc>
        <w:tc>
          <w:tcPr>
            <w:tcW w:w="940" w:type="dxa"/>
            <w:tcBorders>
              <w:top w:val="single" w:color="auto" w:sz="4" w:space="0"/>
              <w:left w:val="nil"/>
              <w:bottom w:val="single" w:color="auto" w:sz="4" w:space="0"/>
              <w:right w:val="single" w:color="auto" w:sz="4" w:space="0"/>
            </w:tcBorders>
            <w:noWrap w:val="0"/>
            <w:vAlign w:val="center"/>
          </w:tcPr>
          <w:p w14:paraId="64F47EAB">
            <w:pPr>
              <w:widowControl/>
              <w:jc w:val="center"/>
              <w:rPr>
                <w:rFonts w:hint="eastAsia" w:ascii="宋体" w:hAnsi="宋体" w:eastAsia="宋体" w:cs="宋体"/>
                <w:color w:val="auto"/>
                <w:kern w:val="0"/>
                <w:sz w:val="20"/>
                <w:szCs w:val="20"/>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507EC450">
            <w:pPr>
              <w:widowControl/>
              <w:jc w:val="center"/>
              <w:rPr>
                <w:rFonts w:hint="eastAsia" w:ascii="宋体" w:hAnsi="宋体" w:eastAsia="宋体" w:cs="宋体"/>
                <w:color w:val="auto"/>
                <w:kern w:val="0"/>
                <w:sz w:val="20"/>
                <w:szCs w:val="20"/>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2C8B18A2">
            <w:pPr>
              <w:widowControl/>
              <w:jc w:val="center"/>
              <w:rPr>
                <w:rFonts w:hint="eastAsia" w:ascii="宋体" w:hAnsi="宋体" w:eastAsia="宋体" w:cs="宋体"/>
                <w:color w:val="auto"/>
                <w:kern w:val="0"/>
                <w:sz w:val="20"/>
                <w:szCs w:val="20"/>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7CF0D8B7">
            <w:pPr>
              <w:widowControl/>
              <w:jc w:val="center"/>
              <w:rPr>
                <w:rFonts w:hint="eastAsia" w:ascii="宋体" w:hAnsi="宋体" w:eastAsia="宋体" w:cs="宋体"/>
                <w:color w:val="auto"/>
                <w:kern w:val="0"/>
                <w:sz w:val="20"/>
                <w:szCs w:val="20"/>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769FEA34">
            <w:pPr>
              <w:widowControl/>
              <w:jc w:val="center"/>
              <w:rPr>
                <w:rFonts w:hint="eastAsia" w:ascii="宋体" w:hAnsi="宋体" w:eastAsia="宋体" w:cs="宋体"/>
                <w:color w:val="auto"/>
                <w:kern w:val="0"/>
                <w:sz w:val="20"/>
                <w:szCs w:val="20"/>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3C7C844B">
            <w:pPr>
              <w:widowControl/>
              <w:jc w:val="center"/>
              <w:rPr>
                <w:rFonts w:hint="eastAsia" w:ascii="宋体" w:hAnsi="宋体" w:eastAsia="宋体" w:cs="宋体"/>
                <w:color w:val="auto"/>
                <w:kern w:val="0"/>
                <w:sz w:val="20"/>
                <w:szCs w:val="20"/>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04D20819">
            <w:pPr>
              <w:widowControl/>
              <w:jc w:val="center"/>
              <w:rPr>
                <w:rFonts w:ascii="宋体" w:hAnsi="宋体" w:eastAsia="宋体" w:cs="宋体"/>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0254E2FC">
            <w:pPr>
              <w:widowControl/>
              <w:jc w:val="center"/>
              <w:rPr>
                <w:rFonts w:ascii="宋体" w:hAnsi="宋体" w:eastAsia="宋体" w:cs="宋体"/>
                <w:color w:val="auto"/>
                <w:kern w:val="0"/>
                <w:sz w:val="20"/>
                <w:szCs w:val="20"/>
              </w:rPr>
            </w:pPr>
          </w:p>
        </w:tc>
      </w:tr>
      <w:tr w14:paraId="2EA788F2">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3EBB4A09">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2.1</w:t>
            </w:r>
          </w:p>
        </w:tc>
        <w:tc>
          <w:tcPr>
            <w:tcW w:w="940" w:type="dxa"/>
            <w:tcBorders>
              <w:top w:val="single" w:color="auto" w:sz="4" w:space="0"/>
              <w:left w:val="nil"/>
              <w:bottom w:val="single" w:color="auto" w:sz="4" w:space="0"/>
              <w:right w:val="single" w:color="auto" w:sz="4" w:space="0"/>
            </w:tcBorders>
            <w:noWrap w:val="0"/>
            <w:vAlign w:val="center"/>
          </w:tcPr>
          <w:p w14:paraId="02951C26">
            <w:pPr>
              <w:widowControl/>
              <w:jc w:val="center"/>
              <w:rPr>
                <w:rFonts w:hint="eastAsia" w:ascii="宋体" w:hAnsi="宋体" w:eastAsia="宋体" w:cs="宋体"/>
                <w:color w:val="auto"/>
                <w:kern w:val="0"/>
                <w:sz w:val="20"/>
                <w:szCs w:val="20"/>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1EC1C783">
            <w:pPr>
              <w:widowControl/>
              <w:jc w:val="center"/>
              <w:rPr>
                <w:rFonts w:hint="eastAsia" w:ascii="宋体" w:hAnsi="宋体" w:eastAsia="宋体" w:cs="宋体"/>
                <w:color w:val="auto"/>
                <w:kern w:val="0"/>
                <w:sz w:val="20"/>
                <w:szCs w:val="20"/>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359D78C0">
            <w:pPr>
              <w:widowControl/>
              <w:jc w:val="center"/>
              <w:rPr>
                <w:rFonts w:hint="eastAsia" w:ascii="宋体" w:hAnsi="宋体" w:eastAsia="宋体" w:cs="宋体"/>
                <w:color w:val="auto"/>
                <w:kern w:val="0"/>
                <w:sz w:val="20"/>
                <w:szCs w:val="20"/>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0709D515">
            <w:pPr>
              <w:widowControl/>
              <w:jc w:val="center"/>
              <w:rPr>
                <w:rFonts w:hint="eastAsia" w:ascii="宋体" w:hAnsi="宋体" w:eastAsia="宋体" w:cs="宋体"/>
                <w:color w:val="auto"/>
                <w:kern w:val="0"/>
                <w:sz w:val="20"/>
                <w:szCs w:val="20"/>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68100D7C">
            <w:pPr>
              <w:widowControl/>
              <w:jc w:val="center"/>
              <w:rPr>
                <w:rFonts w:hint="eastAsia" w:ascii="宋体" w:hAnsi="宋体" w:eastAsia="宋体" w:cs="宋体"/>
                <w:color w:val="auto"/>
                <w:kern w:val="0"/>
                <w:sz w:val="20"/>
                <w:szCs w:val="20"/>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3D32E996">
            <w:pPr>
              <w:widowControl/>
              <w:jc w:val="center"/>
              <w:rPr>
                <w:rFonts w:hint="eastAsia" w:ascii="宋体" w:hAnsi="宋体" w:eastAsia="宋体" w:cs="宋体"/>
                <w:color w:val="auto"/>
                <w:kern w:val="0"/>
                <w:sz w:val="20"/>
                <w:szCs w:val="20"/>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594F74D2">
            <w:pPr>
              <w:widowControl/>
              <w:jc w:val="center"/>
              <w:rPr>
                <w:rFonts w:ascii="宋体" w:hAnsi="宋体" w:eastAsia="宋体" w:cs="宋体"/>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0090E064">
            <w:pPr>
              <w:widowControl/>
              <w:jc w:val="center"/>
              <w:rPr>
                <w:rFonts w:ascii="宋体" w:hAnsi="宋体" w:eastAsia="宋体" w:cs="宋体"/>
                <w:color w:val="auto"/>
                <w:kern w:val="0"/>
                <w:sz w:val="20"/>
                <w:szCs w:val="20"/>
              </w:rPr>
            </w:pPr>
          </w:p>
        </w:tc>
      </w:tr>
      <w:tr w14:paraId="7BCFE8F0">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73BCCA4C">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2.2</w:t>
            </w:r>
          </w:p>
        </w:tc>
        <w:tc>
          <w:tcPr>
            <w:tcW w:w="940" w:type="dxa"/>
            <w:tcBorders>
              <w:top w:val="single" w:color="auto" w:sz="4" w:space="0"/>
              <w:left w:val="nil"/>
              <w:bottom w:val="single" w:color="auto" w:sz="4" w:space="0"/>
              <w:right w:val="single" w:color="auto" w:sz="4" w:space="0"/>
            </w:tcBorders>
            <w:noWrap w:val="0"/>
            <w:vAlign w:val="center"/>
          </w:tcPr>
          <w:p w14:paraId="2BA77E51">
            <w:pPr>
              <w:widowControl/>
              <w:jc w:val="center"/>
              <w:rPr>
                <w:rFonts w:hint="eastAsia" w:ascii="宋体" w:hAnsi="宋体" w:eastAsia="宋体" w:cs="宋体"/>
                <w:color w:val="auto"/>
                <w:kern w:val="0"/>
                <w:sz w:val="20"/>
                <w:szCs w:val="20"/>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7F5413B0">
            <w:pPr>
              <w:widowControl/>
              <w:jc w:val="center"/>
              <w:rPr>
                <w:rFonts w:hint="eastAsia" w:ascii="宋体" w:hAnsi="宋体" w:eastAsia="宋体" w:cs="宋体"/>
                <w:color w:val="auto"/>
                <w:kern w:val="0"/>
                <w:sz w:val="20"/>
                <w:szCs w:val="20"/>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0D29A4F3">
            <w:pPr>
              <w:widowControl/>
              <w:jc w:val="center"/>
              <w:rPr>
                <w:rFonts w:hint="eastAsia" w:ascii="宋体" w:hAnsi="宋体" w:eastAsia="宋体" w:cs="宋体"/>
                <w:color w:val="auto"/>
                <w:kern w:val="0"/>
                <w:sz w:val="20"/>
                <w:szCs w:val="20"/>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2A004D9F">
            <w:pPr>
              <w:widowControl/>
              <w:jc w:val="center"/>
              <w:rPr>
                <w:rFonts w:hint="eastAsia" w:ascii="宋体" w:hAnsi="宋体" w:eastAsia="宋体" w:cs="宋体"/>
                <w:color w:val="auto"/>
                <w:kern w:val="0"/>
                <w:sz w:val="20"/>
                <w:szCs w:val="20"/>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2039D089">
            <w:pPr>
              <w:widowControl/>
              <w:jc w:val="center"/>
              <w:rPr>
                <w:rFonts w:hint="eastAsia" w:ascii="宋体" w:hAnsi="宋体" w:eastAsia="宋体" w:cs="宋体"/>
                <w:color w:val="auto"/>
                <w:kern w:val="0"/>
                <w:sz w:val="20"/>
                <w:szCs w:val="20"/>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6AA0F9D8">
            <w:pPr>
              <w:widowControl/>
              <w:jc w:val="center"/>
              <w:rPr>
                <w:rFonts w:hint="eastAsia" w:ascii="宋体" w:hAnsi="宋体" w:eastAsia="宋体" w:cs="宋体"/>
                <w:color w:val="auto"/>
                <w:kern w:val="0"/>
                <w:sz w:val="20"/>
                <w:szCs w:val="20"/>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3180D0D2">
            <w:pPr>
              <w:widowControl/>
              <w:jc w:val="center"/>
              <w:rPr>
                <w:rFonts w:ascii="宋体" w:hAnsi="宋体" w:eastAsia="宋体" w:cs="宋体"/>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05ACC603">
            <w:pPr>
              <w:widowControl/>
              <w:jc w:val="center"/>
              <w:rPr>
                <w:rFonts w:ascii="宋体" w:hAnsi="宋体" w:eastAsia="宋体" w:cs="宋体"/>
                <w:color w:val="auto"/>
                <w:kern w:val="0"/>
                <w:sz w:val="20"/>
                <w:szCs w:val="20"/>
              </w:rPr>
            </w:pPr>
          </w:p>
        </w:tc>
      </w:tr>
      <w:tr w14:paraId="671CB2F1">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6512111F">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w:t>
            </w:r>
          </w:p>
        </w:tc>
        <w:tc>
          <w:tcPr>
            <w:tcW w:w="940" w:type="dxa"/>
            <w:tcBorders>
              <w:top w:val="single" w:color="auto" w:sz="4" w:space="0"/>
              <w:left w:val="nil"/>
              <w:bottom w:val="single" w:color="auto" w:sz="4" w:space="0"/>
              <w:right w:val="single" w:color="auto" w:sz="4" w:space="0"/>
            </w:tcBorders>
            <w:noWrap w:val="0"/>
            <w:vAlign w:val="center"/>
          </w:tcPr>
          <w:p w14:paraId="7D3A7AB4">
            <w:pPr>
              <w:widowControl/>
              <w:jc w:val="center"/>
              <w:rPr>
                <w:rFonts w:hint="eastAsia" w:ascii="宋体" w:hAnsi="宋体" w:eastAsia="宋体" w:cs="宋体"/>
                <w:color w:val="auto"/>
                <w:kern w:val="0"/>
                <w:sz w:val="20"/>
                <w:szCs w:val="20"/>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49481BF2">
            <w:pPr>
              <w:widowControl/>
              <w:jc w:val="center"/>
              <w:rPr>
                <w:rFonts w:hint="eastAsia" w:ascii="宋体" w:hAnsi="宋体" w:eastAsia="宋体" w:cs="宋体"/>
                <w:color w:val="auto"/>
                <w:kern w:val="0"/>
                <w:sz w:val="20"/>
                <w:szCs w:val="20"/>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142F94C8">
            <w:pPr>
              <w:widowControl/>
              <w:jc w:val="center"/>
              <w:rPr>
                <w:rFonts w:hint="eastAsia" w:ascii="宋体" w:hAnsi="宋体" w:eastAsia="宋体" w:cs="宋体"/>
                <w:color w:val="auto"/>
                <w:kern w:val="0"/>
                <w:sz w:val="20"/>
                <w:szCs w:val="20"/>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722E156B">
            <w:pPr>
              <w:widowControl/>
              <w:jc w:val="center"/>
              <w:rPr>
                <w:rFonts w:hint="eastAsia" w:ascii="宋体" w:hAnsi="宋体" w:eastAsia="宋体" w:cs="宋体"/>
                <w:color w:val="auto"/>
                <w:kern w:val="0"/>
                <w:sz w:val="20"/>
                <w:szCs w:val="20"/>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646B425A">
            <w:pPr>
              <w:widowControl/>
              <w:jc w:val="center"/>
              <w:rPr>
                <w:rFonts w:hint="eastAsia" w:ascii="宋体" w:hAnsi="宋体" w:eastAsia="宋体" w:cs="宋体"/>
                <w:color w:val="auto"/>
                <w:kern w:val="0"/>
                <w:sz w:val="20"/>
                <w:szCs w:val="20"/>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758E7331">
            <w:pPr>
              <w:widowControl/>
              <w:jc w:val="center"/>
              <w:rPr>
                <w:rFonts w:hint="eastAsia" w:ascii="宋体" w:hAnsi="宋体" w:eastAsia="宋体" w:cs="宋体"/>
                <w:color w:val="auto"/>
                <w:kern w:val="0"/>
                <w:sz w:val="20"/>
                <w:szCs w:val="20"/>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745E04D5">
            <w:pPr>
              <w:widowControl/>
              <w:jc w:val="center"/>
              <w:rPr>
                <w:rFonts w:ascii="宋体" w:hAnsi="宋体" w:eastAsia="宋体" w:cs="宋体"/>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75331C23">
            <w:pPr>
              <w:widowControl/>
              <w:jc w:val="center"/>
              <w:rPr>
                <w:rFonts w:ascii="宋体" w:hAnsi="宋体" w:eastAsia="宋体" w:cs="宋体"/>
                <w:color w:val="auto"/>
                <w:kern w:val="0"/>
                <w:sz w:val="20"/>
                <w:szCs w:val="20"/>
              </w:rPr>
            </w:pPr>
          </w:p>
        </w:tc>
      </w:tr>
      <w:tr w14:paraId="589F5A00">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8CD4C">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w:t>
            </w:r>
          </w:p>
        </w:tc>
        <w:tc>
          <w:tcPr>
            <w:tcW w:w="940" w:type="dxa"/>
            <w:tcBorders>
              <w:top w:val="single" w:color="auto" w:sz="4" w:space="0"/>
              <w:left w:val="nil"/>
              <w:bottom w:val="single" w:color="auto" w:sz="4" w:space="0"/>
              <w:right w:val="single" w:color="auto" w:sz="4" w:space="0"/>
            </w:tcBorders>
            <w:noWrap w:val="0"/>
            <w:vAlign w:val="center"/>
          </w:tcPr>
          <w:p w14:paraId="5A09371F">
            <w:pPr>
              <w:widowControl/>
              <w:jc w:val="center"/>
              <w:rPr>
                <w:rFonts w:hint="eastAsia" w:ascii="宋体" w:hAnsi="宋体" w:eastAsia="宋体" w:cs="宋体"/>
                <w:color w:val="auto"/>
                <w:kern w:val="0"/>
                <w:sz w:val="20"/>
                <w:szCs w:val="20"/>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7DB5638C">
            <w:pPr>
              <w:widowControl/>
              <w:jc w:val="center"/>
              <w:rPr>
                <w:rFonts w:hint="eastAsia" w:ascii="宋体" w:hAnsi="宋体" w:eastAsia="宋体" w:cs="宋体"/>
                <w:color w:val="auto"/>
                <w:kern w:val="0"/>
                <w:sz w:val="20"/>
                <w:szCs w:val="20"/>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388CC2F4">
            <w:pPr>
              <w:widowControl/>
              <w:jc w:val="center"/>
              <w:rPr>
                <w:rFonts w:hint="eastAsia" w:ascii="宋体" w:hAnsi="宋体" w:eastAsia="宋体" w:cs="宋体"/>
                <w:color w:val="auto"/>
                <w:kern w:val="0"/>
                <w:sz w:val="20"/>
                <w:szCs w:val="20"/>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5BAFDC43">
            <w:pPr>
              <w:widowControl/>
              <w:jc w:val="center"/>
              <w:rPr>
                <w:rFonts w:hint="eastAsia" w:ascii="宋体" w:hAnsi="宋体" w:eastAsia="宋体" w:cs="宋体"/>
                <w:color w:val="auto"/>
                <w:kern w:val="0"/>
                <w:sz w:val="20"/>
                <w:szCs w:val="20"/>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69A75DA6">
            <w:pPr>
              <w:widowControl/>
              <w:jc w:val="center"/>
              <w:rPr>
                <w:rFonts w:hint="eastAsia" w:ascii="宋体" w:hAnsi="宋体" w:eastAsia="宋体" w:cs="宋体"/>
                <w:color w:val="auto"/>
                <w:kern w:val="0"/>
                <w:sz w:val="20"/>
                <w:szCs w:val="20"/>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4B7D1F3D">
            <w:pPr>
              <w:widowControl/>
              <w:jc w:val="center"/>
              <w:rPr>
                <w:rFonts w:hint="eastAsia" w:ascii="宋体" w:hAnsi="宋体" w:eastAsia="宋体" w:cs="宋体"/>
                <w:color w:val="auto"/>
                <w:kern w:val="0"/>
                <w:sz w:val="20"/>
                <w:szCs w:val="20"/>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7AA5FD4C">
            <w:pPr>
              <w:widowControl/>
              <w:jc w:val="center"/>
              <w:rPr>
                <w:rFonts w:ascii="宋体" w:hAnsi="宋体" w:eastAsia="宋体" w:cs="宋体"/>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13092D5A">
            <w:pPr>
              <w:widowControl/>
              <w:jc w:val="center"/>
              <w:rPr>
                <w:rFonts w:ascii="宋体" w:hAnsi="宋体" w:eastAsia="宋体" w:cs="宋体"/>
                <w:color w:val="auto"/>
                <w:kern w:val="0"/>
                <w:sz w:val="20"/>
                <w:szCs w:val="20"/>
              </w:rPr>
            </w:pPr>
          </w:p>
        </w:tc>
      </w:tr>
      <w:tr w14:paraId="493536F3">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74DA51">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3.1</w:t>
            </w:r>
          </w:p>
        </w:tc>
        <w:tc>
          <w:tcPr>
            <w:tcW w:w="940" w:type="dxa"/>
            <w:tcBorders>
              <w:top w:val="single" w:color="auto" w:sz="4" w:space="0"/>
              <w:left w:val="nil"/>
              <w:bottom w:val="single" w:color="auto" w:sz="4" w:space="0"/>
              <w:right w:val="single" w:color="auto" w:sz="4" w:space="0"/>
            </w:tcBorders>
            <w:noWrap w:val="0"/>
            <w:vAlign w:val="center"/>
          </w:tcPr>
          <w:p w14:paraId="2D4D7DD3">
            <w:pPr>
              <w:widowControl/>
              <w:jc w:val="center"/>
              <w:rPr>
                <w:rFonts w:hint="eastAsia" w:ascii="宋体" w:hAnsi="宋体" w:eastAsia="宋体" w:cs="宋体"/>
                <w:color w:val="auto"/>
                <w:kern w:val="0"/>
                <w:sz w:val="20"/>
                <w:szCs w:val="20"/>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0A4A55D0">
            <w:pPr>
              <w:widowControl/>
              <w:jc w:val="center"/>
              <w:rPr>
                <w:rFonts w:hint="eastAsia" w:ascii="宋体" w:hAnsi="宋体" w:eastAsia="宋体" w:cs="宋体"/>
                <w:color w:val="auto"/>
                <w:kern w:val="0"/>
                <w:sz w:val="20"/>
                <w:szCs w:val="20"/>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3133521E">
            <w:pPr>
              <w:widowControl/>
              <w:jc w:val="center"/>
              <w:rPr>
                <w:rFonts w:hint="eastAsia" w:ascii="宋体" w:hAnsi="宋体" w:eastAsia="宋体" w:cs="宋体"/>
                <w:color w:val="auto"/>
                <w:kern w:val="0"/>
                <w:sz w:val="20"/>
                <w:szCs w:val="20"/>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5B6D1BB6">
            <w:pPr>
              <w:widowControl/>
              <w:jc w:val="center"/>
              <w:rPr>
                <w:rFonts w:hint="eastAsia" w:ascii="宋体" w:hAnsi="宋体" w:eastAsia="宋体" w:cs="宋体"/>
                <w:color w:val="auto"/>
                <w:kern w:val="0"/>
                <w:sz w:val="20"/>
                <w:szCs w:val="20"/>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3A72F027">
            <w:pPr>
              <w:widowControl/>
              <w:jc w:val="center"/>
              <w:rPr>
                <w:rFonts w:hint="eastAsia" w:ascii="宋体" w:hAnsi="宋体" w:eastAsia="宋体" w:cs="宋体"/>
                <w:color w:val="auto"/>
                <w:kern w:val="0"/>
                <w:sz w:val="20"/>
                <w:szCs w:val="20"/>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6B6A59D9">
            <w:pPr>
              <w:widowControl/>
              <w:jc w:val="center"/>
              <w:rPr>
                <w:rFonts w:hint="eastAsia" w:ascii="宋体" w:hAnsi="宋体" w:eastAsia="宋体" w:cs="宋体"/>
                <w:color w:val="auto"/>
                <w:kern w:val="0"/>
                <w:sz w:val="20"/>
                <w:szCs w:val="20"/>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6D79D199">
            <w:pPr>
              <w:widowControl/>
              <w:jc w:val="center"/>
              <w:rPr>
                <w:rFonts w:ascii="宋体" w:hAnsi="宋体" w:eastAsia="宋体" w:cs="宋体"/>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5609E879">
            <w:pPr>
              <w:widowControl/>
              <w:jc w:val="center"/>
              <w:rPr>
                <w:rFonts w:ascii="宋体" w:hAnsi="宋体" w:eastAsia="宋体" w:cs="宋体"/>
                <w:color w:val="auto"/>
                <w:kern w:val="0"/>
                <w:sz w:val="20"/>
                <w:szCs w:val="20"/>
              </w:rPr>
            </w:pPr>
          </w:p>
        </w:tc>
      </w:tr>
      <w:tr w14:paraId="5C95D428">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7F2B15">
            <w:pPr>
              <w:widowControl/>
              <w:jc w:val="center"/>
              <w:rPr>
                <w:rFonts w:hint="default" w:ascii="宋体" w:hAnsi="宋体" w:eastAsia="宋体" w:cs="宋体"/>
                <w:snapToGrid w:val="0"/>
                <w:color w:val="auto"/>
                <w:kern w:val="0"/>
                <w:sz w:val="20"/>
                <w:szCs w:val="20"/>
                <w:lang w:val="en-US" w:eastAsia="zh-CN" w:bidi="ar-SA"/>
              </w:rPr>
            </w:pPr>
            <w:r>
              <w:rPr>
                <w:rFonts w:hint="eastAsia" w:ascii="宋体" w:hAnsi="宋体" w:eastAsia="宋体" w:cs="宋体"/>
                <w:color w:val="auto"/>
                <w:kern w:val="0"/>
                <w:sz w:val="20"/>
                <w:szCs w:val="20"/>
                <w:lang w:val="en-US" w:eastAsia="zh-CN"/>
              </w:rPr>
              <w:t>3.2</w:t>
            </w:r>
          </w:p>
        </w:tc>
        <w:tc>
          <w:tcPr>
            <w:tcW w:w="940" w:type="dxa"/>
            <w:tcBorders>
              <w:top w:val="single" w:color="auto" w:sz="4" w:space="0"/>
              <w:left w:val="nil"/>
              <w:bottom w:val="single" w:color="auto" w:sz="4" w:space="0"/>
              <w:right w:val="single" w:color="auto" w:sz="4" w:space="0"/>
            </w:tcBorders>
            <w:noWrap w:val="0"/>
            <w:vAlign w:val="center"/>
          </w:tcPr>
          <w:p w14:paraId="100E8B50">
            <w:pPr>
              <w:widowControl/>
              <w:jc w:val="center"/>
              <w:rPr>
                <w:rFonts w:ascii="宋体" w:hAnsi="宋体" w:eastAsia="宋体" w:cs="宋体"/>
                <w:color w:val="auto"/>
                <w:kern w:val="0"/>
                <w:sz w:val="20"/>
                <w:szCs w:val="20"/>
              </w:rPr>
            </w:pPr>
          </w:p>
        </w:tc>
        <w:tc>
          <w:tcPr>
            <w:tcW w:w="1287" w:type="dxa"/>
            <w:tcBorders>
              <w:top w:val="single" w:color="auto" w:sz="4" w:space="0"/>
              <w:left w:val="nil"/>
              <w:bottom w:val="single" w:color="auto" w:sz="4" w:space="0"/>
              <w:right w:val="single" w:color="auto" w:sz="4" w:space="0"/>
            </w:tcBorders>
            <w:noWrap w:val="0"/>
            <w:vAlign w:val="center"/>
          </w:tcPr>
          <w:p w14:paraId="045D76C5">
            <w:pPr>
              <w:widowControl/>
              <w:jc w:val="center"/>
              <w:rPr>
                <w:rFonts w:ascii="宋体" w:hAnsi="宋体" w:eastAsia="宋体" w:cs="宋体"/>
                <w:color w:val="auto"/>
                <w:kern w:val="0"/>
                <w:sz w:val="20"/>
                <w:szCs w:val="20"/>
              </w:rPr>
            </w:pPr>
          </w:p>
        </w:tc>
        <w:tc>
          <w:tcPr>
            <w:tcW w:w="1328" w:type="dxa"/>
            <w:tcBorders>
              <w:top w:val="single" w:color="auto" w:sz="4" w:space="0"/>
              <w:left w:val="nil"/>
              <w:bottom w:val="single" w:color="auto" w:sz="4" w:space="0"/>
              <w:right w:val="single" w:color="auto" w:sz="4" w:space="0"/>
            </w:tcBorders>
            <w:noWrap w:val="0"/>
            <w:vAlign w:val="center"/>
          </w:tcPr>
          <w:p w14:paraId="54985658">
            <w:pPr>
              <w:widowControl/>
              <w:jc w:val="center"/>
              <w:rPr>
                <w:rFonts w:ascii="宋体" w:hAnsi="宋体" w:eastAsia="宋体" w:cs="宋体"/>
                <w:color w:val="auto"/>
                <w:kern w:val="0"/>
                <w:sz w:val="20"/>
                <w:szCs w:val="20"/>
              </w:rPr>
            </w:pPr>
          </w:p>
        </w:tc>
        <w:tc>
          <w:tcPr>
            <w:tcW w:w="715" w:type="dxa"/>
            <w:tcBorders>
              <w:top w:val="single" w:color="auto" w:sz="4" w:space="0"/>
              <w:left w:val="nil"/>
              <w:bottom w:val="single" w:color="auto" w:sz="4" w:space="0"/>
              <w:right w:val="single" w:color="auto" w:sz="4" w:space="0"/>
            </w:tcBorders>
            <w:noWrap w:val="0"/>
            <w:vAlign w:val="center"/>
          </w:tcPr>
          <w:p w14:paraId="01FA6229">
            <w:pPr>
              <w:widowControl/>
              <w:jc w:val="center"/>
              <w:rPr>
                <w:rFonts w:ascii="宋体" w:hAnsi="宋体" w:eastAsia="宋体" w:cs="宋体"/>
                <w:color w:val="auto"/>
                <w:kern w:val="0"/>
                <w:sz w:val="20"/>
                <w:szCs w:val="20"/>
              </w:rPr>
            </w:pPr>
          </w:p>
        </w:tc>
        <w:tc>
          <w:tcPr>
            <w:tcW w:w="723" w:type="dxa"/>
            <w:tcBorders>
              <w:top w:val="single" w:color="auto" w:sz="4" w:space="0"/>
              <w:left w:val="nil"/>
              <w:bottom w:val="single" w:color="auto" w:sz="4" w:space="0"/>
              <w:right w:val="single" w:color="auto" w:sz="4" w:space="0"/>
            </w:tcBorders>
            <w:noWrap w:val="0"/>
            <w:vAlign w:val="center"/>
          </w:tcPr>
          <w:p w14:paraId="5AFB62E2">
            <w:pPr>
              <w:widowControl/>
              <w:jc w:val="center"/>
              <w:rPr>
                <w:rFonts w:ascii="宋体" w:hAnsi="宋体" w:eastAsia="宋体" w:cs="宋体"/>
                <w:color w:val="auto"/>
                <w:kern w:val="0"/>
                <w:sz w:val="20"/>
                <w:szCs w:val="20"/>
              </w:rPr>
            </w:pPr>
          </w:p>
        </w:tc>
        <w:tc>
          <w:tcPr>
            <w:tcW w:w="1423" w:type="dxa"/>
            <w:tcBorders>
              <w:top w:val="single" w:color="auto" w:sz="4" w:space="0"/>
              <w:left w:val="nil"/>
              <w:bottom w:val="single" w:color="auto" w:sz="4" w:space="0"/>
              <w:right w:val="single" w:color="auto" w:sz="4" w:space="0"/>
            </w:tcBorders>
            <w:noWrap w:val="0"/>
            <w:vAlign w:val="center"/>
          </w:tcPr>
          <w:p w14:paraId="7FF0E63F">
            <w:pPr>
              <w:widowControl/>
              <w:jc w:val="center"/>
              <w:rPr>
                <w:rFonts w:ascii="宋体" w:hAnsi="宋体" w:eastAsia="宋体" w:cs="宋体"/>
                <w:color w:val="auto"/>
                <w:kern w:val="0"/>
                <w:sz w:val="20"/>
                <w:szCs w:val="20"/>
              </w:rPr>
            </w:pPr>
          </w:p>
        </w:tc>
        <w:tc>
          <w:tcPr>
            <w:tcW w:w="1400" w:type="dxa"/>
            <w:tcBorders>
              <w:top w:val="single" w:color="auto" w:sz="4" w:space="0"/>
              <w:left w:val="nil"/>
              <w:bottom w:val="single" w:color="auto" w:sz="4" w:space="0"/>
              <w:right w:val="single" w:color="auto" w:sz="4" w:space="0"/>
            </w:tcBorders>
            <w:noWrap w:val="0"/>
            <w:vAlign w:val="center"/>
          </w:tcPr>
          <w:p w14:paraId="4E3CBC45">
            <w:pPr>
              <w:widowControl/>
              <w:jc w:val="center"/>
              <w:rPr>
                <w:rFonts w:ascii="宋体" w:hAnsi="宋体" w:eastAsia="宋体" w:cs="宋体"/>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086B2120">
            <w:pPr>
              <w:widowControl/>
              <w:jc w:val="center"/>
              <w:rPr>
                <w:rFonts w:ascii="宋体" w:hAnsi="宋体" w:eastAsia="宋体" w:cs="宋体"/>
                <w:color w:val="auto"/>
                <w:kern w:val="0"/>
                <w:sz w:val="20"/>
                <w:szCs w:val="20"/>
              </w:rPr>
            </w:pPr>
          </w:p>
        </w:tc>
      </w:tr>
      <w:tr w14:paraId="0F17852A">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6FBD5EF6">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w:t>
            </w:r>
          </w:p>
        </w:tc>
        <w:tc>
          <w:tcPr>
            <w:tcW w:w="940" w:type="dxa"/>
            <w:tcBorders>
              <w:top w:val="single" w:color="auto" w:sz="4" w:space="0"/>
              <w:left w:val="nil"/>
              <w:bottom w:val="single" w:color="auto" w:sz="4" w:space="0"/>
              <w:right w:val="single" w:color="auto" w:sz="4" w:space="0"/>
            </w:tcBorders>
            <w:noWrap w:val="0"/>
            <w:vAlign w:val="center"/>
          </w:tcPr>
          <w:p w14:paraId="227BF560">
            <w:pPr>
              <w:widowControl/>
              <w:jc w:val="center"/>
              <w:rPr>
                <w:rFonts w:ascii="宋体" w:hAnsi="宋体" w:eastAsia="宋体" w:cs="宋体"/>
                <w:color w:val="auto"/>
                <w:kern w:val="0"/>
                <w:sz w:val="20"/>
                <w:szCs w:val="20"/>
              </w:rPr>
            </w:pPr>
          </w:p>
        </w:tc>
        <w:tc>
          <w:tcPr>
            <w:tcW w:w="1287" w:type="dxa"/>
            <w:tcBorders>
              <w:top w:val="single" w:color="auto" w:sz="4" w:space="0"/>
              <w:left w:val="nil"/>
              <w:bottom w:val="single" w:color="auto" w:sz="4" w:space="0"/>
              <w:right w:val="single" w:color="auto" w:sz="4" w:space="0"/>
            </w:tcBorders>
            <w:noWrap w:val="0"/>
            <w:vAlign w:val="center"/>
          </w:tcPr>
          <w:p w14:paraId="750292CA">
            <w:pPr>
              <w:widowControl/>
              <w:jc w:val="center"/>
              <w:rPr>
                <w:rFonts w:ascii="宋体" w:hAnsi="宋体" w:eastAsia="宋体" w:cs="宋体"/>
                <w:color w:val="auto"/>
                <w:kern w:val="0"/>
                <w:sz w:val="20"/>
                <w:szCs w:val="20"/>
              </w:rPr>
            </w:pPr>
          </w:p>
        </w:tc>
        <w:tc>
          <w:tcPr>
            <w:tcW w:w="1328" w:type="dxa"/>
            <w:tcBorders>
              <w:top w:val="single" w:color="auto" w:sz="4" w:space="0"/>
              <w:left w:val="nil"/>
              <w:bottom w:val="single" w:color="auto" w:sz="4" w:space="0"/>
              <w:right w:val="single" w:color="auto" w:sz="4" w:space="0"/>
            </w:tcBorders>
            <w:noWrap w:val="0"/>
            <w:vAlign w:val="center"/>
          </w:tcPr>
          <w:p w14:paraId="726E6831">
            <w:pPr>
              <w:widowControl/>
              <w:jc w:val="center"/>
              <w:rPr>
                <w:rFonts w:ascii="宋体" w:hAnsi="宋体" w:eastAsia="宋体" w:cs="宋体"/>
                <w:color w:val="auto"/>
                <w:kern w:val="0"/>
                <w:sz w:val="20"/>
                <w:szCs w:val="20"/>
              </w:rPr>
            </w:pPr>
          </w:p>
        </w:tc>
        <w:tc>
          <w:tcPr>
            <w:tcW w:w="715" w:type="dxa"/>
            <w:tcBorders>
              <w:top w:val="single" w:color="auto" w:sz="4" w:space="0"/>
              <w:left w:val="nil"/>
              <w:bottom w:val="single" w:color="auto" w:sz="4" w:space="0"/>
              <w:right w:val="single" w:color="auto" w:sz="4" w:space="0"/>
            </w:tcBorders>
            <w:noWrap w:val="0"/>
            <w:vAlign w:val="center"/>
          </w:tcPr>
          <w:p w14:paraId="1351ABF6">
            <w:pPr>
              <w:widowControl/>
              <w:jc w:val="center"/>
              <w:rPr>
                <w:rFonts w:ascii="宋体" w:hAnsi="宋体" w:eastAsia="宋体" w:cs="宋体"/>
                <w:color w:val="auto"/>
                <w:kern w:val="0"/>
                <w:sz w:val="20"/>
                <w:szCs w:val="20"/>
              </w:rPr>
            </w:pPr>
          </w:p>
        </w:tc>
        <w:tc>
          <w:tcPr>
            <w:tcW w:w="723" w:type="dxa"/>
            <w:tcBorders>
              <w:top w:val="single" w:color="auto" w:sz="4" w:space="0"/>
              <w:left w:val="nil"/>
              <w:bottom w:val="single" w:color="auto" w:sz="4" w:space="0"/>
              <w:right w:val="single" w:color="auto" w:sz="4" w:space="0"/>
            </w:tcBorders>
            <w:noWrap w:val="0"/>
            <w:vAlign w:val="center"/>
          </w:tcPr>
          <w:p w14:paraId="008C1335">
            <w:pPr>
              <w:widowControl/>
              <w:jc w:val="center"/>
              <w:rPr>
                <w:rFonts w:ascii="宋体" w:hAnsi="宋体" w:eastAsia="宋体" w:cs="宋体"/>
                <w:color w:val="auto"/>
                <w:kern w:val="0"/>
                <w:sz w:val="20"/>
                <w:szCs w:val="20"/>
              </w:rPr>
            </w:pPr>
          </w:p>
        </w:tc>
        <w:tc>
          <w:tcPr>
            <w:tcW w:w="1423" w:type="dxa"/>
            <w:tcBorders>
              <w:top w:val="single" w:color="auto" w:sz="4" w:space="0"/>
              <w:left w:val="nil"/>
              <w:bottom w:val="single" w:color="auto" w:sz="4" w:space="0"/>
              <w:right w:val="single" w:color="auto" w:sz="4" w:space="0"/>
            </w:tcBorders>
            <w:noWrap w:val="0"/>
            <w:vAlign w:val="center"/>
          </w:tcPr>
          <w:p w14:paraId="17960A5A">
            <w:pPr>
              <w:widowControl/>
              <w:jc w:val="center"/>
              <w:rPr>
                <w:rFonts w:ascii="宋体" w:hAnsi="宋体" w:eastAsia="宋体" w:cs="宋体"/>
                <w:color w:val="auto"/>
                <w:kern w:val="0"/>
                <w:sz w:val="20"/>
                <w:szCs w:val="20"/>
              </w:rPr>
            </w:pPr>
          </w:p>
        </w:tc>
        <w:tc>
          <w:tcPr>
            <w:tcW w:w="1400" w:type="dxa"/>
            <w:tcBorders>
              <w:top w:val="single" w:color="auto" w:sz="4" w:space="0"/>
              <w:left w:val="nil"/>
              <w:bottom w:val="single" w:color="auto" w:sz="4" w:space="0"/>
              <w:right w:val="single" w:color="auto" w:sz="4" w:space="0"/>
            </w:tcBorders>
            <w:noWrap w:val="0"/>
            <w:vAlign w:val="center"/>
          </w:tcPr>
          <w:p w14:paraId="485FC25C">
            <w:pPr>
              <w:widowControl/>
              <w:jc w:val="center"/>
              <w:rPr>
                <w:rFonts w:ascii="宋体" w:hAnsi="宋体" w:eastAsia="宋体" w:cs="宋体"/>
                <w:color w:val="auto"/>
                <w:kern w:val="0"/>
                <w:sz w:val="20"/>
                <w:szCs w:val="20"/>
              </w:rPr>
            </w:pPr>
          </w:p>
        </w:tc>
        <w:tc>
          <w:tcPr>
            <w:tcW w:w="613" w:type="dxa"/>
            <w:tcBorders>
              <w:top w:val="single" w:color="auto" w:sz="4" w:space="0"/>
              <w:left w:val="nil"/>
              <w:bottom w:val="single" w:color="auto" w:sz="4" w:space="0"/>
              <w:right w:val="single" w:color="auto" w:sz="4" w:space="0"/>
            </w:tcBorders>
            <w:noWrap w:val="0"/>
            <w:vAlign w:val="center"/>
          </w:tcPr>
          <w:p w14:paraId="3ED628FC">
            <w:pPr>
              <w:widowControl/>
              <w:jc w:val="center"/>
              <w:rPr>
                <w:rFonts w:ascii="宋体" w:hAnsi="宋体" w:eastAsia="宋体" w:cs="宋体"/>
                <w:color w:val="auto"/>
                <w:kern w:val="0"/>
                <w:sz w:val="20"/>
                <w:szCs w:val="20"/>
              </w:rPr>
            </w:pPr>
          </w:p>
        </w:tc>
      </w:tr>
    </w:tbl>
    <w:p w14:paraId="45708A90">
      <w:pPr>
        <w:bidi w:val="0"/>
        <w:rPr>
          <w:rFonts w:hint="eastAsia" w:ascii="宋体" w:hAnsi="宋体" w:eastAsia="宋体" w:cs="宋体"/>
          <w:color w:val="auto"/>
          <w:sz w:val="24"/>
          <w:szCs w:val="24"/>
        </w:rPr>
      </w:pPr>
      <w:r>
        <w:rPr>
          <w:rFonts w:hint="eastAsia" w:ascii="宋体" w:hAnsi="宋体" w:eastAsia="宋体" w:cs="宋体"/>
          <w:color w:val="auto"/>
          <w:sz w:val="24"/>
          <w:szCs w:val="24"/>
        </w:rPr>
        <w:t>注：1.以上报价含生产制作、包装、运输、保险、安装调试、利润、税金、专利技术、培训、技术支持等一切费用。</w:t>
      </w:r>
    </w:p>
    <w:p w14:paraId="68D9B6E2">
      <w:pPr>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按采购需求逐项列示</w:t>
      </w:r>
      <w:r>
        <w:rPr>
          <w:rFonts w:hint="eastAsia" w:ascii="宋体" w:hAnsi="宋体" w:eastAsia="宋体" w:cs="宋体"/>
          <w:color w:val="auto"/>
          <w:sz w:val="24"/>
          <w:szCs w:val="24"/>
        </w:rPr>
        <w:t>、总价不得超过采购预算，并与《</w:t>
      </w:r>
      <w:r>
        <w:rPr>
          <w:rFonts w:hint="eastAsia" w:ascii="宋体" w:hAnsi="宋体" w:eastAsia="宋体" w:cs="宋体"/>
          <w:color w:val="auto"/>
          <w:sz w:val="24"/>
          <w:szCs w:val="24"/>
          <w:lang w:eastAsia="zh-CN"/>
        </w:rPr>
        <w:t>开标一览表</w:t>
      </w:r>
      <w:r>
        <w:rPr>
          <w:rFonts w:hint="eastAsia" w:ascii="宋体" w:hAnsi="宋体" w:eastAsia="宋体" w:cs="宋体"/>
          <w:color w:val="auto"/>
          <w:sz w:val="24"/>
          <w:szCs w:val="24"/>
        </w:rPr>
        <w:t>》保持一致。</w:t>
      </w:r>
    </w:p>
    <w:p w14:paraId="10CA5A74">
      <w:pPr>
        <w:bidi w:val="0"/>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szCs w:val="24"/>
        </w:rPr>
        <w:t>3.此表可自行扩展。</w:t>
      </w:r>
    </w:p>
    <w:p w14:paraId="006C7301">
      <w:pPr>
        <w:pageBreakBefore w:val="0"/>
        <w:kinsoku/>
        <w:wordWrap/>
        <w:overflowPunct/>
        <w:topLinePunct w:val="0"/>
        <w:autoSpaceDE/>
        <w:autoSpaceDN/>
        <w:bidi w:val="0"/>
        <w:adjustRightInd w:val="0"/>
        <w:spacing w:line="480" w:lineRule="auto"/>
        <w:jc w:val="both"/>
        <w:textAlignment w:val="baseline"/>
        <w:outlineLvl w:val="9"/>
        <w:rPr>
          <w:rFonts w:hint="eastAsia" w:ascii="宋体" w:hAnsi="宋体" w:cs="宋体"/>
          <w:color w:val="auto"/>
          <w:sz w:val="24"/>
          <w:highlight w:val="none"/>
          <w:lang w:eastAsia="zh-CN"/>
        </w:rPr>
      </w:pPr>
    </w:p>
    <w:p w14:paraId="337D9CD5">
      <w:pPr>
        <w:pageBreakBefore w:val="0"/>
        <w:kinsoku/>
        <w:wordWrap/>
        <w:overflowPunct/>
        <w:topLinePunct w:val="0"/>
        <w:autoSpaceDE/>
        <w:autoSpaceDN/>
        <w:bidi w:val="0"/>
        <w:adjustRightInd w:val="0"/>
        <w:spacing w:line="480" w:lineRule="auto"/>
        <w:jc w:val="both"/>
        <w:textAlignment w:val="baseline"/>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lang w:val="en-US" w:eastAsia="zh-CN"/>
        </w:rPr>
        <w:t xml:space="preserve">名称：                     </w:t>
      </w:r>
      <w:r>
        <w:rPr>
          <w:rFonts w:hint="eastAsia" w:ascii="宋体" w:hAnsi="宋体" w:cs="宋体"/>
          <w:color w:val="auto"/>
          <w:sz w:val="24"/>
          <w:highlight w:val="none"/>
          <w:lang w:eastAsia="zh-CN"/>
        </w:rPr>
        <w:t>（盖单位公章）</w:t>
      </w:r>
    </w:p>
    <w:p w14:paraId="4204BA1D">
      <w:pPr>
        <w:pageBreakBefore w:val="0"/>
        <w:kinsoku/>
        <w:wordWrap/>
        <w:overflowPunct/>
        <w:topLinePunct w:val="0"/>
        <w:autoSpaceDE/>
        <w:autoSpaceDN/>
        <w:bidi w:val="0"/>
        <w:adjustRightInd w:val="0"/>
        <w:spacing w:line="480" w:lineRule="auto"/>
        <w:jc w:val="both"/>
        <w:textAlignment w:val="baseline"/>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法定代表人（单位负责人）或授权代表（签字并盖章）：</w:t>
      </w:r>
    </w:p>
    <w:p w14:paraId="638333B7">
      <w:pPr>
        <w:pageBreakBefore w:val="0"/>
        <w:kinsoku/>
        <w:wordWrap/>
        <w:overflowPunct/>
        <w:topLinePunct w:val="0"/>
        <w:autoSpaceDE/>
        <w:autoSpaceDN/>
        <w:bidi w:val="0"/>
        <w:adjustRightInd w:val="0"/>
        <w:spacing w:line="480" w:lineRule="auto"/>
        <w:jc w:val="both"/>
        <w:textAlignment w:val="baseline"/>
        <w:outlineLvl w:val="9"/>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日期：</w:t>
      </w:r>
      <w:r>
        <w:rPr>
          <w:rFonts w:hint="eastAsia" w:ascii="宋体" w:hAnsi="宋体" w:cs="宋体"/>
          <w:color w:val="auto"/>
          <w:sz w:val="24"/>
          <w:highlight w:val="none"/>
          <w:lang w:eastAsia="zh-CN"/>
        </w:rPr>
        <w:t xml:space="preserve">     年     月     日</w:t>
      </w:r>
    </w:p>
    <w:p w14:paraId="480635D1">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1B8F3D72">
      <w:pPr>
        <w:spacing w:before="48" w:line="220" w:lineRule="auto"/>
        <w:outlineLvl w:val="9"/>
        <w:rPr>
          <w:rFonts w:hint="eastAsia" w:ascii="宋体" w:hAnsi="宋体" w:eastAsia="宋体" w:cs="宋体"/>
          <w:color w:val="auto"/>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格式四：</w:t>
      </w:r>
      <w:r>
        <w:rPr>
          <w:rFonts w:hint="eastAsia" w:ascii="宋体" w:hAnsi="宋体" w:eastAsia="宋体" w:cs="宋体"/>
          <w:color w:val="auto"/>
          <w:sz w:val="24"/>
          <w:szCs w:val="24"/>
          <w14:textOutline w14:w="4358" w14:cap="sq" w14:cmpd="sng">
            <w14:solidFill>
              <w14:srgbClr w14:val="000000"/>
            </w14:solidFill>
            <w14:prstDash w14:val="solid"/>
            <w14:bevel/>
          </w14:textOutline>
        </w:rPr>
        <w:t>采购需求偏离表</w:t>
      </w:r>
    </w:p>
    <w:p w14:paraId="3371D1EE">
      <w:pPr>
        <w:spacing w:before="78" w:line="185" w:lineRule="auto"/>
        <w:outlineLvl w:val="9"/>
        <w:rPr>
          <w:rFonts w:hint="eastAsia" w:ascii="宋体" w:hAnsi="宋体" w:eastAsia="宋体" w:cs="宋体"/>
          <w:color w:val="auto"/>
          <w:spacing w:val="-1"/>
          <w:sz w:val="24"/>
          <w:szCs w:val="24"/>
        </w:rPr>
      </w:pPr>
    </w:p>
    <w:p w14:paraId="71CD0593">
      <w:pPr>
        <w:spacing w:before="78" w:line="185" w:lineRule="auto"/>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项目名称：</w:t>
      </w:r>
    </w:p>
    <w:p w14:paraId="61A5BCB2">
      <w:pPr>
        <w:spacing w:before="180" w:line="185" w:lineRule="auto"/>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项目编号：</w:t>
      </w:r>
    </w:p>
    <w:tbl>
      <w:tblPr>
        <w:tblStyle w:val="16"/>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248"/>
        <w:gridCol w:w="4063"/>
        <w:gridCol w:w="2180"/>
        <w:gridCol w:w="897"/>
        <w:gridCol w:w="756"/>
      </w:tblGrid>
      <w:tr w14:paraId="65CE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473" w:type="dxa"/>
            <w:noWrap w:val="0"/>
            <w:vAlign w:val="center"/>
          </w:tcPr>
          <w:p w14:paraId="00632D49">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48" w:type="dxa"/>
            <w:noWrap w:val="0"/>
            <w:vAlign w:val="center"/>
          </w:tcPr>
          <w:p w14:paraId="21BD48EF">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4063" w:type="dxa"/>
            <w:noWrap w:val="0"/>
            <w:vAlign w:val="center"/>
          </w:tcPr>
          <w:p w14:paraId="3A1F9937">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文件规定的货物需求、技术规格</w:t>
            </w:r>
          </w:p>
        </w:tc>
        <w:tc>
          <w:tcPr>
            <w:tcW w:w="2180" w:type="dxa"/>
            <w:noWrap w:val="0"/>
            <w:vAlign w:val="center"/>
          </w:tcPr>
          <w:p w14:paraId="73971841">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对应的货物情况、技术规格</w:t>
            </w:r>
          </w:p>
        </w:tc>
        <w:tc>
          <w:tcPr>
            <w:tcW w:w="897" w:type="dxa"/>
            <w:noWrap w:val="0"/>
            <w:vAlign w:val="center"/>
          </w:tcPr>
          <w:p w14:paraId="004695EE">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是否偏离</w:t>
            </w:r>
          </w:p>
        </w:tc>
        <w:tc>
          <w:tcPr>
            <w:tcW w:w="756" w:type="dxa"/>
            <w:noWrap w:val="0"/>
            <w:vAlign w:val="center"/>
          </w:tcPr>
          <w:p w14:paraId="65BE5138">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2BB2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73" w:type="dxa"/>
            <w:noWrap w:val="0"/>
            <w:vAlign w:val="center"/>
          </w:tcPr>
          <w:p w14:paraId="1B387C97">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48" w:type="dxa"/>
            <w:noWrap w:val="0"/>
            <w:vAlign w:val="center"/>
          </w:tcPr>
          <w:p w14:paraId="610579A7">
            <w:pPr>
              <w:bidi w:val="0"/>
              <w:jc w:val="center"/>
              <w:rPr>
                <w:rFonts w:hint="eastAsia" w:ascii="宋体" w:hAnsi="宋体" w:eastAsia="宋体" w:cs="宋体"/>
                <w:color w:val="auto"/>
                <w:sz w:val="24"/>
                <w:szCs w:val="24"/>
              </w:rPr>
            </w:pPr>
          </w:p>
        </w:tc>
        <w:tc>
          <w:tcPr>
            <w:tcW w:w="4063" w:type="dxa"/>
            <w:noWrap w:val="0"/>
            <w:vAlign w:val="center"/>
          </w:tcPr>
          <w:p w14:paraId="500B1281">
            <w:pPr>
              <w:bidi w:val="0"/>
              <w:jc w:val="center"/>
              <w:rPr>
                <w:rFonts w:hint="eastAsia" w:ascii="宋体" w:hAnsi="宋体" w:eastAsia="宋体" w:cs="宋体"/>
                <w:color w:val="auto"/>
                <w:sz w:val="24"/>
                <w:szCs w:val="24"/>
                <w:lang w:val="en-US"/>
              </w:rPr>
            </w:pPr>
          </w:p>
        </w:tc>
        <w:tc>
          <w:tcPr>
            <w:tcW w:w="2180" w:type="dxa"/>
            <w:noWrap w:val="0"/>
            <w:vAlign w:val="center"/>
          </w:tcPr>
          <w:p w14:paraId="1906050D">
            <w:pPr>
              <w:bidi w:val="0"/>
              <w:jc w:val="center"/>
              <w:rPr>
                <w:rFonts w:hint="eastAsia" w:ascii="宋体" w:hAnsi="宋体" w:eastAsia="宋体" w:cs="宋体"/>
                <w:color w:val="auto"/>
                <w:sz w:val="24"/>
                <w:szCs w:val="24"/>
              </w:rPr>
            </w:pPr>
          </w:p>
        </w:tc>
        <w:tc>
          <w:tcPr>
            <w:tcW w:w="897" w:type="dxa"/>
            <w:noWrap w:val="0"/>
            <w:vAlign w:val="center"/>
          </w:tcPr>
          <w:p w14:paraId="40B3E4AF">
            <w:pPr>
              <w:bidi w:val="0"/>
              <w:jc w:val="center"/>
              <w:rPr>
                <w:rFonts w:hint="eastAsia" w:ascii="宋体" w:hAnsi="宋体" w:eastAsia="宋体" w:cs="宋体"/>
                <w:color w:val="auto"/>
                <w:sz w:val="24"/>
                <w:szCs w:val="24"/>
              </w:rPr>
            </w:pPr>
          </w:p>
        </w:tc>
        <w:tc>
          <w:tcPr>
            <w:tcW w:w="756" w:type="dxa"/>
            <w:noWrap w:val="0"/>
            <w:vAlign w:val="center"/>
          </w:tcPr>
          <w:p w14:paraId="70D9A98F">
            <w:pPr>
              <w:bidi w:val="0"/>
              <w:jc w:val="center"/>
              <w:rPr>
                <w:rFonts w:hint="eastAsia" w:ascii="宋体" w:hAnsi="宋体" w:eastAsia="宋体" w:cs="宋体"/>
                <w:color w:val="auto"/>
                <w:sz w:val="24"/>
                <w:szCs w:val="24"/>
              </w:rPr>
            </w:pPr>
          </w:p>
        </w:tc>
      </w:tr>
      <w:tr w14:paraId="4DC4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73" w:type="dxa"/>
            <w:noWrap w:val="0"/>
            <w:vAlign w:val="center"/>
          </w:tcPr>
          <w:p w14:paraId="5BCC881D">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48" w:type="dxa"/>
            <w:noWrap w:val="0"/>
            <w:vAlign w:val="center"/>
          </w:tcPr>
          <w:p w14:paraId="0F42F0FD">
            <w:pPr>
              <w:bidi w:val="0"/>
              <w:jc w:val="center"/>
              <w:rPr>
                <w:rFonts w:hint="eastAsia" w:ascii="宋体" w:hAnsi="宋体" w:eastAsia="宋体" w:cs="宋体"/>
                <w:color w:val="auto"/>
                <w:sz w:val="24"/>
                <w:szCs w:val="24"/>
              </w:rPr>
            </w:pPr>
          </w:p>
        </w:tc>
        <w:tc>
          <w:tcPr>
            <w:tcW w:w="4063" w:type="dxa"/>
            <w:noWrap w:val="0"/>
            <w:vAlign w:val="center"/>
          </w:tcPr>
          <w:p w14:paraId="469E09CD">
            <w:pPr>
              <w:bidi w:val="0"/>
              <w:jc w:val="center"/>
              <w:rPr>
                <w:rFonts w:hint="eastAsia" w:ascii="宋体" w:hAnsi="宋体" w:eastAsia="宋体" w:cs="宋体"/>
                <w:color w:val="auto"/>
                <w:sz w:val="24"/>
                <w:szCs w:val="24"/>
              </w:rPr>
            </w:pPr>
          </w:p>
        </w:tc>
        <w:tc>
          <w:tcPr>
            <w:tcW w:w="2180" w:type="dxa"/>
            <w:noWrap w:val="0"/>
            <w:vAlign w:val="center"/>
          </w:tcPr>
          <w:p w14:paraId="6EFFB511">
            <w:pPr>
              <w:bidi w:val="0"/>
              <w:jc w:val="center"/>
              <w:rPr>
                <w:rFonts w:hint="eastAsia" w:ascii="宋体" w:hAnsi="宋体" w:eastAsia="宋体" w:cs="宋体"/>
                <w:color w:val="auto"/>
                <w:sz w:val="24"/>
                <w:szCs w:val="24"/>
              </w:rPr>
            </w:pPr>
          </w:p>
        </w:tc>
        <w:tc>
          <w:tcPr>
            <w:tcW w:w="897" w:type="dxa"/>
            <w:noWrap w:val="0"/>
            <w:vAlign w:val="center"/>
          </w:tcPr>
          <w:p w14:paraId="0D18DD07">
            <w:pPr>
              <w:bidi w:val="0"/>
              <w:jc w:val="center"/>
              <w:rPr>
                <w:rFonts w:hint="eastAsia" w:ascii="宋体" w:hAnsi="宋体" w:eastAsia="宋体" w:cs="宋体"/>
                <w:color w:val="auto"/>
                <w:sz w:val="24"/>
                <w:szCs w:val="24"/>
              </w:rPr>
            </w:pPr>
          </w:p>
        </w:tc>
        <w:tc>
          <w:tcPr>
            <w:tcW w:w="756" w:type="dxa"/>
            <w:noWrap w:val="0"/>
            <w:vAlign w:val="center"/>
          </w:tcPr>
          <w:p w14:paraId="0B7747F1">
            <w:pPr>
              <w:bidi w:val="0"/>
              <w:jc w:val="center"/>
              <w:rPr>
                <w:rFonts w:hint="eastAsia" w:ascii="宋体" w:hAnsi="宋体" w:eastAsia="宋体" w:cs="宋体"/>
                <w:color w:val="auto"/>
                <w:sz w:val="24"/>
                <w:szCs w:val="24"/>
              </w:rPr>
            </w:pPr>
          </w:p>
        </w:tc>
      </w:tr>
      <w:tr w14:paraId="5BCC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519F1026">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48" w:type="dxa"/>
            <w:noWrap w:val="0"/>
            <w:vAlign w:val="center"/>
          </w:tcPr>
          <w:p w14:paraId="064476C8">
            <w:pPr>
              <w:bidi w:val="0"/>
              <w:jc w:val="center"/>
              <w:rPr>
                <w:rFonts w:hint="eastAsia" w:ascii="宋体" w:hAnsi="宋体" w:eastAsia="宋体" w:cs="宋体"/>
                <w:color w:val="auto"/>
                <w:sz w:val="24"/>
                <w:szCs w:val="24"/>
              </w:rPr>
            </w:pPr>
          </w:p>
        </w:tc>
        <w:tc>
          <w:tcPr>
            <w:tcW w:w="4063" w:type="dxa"/>
            <w:noWrap w:val="0"/>
            <w:vAlign w:val="center"/>
          </w:tcPr>
          <w:p w14:paraId="580127E3">
            <w:pPr>
              <w:bidi w:val="0"/>
              <w:jc w:val="center"/>
              <w:rPr>
                <w:rFonts w:hint="eastAsia" w:ascii="宋体" w:hAnsi="宋体" w:eastAsia="宋体" w:cs="宋体"/>
                <w:color w:val="auto"/>
                <w:sz w:val="24"/>
                <w:szCs w:val="24"/>
              </w:rPr>
            </w:pPr>
          </w:p>
        </w:tc>
        <w:tc>
          <w:tcPr>
            <w:tcW w:w="2180" w:type="dxa"/>
            <w:noWrap w:val="0"/>
            <w:vAlign w:val="center"/>
          </w:tcPr>
          <w:p w14:paraId="671A9066">
            <w:pPr>
              <w:bidi w:val="0"/>
              <w:jc w:val="center"/>
              <w:rPr>
                <w:rFonts w:hint="eastAsia" w:ascii="宋体" w:hAnsi="宋体" w:eastAsia="宋体" w:cs="宋体"/>
                <w:color w:val="auto"/>
                <w:sz w:val="24"/>
                <w:szCs w:val="24"/>
              </w:rPr>
            </w:pPr>
          </w:p>
        </w:tc>
        <w:tc>
          <w:tcPr>
            <w:tcW w:w="897" w:type="dxa"/>
            <w:noWrap w:val="0"/>
            <w:vAlign w:val="center"/>
          </w:tcPr>
          <w:p w14:paraId="43338AC2">
            <w:pPr>
              <w:bidi w:val="0"/>
              <w:jc w:val="center"/>
              <w:rPr>
                <w:rFonts w:hint="eastAsia" w:ascii="宋体" w:hAnsi="宋体" w:eastAsia="宋体" w:cs="宋体"/>
                <w:color w:val="auto"/>
                <w:sz w:val="24"/>
                <w:szCs w:val="24"/>
              </w:rPr>
            </w:pPr>
          </w:p>
        </w:tc>
        <w:tc>
          <w:tcPr>
            <w:tcW w:w="756" w:type="dxa"/>
            <w:noWrap w:val="0"/>
            <w:vAlign w:val="center"/>
          </w:tcPr>
          <w:p w14:paraId="0F19E6BC">
            <w:pPr>
              <w:bidi w:val="0"/>
              <w:jc w:val="center"/>
              <w:rPr>
                <w:rFonts w:hint="eastAsia" w:ascii="宋体" w:hAnsi="宋体" w:eastAsia="宋体" w:cs="宋体"/>
                <w:color w:val="auto"/>
                <w:sz w:val="24"/>
                <w:szCs w:val="24"/>
              </w:rPr>
            </w:pPr>
          </w:p>
        </w:tc>
      </w:tr>
      <w:tr w14:paraId="35A0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7F7CF95F">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48" w:type="dxa"/>
            <w:noWrap w:val="0"/>
            <w:vAlign w:val="center"/>
          </w:tcPr>
          <w:p w14:paraId="1441D093">
            <w:pPr>
              <w:bidi w:val="0"/>
              <w:jc w:val="center"/>
              <w:rPr>
                <w:rFonts w:hint="eastAsia" w:ascii="宋体" w:hAnsi="宋体" w:eastAsia="宋体" w:cs="宋体"/>
                <w:color w:val="auto"/>
                <w:sz w:val="24"/>
                <w:szCs w:val="24"/>
              </w:rPr>
            </w:pPr>
          </w:p>
        </w:tc>
        <w:tc>
          <w:tcPr>
            <w:tcW w:w="4063" w:type="dxa"/>
            <w:noWrap w:val="0"/>
            <w:vAlign w:val="center"/>
          </w:tcPr>
          <w:p w14:paraId="5C1E65F6">
            <w:pPr>
              <w:bidi w:val="0"/>
              <w:jc w:val="center"/>
              <w:rPr>
                <w:rFonts w:hint="eastAsia" w:ascii="宋体" w:hAnsi="宋体" w:eastAsia="宋体" w:cs="宋体"/>
                <w:color w:val="auto"/>
                <w:sz w:val="24"/>
                <w:szCs w:val="24"/>
              </w:rPr>
            </w:pPr>
          </w:p>
        </w:tc>
        <w:tc>
          <w:tcPr>
            <w:tcW w:w="2180" w:type="dxa"/>
            <w:noWrap w:val="0"/>
            <w:vAlign w:val="center"/>
          </w:tcPr>
          <w:p w14:paraId="26FD280A">
            <w:pPr>
              <w:bidi w:val="0"/>
              <w:jc w:val="center"/>
              <w:rPr>
                <w:rFonts w:hint="eastAsia" w:ascii="宋体" w:hAnsi="宋体" w:eastAsia="宋体" w:cs="宋体"/>
                <w:color w:val="auto"/>
                <w:sz w:val="24"/>
                <w:szCs w:val="24"/>
              </w:rPr>
            </w:pPr>
          </w:p>
        </w:tc>
        <w:tc>
          <w:tcPr>
            <w:tcW w:w="897" w:type="dxa"/>
            <w:noWrap w:val="0"/>
            <w:vAlign w:val="center"/>
          </w:tcPr>
          <w:p w14:paraId="7BE5B9AF">
            <w:pPr>
              <w:bidi w:val="0"/>
              <w:jc w:val="center"/>
              <w:rPr>
                <w:rFonts w:hint="eastAsia" w:ascii="宋体" w:hAnsi="宋体" w:eastAsia="宋体" w:cs="宋体"/>
                <w:color w:val="auto"/>
                <w:sz w:val="24"/>
                <w:szCs w:val="24"/>
              </w:rPr>
            </w:pPr>
          </w:p>
        </w:tc>
        <w:tc>
          <w:tcPr>
            <w:tcW w:w="756" w:type="dxa"/>
            <w:noWrap w:val="0"/>
            <w:vAlign w:val="center"/>
          </w:tcPr>
          <w:p w14:paraId="23C764A3">
            <w:pPr>
              <w:bidi w:val="0"/>
              <w:jc w:val="center"/>
              <w:rPr>
                <w:rFonts w:hint="eastAsia" w:ascii="宋体" w:hAnsi="宋体" w:eastAsia="宋体" w:cs="宋体"/>
                <w:color w:val="auto"/>
                <w:sz w:val="24"/>
                <w:szCs w:val="24"/>
              </w:rPr>
            </w:pPr>
          </w:p>
        </w:tc>
      </w:tr>
      <w:tr w14:paraId="2F0E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257C7E12">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48" w:type="dxa"/>
            <w:noWrap w:val="0"/>
            <w:vAlign w:val="center"/>
          </w:tcPr>
          <w:p w14:paraId="7CAFB103">
            <w:pPr>
              <w:bidi w:val="0"/>
              <w:jc w:val="center"/>
              <w:rPr>
                <w:rFonts w:hint="eastAsia" w:ascii="宋体" w:hAnsi="宋体" w:eastAsia="宋体" w:cs="宋体"/>
                <w:color w:val="auto"/>
                <w:sz w:val="24"/>
                <w:szCs w:val="24"/>
                <w:lang w:val="en-US" w:eastAsia="zh-CN"/>
              </w:rPr>
            </w:pPr>
          </w:p>
        </w:tc>
        <w:tc>
          <w:tcPr>
            <w:tcW w:w="4063" w:type="dxa"/>
            <w:noWrap w:val="0"/>
            <w:vAlign w:val="center"/>
          </w:tcPr>
          <w:p w14:paraId="00E89EE1">
            <w:pPr>
              <w:bidi w:val="0"/>
              <w:jc w:val="center"/>
              <w:rPr>
                <w:rFonts w:hint="eastAsia" w:ascii="宋体" w:hAnsi="宋体" w:eastAsia="宋体" w:cs="宋体"/>
                <w:color w:val="auto"/>
                <w:sz w:val="24"/>
                <w:szCs w:val="24"/>
              </w:rPr>
            </w:pPr>
          </w:p>
        </w:tc>
        <w:tc>
          <w:tcPr>
            <w:tcW w:w="2180" w:type="dxa"/>
            <w:noWrap w:val="0"/>
            <w:vAlign w:val="center"/>
          </w:tcPr>
          <w:p w14:paraId="485015AF">
            <w:pPr>
              <w:bidi w:val="0"/>
              <w:jc w:val="center"/>
              <w:rPr>
                <w:rFonts w:hint="eastAsia" w:ascii="宋体" w:hAnsi="宋体" w:eastAsia="宋体" w:cs="宋体"/>
                <w:color w:val="auto"/>
                <w:sz w:val="24"/>
                <w:szCs w:val="24"/>
              </w:rPr>
            </w:pPr>
          </w:p>
        </w:tc>
        <w:tc>
          <w:tcPr>
            <w:tcW w:w="897" w:type="dxa"/>
            <w:noWrap w:val="0"/>
            <w:vAlign w:val="center"/>
          </w:tcPr>
          <w:p w14:paraId="326ADD7E">
            <w:pPr>
              <w:bidi w:val="0"/>
              <w:jc w:val="center"/>
              <w:rPr>
                <w:rFonts w:hint="eastAsia" w:ascii="宋体" w:hAnsi="宋体" w:eastAsia="宋体" w:cs="宋体"/>
                <w:color w:val="auto"/>
                <w:sz w:val="24"/>
                <w:szCs w:val="24"/>
              </w:rPr>
            </w:pPr>
          </w:p>
        </w:tc>
        <w:tc>
          <w:tcPr>
            <w:tcW w:w="756" w:type="dxa"/>
            <w:noWrap w:val="0"/>
            <w:vAlign w:val="center"/>
          </w:tcPr>
          <w:p w14:paraId="496F4997">
            <w:pPr>
              <w:bidi w:val="0"/>
              <w:jc w:val="center"/>
              <w:rPr>
                <w:rFonts w:hint="eastAsia" w:ascii="宋体" w:hAnsi="宋体" w:eastAsia="宋体" w:cs="宋体"/>
                <w:color w:val="auto"/>
                <w:sz w:val="24"/>
                <w:szCs w:val="24"/>
              </w:rPr>
            </w:pPr>
          </w:p>
        </w:tc>
      </w:tr>
      <w:tr w14:paraId="5EF5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23932F7B">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48" w:type="dxa"/>
            <w:noWrap w:val="0"/>
            <w:vAlign w:val="center"/>
          </w:tcPr>
          <w:p w14:paraId="2A40F882">
            <w:pPr>
              <w:bidi w:val="0"/>
              <w:jc w:val="center"/>
              <w:rPr>
                <w:rFonts w:hint="eastAsia" w:ascii="宋体" w:hAnsi="宋体" w:eastAsia="宋体" w:cs="宋体"/>
                <w:color w:val="auto"/>
                <w:sz w:val="24"/>
                <w:szCs w:val="24"/>
                <w:lang w:val="en-US" w:eastAsia="zh-CN"/>
              </w:rPr>
            </w:pPr>
          </w:p>
        </w:tc>
        <w:tc>
          <w:tcPr>
            <w:tcW w:w="4063" w:type="dxa"/>
            <w:noWrap w:val="0"/>
            <w:vAlign w:val="center"/>
          </w:tcPr>
          <w:p w14:paraId="59363F6A">
            <w:pPr>
              <w:bidi w:val="0"/>
              <w:jc w:val="center"/>
              <w:rPr>
                <w:rFonts w:hint="eastAsia" w:ascii="宋体" w:hAnsi="宋体" w:eastAsia="宋体" w:cs="宋体"/>
                <w:color w:val="auto"/>
                <w:sz w:val="24"/>
                <w:szCs w:val="24"/>
                <w:lang w:val="en-US" w:eastAsia="zh-CN"/>
              </w:rPr>
            </w:pPr>
          </w:p>
        </w:tc>
        <w:tc>
          <w:tcPr>
            <w:tcW w:w="2180" w:type="dxa"/>
            <w:noWrap w:val="0"/>
            <w:vAlign w:val="center"/>
          </w:tcPr>
          <w:p w14:paraId="5022441B">
            <w:pPr>
              <w:bidi w:val="0"/>
              <w:jc w:val="center"/>
              <w:rPr>
                <w:rFonts w:hint="eastAsia" w:ascii="宋体" w:hAnsi="宋体" w:eastAsia="宋体" w:cs="宋体"/>
                <w:color w:val="auto"/>
                <w:sz w:val="24"/>
                <w:szCs w:val="24"/>
              </w:rPr>
            </w:pPr>
          </w:p>
        </w:tc>
        <w:tc>
          <w:tcPr>
            <w:tcW w:w="897" w:type="dxa"/>
            <w:noWrap w:val="0"/>
            <w:vAlign w:val="center"/>
          </w:tcPr>
          <w:p w14:paraId="0698FCB8">
            <w:pPr>
              <w:bidi w:val="0"/>
              <w:jc w:val="center"/>
              <w:rPr>
                <w:rFonts w:hint="eastAsia" w:ascii="宋体" w:hAnsi="宋体" w:eastAsia="宋体" w:cs="宋体"/>
                <w:color w:val="auto"/>
                <w:sz w:val="24"/>
                <w:szCs w:val="24"/>
              </w:rPr>
            </w:pPr>
          </w:p>
        </w:tc>
        <w:tc>
          <w:tcPr>
            <w:tcW w:w="756" w:type="dxa"/>
            <w:noWrap w:val="0"/>
            <w:vAlign w:val="center"/>
          </w:tcPr>
          <w:p w14:paraId="55B9A75B">
            <w:pPr>
              <w:bidi w:val="0"/>
              <w:jc w:val="center"/>
              <w:rPr>
                <w:rFonts w:hint="eastAsia" w:ascii="宋体" w:hAnsi="宋体" w:eastAsia="宋体" w:cs="宋体"/>
                <w:color w:val="auto"/>
                <w:sz w:val="24"/>
                <w:szCs w:val="24"/>
              </w:rPr>
            </w:pPr>
          </w:p>
        </w:tc>
      </w:tr>
      <w:tr w14:paraId="3E51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3C81D0C1">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48" w:type="dxa"/>
            <w:noWrap w:val="0"/>
            <w:vAlign w:val="center"/>
          </w:tcPr>
          <w:p w14:paraId="7AD111A8">
            <w:pPr>
              <w:bidi w:val="0"/>
              <w:jc w:val="center"/>
              <w:rPr>
                <w:rFonts w:hint="eastAsia" w:ascii="宋体" w:hAnsi="宋体" w:eastAsia="宋体" w:cs="宋体"/>
                <w:color w:val="auto"/>
                <w:sz w:val="24"/>
                <w:szCs w:val="24"/>
                <w:lang w:val="en-US" w:eastAsia="zh-CN"/>
              </w:rPr>
            </w:pPr>
          </w:p>
        </w:tc>
        <w:tc>
          <w:tcPr>
            <w:tcW w:w="4063" w:type="dxa"/>
            <w:noWrap w:val="0"/>
            <w:vAlign w:val="center"/>
          </w:tcPr>
          <w:p w14:paraId="6422F28E">
            <w:pPr>
              <w:bidi w:val="0"/>
              <w:jc w:val="center"/>
              <w:rPr>
                <w:rFonts w:hint="eastAsia" w:ascii="宋体" w:hAnsi="宋体" w:eastAsia="宋体" w:cs="宋体"/>
                <w:color w:val="auto"/>
                <w:sz w:val="24"/>
                <w:szCs w:val="24"/>
                <w:lang w:val="en-US" w:eastAsia="zh-CN"/>
              </w:rPr>
            </w:pPr>
          </w:p>
        </w:tc>
        <w:tc>
          <w:tcPr>
            <w:tcW w:w="2180" w:type="dxa"/>
            <w:noWrap w:val="0"/>
            <w:vAlign w:val="center"/>
          </w:tcPr>
          <w:p w14:paraId="5385239B">
            <w:pPr>
              <w:bidi w:val="0"/>
              <w:jc w:val="center"/>
              <w:rPr>
                <w:rFonts w:hint="eastAsia" w:ascii="宋体" w:hAnsi="宋体" w:eastAsia="宋体" w:cs="宋体"/>
                <w:color w:val="auto"/>
                <w:sz w:val="24"/>
                <w:szCs w:val="24"/>
              </w:rPr>
            </w:pPr>
          </w:p>
        </w:tc>
        <w:tc>
          <w:tcPr>
            <w:tcW w:w="897" w:type="dxa"/>
            <w:noWrap w:val="0"/>
            <w:vAlign w:val="center"/>
          </w:tcPr>
          <w:p w14:paraId="1D525E69">
            <w:pPr>
              <w:bidi w:val="0"/>
              <w:jc w:val="center"/>
              <w:rPr>
                <w:rFonts w:hint="eastAsia" w:ascii="宋体" w:hAnsi="宋体" w:eastAsia="宋体" w:cs="宋体"/>
                <w:color w:val="auto"/>
                <w:sz w:val="24"/>
                <w:szCs w:val="24"/>
              </w:rPr>
            </w:pPr>
          </w:p>
        </w:tc>
        <w:tc>
          <w:tcPr>
            <w:tcW w:w="756" w:type="dxa"/>
            <w:noWrap w:val="0"/>
            <w:vAlign w:val="center"/>
          </w:tcPr>
          <w:p w14:paraId="2271A1B3">
            <w:pPr>
              <w:bidi w:val="0"/>
              <w:jc w:val="center"/>
              <w:rPr>
                <w:rFonts w:hint="eastAsia" w:ascii="宋体" w:hAnsi="宋体" w:eastAsia="宋体" w:cs="宋体"/>
                <w:color w:val="auto"/>
                <w:sz w:val="24"/>
                <w:szCs w:val="24"/>
              </w:rPr>
            </w:pPr>
          </w:p>
        </w:tc>
      </w:tr>
      <w:tr w14:paraId="7914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309CA0DA">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248" w:type="dxa"/>
            <w:noWrap w:val="0"/>
            <w:vAlign w:val="center"/>
          </w:tcPr>
          <w:p w14:paraId="25F749D0">
            <w:pPr>
              <w:bidi w:val="0"/>
              <w:jc w:val="center"/>
              <w:rPr>
                <w:rFonts w:hint="eastAsia" w:ascii="宋体" w:hAnsi="宋体" w:eastAsia="宋体" w:cs="宋体"/>
                <w:color w:val="auto"/>
                <w:sz w:val="24"/>
                <w:szCs w:val="24"/>
                <w:lang w:val="en-US" w:eastAsia="zh-CN"/>
              </w:rPr>
            </w:pPr>
          </w:p>
        </w:tc>
        <w:tc>
          <w:tcPr>
            <w:tcW w:w="4063" w:type="dxa"/>
            <w:noWrap w:val="0"/>
            <w:vAlign w:val="center"/>
          </w:tcPr>
          <w:p w14:paraId="1B761373">
            <w:pPr>
              <w:bidi w:val="0"/>
              <w:jc w:val="center"/>
              <w:rPr>
                <w:rFonts w:hint="eastAsia" w:ascii="宋体" w:hAnsi="宋体" w:eastAsia="宋体" w:cs="宋体"/>
                <w:color w:val="auto"/>
                <w:sz w:val="24"/>
                <w:szCs w:val="24"/>
                <w:lang w:val="en-US" w:eastAsia="zh-CN"/>
              </w:rPr>
            </w:pPr>
          </w:p>
        </w:tc>
        <w:tc>
          <w:tcPr>
            <w:tcW w:w="2180" w:type="dxa"/>
            <w:noWrap w:val="0"/>
            <w:vAlign w:val="center"/>
          </w:tcPr>
          <w:p w14:paraId="428D8BAA">
            <w:pPr>
              <w:bidi w:val="0"/>
              <w:jc w:val="center"/>
              <w:rPr>
                <w:rFonts w:hint="eastAsia" w:ascii="宋体" w:hAnsi="宋体" w:eastAsia="宋体" w:cs="宋体"/>
                <w:color w:val="auto"/>
                <w:sz w:val="24"/>
                <w:szCs w:val="24"/>
              </w:rPr>
            </w:pPr>
          </w:p>
        </w:tc>
        <w:tc>
          <w:tcPr>
            <w:tcW w:w="897" w:type="dxa"/>
            <w:noWrap w:val="0"/>
            <w:vAlign w:val="center"/>
          </w:tcPr>
          <w:p w14:paraId="13411B9C">
            <w:pPr>
              <w:bidi w:val="0"/>
              <w:jc w:val="center"/>
              <w:rPr>
                <w:rFonts w:hint="eastAsia" w:ascii="宋体" w:hAnsi="宋体" w:eastAsia="宋体" w:cs="宋体"/>
                <w:color w:val="auto"/>
                <w:sz w:val="24"/>
                <w:szCs w:val="24"/>
              </w:rPr>
            </w:pPr>
          </w:p>
        </w:tc>
        <w:tc>
          <w:tcPr>
            <w:tcW w:w="756" w:type="dxa"/>
            <w:noWrap w:val="0"/>
            <w:vAlign w:val="center"/>
          </w:tcPr>
          <w:p w14:paraId="4B115ECE">
            <w:pPr>
              <w:bidi w:val="0"/>
              <w:jc w:val="center"/>
              <w:rPr>
                <w:rFonts w:hint="eastAsia" w:ascii="宋体" w:hAnsi="宋体" w:eastAsia="宋体" w:cs="宋体"/>
                <w:color w:val="auto"/>
                <w:sz w:val="24"/>
                <w:szCs w:val="24"/>
              </w:rPr>
            </w:pPr>
          </w:p>
        </w:tc>
      </w:tr>
      <w:tr w14:paraId="657C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55B3F99A">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248" w:type="dxa"/>
            <w:noWrap w:val="0"/>
            <w:vAlign w:val="center"/>
          </w:tcPr>
          <w:p w14:paraId="309D4246">
            <w:pPr>
              <w:bidi w:val="0"/>
              <w:jc w:val="center"/>
              <w:rPr>
                <w:rFonts w:hint="eastAsia" w:ascii="宋体" w:hAnsi="宋体" w:eastAsia="宋体" w:cs="宋体"/>
                <w:color w:val="auto"/>
                <w:sz w:val="24"/>
                <w:szCs w:val="24"/>
                <w:lang w:val="en-US" w:eastAsia="zh-CN"/>
              </w:rPr>
            </w:pPr>
          </w:p>
        </w:tc>
        <w:tc>
          <w:tcPr>
            <w:tcW w:w="4063" w:type="dxa"/>
            <w:noWrap w:val="0"/>
            <w:vAlign w:val="center"/>
          </w:tcPr>
          <w:p w14:paraId="1ED9D778">
            <w:pPr>
              <w:bidi w:val="0"/>
              <w:jc w:val="center"/>
              <w:rPr>
                <w:rFonts w:hint="eastAsia" w:ascii="宋体" w:hAnsi="宋体" w:eastAsia="宋体" w:cs="宋体"/>
                <w:color w:val="auto"/>
                <w:sz w:val="24"/>
                <w:szCs w:val="24"/>
                <w:lang w:val="en-US" w:eastAsia="zh-CN"/>
              </w:rPr>
            </w:pPr>
          </w:p>
        </w:tc>
        <w:tc>
          <w:tcPr>
            <w:tcW w:w="2180" w:type="dxa"/>
            <w:noWrap w:val="0"/>
            <w:vAlign w:val="center"/>
          </w:tcPr>
          <w:p w14:paraId="5804DAC1">
            <w:pPr>
              <w:bidi w:val="0"/>
              <w:jc w:val="center"/>
              <w:rPr>
                <w:rFonts w:hint="eastAsia" w:ascii="宋体" w:hAnsi="宋体" w:eastAsia="宋体" w:cs="宋体"/>
                <w:color w:val="auto"/>
                <w:sz w:val="24"/>
                <w:szCs w:val="24"/>
              </w:rPr>
            </w:pPr>
          </w:p>
        </w:tc>
        <w:tc>
          <w:tcPr>
            <w:tcW w:w="897" w:type="dxa"/>
            <w:noWrap w:val="0"/>
            <w:vAlign w:val="center"/>
          </w:tcPr>
          <w:p w14:paraId="6241F3FD">
            <w:pPr>
              <w:bidi w:val="0"/>
              <w:jc w:val="center"/>
              <w:rPr>
                <w:rFonts w:hint="eastAsia" w:ascii="宋体" w:hAnsi="宋体" w:eastAsia="宋体" w:cs="宋体"/>
                <w:color w:val="auto"/>
                <w:sz w:val="24"/>
                <w:szCs w:val="24"/>
              </w:rPr>
            </w:pPr>
          </w:p>
        </w:tc>
        <w:tc>
          <w:tcPr>
            <w:tcW w:w="756" w:type="dxa"/>
            <w:noWrap w:val="0"/>
            <w:vAlign w:val="center"/>
          </w:tcPr>
          <w:p w14:paraId="3969CE73">
            <w:pPr>
              <w:bidi w:val="0"/>
              <w:jc w:val="center"/>
              <w:rPr>
                <w:rFonts w:hint="eastAsia" w:ascii="宋体" w:hAnsi="宋体" w:eastAsia="宋体" w:cs="宋体"/>
                <w:color w:val="auto"/>
                <w:sz w:val="24"/>
                <w:szCs w:val="24"/>
              </w:rPr>
            </w:pPr>
          </w:p>
        </w:tc>
      </w:tr>
      <w:tr w14:paraId="26C2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6995DDA4">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248" w:type="dxa"/>
            <w:noWrap w:val="0"/>
            <w:vAlign w:val="center"/>
          </w:tcPr>
          <w:p w14:paraId="0BF55ADC">
            <w:pPr>
              <w:bidi w:val="0"/>
              <w:jc w:val="center"/>
              <w:rPr>
                <w:rFonts w:hint="eastAsia" w:ascii="宋体" w:hAnsi="宋体" w:eastAsia="宋体" w:cs="宋体"/>
                <w:color w:val="auto"/>
                <w:sz w:val="24"/>
                <w:szCs w:val="24"/>
                <w:lang w:val="en-US" w:eastAsia="zh-CN"/>
              </w:rPr>
            </w:pPr>
          </w:p>
        </w:tc>
        <w:tc>
          <w:tcPr>
            <w:tcW w:w="4063" w:type="dxa"/>
            <w:noWrap w:val="0"/>
            <w:vAlign w:val="center"/>
          </w:tcPr>
          <w:p w14:paraId="5E61862E">
            <w:pPr>
              <w:bidi w:val="0"/>
              <w:jc w:val="center"/>
              <w:rPr>
                <w:rFonts w:hint="eastAsia" w:ascii="宋体" w:hAnsi="宋体" w:eastAsia="宋体" w:cs="宋体"/>
                <w:color w:val="auto"/>
                <w:sz w:val="24"/>
                <w:szCs w:val="24"/>
                <w:lang w:val="en-US" w:eastAsia="zh-CN"/>
              </w:rPr>
            </w:pPr>
          </w:p>
        </w:tc>
        <w:tc>
          <w:tcPr>
            <w:tcW w:w="2180" w:type="dxa"/>
            <w:noWrap w:val="0"/>
            <w:vAlign w:val="center"/>
          </w:tcPr>
          <w:p w14:paraId="7A035763">
            <w:pPr>
              <w:bidi w:val="0"/>
              <w:jc w:val="center"/>
              <w:rPr>
                <w:rFonts w:hint="eastAsia" w:ascii="宋体" w:hAnsi="宋体" w:eastAsia="宋体" w:cs="宋体"/>
                <w:color w:val="auto"/>
                <w:sz w:val="24"/>
                <w:szCs w:val="24"/>
              </w:rPr>
            </w:pPr>
          </w:p>
        </w:tc>
        <w:tc>
          <w:tcPr>
            <w:tcW w:w="897" w:type="dxa"/>
            <w:noWrap w:val="0"/>
            <w:vAlign w:val="center"/>
          </w:tcPr>
          <w:p w14:paraId="1EFF42CB">
            <w:pPr>
              <w:bidi w:val="0"/>
              <w:jc w:val="center"/>
              <w:rPr>
                <w:rFonts w:hint="eastAsia" w:ascii="宋体" w:hAnsi="宋体" w:eastAsia="宋体" w:cs="宋体"/>
                <w:color w:val="auto"/>
                <w:sz w:val="24"/>
                <w:szCs w:val="24"/>
              </w:rPr>
            </w:pPr>
          </w:p>
        </w:tc>
        <w:tc>
          <w:tcPr>
            <w:tcW w:w="756" w:type="dxa"/>
            <w:noWrap w:val="0"/>
            <w:vAlign w:val="center"/>
          </w:tcPr>
          <w:p w14:paraId="766F27D2">
            <w:pPr>
              <w:bidi w:val="0"/>
              <w:jc w:val="center"/>
              <w:rPr>
                <w:rFonts w:hint="eastAsia" w:ascii="宋体" w:hAnsi="宋体" w:eastAsia="宋体" w:cs="宋体"/>
                <w:color w:val="auto"/>
                <w:sz w:val="24"/>
                <w:szCs w:val="24"/>
              </w:rPr>
            </w:pPr>
          </w:p>
        </w:tc>
      </w:tr>
    </w:tbl>
    <w:p w14:paraId="5BC60F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注：1.对招标文件中的所有商务、技术要求，除本表所列明的所有偏离外，均视作供应商已对之理解和响应。</w:t>
      </w:r>
    </w:p>
    <w:p w14:paraId="5D130E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2.投标人应对招标文件“第五章 采购需求”中的所有条款进行点对点应答，此表中若无任何文字说明，内容为空白的，</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14:paraId="183624A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3.“偏离情况”列应据实填写“无偏离”、“正偏离”或“负偏离”。</w:t>
      </w:r>
    </w:p>
    <w:p w14:paraId="0B643C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4.</w:t>
      </w:r>
      <w:r>
        <w:rPr>
          <w:rFonts w:hint="eastAsia" w:ascii="宋体" w:hAnsi="宋体" w:eastAsia="宋体" w:cs="宋体"/>
          <w:b/>
          <w:bCs/>
          <w:color w:val="auto"/>
          <w:sz w:val="24"/>
          <w:szCs w:val="24"/>
        </w:rPr>
        <w:t>招标文件“第五章采购需求中”需提供佐证材料的项，应在此表备注栏明确标注对应页码，否则将视为未提供佐证材料。</w:t>
      </w:r>
    </w:p>
    <w:p w14:paraId="0F567C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（盖章）</w:t>
      </w:r>
    </w:p>
    <w:p w14:paraId="498DE4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法定代表人（单位负责人）或授权代表（签字并盖章）：</w:t>
      </w:r>
    </w:p>
    <w:p w14:paraId="1791BB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3F940A94">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00AAB21">
      <w:pPr>
        <w:spacing w:before="48" w:line="220" w:lineRule="auto"/>
        <w:outlineLvl w:val="9"/>
        <w:rPr>
          <w:rFonts w:hint="eastAsia" w:ascii="宋体" w:hAnsi="宋体" w:eastAsia="宋体" w:cs="宋体"/>
          <w:color w:val="auto"/>
          <w:sz w:val="24"/>
          <w:szCs w:val="24"/>
        </w:rPr>
      </w:pPr>
      <w:bookmarkStart w:id="44" w:name="_Toc6032"/>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格式五：</w:t>
      </w:r>
      <w:bookmarkEnd w:id="44"/>
    </w:p>
    <w:p w14:paraId="1FD3ED44">
      <w:pPr>
        <w:spacing w:before="182" w:line="219" w:lineRule="auto"/>
        <w:ind w:left="3324"/>
        <w:outlineLvl w:val="9"/>
        <w:rPr>
          <w:rFonts w:hint="eastAsia" w:ascii="宋体" w:hAnsi="宋体" w:eastAsia="宋体" w:cs="宋体"/>
          <w:color w:val="auto"/>
          <w:sz w:val="24"/>
          <w:szCs w:val="24"/>
        </w:rPr>
      </w:pPr>
      <w:bookmarkStart w:id="45" w:name="_Toc6896"/>
      <w:r>
        <w:rPr>
          <w:rFonts w:hint="eastAsia" w:ascii="宋体" w:hAnsi="宋体" w:eastAsia="宋体" w:cs="宋体"/>
          <w:color w:val="auto"/>
          <w:sz w:val="24"/>
          <w:szCs w:val="24"/>
          <w14:textOutline w14:w="4358" w14:cap="sq" w14:cmpd="sng">
            <w14:solidFill>
              <w14:srgbClr w14:val="000000"/>
            </w14:solidFill>
            <w14:prstDash w14:val="solid"/>
            <w14:bevel/>
          </w14:textOutline>
        </w:rPr>
        <w:t>售后服务承诺书</w:t>
      </w:r>
      <w:bookmarkEnd w:id="45"/>
    </w:p>
    <w:p w14:paraId="3B778739">
      <w:pPr>
        <w:pStyle w:val="5"/>
        <w:spacing w:line="283" w:lineRule="auto"/>
        <w:outlineLvl w:val="9"/>
        <w:rPr>
          <w:rFonts w:hint="eastAsia" w:ascii="宋体" w:hAnsi="宋体" w:eastAsia="宋体" w:cs="宋体"/>
          <w:color w:val="auto"/>
        </w:rPr>
      </w:pPr>
    </w:p>
    <w:p w14:paraId="48139145">
      <w:pPr>
        <w:pStyle w:val="5"/>
        <w:spacing w:line="284" w:lineRule="auto"/>
        <w:outlineLvl w:val="9"/>
        <w:rPr>
          <w:rFonts w:hint="eastAsia" w:ascii="宋体" w:hAnsi="宋体" w:eastAsia="宋体" w:cs="宋体"/>
          <w:color w:val="auto"/>
        </w:rPr>
      </w:pPr>
    </w:p>
    <w:p w14:paraId="5EDD13B7">
      <w:pPr>
        <w:spacing w:before="78" w:line="220" w:lineRule="auto"/>
        <w:ind w:left="22"/>
        <w:outlineLvl w:val="9"/>
        <w:rPr>
          <w:rFonts w:hint="eastAsia" w:ascii="宋体" w:hAnsi="宋体" w:eastAsia="宋体" w:cs="宋体"/>
          <w:color w:val="auto"/>
          <w:sz w:val="24"/>
          <w:szCs w:val="24"/>
        </w:rPr>
      </w:pPr>
      <w:bookmarkStart w:id="46" w:name="_Toc25879"/>
      <w:r>
        <w:rPr>
          <w:rFonts w:hint="eastAsia" w:ascii="宋体" w:hAnsi="宋体" w:eastAsia="宋体" w:cs="宋体"/>
          <w:color w:val="auto"/>
          <w:spacing w:val="-3"/>
          <w:sz w:val="24"/>
          <w:szCs w:val="24"/>
        </w:rPr>
        <w:t>吉林省吉诚工程咨询有限公司：</w:t>
      </w:r>
      <w:bookmarkEnd w:id="46"/>
    </w:p>
    <w:p w14:paraId="23F52C2C">
      <w:pPr>
        <w:spacing w:before="179" w:line="360" w:lineRule="auto"/>
        <w:ind w:left="2" w:firstLine="479"/>
        <w:jc w:val="both"/>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我公司自愿参加</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2"/>
          <w:sz w:val="24"/>
          <w:szCs w:val="24"/>
        </w:rPr>
        <w:t>项目（项目编号）的投标。我公司郑重承诺</w:t>
      </w:r>
      <w:r>
        <w:rPr>
          <w:rFonts w:hint="eastAsia" w:ascii="宋体" w:hAnsi="宋体" w:eastAsia="宋体" w:cs="宋体"/>
          <w:color w:val="auto"/>
          <w:spacing w:val="-3"/>
          <w:sz w:val="24"/>
          <w:szCs w:val="24"/>
        </w:rPr>
        <w:t>，如果我公司的</w:t>
      </w:r>
      <w:r>
        <w:rPr>
          <w:rFonts w:hint="eastAsia" w:ascii="宋体" w:hAnsi="宋体" w:eastAsia="宋体" w:cs="宋体"/>
          <w:color w:val="auto"/>
          <w:spacing w:val="-2"/>
          <w:sz w:val="24"/>
          <w:szCs w:val="24"/>
        </w:rPr>
        <w:t>投标被评定为中标，我公司对于中标货物，除完全响应招标文件合同条款对伴随服务和售</w:t>
      </w:r>
      <w:r>
        <w:rPr>
          <w:rFonts w:hint="eastAsia" w:ascii="宋体" w:hAnsi="宋体" w:eastAsia="宋体" w:cs="宋体"/>
          <w:color w:val="auto"/>
          <w:spacing w:val="-1"/>
          <w:sz w:val="24"/>
          <w:szCs w:val="24"/>
        </w:rPr>
        <w:t>后服务的所有要求外，还将按照以下条款提供优质和完善的售后服务：</w:t>
      </w:r>
    </w:p>
    <w:p w14:paraId="67D8568C">
      <w:pPr>
        <w:spacing w:before="217" w:line="469" w:lineRule="exact"/>
        <w:ind w:left="497"/>
        <w:outlineLvl w:val="9"/>
        <w:rPr>
          <w:rFonts w:hint="eastAsia" w:ascii="宋体" w:hAnsi="宋体" w:eastAsia="宋体" w:cs="宋体"/>
          <w:color w:val="auto"/>
          <w:sz w:val="24"/>
          <w:szCs w:val="24"/>
        </w:rPr>
      </w:pPr>
      <w:r>
        <w:rPr>
          <w:rFonts w:hint="eastAsia" w:ascii="宋体" w:hAnsi="宋体" w:eastAsia="宋体" w:cs="宋体"/>
          <w:color w:val="auto"/>
          <w:spacing w:val="-14"/>
          <w:position w:val="21"/>
          <w:sz w:val="24"/>
          <w:szCs w:val="24"/>
        </w:rPr>
        <w:t>1.</w:t>
      </w:r>
    </w:p>
    <w:p w14:paraId="7436477E">
      <w:pPr>
        <w:spacing w:line="183" w:lineRule="auto"/>
        <w:ind w:left="482"/>
        <w:outlineLvl w:val="9"/>
        <w:rPr>
          <w:rFonts w:hint="eastAsia" w:ascii="宋体" w:hAnsi="宋体" w:eastAsia="宋体" w:cs="宋体"/>
          <w:color w:val="auto"/>
          <w:sz w:val="24"/>
          <w:szCs w:val="24"/>
        </w:rPr>
      </w:pPr>
      <w:r>
        <w:rPr>
          <w:rFonts w:hint="eastAsia" w:ascii="宋体" w:hAnsi="宋体" w:eastAsia="宋体" w:cs="宋体"/>
          <w:color w:val="auto"/>
          <w:spacing w:val="-7"/>
          <w:sz w:val="24"/>
          <w:szCs w:val="24"/>
        </w:rPr>
        <w:t>2.</w:t>
      </w:r>
    </w:p>
    <w:p w14:paraId="24E37562">
      <w:pPr>
        <w:spacing w:before="210" w:line="99" w:lineRule="exact"/>
        <w:ind w:left="486"/>
        <w:outlineLvl w:val="9"/>
        <w:rPr>
          <w:rFonts w:hint="eastAsia" w:ascii="宋体" w:hAnsi="宋体" w:eastAsia="宋体" w:cs="宋体"/>
          <w:color w:val="auto"/>
          <w:sz w:val="24"/>
          <w:szCs w:val="24"/>
        </w:rPr>
      </w:pPr>
      <w:r>
        <w:rPr>
          <w:rFonts w:hint="eastAsia" w:ascii="宋体" w:hAnsi="宋体" w:eastAsia="宋体" w:cs="宋体"/>
          <w:color w:val="auto"/>
          <w:position w:val="1"/>
          <w:sz w:val="24"/>
          <w:szCs w:val="24"/>
        </w:rPr>
        <w:t>...</w:t>
      </w:r>
    </w:p>
    <w:p w14:paraId="6C5523D7">
      <w:pPr>
        <w:pStyle w:val="5"/>
        <w:spacing w:line="295" w:lineRule="auto"/>
        <w:outlineLvl w:val="9"/>
        <w:rPr>
          <w:rFonts w:hint="eastAsia" w:ascii="宋体" w:hAnsi="宋体" w:eastAsia="宋体" w:cs="宋体"/>
          <w:color w:val="auto"/>
        </w:rPr>
      </w:pPr>
    </w:p>
    <w:p w14:paraId="483F134B">
      <w:pPr>
        <w:pStyle w:val="5"/>
        <w:spacing w:line="295" w:lineRule="auto"/>
        <w:outlineLvl w:val="9"/>
        <w:rPr>
          <w:rFonts w:hint="eastAsia" w:ascii="宋体" w:hAnsi="宋体" w:eastAsia="宋体" w:cs="宋体"/>
          <w:color w:val="auto"/>
        </w:rPr>
      </w:pPr>
    </w:p>
    <w:p w14:paraId="21C6BFD7">
      <w:pPr>
        <w:pStyle w:val="5"/>
        <w:spacing w:line="296" w:lineRule="auto"/>
        <w:outlineLvl w:val="9"/>
        <w:rPr>
          <w:rFonts w:hint="eastAsia" w:ascii="宋体" w:hAnsi="宋体" w:eastAsia="宋体" w:cs="宋体"/>
          <w:color w:val="auto"/>
        </w:rPr>
      </w:pPr>
    </w:p>
    <w:p w14:paraId="36CABC51">
      <w:pPr>
        <w:spacing w:before="79" w:line="219" w:lineRule="auto"/>
        <w:ind w:left="482"/>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投标人名称</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 xml:space="preserve">                           </w:t>
      </w:r>
      <w:r>
        <w:rPr>
          <w:rFonts w:hint="eastAsia" w:ascii="宋体" w:hAnsi="宋体" w:eastAsia="宋体" w:cs="宋体"/>
          <w:color w:val="auto"/>
          <w:spacing w:val="-2"/>
          <w:sz w:val="24"/>
          <w:szCs w:val="24"/>
        </w:rPr>
        <w:t>（盖章</w:t>
      </w:r>
      <w:r>
        <w:rPr>
          <w:rFonts w:hint="eastAsia" w:ascii="宋体" w:hAnsi="宋体" w:eastAsia="宋体" w:cs="宋体"/>
          <w:color w:val="auto"/>
          <w:spacing w:val="1"/>
          <w:sz w:val="24"/>
          <w:szCs w:val="24"/>
        </w:rPr>
        <w:t>）</w:t>
      </w:r>
    </w:p>
    <w:p w14:paraId="3A23DF0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w:t>
      </w:r>
      <w:r>
        <w:rPr>
          <w:rFonts w:hint="eastAsia" w:ascii="宋体" w:hAnsi="宋体" w:eastAsia="宋体" w:cs="宋体"/>
          <w:color w:val="auto"/>
          <w:sz w:val="24"/>
          <w:szCs w:val="24"/>
          <w:lang w:val="en-US" w:eastAsia="zh-CN"/>
        </w:rPr>
        <w:t>并盖章</w:t>
      </w:r>
      <w:r>
        <w:rPr>
          <w:rFonts w:hint="eastAsia" w:ascii="宋体" w:hAnsi="宋体" w:eastAsia="宋体" w:cs="宋体"/>
          <w:color w:val="auto"/>
          <w:sz w:val="24"/>
          <w:szCs w:val="24"/>
        </w:rPr>
        <w:t>）：</w:t>
      </w:r>
    </w:p>
    <w:p w14:paraId="682DE1F7">
      <w:pPr>
        <w:spacing w:before="180" w:line="220" w:lineRule="auto"/>
        <w:ind w:left="480"/>
        <w:outlineLvl w:val="9"/>
        <w:rPr>
          <w:rFonts w:hint="eastAsia" w:ascii="宋体" w:hAnsi="宋体" w:eastAsia="宋体" w:cs="宋体"/>
          <w:color w:val="auto"/>
          <w:sz w:val="24"/>
          <w:szCs w:val="24"/>
        </w:rPr>
      </w:pPr>
      <w:bookmarkStart w:id="47" w:name="_Toc1282"/>
      <w:r>
        <w:rPr>
          <w:rFonts w:hint="eastAsia" w:ascii="宋体" w:hAnsi="宋体" w:eastAsia="宋体" w:cs="宋体"/>
          <w:color w:val="auto"/>
          <w:spacing w:val="-9"/>
          <w:sz w:val="24"/>
          <w:szCs w:val="24"/>
          <w:lang w:val="en-US" w:eastAsia="zh-CN"/>
        </w:rPr>
        <w:t xml:space="preserve">日期：    </w:t>
      </w:r>
      <w:r>
        <w:rPr>
          <w:rFonts w:hint="eastAsia" w:ascii="宋体" w:hAnsi="宋体" w:eastAsia="宋体" w:cs="宋体"/>
          <w:color w:val="auto"/>
          <w:spacing w:val="-9"/>
          <w:sz w:val="24"/>
          <w:szCs w:val="24"/>
        </w:rPr>
        <w:t>年</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9"/>
          <w:sz w:val="24"/>
          <w:szCs w:val="24"/>
        </w:rPr>
        <w:t>日</w:t>
      </w:r>
      <w:bookmarkEnd w:id="47"/>
    </w:p>
    <w:p w14:paraId="623E35F2">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364EC07B">
      <w:pPr>
        <w:spacing w:before="48" w:line="220" w:lineRule="auto"/>
        <w:outlineLvl w:val="9"/>
        <w:rPr>
          <w:rFonts w:hint="eastAsia" w:ascii="宋体" w:hAnsi="宋体" w:eastAsia="宋体" w:cs="宋体"/>
          <w:color w:val="auto"/>
          <w:sz w:val="24"/>
          <w:szCs w:val="24"/>
        </w:rPr>
      </w:pPr>
      <w:bookmarkStart w:id="48" w:name="_Toc30861"/>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格式六：</w:t>
      </w:r>
      <w:bookmarkEnd w:id="48"/>
    </w:p>
    <w:p w14:paraId="453CA433">
      <w:pPr>
        <w:spacing w:before="182" w:line="220" w:lineRule="auto"/>
        <w:ind w:left="2240"/>
        <w:outlineLvl w:val="9"/>
        <w:rPr>
          <w:rFonts w:hint="eastAsia" w:ascii="宋体" w:hAnsi="宋体" w:eastAsia="宋体" w:cs="宋体"/>
          <w:color w:val="auto"/>
          <w:sz w:val="24"/>
          <w:szCs w:val="24"/>
        </w:rPr>
      </w:pPr>
      <w:bookmarkStart w:id="49" w:name="_Toc30902"/>
      <w:r>
        <w:rPr>
          <w:rFonts w:hint="eastAsia" w:ascii="宋体" w:hAnsi="宋体" w:eastAsia="宋体" w:cs="宋体"/>
          <w:color w:val="auto"/>
          <w:sz w:val="24"/>
          <w:szCs w:val="24"/>
          <w14:textOutline w14:w="4358" w14:cap="sq" w14:cmpd="sng">
            <w14:solidFill>
              <w14:srgbClr w14:val="000000"/>
            </w14:solidFill>
            <w14:prstDash w14:val="solid"/>
            <w14:bevel/>
          </w14:textOutline>
        </w:rPr>
        <w:t>法定代表人（单位负责人）身份证明</w:t>
      </w:r>
      <w:bookmarkEnd w:id="49"/>
    </w:p>
    <w:p w14:paraId="381D7BE1">
      <w:pPr>
        <w:pStyle w:val="5"/>
        <w:spacing w:line="283" w:lineRule="auto"/>
        <w:outlineLvl w:val="9"/>
        <w:rPr>
          <w:rFonts w:hint="eastAsia" w:ascii="宋体" w:hAnsi="宋体" w:eastAsia="宋体" w:cs="宋体"/>
          <w:color w:val="auto"/>
        </w:rPr>
      </w:pPr>
    </w:p>
    <w:p w14:paraId="66E58CAE">
      <w:pPr>
        <w:pStyle w:val="5"/>
        <w:spacing w:line="283" w:lineRule="auto"/>
        <w:outlineLvl w:val="9"/>
        <w:rPr>
          <w:rFonts w:hint="eastAsia" w:ascii="宋体" w:hAnsi="宋体" w:eastAsia="宋体" w:cs="宋体"/>
          <w:color w:val="auto"/>
        </w:rPr>
      </w:pPr>
    </w:p>
    <w:p w14:paraId="34FA38AF">
      <w:pPr>
        <w:spacing w:before="78" w:line="219" w:lineRule="auto"/>
        <w:outlineLvl w:val="9"/>
        <w:rPr>
          <w:rFonts w:hint="eastAsia" w:ascii="宋体" w:hAnsi="宋体" w:eastAsia="宋体" w:cs="宋体"/>
          <w:color w:val="auto"/>
          <w:sz w:val="24"/>
          <w:szCs w:val="24"/>
        </w:rPr>
      </w:pPr>
      <w:bookmarkStart w:id="50" w:name="_Toc10707"/>
      <w:r>
        <w:rPr>
          <w:rFonts w:hint="eastAsia" w:ascii="宋体" w:hAnsi="宋体" w:eastAsia="宋体" w:cs="宋体"/>
          <w:color w:val="auto"/>
          <w:spacing w:val="2"/>
          <w:sz w:val="24"/>
          <w:szCs w:val="24"/>
        </w:rPr>
        <w:t>致</w:t>
      </w:r>
      <w:r>
        <w:rPr>
          <w:rFonts w:hint="eastAsia" w:ascii="宋体" w:hAnsi="宋体" w:eastAsia="宋体" w:cs="宋体"/>
          <w:color w:val="auto"/>
          <w:spacing w:val="-18"/>
          <w:sz w:val="24"/>
          <w:szCs w:val="24"/>
        </w:rPr>
        <w:t>：（</w:t>
      </w:r>
      <w:r>
        <w:rPr>
          <w:rFonts w:hint="eastAsia" w:ascii="宋体" w:hAnsi="宋体" w:eastAsia="宋体" w:cs="宋体"/>
          <w:color w:val="auto"/>
          <w:spacing w:val="2"/>
          <w:sz w:val="24"/>
          <w:szCs w:val="24"/>
        </w:rPr>
        <w:t>采购人或采购代理机构）</w:t>
      </w:r>
      <w:bookmarkEnd w:id="50"/>
    </w:p>
    <w:p w14:paraId="2237D887">
      <w:pPr>
        <w:spacing w:before="180" w:line="360" w:lineRule="auto"/>
        <w:ind w:firstLine="468"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兹证明，姓名：</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3"/>
          <w:sz w:val="24"/>
          <w:szCs w:val="24"/>
        </w:rPr>
        <w:t>性别：</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3"/>
          <w:sz w:val="24"/>
          <w:szCs w:val="24"/>
        </w:rPr>
        <w:t>年龄：</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3"/>
          <w:sz w:val="24"/>
          <w:szCs w:val="24"/>
        </w:rPr>
        <w:t>职务：</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3"/>
          <w:sz w:val="24"/>
          <w:szCs w:val="24"/>
        </w:rPr>
        <w:t>系</w:t>
      </w:r>
      <w:r>
        <w:rPr>
          <w:rFonts w:hint="eastAsia" w:ascii="宋体" w:hAnsi="宋体" w:eastAsia="宋体" w:cs="宋体"/>
          <w:color w:val="auto"/>
          <w:spacing w:val="-3"/>
          <w:sz w:val="24"/>
          <w:szCs w:val="24"/>
          <w:u w:val="single"/>
        </w:rPr>
        <w:t>（投标人名称）</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rPr>
        <w:t>的法定代表</w:t>
      </w:r>
      <w:r>
        <w:rPr>
          <w:rFonts w:hint="eastAsia" w:ascii="宋体" w:hAnsi="宋体" w:eastAsia="宋体" w:cs="宋体"/>
          <w:color w:val="auto"/>
          <w:spacing w:val="-2"/>
          <w:sz w:val="24"/>
          <w:szCs w:val="24"/>
        </w:rPr>
        <w:t>人（单位负责人）。</w:t>
      </w:r>
    </w:p>
    <w:p w14:paraId="3C098005">
      <w:pPr>
        <w:spacing w:before="182" w:line="219" w:lineRule="auto"/>
        <w:ind w:left="18"/>
        <w:outlineLvl w:val="9"/>
        <w:rPr>
          <w:rFonts w:hint="eastAsia" w:ascii="宋体" w:hAnsi="宋体" w:eastAsia="宋体" w:cs="宋体"/>
          <w:color w:val="auto"/>
          <w:sz w:val="24"/>
          <w:szCs w:val="24"/>
        </w:rPr>
      </w:pPr>
      <w:bookmarkStart w:id="51" w:name="_Toc31712"/>
      <w:r>
        <w:rPr>
          <w:rFonts w:hint="eastAsia" w:ascii="宋体" w:hAnsi="宋体" w:eastAsia="宋体" w:cs="宋体"/>
          <w:color w:val="auto"/>
          <w:spacing w:val="-1"/>
          <w:sz w:val="24"/>
          <w:szCs w:val="24"/>
        </w:rPr>
        <w:t>附：法定代表人（单位负责人）身份证、护照等身份证明文件电子件：</w:t>
      </w:r>
      <w:bookmarkEnd w:id="51"/>
    </w:p>
    <w:p w14:paraId="676716FB">
      <w:pPr>
        <w:pStyle w:val="5"/>
        <w:spacing w:line="283" w:lineRule="auto"/>
        <w:outlineLvl w:val="9"/>
        <w:rPr>
          <w:rFonts w:hint="eastAsia" w:ascii="宋体" w:hAnsi="宋体" w:eastAsia="宋体" w:cs="宋体"/>
          <w:color w:val="auto"/>
        </w:rPr>
      </w:pPr>
    </w:p>
    <w:p w14:paraId="3DC49CF0">
      <w:pPr>
        <w:pStyle w:val="5"/>
        <w:spacing w:line="284" w:lineRule="auto"/>
        <w:outlineLvl w:val="9"/>
        <w:rPr>
          <w:rFonts w:hint="eastAsia" w:ascii="宋体" w:hAnsi="宋体" w:eastAsia="宋体" w:cs="宋体"/>
          <w:color w:val="auto"/>
        </w:rPr>
      </w:pPr>
    </w:p>
    <w:p w14:paraId="2632215D">
      <w:pPr>
        <w:spacing w:before="78" w:line="219" w:lineRule="auto"/>
        <w:ind w:left="482"/>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投标人名称</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 xml:space="preserve">                    </w:t>
      </w:r>
      <w:r>
        <w:rPr>
          <w:rFonts w:hint="eastAsia" w:ascii="宋体" w:hAnsi="宋体" w:eastAsia="宋体" w:cs="宋体"/>
          <w:color w:val="auto"/>
          <w:spacing w:val="-2"/>
          <w:sz w:val="24"/>
          <w:szCs w:val="24"/>
        </w:rPr>
        <w:t>（盖章</w:t>
      </w:r>
      <w:r>
        <w:rPr>
          <w:rFonts w:hint="eastAsia" w:ascii="宋体" w:hAnsi="宋体" w:eastAsia="宋体" w:cs="宋体"/>
          <w:color w:val="auto"/>
          <w:spacing w:val="1"/>
          <w:sz w:val="24"/>
          <w:szCs w:val="24"/>
        </w:rPr>
        <w:t>）</w:t>
      </w:r>
    </w:p>
    <w:p w14:paraId="0E1D8427">
      <w:pPr>
        <w:spacing w:before="180" w:line="219" w:lineRule="auto"/>
        <w:ind w:left="480"/>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法定代表人（单位负责人</w:t>
      </w:r>
      <w:r>
        <w:rPr>
          <w:rFonts w:hint="eastAsia" w:ascii="宋体" w:hAnsi="宋体" w:eastAsia="宋体" w:cs="宋体"/>
          <w:color w:val="auto"/>
          <w:spacing w:val="-7"/>
          <w:sz w:val="24"/>
          <w:szCs w:val="24"/>
        </w:rPr>
        <w:t>）（签字</w:t>
      </w:r>
      <w:r>
        <w:rPr>
          <w:rFonts w:hint="eastAsia" w:ascii="宋体" w:hAnsi="宋体" w:eastAsia="宋体" w:cs="宋体"/>
          <w:color w:val="auto"/>
          <w:spacing w:val="-7"/>
          <w:sz w:val="24"/>
          <w:szCs w:val="24"/>
          <w:lang w:val="en-US" w:eastAsia="zh-CN"/>
        </w:rPr>
        <w:t>并盖章</w:t>
      </w:r>
      <w:r>
        <w:rPr>
          <w:rFonts w:hint="eastAsia" w:ascii="宋体" w:hAnsi="宋体" w:eastAsia="宋体" w:cs="宋体"/>
          <w:color w:val="auto"/>
          <w:spacing w:val="-7"/>
          <w:sz w:val="24"/>
          <w:szCs w:val="24"/>
        </w:rPr>
        <w:t>）：</w:t>
      </w:r>
    </w:p>
    <w:p w14:paraId="1A981CF6">
      <w:pPr>
        <w:spacing w:before="181" w:line="220" w:lineRule="auto"/>
        <w:ind w:left="521"/>
        <w:outlineLvl w:val="9"/>
        <w:rPr>
          <w:rFonts w:hint="eastAsia" w:ascii="宋体" w:hAnsi="宋体" w:eastAsia="宋体" w:cs="宋体"/>
          <w:color w:val="auto"/>
          <w:sz w:val="24"/>
          <w:szCs w:val="24"/>
        </w:rPr>
      </w:pPr>
      <w:bookmarkStart w:id="52" w:name="_Toc9976"/>
      <w:r>
        <w:rPr>
          <w:rFonts w:hint="eastAsia" w:ascii="宋体" w:hAnsi="宋体" w:eastAsia="宋体" w:cs="宋体"/>
          <w:color w:val="auto"/>
          <w:spacing w:val="-13"/>
          <w:sz w:val="24"/>
          <w:szCs w:val="24"/>
        </w:rPr>
        <w:t>日期：</w:t>
      </w:r>
      <w:r>
        <w:rPr>
          <w:rFonts w:hint="eastAsia" w:ascii="宋体" w:hAnsi="宋体" w:eastAsia="宋体" w:cs="宋体"/>
          <w:color w:val="auto"/>
          <w:spacing w:val="30"/>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3"/>
          <w:sz w:val="24"/>
          <w:szCs w:val="24"/>
        </w:rPr>
        <w:t>日</w:t>
      </w:r>
      <w:bookmarkEnd w:id="52"/>
    </w:p>
    <w:p w14:paraId="609EE47C">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1758451E">
      <w:pPr>
        <w:spacing w:before="48" w:line="220" w:lineRule="auto"/>
        <w:outlineLvl w:val="9"/>
        <w:rPr>
          <w:rFonts w:hint="eastAsia" w:ascii="宋体" w:hAnsi="宋体" w:eastAsia="宋体" w:cs="宋体"/>
          <w:color w:val="auto"/>
          <w:sz w:val="24"/>
          <w:szCs w:val="24"/>
        </w:rPr>
      </w:pPr>
      <w:bookmarkStart w:id="53" w:name="_Toc3491"/>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格式七：</w:t>
      </w:r>
      <w:bookmarkEnd w:id="53"/>
    </w:p>
    <w:p w14:paraId="51A2B9C3">
      <w:pPr>
        <w:spacing w:before="182" w:line="219" w:lineRule="auto"/>
        <w:ind w:left="3566"/>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授权委托书</w:t>
      </w:r>
    </w:p>
    <w:p w14:paraId="6B372AEE">
      <w:pPr>
        <w:pStyle w:val="5"/>
        <w:spacing w:line="284" w:lineRule="auto"/>
        <w:outlineLvl w:val="9"/>
        <w:rPr>
          <w:rFonts w:hint="eastAsia" w:ascii="宋体" w:hAnsi="宋体" w:eastAsia="宋体" w:cs="宋体"/>
          <w:color w:val="auto"/>
        </w:rPr>
      </w:pPr>
    </w:p>
    <w:p w14:paraId="1CACFE43">
      <w:pPr>
        <w:pStyle w:val="5"/>
        <w:spacing w:line="284" w:lineRule="auto"/>
        <w:outlineLvl w:val="9"/>
        <w:rPr>
          <w:rFonts w:hint="eastAsia" w:ascii="宋体" w:hAnsi="宋体" w:eastAsia="宋体" w:cs="宋体"/>
          <w:color w:val="auto"/>
        </w:rPr>
      </w:pPr>
    </w:p>
    <w:p w14:paraId="511507EC">
      <w:pPr>
        <w:spacing w:before="78" w:line="359" w:lineRule="auto"/>
        <w:ind w:right="21" w:firstLine="480"/>
        <w:jc w:val="both"/>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本人</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20"/>
          <w:sz w:val="24"/>
          <w:szCs w:val="24"/>
          <w:u w:val="single" w:color="auto"/>
        </w:rPr>
        <w:t xml:space="preserve">      </w:t>
      </w:r>
      <w:r>
        <w:rPr>
          <w:rFonts w:hint="eastAsia" w:ascii="宋体" w:hAnsi="宋体" w:eastAsia="宋体" w:cs="宋体"/>
          <w:color w:val="auto"/>
          <w:spacing w:val="2"/>
          <w:sz w:val="24"/>
          <w:szCs w:val="24"/>
        </w:rPr>
        <w:t>（姓名）系</w:t>
      </w:r>
      <w:r>
        <w:rPr>
          <w:rFonts w:hint="eastAsia" w:ascii="宋体" w:hAnsi="宋体" w:eastAsia="宋体" w:cs="宋体"/>
          <w:color w:val="auto"/>
          <w:spacing w:val="-120"/>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2"/>
          <w:sz w:val="24"/>
          <w:szCs w:val="24"/>
        </w:rPr>
        <w:t>（投标人名称）的法定代表人（</w:t>
      </w:r>
      <w:r>
        <w:rPr>
          <w:rFonts w:hint="eastAsia" w:ascii="宋体" w:hAnsi="宋体" w:eastAsia="宋体" w:cs="宋体"/>
          <w:color w:val="auto"/>
          <w:spacing w:val="1"/>
          <w:sz w:val="24"/>
          <w:szCs w:val="24"/>
        </w:rPr>
        <w:t>单位负责人</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rPr>
        <w:t>现委托</w:t>
      </w:r>
      <w:r>
        <w:rPr>
          <w:rFonts w:hint="eastAsia" w:ascii="宋体" w:hAnsi="宋体" w:eastAsia="宋体" w:cs="宋体"/>
          <w:color w:val="auto"/>
          <w:spacing w:val="-117"/>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
          <w:sz w:val="24"/>
          <w:szCs w:val="24"/>
        </w:rPr>
        <w:t>（姓名）为我方代理人。代理人根据授权，以我方名义</w:t>
      </w:r>
      <w:r>
        <w:rPr>
          <w:rFonts w:hint="eastAsia" w:ascii="宋体" w:hAnsi="宋体" w:eastAsia="宋体" w:cs="宋体"/>
          <w:color w:val="auto"/>
          <w:sz w:val="24"/>
          <w:szCs w:val="24"/>
        </w:rPr>
        <w:t>签署、澄清</w:t>
      </w:r>
      <w:r>
        <w:rPr>
          <w:rFonts w:hint="eastAsia" w:ascii="宋体" w:hAnsi="宋体" w:eastAsia="宋体" w:cs="宋体"/>
          <w:color w:val="auto"/>
          <w:spacing w:val="-1"/>
          <w:sz w:val="24"/>
          <w:szCs w:val="24"/>
        </w:rPr>
        <w:t>确认、提交、撤回、修改</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（项目名称）投标文件和处理有关事宜，其法</w:t>
      </w:r>
    </w:p>
    <w:p w14:paraId="3BB581D0">
      <w:pPr>
        <w:spacing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律后果由我方承担。</w:t>
      </w:r>
    </w:p>
    <w:p w14:paraId="0CB2108D">
      <w:pPr>
        <w:spacing w:before="179" w:line="468" w:lineRule="exact"/>
        <w:ind w:left="480"/>
        <w:outlineLvl w:val="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委托期限：</w:t>
      </w:r>
      <w:r>
        <w:rPr>
          <w:rFonts w:hint="eastAsia" w:ascii="宋体" w:hAnsi="宋体" w:eastAsia="宋体" w:cs="宋体"/>
          <w:color w:val="auto"/>
          <w:spacing w:val="-72"/>
          <w:position w:val="17"/>
          <w:sz w:val="24"/>
          <w:szCs w:val="24"/>
        </w:rPr>
        <w:t xml:space="preserve"> </w:t>
      </w:r>
      <w:r>
        <w:rPr>
          <w:rFonts w:hint="eastAsia" w:ascii="宋体" w:hAnsi="宋体" w:eastAsia="宋体" w:cs="宋体"/>
          <w:color w:val="auto"/>
          <w:spacing w:val="-2"/>
          <w:position w:val="17"/>
          <w:sz w:val="24"/>
          <w:szCs w:val="24"/>
        </w:rPr>
        <w:t>自本授权委托书签署之日起至投标有效期届满之日止。</w:t>
      </w:r>
    </w:p>
    <w:p w14:paraId="14B8A6F7">
      <w:pPr>
        <w:spacing w:line="220" w:lineRule="auto"/>
        <w:ind w:left="480"/>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代理人无转委托权。</w:t>
      </w:r>
    </w:p>
    <w:p w14:paraId="572E0EAC">
      <w:pPr>
        <w:pStyle w:val="5"/>
        <w:spacing w:line="282" w:lineRule="auto"/>
        <w:outlineLvl w:val="9"/>
        <w:rPr>
          <w:rFonts w:hint="eastAsia" w:ascii="宋体" w:hAnsi="宋体" w:eastAsia="宋体" w:cs="宋体"/>
          <w:color w:val="auto"/>
        </w:rPr>
      </w:pPr>
    </w:p>
    <w:p w14:paraId="4EE1207A">
      <w:pPr>
        <w:pStyle w:val="5"/>
        <w:spacing w:line="282" w:lineRule="auto"/>
        <w:outlineLvl w:val="9"/>
        <w:rPr>
          <w:rFonts w:hint="eastAsia" w:ascii="宋体" w:hAnsi="宋体" w:eastAsia="宋体" w:cs="宋体"/>
          <w:color w:val="auto"/>
        </w:rPr>
      </w:pPr>
    </w:p>
    <w:p w14:paraId="76EBF819">
      <w:pPr>
        <w:spacing w:before="78" w:line="219" w:lineRule="auto"/>
        <w:ind w:left="3"/>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投标人名称</w:t>
      </w:r>
      <w:r>
        <w:rPr>
          <w:rFonts w:hint="eastAsia" w:ascii="宋体" w:hAnsi="宋体" w:eastAsia="宋体" w:cs="宋体"/>
          <w:color w:val="auto"/>
          <w:spacing w:val="3"/>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2"/>
          <w:sz w:val="24"/>
          <w:szCs w:val="24"/>
        </w:rPr>
        <w:t>（加盖公章</w:t>
      </w:r>
      <w:r>
        <w:rPr>
          <w:rFonts w:hint="eastAsia" w:ascii="宋体" w:hAnsi="宋体" w:eastAsia="宋体" w:cs="宋体"/>
          <w:color w:val="auto"/>
          <w:spacing w:val="3"/>
          <w:sz w:val="24"/>
          <w:szCs w:val="24"/>
        </w:rPr>
        <w:t>）</w:t>
      </w:r>
    </w:p>
    <w:p w14:paraId="2513BCAC">
      <w:pPr>
        <w:spacing w:before="182" w:line="360" w:lineRule="auto"/>
        <w:ind w:left="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法定代表人（单位负责人</w:t>
      </w:r>
      <w:r>
        <w:rPr>
          <w:rFonts w:hint="eastAsia" w:ascii="宋体" w:hAnsi="宋体" w:eastAsia="宋体" w:cs="宋体"/>
          <w:color w:val="auto"/>
          <w:spacing w:val="-7"/>
          <w:sz w:val="24"/>
          <w:szCs w:val="24"/>
        </w:rPr>
        <w:t>）（签字</w:t>
      </w:r>
      <w:r>
        <w:rPr>
          <w:rFonts w:hint="eastAsia" w:ascii="宋体" w:hAnsi="宋体" w:eastAsia="宋体" w:cs="宋体"/>
          <w:color w:val="auto"/>
          <w:spacing w:val="-7"/>
          <w:sz w:val="24"/>
          <w:szCs w:val="24"/>
          <w:lang w:val="en-US" w:eastAsia="zh-CN"/>
        </w:rPr>
        <w:t>并盖章</w:t>
      </w:r>
      <w:r>
        <w:rPr>
          <w:rFonts w:hint="eastAsia" w:ascii="宋体" w:hAnsi="宋体" w:eastAsia="宋体" w:cs="宋体"/>
          <w:color w:val="auto"/>
          <w:spacing w:val="-7"/>
          <w:sz w:val="24"/>
          <w:szCs w:val="24"/>
        </w:rPr>
        <w:t>）：</w:t>
      </w:r>
      <w:r>
        <w:rPr>
          <w:rFonts w:hint="eastAsia" w:ascii="宋体" w:hAnsi="宋体" w:eastAsia="宋体" w:cs="宋体"/>
          <w:color w:val="auto"/>
          <w:sz w:val="24"/>
          <w:szCs w:val="24"/>
          <w:u w:val="single" w:color="auto"/>
        </w:rPr>
        <w:t xml:space="preserve">                </w:t>
      </w:r>
    </w:p>
    <w:p w14:paraId="1834D9B3">
      <w:pPr>
        <w:spacing w:before="1" w:line="219" w:lineRule="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委托代理人（签字并盖章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color="auto"/>
        </w:rPr>
        <w:t xml:space="preserve">                </w:t>
      </w:r>
    </w:p>
    <w:p w14:paraId="58FB3C08">
      <w:pPr>
        <w:spacing w:before="180" w:line="220" w:lineRule="auto"/>
        <w:ind w:left="42"/>
        <w:outlineLvl w:val="9"/>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30"/>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3"/>
          <w:sz w:val="24"/>
          <w:szCs w:val="24"/>
        </w:rPr>
        <w:t>日</w:t>
      </w:r>
    </w:p>
    <w:p w14:paraId="718752D1">
      <w:pPr>
        <w:spacing w:before="183" w:line="219" w:lineRule="auto"/>
        <w:ind w:left="19"/>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附：法定代表人及委托代理人身份证明文件电子件：</w:t>
      </w:r>
    </w:p>
    <w:p w14:paraId="1890982D">
      <w:pPr>
        <w:pStyle w:val="5"/>
        <w:spacing w:line="257" w:lineRule="auto"/>
        <w:outlineLvl w:val="9"/>
        <w:rPr>
          <w:rFonts w:hint="eastAsia" w:ascii="宋体" w:hAnsi="宋体" w:eastAsia="宋体" w:cs="宋体"/>
          <w:color w:val="auto"/>
        </w:rPr>
      </w:pPr>
    </w:p>
    <w:p w14:paraId="5F0918F0">
      <w:pPr>
        <w:pStyle w:val="5"/>
        <w:spacing w:line="257" w:lineRule="auto"/>
        <w:outlineLvl w:val="9"/>
        <w:rPr>
          <w:rFonts w:hint="eastAsia" w:ascii="宋体" w:hAnsi="宋体" w:eastAsia="宋体" w:cs="宋体"/>
          <w:color w:val="auto"/>
        </w:rPr>
      </w:pPr>
    </w:p>
    <w:p w14:paraId="4A7E735D">
      <w:pPr>
        <w:pStyle w:val="5"/>
        <w:spacing w:line="257" w:lineRule="auto"/>
        <w:outlineLvl w:val="9"/>
        <w:rPr>
          <w:rFonts w:hint="eastAsia" w:ascii="宋体" w:hAnsi="宋体" w:eastAsia="宋体" w:cs="宋体"/>
          <w:color w:val="auto"/>
        </w:rPr>
      </w:pPr>
    </w:p>
    <w:p w14:paraId="413A0673">
      <w:pPr>
        <w:pStyle w:val="5"/>
        <w:spacing w:line="258" w:lineRule="auto"/>
        <w:outlineLvl w:val="9"/>
        <w:rPr>
          <w:rFonts w:hint="eastAsia" w:ascii="宋体" w:hAnsi="宋体" w:eastAsia="宋体" w:cs="宋体"/>
          <w:color w:val="auto"/>
        </w:rPr>
      </w:pPr>
    </w:p>
    <w:p w14:paraId="658A3D04">
      <w:pPr>
        <w:spacing w:before="78" w:line="220" w:lineRule="auto"/>
        <w:ind w:left="3"/>
        <w:outlineLvl w:val="9"/>
        <w:rPr>
          <w:rFonts w:hint="eastAsia" w:ascii="宋体" w:hAnsi="宋体" w:eastAsia="宋体" w:cs="宋体"/>
          <w:color w:val="auto"/>
          <w:sz w:val="24"/>
          <w:szCs w:val="24"/>
        </w:rPr>
      </w:pPr>
      <w:bookmarkStart w:id="54" w:name="_Toc32444"/>
      <w:r>
        <w:rPr>
          <w:rFonts w:hint="eastAsia" w:ascii="宋体" w:hAnsi="宋体" w:eastAsia="宋体" w:cs="宋体"/>
          <w:color w:val="auto"/>
          <w:spacing w:val="-5"/>
          <w:sz w:val="24"/>
          <w:szCs w:val="24"/>
        </w:rPr>
        <w:t>说明：</w:t>
      </w:r>
      <w:bookmarkEnd w:id="54"/>
    </w:p>
    <w:p w14:paraId="2D21524F">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1.若供应商为事业单位或其他组织或分支机构，则法定代表人（单位负责人）处的签署人可为单位负责人。</w:t>
      </w:r>
    </w:p>
    <w:p w14:paraId="4F145BD0">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若投标文件中签字之处均为法定代表人（单位负责人）本人签署，则可不提供本《授权委托书》，但须提供《法定代表人（单位负责人）身份证明》；否则，不需要提供《法定代表人（单位负责人）身份证明》。</w:t>
      </w:r>
    </w:p>
    <w:p w14:paraId="3036A547">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3.供应商为自然人的情形，可不提供本《授权委托书》。</w:t>
      </w:r>
    </w:p>
    <w:p w14:paraId="4EEA673A">
      <w:pPr>
        <w:keepNext w:val="0"/>
        <w:keepLines w:val="0"/>
        <w:pageBreakBefore w:val="0"/>
        <w:widowControl/>
        <w:kinsoku w:val="0"/>
        <w:wordWrap/>
        <w:overflowPunct/>
        <w:topLinePunct w:val="0"/>
        <w:autoSpaceDE w:val="0"/>
        <w:autoSpaceDN w:val="0"/>
        <w:bidi w:val="0"/>
        <w:adjustRightInd w:val="0"/>
        <w:snapToGrid w:val="0"/>
        <w:ind w:firstLine="240" w:firstLineChars="1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4.供应商应随本《授权委托书》同时提供法定代表人（单位负责人）及委托代理人的有效的身份证、护照等身份证明文件电子件。提供身份证的，应同时提供身份证双面电子。</w:t>
      </w:r>
    </w:p>
    <w:p w14:paraId="13B42FBE">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5B0F999B">
      <w:pPr>
        <w:spacing w:before="48"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格式八：</w:t>
      </w:r>
    </w:p>
    <w:p w14:paraId="7627C3F4">
      <w:pPr>
        <w:spacing w:before="182" w:line="219" w:lineRule="auto"/>
        <w:ind w:left="3226"/>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中标服务费承诺书</w:t>
      </w:r>
    </w:p>
    <w:p w14:paraId="70B1A67F">
      <w:pPr>
        <w:pStyle w:val="5"/>
        <w:spacing w:line="250" w:lineRule="auto"/>
        <w:outlineLvl w:val="9"/>
        <w:rPr>
          <w:rFonts w:hint="eastAsia" w:ascii="宋体" w:hAnsi="宋体" w:eastAsia="宋体" w:cs="宋体"/>
          <w:color w:val="auto"/>
        </w:rPr>
      </w:pPr>
    </w:p>
    <w:p w14:paraId="1CFD5C76">
      <w:pPr>
        <w:pStyle w:val="5"/>
        <w:spacing w:line="250" w:lineRule="auto"/>
        <w:outlineLvl w:val="9"/>
        <w:rPr>
          <w:rFonts w:hint="eastAsia" w:ascii="宋体" w:hAnsi="宋体" w:eastAsia="宋体" w:cs="宋体"/>
          <w:color w:val="auto"/>
        </w:rPr>
      </w:pPr>
    </w:p>
    <w:p w14:paraId="4A719843">
      <w:pPr>
        <w:spacing w:before="78" w:line="220" w:lineRule="auto"/>
        <w:outlineLvl w:val="9"/>
        <w:rPr>
          <w:rFonts w:hint="eastAsia" w:ascii="宋体" w:hAnsi="宋体" w:eastAsia="宋体" w:cs="宋体"/>
          <w:color w:val="auto"/>
          <w:sz w:val="24"/>
          <w:szCs w:val="24"/>
          <w:highlight w:val="none"/>
        </w:rPr>
      </w:pPr>
      <w:bookmarkStart w:id="55" w:name="_Toc25943"/>
      <w:r>
        <w:rPr>
          <w:rFonts w:hint="eastAsia" w:ascii="宋体" w:hAnsi="宋体" w:eastAsia="宋体" w:cs="宋体"/>
          <w:color w:val="auto"/>
          <w:spacing w:val="-1"/>
          <w:sz w:val="24"/>
          <w:szCs w:val="24"/>
          <w:highlight w:val="none"/>
        </w:rPr>
        <w:t>致：吉林省吉诚工程咨询有限公司</w:t>
      </w:r>
      <w:bookmarkEnd w:id="55"/>
    </w:p>
    <w:p w14:paraId="284FBC0C">
      <w:pPr>
        <w:pStyle w:val="5"/>
        <w:spacing w:line="283" w:lineRule="auto"/>
        <w:outlineLvl w:val="9"/>
        <w:rPr>
          <w:rFonts w:hint="eastAsia" w:ascii="宋体" w:hAnsi="宋体" w:eastAsia="宋体" w:cs="宋体"/>
          <w:color w:val="auto"/>
        </w:rPr>
      </w:pPr>
    </w:p>
    <w:p w14:paraId="28242076">
      <w:pPr>
        <w:pStyle w:val="5"/>
        <w:spacing w:line="283" w:lineRule="auto"/>
        <w:outlineLvl w:val="9"/>
        <w:rPr>
          <w:rFonts w:hint="eastAsia" w:ascii="宋体" w:hAnsi="宋体" w:eastAsia="宋体" w:cs="宋体"/>
          <w:color w:val="auto"/>
        </w:rPr>
      </w:pPr>
    </w:p>
    <w:p w14:paraId="1E01521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我们在贵公司代理的项目采购中若获成交（项目编号：        ），我们保证在收到中标通知后 2 个工作日内按招标文件的规定，向贵公司即吉林省吉诚工程咨询有限公司按照取费规定一次性支付中标服务费。</w:t>
      </w:r>
    </w:p>
    <w:p w14:paraId="572EAF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4C21B851">
      <w:pPr>
        <w:pStyle w:val="5"/>
        <w:spacing w:line="283" w:lineRule="auto"/>
        <w:outlineLvl w:val="9"/>
        <w:rPr>
          <w:rFonts w:hint="eastAsia" w:ascii="宋体" w:hAnsi="宋体" w:eastAsia="宋体" w:cs="宋体"/>
          <w:color w:val="auto"/>
        </w:rPr>
      </w:pPr>
    </w:p>
    <w:p w14:paraId="6F9A1E6E">
      <w:pPr>
        <w:pStyle w:val="5"/>
        <w:spacing w:line="283" w:lineRule="auto"/>
        <w:outlineLvl w:val="9"/>
        <w:rPr>
          <w:rFonts w:hint="eastAsia" w:ascii="宋体" w:hAnsi="宋体" w:eastAsia="宋体" w:cs="宋体"/>
          <w:color w:val="auto"/>
        </w:rPr>
      </w:pPr>
    </w:p>
    <w:p w14:paraId="5F0460FB">
      <w:pPr>
        <w:spacing w:before="78" w:line="220" w:lineRule="auto"/>
        <w:outlineLvl w:val="9"/>
        <w:rPr>
          <w:rFonts w:hint="eastAsia" w:ascii="宋体" w:hAnsi="宋体" w:eastAsia="宋体" w:cs="宋体"/>
          <w:color w:val="auto"/>
          <w:sz w:val="24"/>
          <w:szCs w:val="24"/>
        </w:rPr>
      </w:pPr>
      <w:bookmarkStart w:id="56" w:name="_Toc18499"/>
      <w:r>
        <w:rPr>
          <w:rFonts w:hint="eastAsia" w:ascii="宋体" w:hAnsi="宋体" w:eastAsia="宋体" w:cs="宋体"/>
          <w:color w:val="auto"/>
          <w:spacing w:val="-2"/>
          <w:sz w:val="24"/>
          <w:szCs w:val="24"/>
        </w:rPr>
        <w:t>承诺方法定名称：</w:t>
      </w:r>
      <w:bookmarkEnd w:id="56"/>
      <w:r>
        <w:rPr>
          <w:rFonts w:hint="eastAsia" w:ascii="宋体" w:hAnsi="宋体" w:eastAsia="宋体" w:cs="宋体"/>
          <w:color w:val="auto"/>
          <w:spacing w:val="-13"/>
          <w:sz w:val="24"/>
          <w:szCs w:val="24"/>
        </w:rPr>
        <w:t>（</w:t>
      </w:r>
      <w:r>
        <w:rPr>
          <w:rFonts w:hint="eastAsia" w:ascii="宋体" w:hAnsi="宋体" w:eastAsia="宋体" w:cs="宋体"/>
          <w:color w:val="auto"/>
          <w:spacing w:val="-13"/>
          <w:sz w:val="24"/>
          <w:szCs w:val="24"/>
          <w:lang w:val="en-US" w:eastAsia="zh-CN"/>
        </w:rPr>
        <w:t>单位</w:t>
      </w:r>
      <w:r>
        <w:rPr>
          <w:rFonts w:hint="eastAsia" w:ascii="宋体" w:hAnsi="宋体" w:eastAsia="宋体" w:cs="宋体"/>
          <w:color w:val="auto"/>
          <w:spacing w:val="1"/>
          <w:sz w:val="24"/>
          <w:szCs w:val="24"/>
        </w:rPr>
        <w:t>盖章）</w:t>
      </w:r>
    </w:p>
    <w:p w14:paraId="6D556D81">
      <w:pPr>
        <w:spacing w:before="181" w:line="229" w:lineRule="auto"/>
        <w:outlineLvl w:val="9"/>
        <w:rPr>
          <w:rFonts w:hint="eastAsia" w:ascii="宋体" w:hAnsi="宋体" w:eastAsia="宋体" w:cs="宋体"/>
          <w:color w:val="auto"/>
          <w:sz w:val="24"/>
          <w:szCs w:val="24"/>
        </w:rPr>
      </w:pPr>
      <w:bookmarkStart w:id="57" w:name="_Toc19959"/>
      <w:r>
        <w:rPr>
          <w:rFonts w:hint="eastAsia" w:ascii="宋体" w:hAnsi="宋体" w:eastAsia="宋体" w:cs="宋体"/>
          <w:color w:val="auto"/>
          <w:spacing w:val="-4"/>
          <w:sz w:val="24"/>
          <w:szCs w:val="24"/>
        </w:rPr>
        <w:t>地址：</w:t>
      </w:r>
      <w:bookmarkEnd w:id="57"/>
    </w:p>
    <w:p w14:paraId="226FF54D">
      <w:pPr>
        <w:spacing w:before="170" w:line="219" w:lineRule="auto"/>
        <w:ind w:left="28"/>
        <w:outlineLvl w:val="9"/>
        <w:rPr>
          <w:rFonts w:hint="eastAsia" w:ascii="宋体" w:hAnsi="宋体" w:eastAsia="宋体" w:cs="宋体"/>
          <w:color w:val="auto"/>
          <w:spacing w:val="-7"/>
          <w:sz w:val="24"/>
          <w:szCs w:val="24"/>
        </w:rPr>
      </w:pPr>
      <w:bookmarkStart w:id="58" w:name="_Toc6496"/>
      <w:r>
        <w:rPr>
          <w:rFonts w:hint="eastAsia" w:ascii="宋体" w:hAnsi="宋体" w:eastAsia="宋体" w:cs="宋体"/>
          <w:color w:val="auto"/>
          <w:spacing w:val="-7"/>
          <w:sz w:val="24"/>
          <w:szCs w:val="24"/>
        </w:rPr>
        <w:t>电话：</w:t>
      </w:r>
    </w:p>
    <w:bookmarkEnd w:id="58"/>
    <w:p w14:paraId="40398BF5">
      <w:pPr>
        <w:spacing w:before="181" w:line="219" w:lineRule="auto"/>
        <w:ind w:left="28"/>
        <w:outlineLvl w:val="9"/>
        <w:rPr>
          <w:rFonts w:hint="eastAsia" w:ascii="宋体" w:hAnsi="宋体" w:eastAsia="宋体" w:cs="宋体"/>
          <w:color w:val="auto"/>
          <w:sz w:val="24"/>
          <w:szCs w:val="24"/>
        </w:rPr>
      </w:pPr>
      <w:bookmarkStart w:id="59" w:name="_Toc10697"/>
      <w:r>
        <w:rPr>
          <w:rFonts w:hint="eastAsia" w:ascii="宋体" w:hAnsi="宋体" w:eastAsia="宋体" w:cs="宋体"/>
          <w:color w:val="auto"/>
          <w:spacing w:val="-7"/>
          <w:sz w:val="24"/>
          <w:szCs w:val="24"/>
        </w:rPr>
        <w:t>邮编：</w:t>
      </w:r>
      <w:bookmarkEnd w:id="59"/>
    </w:p>
    <w:p w14:paraId="379166B7">
      <w:pPr>
        <w:spacing w:before="182" w:line="360" w:lineRule="auto"/>
        <w:ind w:left="1"/>
        <w:outlineLvl w:val="9"/>
        <w:rPr>
          <w:rFonts w:hint="eastAsia" w:ascii="宋体" w:hAnsi="宋体" w:eastAsia="宋体" w:cs="宋体"/>
          <w:color w:val="auto"/>
          <w:sz w:val="24"/>
          <w:szCs w:val="24"/>
        </w:rPr>
      </w:pPr>
      <w:bookmarkStart w:id="60" w:name="_Toc18453"/>
      <w:r>
        <w:rPr>
          <w:rFonts w:hint="eastAsia" w:ascii="宋体" w:hAnsi="宋体" w:eastAsia="宋体" w:cs="宋体"/>
          <w:color w:val="auto"/>
          <w:spacing w:val="1"/>
          <w:sz w:val="24"/>
          <w:szCs w:val="24"/>
        </w:rPr>
        <w:t>法定代表人（单位负责人</w:t>
      </w:r>
      <w:r>
        <w:rPr>
          <w:rFonts w:hint="eastAsia" w:ascii="宋体" w:hAnsi="宋体" w:eastAsia="宋体" w:cs="宋体"/>
          <w:color w:val="auto"/>
          <w:spacing w:val="-7"/>
          <w:sz w:val="24"/>
          <w:szCs w:val="24"/>
        </w:rPr>
        <w:t>）</w:t>
      </w:r>
      <w:r>
        <w:rPr>
          <w:rFonts w:hint="eastAsia" w:ascii="宋体" w:hAnsi="宋体" w:eastAsia="宋体" w:cs="宋体"/>
          <w:color w:val="auto"/>
          <w:spacing w:val="-7"/>
          <w:sz w:val="24"/>
          <w:szCs w:val="24"/>
          <w:lang w:val="en-US" w:eastAsia="zh-CN"/>
        </w:rPr>
        <w:t>或</w:t>
      </w:r>
      <w:r>
        <w:rPr>
          <w:rFonts w:hint="eastAsia" w:ascii="宋体" w:hAnsi="宋体" w:eastAsia="宋体" w:cs="宋体"/>
          <w:color w:val="auto"/>
          <w:spacing w:val="-7"/>
          <w:sz w:val="24"/>
          <w:szCs w:val="24"/>
        </w:rPr>
        <w:t>委托代理人（签字</w:t>
      </w:r>
      <w:r>
        <w:rPr>
          <w:rFonts w:hint="eastAsia" w:ascii="宋体" w:hAnsi="宋体" w:eastAsia="宋体" w:cs="宋体"/>
          <w:color w:val="auto"/>
          <w:spacing w:val="-7"/>
          <w:sz w:val="24"/>
          <w:szCs w:val="24"/>
          <w:lang w:val="en-US" w:eastAsia="zh-CN"/>
        </w:rPr>
        <w:t>并盖章</w:t>
      </w:r>
      <w:r>
        <w:rPr>
          <w:rFonts w:hint="eastAsia" w:ascii="宋体" w:hAnsi="宋体" w:eastAsia="宋体" w:cs="宋体"/>
          <w:color w:val="auto"/>
          <w:spacing w:val="-7"/>
          <w:sz w:val="24"/>
          <w:szCs w:val="24"/>
        </w:rPr>
        <w:t>）：</w:t>
      </w:r>
    </w:p>
    <w:bookmarkEnd w:id="60"/>
    <w:p w14:paraId="7894EEC6">
      <w:pPr>
        <w:spacing w:before="180" w:line="220" w:lineRule="auto"/>
        <w:outlineLvl w:val="9"/>
        <w:rPr>
          <w:rFonts w:hint="eastAsia" w:ascii="宋体" w:hAnsi="宋体" w:eastAsia="宋体" w:cs="宋体"/>
          <w:color w:val="auto"/>
          <w:sz w:val="24"/>
          <w:szCs w:val="24"/>
        </w:rPr>
      </w:pPr>
      <w:bookmarkStart w:id="61" w:name="_Toc18509"/>
      <w:r>
        <w:rPr>
          <w:rFonts w:hint="eastAsia" w:ascii="宋体" w:hAnsi="宋体" w:eastAsia="宋体" w:cs="宋体"/>
          <w:color w:val="auto"/>
          <w:spacing w:val="-2"/>
          <w:sz w:val="24"/>
          <w:szCs w:val="24"/>
        </w:rPr>
        <w:t>日期：</w:t>
      </w:r>
      <w:bookmarkEnd w:id="61"/>
    </w:p>
    <w:p w14:paraId="6399D26B">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27D07AFD">
      <w:pPr>
        <w:spacing w:before="48"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格式九：</w:t>
      </w:r>
    </w:p>
    <w:p w14:paraId="0D2AE345">
      <w:pPr>
        <w:spacing w:before="182" w:line="219" w:lineRule="auto"/>
        <w:ind w:left="3354"/>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中小企业声明函（货物）</w:t>
      </w:r>
    </w:p>
    <w:p w14:paraId="5C8BF7D1">
      <w:pPr>
        <w:pStyle w:val="5"/>
        <w:spacing w:line="384" w:lineRule="auto"/>
        <w:outlineLvl w:val="9"/>
        <w:rPr>
          <w:rFonts w:hint="eastAsia" w:ascii="宋体" w:hAnsi="宋体" w:eastAsia="宋体" w:cs="宋体"/>
          <w:color w:val="auto"/>
        </w:rPr>
      </w:pPr>
    </w:p>
    <w:p w14:paraId="308794E0">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F9392C3">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b/>
          <w:bCs/>
          <w:i/>
          <w:iCs/>
          <w:color w:val="auto"/>
          <w:sz w:val="24"/>
          <w:highlight w:val="none"/>
          <w:u w:val="single"/>
          <w:lang w:val="zh-CN"/>
        </w:rPr>
        <w:t>工业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010A5F04">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b/>
          <w:bCs/>
          <w:i/>
          <w:iCs/>
          <w:color w:val="auto"/>
          <w:sz w:val="24"/>
          <w:highlight w:val="none"/>
          <w:u w:val="single"/>
          <w:lang w:val="zh-CN"/>
        </w:rPr>
        <w:t>工业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DEADCA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654DC13">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797E6869">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6F9DD8E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p>
    <w:p w14:paraId="38B1B14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p>
    <w:p w14:paraId="32C00BB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1B2732C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5C0C10A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p>
    <w:p w14:paraId="39D729F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p>
    <w:p w14:paraId="299C671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210F698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40E8719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2.中标人享受中小企业扶持政策的，将随中标结果一并公示，如声明函内容不实的，将视为提供虚假材料谋取中标，将追究其法律责任。</w:t>
      </w:r>
    </w:p>
    <w:p w14:paraId="651A351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3.本项目所属行业：工业。</w:t>
      </w:r>
    </w:p>
    <w:p w14:paraId="30F904D8">
      <w:pPr>
        <w:spacing w:line="480" w:lineRule="auto"/>
        <w:rPr>
          <w:rFonts w:hint="eastAsia" w:ascii="宋体" w:hAnsi="宋体" w:cs="宋体"/>
          <w:color w:val="auto"/>
          <w:sz w:val="24"/>
          <w:highlight w:val="no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78A989B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baseline"/>
        <w:outlineLvl w:val="9"/>
        <w:rPr>
          <w:rFonts w:hint="eastAsia" w:ascii="宋体" w:hAnsi="宋体"/>
          <w:b/>
          <w:color w:val="auto"/>
          <w:sz w:val="24"/>
          <w:highlight w:val="none"/>
        </w:rPr>
      </w:pPr>
      <w:bookmarkStart w:id="62" w:name="_Toc511239255"/>
      <w:bookmarkStart w:id="63" w:name="_Toc14104574"/>
      <w:bookmarkStart w:id="64" w:name="_Toc14104092"/>
      <w:bookmarkStart w:id="65" w:name="_Toc7338700"/>
      <w:bookmarkStart w:id="66" w:name="_Toc511239410"/>
      <w:r>
        <w:rPr>
          <w:rFonts w:hint="eastAsia" w:ascii="宋体" w:hAnsi="宋体"/>
          <w:b/>
          <w:color w:val="auto"/>
          <w:sz w:val="24"/>
          <w:highlight w:val="none"/>
        </w:rPr>
        <w:t>节能产品清单说明表</w:t>
      </w:r>
      <w:bookmarkEnd w:id="62"/>
      <w:bookmarkEnd w:id="63"/>
      <w:bookmarkEnd w:id="64"/>
      <w:bookmarkEnd w:id="65"/>
      <w:bookmarkEnd w:id="66"/>
    </w:p>
    <w:p w14:paraId="2510DAA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baseline"/>
        <w:outlineLvl w:val="9"/>
        <w:rPr>
          <w:rFonts w:hint="eastAsia" w:ascii="宋体" w:hAnsi="宋体"/>
          <w:color w:val="auto"/>
          <w:sz w:val="24"/>
          <w:highlight w:val="none"/>
        </w:rPr>
      </w:pPr>
      <w:bookmarkStart w:id="67" w:name="_Toc511239411"/>
      <w:bookmarkStart w:id="68" w:name="_Toc14104575"/>
      <w:bookmarkStart w:id="69" w:name="_Toc7338701"/>
      <w:bookmarkStart w:id="70" w:name="_Toc14104093"/>
      <w:bookmarkStart w:id="71" w:name="_Toc511239256"/>
      <w:r>
        <w:rPr>
          <w:rFonts w:hint="eastAsia" w:ascii="宋体" w:hAnsi="宋体"/>
          <w:color w:val="auto"/>
          <w:sz w:val="24"/>
          <w:highlight w:val="none"/>
        </w:rPr>
        <w:t>（</w:t>
      </w:r>
      <w:r>
        <w:rPr>
          <w:rFonts w:hint="eastAsia" w:ascii="宋体" w:hAnsi="宋体" w:cs="宋体"/>
          <w:color w:val="auto"/>
          <w:sz w:val="24"/>
          <w:highlight w:val="none"/>
        </w:rPr>
        <w:t>节能产品</w:t>
      </w:r>
      <w:r>
        <w:rPr>
          <w:rFonts w:hint="eastAsia" w:ascii="宋体" w:hAnsi="宋体"/>
          <w:color w:val="auto"/>
          <w:sz w:val="24"/>
          <w:highlight w:val="none"/>
        </w:rPr>
        <w:t>按下列格式提供）</w:t>
      </w:r>
      <w:bookmarkEnd w:id="67"/>
      <w:bookmarkEnd w:id="68"/>
      <w:bookmarkEnd w:id="69"/>
      <w:bookmarkEnd w:id="70"/>
      <w:bookmarkEnd w:id="71"/>
    </w:p>
    <w:p w14:paraId="30F36991">
      <w:pPr>
        <w:snapToGrid w:val="0"/>
        <w:spacing w:line="300" w:lineRule="auto"/>
        <w:rPr>
          <w:rFonts w:hint="eastAsia" w:ascii="宋体" w:hAnsi="宋体"/>
          <w:color w:val="auto"/>
          <w:sz w:val="24"/>
          <w:highlight w:val="none"/>
          <w:u w:val="single"/>
        </w:rPr>
      </w:pPr>
      <w:r>
        <w:rPr>
          <w:rFonts w:hint="eastAsia" w:ascii="宋体" w:hAnsi="宋体"/>
          <w:color w:val="auto"/>
          <w:sz w:val="24"/>
          <w:highlight w:val="none"/>
        </w:rPr>
        <w:t xml:space="preserve">项目名称： </w:t>
      </w:r>
      <w:r>
        <w:rPr>
          <w:rFonts w:hint="eastAsia" w:ascii="宋体" w:hAnsi="宋体"/>
          <w:color w:val="auto"/>
          <w:sz w:val="24"/>
          <w:highlight w:val="none"/>
          <w:u w:val="single"/>
        </w:rPr>
        <w:t xml:space="preserve">                       </w:t>
      </w:r>
    </w:p>
    <w:p w14:paraId="1C5DD47F">
      <w:pPr>
        <w:snapToGrid w:val="0"/>
        <w:spacing w:line="300" w:lineRule="auto"/>
        <w:rPr>
          <w:rFonts w:hint="eastAsia" w:ascii="宋体" w:hAnsi="宋体"/>
          <w:bCs/>
          <w:color w:val="auto"/>
          <w:sz w:val="24"/>
          <w:highlight w:val="none"/>
        </w:rPr>
      </w:pPr>
      <w:r>
        <w:rPr>
          <w:rFonts w:hint="eastAsia" w:ascii="宋体" w:hAnsi="宋体"/>
          <w:color w:val="auto"/>
          <w:sz w:val="24"/>
          <w:highlight w:val="none"/>
        </w:rPr>
        <w:t>项目编号：</w:t>
      </w:r>
      <w:r>
        <w:rPr>
          <w:rFonts w:hint="eastAsia" w:ascii="宋体" w:hAnsi="宋体"/>
          <w:i/>
          <w:iCs/>
          <w:color w:val="auto"/>
          <w:sz w:val="24"/>
          <w:highlight w:val="none"/>
        </w:rPr>
        <w:t xml:space="preserve"> </w:t>
      </w:r>
      <w:r>
        <w:rPr>
          <w:rFonts w:hint="eastAsia" w:ascii="宋体" w:hAnsi="宋体"/>
          <w:color w:val="auto"/>
          <w:sz w:val="24"/>
          <w:highlight w:val="none"/>
          <w:u w:val="single"/>
        </w:rPr>
        <w:t xml:space="preserve">                       </w:t>
      </w:r>
    </w:p>
    <w:tbl>
      <w:tblPr>
        <w:tblStyle w:val="16"/>
        <w:tblpPr w:leftFromText="180" w:rightFromText="180" w:vertAnchor="text" w:horzAnchor="page" w:tblpXSpec="center" w:tblpY="91"/>
        <w:tblOverlap w:val="never"/>
        <w:tblW w:w="95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4"/>
        <w:gridCol w:w="1061"/>
        <w:gridCol w:w="1263"/>
        <w:gridCol w:w="1990"/>
        <w:gridCol w:w="1520"/>
        <w:gridCol w:w="1591"/>
        <w:gridCol w:w="1329"/>
      </w:tblGrid>
      <w:tr w14:paraId="68096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6" w:hRule="atLeast"/>
          <w:jc w:val="center"/>
        </w:trPr>
        <w:tc>
          <w:tcPr>
            <w:tcW w:w="764" w:type="dxa"/>
            <w:vMerge w:val="restart"/>
            <w:noWrap w:val="0"/>
            <w:vAlign w:val="center"/>
          </w:tcPr>
          <w:p w14:paraId="43D28838">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61" w:type="dxa"/>
            <w:vMerge w:val="restart"/>
            <w:noWrap w:val="0"/>
            <w:vAlign w:val="center"/>
          </w:tcPr>
          <w:p w14:paraId="0AE917C0">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263" w:type="dxa"/>
            <w:vMerge w:val="restart"/>
            <w:noWrap w:val="0"/>
            <w:vAlign w:val="center"/>
          </w:tcPr>
          <w:p w14:paraId="76716981">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6430" w:type="dxa"/>
            <w:gridSpan w:val="4"/>
            <w:noWrap w:val="0"/>
            <w:vAlign w:val="center"/>
          </w:tcPr>
          <w:p w14:paraId="781864B3">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节能产品政府采购清单</w:t>
            </w:r>
          </w:p>
        </w:tc>
      </w:tr>
      <w:tr w14:paraId="681D0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6" w:hRule="atLeast"/>
          <w:jc w:val="center"/>
        </w:trPr>
        <w:tc>
          <w:tcPr>
            <w:tcW w:w="764" w:type="dxa"/>
            <w:vMerge w:val="continue"/>
            <w:noWrap w:val="0"/>
            <w:vAlign w:val="center"/>
          </w:tcPr>
          <w:p w14:paraId="4F66C9E9">
            <w:pPr>
              <w:snapToGrid w:val="0"/>
              <w:spacing w:line="300" w:lineRule="auto"/>
              <w:rPr>
                <w:rFonts w:hint="eastAsia" w:ascii="宋体" w:hAnsi="宋体" w:eastAsia="宋体" w:cs="宋体"/>
                <w:color w:val="auto"/>
                <w:sz w:val="24"/>
                <w:szCs w:val="24"/>
                <w:highlight w:val="none"/>
              </w:rPr>
            </w:pPr>
          </w:p>
        </w:tc>
        <w:tc>
          <w:tcPr>
            <w:tcW w:w="1061" w:type="dxa"/>
            <w:vMerge w:val="continue"/>
            <w:noWrap w:val="0"/>
            <w:vAlign w:val="center"/>
          </w:tcPr>
          <w:p w14:paraId="4C36E344">
            <w:pPr>
              <w:snapToGrid w:val="0"/>
              <w:spacing w:line="300" w:lineRule="auto"/>
              <w:rPr>
                <w:rFonts w:hint="eastAsia" w:ascii="宋体" w:hAnsi="宋体" w:eastAsia="宋体" w:cs="宋体"/>
                <w:color w:val="auto"/>
                <w:sz w:val="24"/>
                <w:szCs w:val="24"/>
                <w:highlight w:val="none"/>
              </w:rPr>
            </w:pPr>
          </w:p>
        </w:tc>
        <w:tc>
          <w:tcPr>
            <w:tcW w:w="1263" w:type="dxa"/>
            <w:vMerge w:val="continue"/>
            <w:noWrap w:val="0"/>
            <w:vAlign w:val="center"/>
          </w:tcPr>
          <w:p w14:paraId="6F7C835C">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55C05CFA">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已取得证书日期</w:t>
            </w:r>
          </w:p>
        </w:tc>
        <w:tc>
          <w:tcPr>
            <w:tcW w:w="1520" w:type="dxa"/>
            <w:noWrap w:val="0"/>
            <w:vAlign w:val="center"/>
          </w:tcPr>
          <w:p w14:paraId="6493B200">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清单型号</w:t>
            </w:r>
          </w:p>
        </w:tc>
        <w:tc>
          <w:tcPr>
            <w:tcW w:w="1591" w:type="dxa"/>
            <w:noWrap w:val="0"/>
            <w:vAlign w:val="center"/>
          </w:tcPr>
          <w:p w14:paraId="5BD5C5F2">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1329" w:type="dxa"/>
            <w:noWrap w:val="0"/>
            <w:vAlign w:val="center"/>
          </w:tcPr>
          <w:p w14:paraId="0FFF0F6A">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发证机构</w:t>
            </w:r>
          </w:p>
        </w:tc>
      </w:tr>
      <w:tr w14:paraId="5F8ABB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jc w:val="center"/>
        </w:trPr>
        <w:tc>
          <w:tcPr>
            <w:tcW w:w="764" w:type="dxa"/>
            <w:noWrap w:val="0"/>
            <w:vAlign w:val="center"/>
          </w:tcPr>
          <w:p w14:paraId="6B5A0F25">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1" w:type="dxa"/>
            <w:noWrap w:val="0"/>
            <w:vAlign w:val="center"/>
          </w:tcPr>
          <w:p w14:paraId="77BA2DD3">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678EDD17">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60A3CCB1">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71863CE8">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67022A53">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75181AB7">
            <w:pPr>
              <w:snapToGrid w:val="0"/>
              <w:spacing w:line="300" w:lineRule="auto"/>
              <w:rPr>
                <w:rFonts w:hint="eastAsia" w:ascii="宋体" w:hAnsi="宋体" w:eastAsia="宋体" w:cs="宋体"/>
                <w:color w:val="auto"/>
                <w:sz w:val="24"/>
                <w:szCs w:val="24"/>
                <w:highlight w:val="none"/>
              </w:rPr>
            </w:pPr>
          </w:p>
        </w:tc>
      </w:tr>
      <w:tr w14:paraId="20694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764" w:type="dxa"/>
            <w:noWrap w:val="0"/>
            <w:vAlign w:val="center"/>
          </w:tcPr>
          <w:p w14:paraId="3AA2919F">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61" w:type="dxa"/>
            <w:noWrap w:val="0"/>
            <w:vAlign w:val="center"/>
          </w:tcPr>
          <w:p w14:paraId="6A1434DC">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2B7E1DD7">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47F4CD1C">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29608314">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305CE48F">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54ADCB81">
            <w:pPr>
              <w:snapToGrid w:val="0"/>
              <w:spacing w:line="300" w:lineRule="auto"/>
              <w:rPr>
                <w:rFonts w:hint="eastAsia" w:ascii="宋体" w:hAnsi="宋体" w:eastAsia="宋体" w:cs="宋体"/>
                <w:color w:val="auto"/>
                <w:sz w:val="24"/>
                <w:szCs w:val="24"/>
                <w:highlight w:val="none"/>
              </w:rPr>
            </w:pPr>
          </w:p>
        </w:tc>
      </w:tr>
      <w:tr w14:paraId="5E1816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764" w:type="dxa"/>
            <w:noWrap w:val="0"/>
            <w:vAlign w:val="center"/>
          </w:tcPr>
          <w:p w14:paraId="4C147D5F">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61" w:type="dxa"/>
            <w:noWrap w:val="0"/>
            <w:vAlign w:val="center"/>
          </w:tcPr>
          <w:p w14:paraId="3061A3EF">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5E76187A">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4608A72D">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242018DF">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5D2BC656">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49CDF859">
            <w:pPr>
              <w:snapToGrid w:val="0"/>
              <w:spacing w:line="300" w:lineRule="auto"/>
              <w:rPr>
                <w:rFonts w:hint="eastAsia" w:ascii="宋体" w:hAnsi="宋体" w:eastAsia="宋体" w:cs="宋体"/>
                <w:color w:val="auto"/>
                <w:sz w:val="24"/>
                <w:szCs w:val="24"/>
                <w:highlight w:val="none"/>
              </w:rPr>
            </w:pPr>
          </w:p>
        </w:tc>
      </w:tr>
      <w:tr w14:paraId="141105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764" w:type="dxa"/>
            <w:noWrap w:val="0"/>
            <w:vAlign w:val="center"/>
          </w:tcPr>
          <w:p w14:paraId="0C4C2F2A">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61" w:type="dxa"/>
            <w:noWrap w:val="0"/>
            <w:vAlign w:val="center"/>
          </w:tcPr>
          <w:p w14:paraId="1999B14D">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7468D73C">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0C8C509A">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776E961D">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4DEEF093">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02051575">
            <w:pPr>
              <w:snapToGrid w:val="0"/>
              <w:spacing w:line="300" w:lineRule="auto"/>
              <w:rPr>
                <w:rFonts w:hint="eastAsia" w:ascii="宋体" w:hAnsi="宋体" w:eastAsia="宋体" w:cs="宋体"/>
                <w:color w:val="auto"/>
                <w:sz w:val="24"/>
                <w:szCs w:val="24"/>
                <w:highlight w:val="none"/>
              </w:rPr>
            </w:pPr>
          </w:p>
        </w:tc>
      </w:tr>
      <w:tr w14:paraId="4AD890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764" w:type="dxa"/>
            <w:noWrap w:val="0"/>
            <w:vAlign w:val="center"/>
          </w:tcPr>
          <w:p w14:paraId="0B95A67C">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61" w:type="dxa"/>
            <w:noWrap w:val="0"/>
            <w:vAlign w:val="center"/>
          </w:tcPr>
          <w:p w14:paraId="1F445311">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15B1F0A9">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24EDA2FF">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7B3C6ABD">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42E1678E">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06ACE6D9">
            <w:pPr>
              <w:snapToGrid w:val="0"/>
              <w:spacing w:line="300" w:lineRule="auto"/>
              <w:rPr>
                <w:rFonts w:hint="eastAsia" w:ascii="宋体" w:hAnsi="宋体" w:eastAsia="宋体" w:cs="宋体"/>
                <w:color w:val="auto"/>
                <w:sz w:val="24"/>
                <w:szCs w:val="24"/>
                <w:highlight w:val="none"/>
              </w:rPr>
            </w:pPr>
          </w:p>
        </w:tc>
      </w:tr>
      <w:tr w14:paraId="54D52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atLeast"/>
          <w:jc w:val="center"/>
        </w:trPr>
        <w:tc>
          <w:tcPr>
            <w:tcW w:w="764" w:type="dxa"/>
            <w:noWrap w:val="0"/>
            <w:vAlign w:val="center"/>
          </w:tcPr>
          <w:p w14:paraId="57AA3C8B">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1061" w:type="dxa"/>
            <w:noWrap w:val="0"/>
            <w:vAlign w:val="center"/>
          </w:tcPr>
          <w:p w14:paraId="3E42C8AD">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4EFEB930">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2BC09414">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4C883433">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6B49DA19">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0DE7EE39">
            <w:pPr>
              <w:snapToGrid w:val="0"/>
              <w:spacing w:line="300" w:lineRule="auto"/>
              <w:rPr>
                <w:rFonts w:hint="eastAsia" w:ascii="宋体" w:hAnsi="宋体" w:eastAsia="宋体" w:cs="宋体"/>
                <w:color w:val="auto"/>
                <w:sz w:val="24"/>
                <w:szCs w:val="24"/>
                <w:highlight w:val="none"/>
              </w:rPr>
            </w:pPr>
          </w:p>
        </w:tc>
      </w:tr>
    </w:tbl>
    <w:p w14:paraId="5E581875">
      <w:pPr>
        <w:pStyle w:val="7"/>
        <w:ind w:left="0" w:leftChars="0" w:firstLine="0" w:firstLineChars="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注：1、上述“节能产品政府采购清单”以相关职能部门正式发布的最新一期为准。</w:t>
      </w:r>
    </w:p>
    <w:p w14:paraId="3E685319">
      <w:pPr>
        <w:pStyle w:val="7"/>
        <w:ind w:left="105" w:leftChars="50" w:firstLine="360" w:firstLineChars="15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2、采购项目分包的，本表应按报价包号填写。</w:t>
      </w:r>
    </w:p>
    <w:p w14:paraId="1EBD517C">
      <w:pPr>
        <w:pStyle w:val="7"/>
        <w:ind w:left="105" w:leftChars="50" w:firstLine="360" w:firstLineChars="15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3、后附认证证书复印件加盖</w:t>
      </w:r>
      <w:r>
        <w:rPr>
          <w:rFonts w:hint="eastAsia" w:ascii="宋体" w:hAnsi="宋体" w:eastAsia="宋体"/>
          <w:b w:val="0"/>
          <w:color w:val="auto"/>
          <w:sz w:val="24"/>
          <w:highlight w:val="none"/>
          <w:lang w:eastAsia="zh-CN"/>
        </w:rPr>
        <w:t>供应商</w:t>
      </w:r>
      <w:r>
        <w:rPr>
          <w:rFonts w:hint="eastAsia" w:ascii="宋体" w:hAnsi="宋体" w:eastAsia="宋体"/>
          <w:b w:val="0"/>
          <w:color w:val="auto"/>
          <w:sz w:val="24"/>
          <w:highlight w:val="none"/>
        </w:rPr>
        <w:t>公章。</w:t>
      </w:r>
    </w:p>
    <w:p w14:paraId="4B4D1E03">
      <w:pPr>
        <w:spacing w:line="480" w:lineRule="auto"/>
        <w:jc w:val="center"/>
        <w:rPr>
          <w:rFonts w:hint="eastAsia" w:ascii="宋体" w:hAnsi="宋体" w:cs="宋体"/>
          <w:color w:val="auto"/>
          <w:sz w:val="24"/>
          <w:highlight w:val="none"/>
        </w:rPr>
      </w:pPr>
    </w:p>
    <w:p w14:paraId="73DD67BA">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（盖单位公章）</w:t>
      </w:r>
    </w:p>
    <w:p w14:paraId="27F5F46F">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rPr>
        <w:t>法定代表人（单位负责人）</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（签字</w:t>
      </w:r>
      <w:r>
        <w:rPr>
          <w:rFonts w:hint="eastAsia" w:ascii="宋体" w:hAnsi="宋体" w:cs="宋体"/>
          <w:color w:val="auto"/>
          <w:sz w:val="24"/>
          <w:highlight w:val="none"/>
          <w:lang w:val="en-US" w:eastAsia="zh-CN"/>
        </w:rPr>
        <w:t>并盖章</w:t>
      </w:r>
      <w:r>
        <w:rPr>
          <w:rFonts w:hint="eastAsia" w:ascii="宋体" w:hAnsi="宋体" w:cs="宋体"/>
          <w:color w:val="auto"/>
          <w:sz w:val="24"/>
          <w:highlight w:val="none"/>
        </w:rPr>
        <w:t>）</w:t>
      </w:r>
    </w:p>
    <w:p w14:paraId="1E459EBB">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日期：</w:t>
      </w:r>
      <w:r>
        <w:rPr>
          <w:rFonts w:hint="eastAsia" w:ascii="宋体" w:hAnsi="宋体" w:cs="宋体"/>
          <w:color w:val="auto"/>
          <w:sz w:val="24"/>
          <w:highlight w:val="none"/>
        </w:rPr>
        <w:t xml:space="preserve">      年     月     日</w:t>
      </w:r>
    </w:p>
    <w:p w14:paraId="33CAB4A0">
      <w:pPr>
        <w:spacing w:line="480" w:lineRule="auto"/>
        <w:rPr>
          <w:rFonts w:hint="eastAsia" w:ascii="宋体" w:hAnsi="宋体" w:cs="宋体"/>
          <w:color w:val="auto"/>
          <w:sz w:val="24"/>
          <w:highlight w:val="none"/>
        </w:rPr>
      </w:pPr>
      <w:r>
        <w:rPr>
          <w:rFonts w:ascii="宋体" w:hAnsi="宋体" w:cs="宋体"/>
          <w:color w:val="auto"/>
          <w:sz w:val="24"/>
          <w:highlight w:val="none"/>
        </w:rPr>
        <w:br w:type="page"/>
      </w:r>
    </w:p>
    <w:p w14:paraId="1E90741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baseline"/>
        <w:outlineLvl w:val="9"/>
        <w:rPr>
          <w:rFonts w:hint="eastAsia" w:ascii="宋体" w:hAnsi="宋体"/>
          <w:b/>
          <w:color w:val="auto"/>
          <w:sz w:val="24"/>
          <w:highlight w:val="none"/>
        </w:rPr>
      </w:pPr>
      <w:bookmarkStart w:id="72" w:name="_Toc511239257"/>
      <w:bookmarkStart w:id="73" w:name="_Toc7338702"/>
      <w:bookmarkStart w:id="74" w:name="_Toc14104094"/>
      <w:bookmarkStart w:id="75" w:name="_Toc14104576"/>
      <w:bookmarkStart w:id="76" w:name="_Toc511239412"/>
      <w:r>
        <w:rPr>
          <w:rFonts w:hint="eastAsia" w:ascii="宋体" w:hAnsi="宋体"/>
          <w:b/>
          <w:color w:val="auto"/>
          <w:sz w:val="24"/>
          <w:highlight w:val="none"/>
        </w:rPr>
        <w:t>环境标志产品清单说明表</w:t>
      </w:r>
      <w:bookmarkEnd w:id="72"/>
      <w:bookmarkEnd w:id="73"/>
      <w:bookmarkEnd w:id="74"/>
      <w:bookmarkEnd w:id="75"/>
      <w:bookmarkEnd w:id="76"/>
    </w:p>
    <w:p w14:paraId="18CC12A6">
      <w:pPr>
        <w:snapToGrid w:val="0"/>
        <w:spacing w:line="300" w:lineRule="auto"/>
        <w:jc w:val="center"/>
        <w:rPr>
          <w:rFonts w:hint="eastAsia" w:ascii="宋体" w:hAnsi="宋体"/>
          <w:color w:val="auto"/>
          <w:sz w:val="24"/>
          <w:highlight w:val="none"/>
        </w:rPr>
      </w:pPr>
      <w:r>
        <w:rPr>
          <w:rFonts w:hint="eastAsia" w:ascii="宋体" w:hAnsi="宋体"/>
          <w:color w:val="auto"/>
          <w:sz w:val="24"/>
          <w:highlight w:val="none"/>
        </w:rPr>
        <w:t>（环境标志产品按下列格式提供）</w:t>
      </w:r>
    </w:p>
    <w:p w14:paraId="52AD0586">
      <w:pPr>
        <w:snapToGrid w:val="0"/>
        <w:spacing w:line="300" w:lineRule="auto"/>
        <w:rPr>
          <w:rFonts w:hint="eastAsia" w:ascii="宋体" w:hAnsi="宋体"/>
          <w:color w:val="auto"/>
          <w:sz w:val="24"/>
          <w:highlight w:val="none"/>
        </w:rPr>
      </w:pPr>
    </w:p>
    <w:p w14:paraId="0CD7682B">
      <w:pPr>
        <w:snapToGrid w:val="0"/>
        <w:spacing w:line="300" w:lineRule="auto"/>
        <w:rPr>
          <w:rFonts w:hint="eastAsia" w:ascii="宋体" w:hAnsi="宋体"/>
          <w:color w:val="auto"/>
          <w:sz w:val="24"/>
          <w:highlight w:val="none"/>
          <w:u w:val="single"/>
        </w:rPr>
      </w:pPr>
      <w:r>
        <w:rPr>
          <w:rFonts w:hint="eastAsia" w:ascii="宋体" w:hAnsi="宋体"/>
          <w:color w:val="auto"/>
          <w:sz w:val="24"/>
          <w:highlight w:val="none"/>
        </w:rPr>
        <w:t xml:space="preserve">采购项目名称： </w:t>
      </w:r>
      <w:r>
        <w:rPr>
          <w:rFonts w:hint="eastAsia" w:ascii="宋体" w:hAnsi="宋体"/>
          <w:color w:val="auto"/>
          <w:sz w:val="24"/>
          <w:highlight w:val="none"/>
          <w:u w:val="single"/>
        </w:rPr>
        <w:t xml:space="preserve">                       </w:t>
      </w:r>
    </w:p>
    <w:p w14:paraId="6797C8EF">
      <w:pPr>
        <w:snapToGrid w:val="0"/>
        <w:spacing w:line="300" w:lineRule="auto"/>
        <w:rPr>
          <w:rFonts w:hint="eastAsia" w:ascii="宋体" w:hAnsi="宋体"/>
          <w:i/>
          <w:iCs/>
          <w:color w:val="auto"/>
          <w:sz w:val="24"/>
          <w:highlight w:val="none"/>
        </w:rPr>
      </w:pPr>
      <w:r>
        <w:rPr>
          <w:rFonts w:hint="eastAsia" w:ascii="宋体" w:hAnsi="宋体"/>
          <w:color w:val="auto"/>
          <w:sz w:val="24"/>
          <w:highlight w:val="none"/>
        </w:rPr>
        <w:t>采购项目编号：</w:t>
      </w:r>
      <w:r>
        <w:rPr>
          <w:rFonts w:hint="eastAsia" w:ascii="宋体" w:hAnsi="宋体"/>
          <w:i/>
          <w:iCs/>
          <w:color w:val="auto"/>
          <w:sz w:val="24"/>
          <w:highlight w:val="none"/>
        </w:rPr>
        <w:t xml:space="preserve"> </w:t>
      </w:r>
      <w:r>
        <w:rPr>
          <w:rFonts w:hint="eastAsia" w:ascii="宋体" w:hAnsi="宋体"/>
          <w:color w:val="auto"/>
          <w:sz w:val="24"/>
          <w:highlight w:val="none"/>
          <w:u w:val="single"/>
        </w:rPr>
        <w:t xml:space="preserve">                       </w:t>
      </w:r>
    </w:p>
    <w:p w14:paraId="0DC3B5B1">
      <w:pPr>
        <w:rPr>
          <w:rFonts w:hint="eastAsia" w:ascii="宋体" w:hAnsi="宋体"/>
          <w:color w:val="auto"/>
          <w:szCs w:val="21"/>
          <w:highlight w:val="none"/>
        </w:rPr>
      </w:pPr>
    </w:p>
    <w:tbl>
      <w:tblPr>
        <w:tblStyle w:val="16"/>
        <w:tblW w:w="0" w:type="auto"/>
        <w:jc w:val="center"/>
        <w:tblLayout w:type="fixed"/>
        <w:tblCellMar>
          <w:top w:w="0" w:type="dxa"/>
          <w:left w:w="108" w:type="dxa"/>
          <w:bottom w:w="0" w:type="dxa"/>
          <w:right w:w="108" w:type="dxa"/>
        </w:tblCellMar>
      </w:tblPr>
      <w:tblGrid>
        <w:gridCol w:w="729"/>
        <w:gridCol w:w="1090"/>
        <w:gridCol w:w="1076"/>
        <w:gridCol w:w="1759"/>
        <w:gridCol w:w="1276"/>
        <w:gridCol w:w="1417"/>
        <w:gridCol w:w="1653"/>
      </w:tblGrid>
      <w:tr w14:paraId="3B8E6B0D">
        <w:tblPrEx>
          <w:tblCellMar>
            <w:top w:w="0" w:type="dxa"/>
            <w:left w:w="108" w:type="dxa"/>
            <w:bottom w:w="0" w:type="dxa"/>
            <w:right w:w="108" w:type="dxa"/>
          </w:tblCellMar>
        </w:tblPrEx>
        <w:trPr>
          <w:trHeight w:val="420" w:hRule="atLeast"/>
          <w:jc w:val="center"/>
        </w:trPr>
        <w:tc>
          <w:tcPr>
            <w:tcW w:w="729" w:type="dxa"/>
            <w:vMerge w:val="restart"/>
            <w:tcBorders>
              <w:top w:val="single" w:color="auto" w:sz="8" w:space="0"/>
              <w:left w:val="single" w:color="auto" w:sz="8" w:space="0"/>
              <w:bottom w:val="single" w:color="auto" w:sz="8" w:space="0"/>
              <w:right w:val="single" w:color="auto" w:sz="8" w:space="0"/>
            </w:tcBorders>
            <w:noWrap w:val="0"/>
            <w:vAlign w:val="center"/>
          </w:tcPr>
          <w:p w14:paraId="5B4958DB">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90" w:type="dxa"/>
            <w:vMerge w:val="restart"/>
            <w:tcBorders>
              <w:top w:val="single" w:color="auto" w:sz="8" w:space="0"/>
              <w:left w:val="single" w:color="auto" w:sz="8" w:space="0"/>
              <w:bottom w:val="single" w:color="auto" w:sz="8" w:space="0"/>
              <w:right w:val="single" w:color="auto" w:sz="8" w:space="0"/>
            </w:tcBorders>
            <w:noWrap w:val="0"/>
            <w:vAlign w:val="center"/>
          </w:tcPr>
          <w:p w14:paraId="78EE4D76">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1076" w:type="dxa"/>
            <w:vMerge w:val="restart"/>
            <w:tcBorders>
              <w:top w:val="single" w:color="auto" w:sz="8" w:space="0"/>
              <w:left w:val="single" w:color="auto" w:sz="8" w:space="0"/>
              <w:bottom w:val="single" w:color="auto" w:sz="8" w:space="0"/>
              <w:right w:val="single" w:color="auto" w:sz="8" w:space="0"/>
            </w:tcBorders>
            <w:noWrap w:val="0"/>
            <w:vAlign w:val="center"/>
          </w:tcPr>
          <w:p w14:paraId="2B248AA4">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6105" w:type="dxa"/>
            <w:gridSpan w:val="4"/>
            <w:tcBorders>
              <w:top w:val="single" w:color="auto" w:sz="8" w:space="0"/>
              <w:left w:val="single" w:color="auto" w:sz="8" w:space="0"/>
              <w:bottom w:val="single" w:color="auto" w:sz="8" w:space="0"/>
              <w:right w:val="single" w:color="auto" w:sz="8" w:space="0"/>
            </w:tcBorders>
            <w:noWrap w:val="0"/>
            <w:vAlign w:val="center"/>
          </w:tcPr>
          <w:p w14:paraId="75E7E0A6">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环境标志产品政府采购清单</w:t>
            </w:r>
          </w:p>
        </w:tc>
      </w:tr>
      <w:tr w14:paraId="23E168F1">
        <w:tblPrEx>
          <w:tblCellMar>
            <w:top w:w="0" w:type="dxa"/>
            <w:left w:w="108" w:type="dxa"/>
            <w:bottom w:w="0" w:type="dxa"/>
            <w:right w:w="108" w:type="dxa"/>
          </w:tblCellMar>
        </w:tblPrEx>
        <w:trPr>
          <w:trHeight w:val="314" w:hRule="atLeast"/>
          <w:jc w:val="center"/>
        </w:trPr>
        <w:tc>
          <w:tcPr>
            <w:tcW w:w="729" w:type="dxa"/>
            <w:vMerge w:val="continue"/>
            <w:tcBorders>
              <w:top w:val="single" w:color="auto" w:sz="8" w:space="0"/>
              <w:left w:val="single" w:color="auto" w:sz="8" w:space="0"/>
              <w:bottom w:val="single" w:color="auto" w:sz="8" w:space="0"/>
              <w:right w:val="single" w:color="auto" w:sz="8" w:space="0"/>
            </w:tcBorders>
            <w:noWrap w:val="0"/>
            <w:vAlign w:val="center"/>
          </w:tcPr>
          <w:p w14:paraId="5764DA86">
            <w:pPr>
              <w:bidi w:val="0"/>
              <w:jc w:val="center"/>
              <w:rPr>
                <w:rFonts w:hint="eastAsia" w:ascii="宋体" w:hAnsi="宋体" w:eastAsia="宋体" w:cs="宋体"/>
                <w:color w:val="auto"/>
                <w:sz w:val="24"/>
                <w:szCs w:val="24"/>
              </w:rPr>
            </w:pPr>
          </w:p>
        </w:tc>
        <w:tc>
          <w:tcPr>
            <w:tcW w:w="1090" w:type="dxa"/>
            <w:vMerge w:val="continue"/>
            <w:tcBorders>
              <w:top w:val="single" w:color="auto" w:sz="8" w:space="0"/>
              <w:left w:val="single" w:color="auto" w:sz="8" w:space="0"/>
              <w:bottom w:val="single" w:color="auto" w:sz="8" w:space="0"/>
              <w:right w:val="single" w:color="auto" w:sz="8" w:space="0"/>
            </w:tcBorders>
            <w:noWrap w:val="0"/>
            <w:vAlign w:val="center"/>
          </w:tcPr>
          <w:p w14:paraId="1C6335C3">
            <w:pPr>
              <w:bidi w:val="0"/>
              <w:jc w:val="center"/>
              <w:rPr>
                <w:rFonts w:hint="eastAsia" w:ascii="宋体" w:hAnsi="宋体" w:eastAsia="宋体" w:cs="宋体"/>
                <w:color w:val="auto"/>
                <w:sz w:val="24"/>
                <w:szCs w:val="24"/>
              </w:rPr>
            </w:pPr>
          </w:p>
        </w:tc>
        <w:tc>
          <w:tcPr>
            <w:tcW w:w="1076" w:type="dxa"/>
            <w:vMerge w:val="continue"/>
            <w:tcBorders>
              <w:top w:val="single" w:color="auto" w:sz="8" w:space="0"/>
              <w:left w:val="single" w:color="auto" w:sz="8" w:space="0"/>
              <w:bottom w:val="single" w:color="auto" w:sz="8" w:space="0"/>
              <w:right w:val="single" w:color="auto" w:sz="8" w:space="0"/>
            </w:tcBorders>
            <w:noWrap w:val="0"/>
            <w:vAlign w:val="center"/>
          </w:tcPr>
          <w:p w14:paraId="5EC3E9E5">
            <w:pPr>
              <w:bidi w:val="0"/>
              <w:jc w:val="center"/>
              <w:rPr>
                <w:rFonts w:hint="eastAsia" w:ascii="宋体" w:hAnsi="宋体" w:eastAsia="宋体" w:cs="宋体"/>
                <w:color w:val="auto"/>
                <w:sz w:val="24"/>
                <w:szCs w:val="24"/>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2C2FD91F">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已取得证书日期</w:t>
            </w:r>
          </w:p>
        </w:tc>
        <w:tc>
          <w:tcPr>
            <w:tcW w:w="1276" w:type="dxa"/>
            <w:tcBorders>
              <w:top w:val="single" w:color="auto" w:sz="8" w:space="0"/>
              <w:left w:val="single" w:color="auto" w:sz="8" w:space="0"/>
              <w:bottom w:val="single" w:color="auto" w:sz="8" w:space="0"/>
              <w:right w:val="single" w:color="auto" w:sz="8" w:space="0"/>
            </w:tcBorders>
            <w:noWrap w:val="0"/>
            <w:vAlign w:val="center"/>
          </w:tcPr>
          <w:p w14:paraId="2CEE0B07">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清单型号</w:t>
            </w:r>
          </w:p>
        </w:tc>
        <w:tc>
          <w:tcPr>
            <w:tcW w:w="1417" w:type="dxa"/>
            <w:tcBorders>
              <w:top w:val="single" w:color="auto" w:sz="8" w:space="0"/>
              <w:left w:val="single" w:color="auto" w:sz="8" w:space="0"/>
              <w:bottom w:val="single" w:color="auto" w:sz="8" w:space="0"/>
              <w:right w:val="single" w:color="auto" w:sz="8" w:space="0"/>
            </w:tcBorders>
            <w:noWrap w:val="0"/>
            <w:vAlign w:val="center"/>
          </w:tcPr>
          <w:p w14:paraId="58A64B4A">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证书编号</w:t>
            </w:r>
          </w:p>
        </w:tc>
        <w:tc>
          <w:tcPr>
            <w:tcW w:w="1653" w:type="dxa"/>
            <w:tcBorders>
              <w:top w:val="single" w:color="auto" w:sz="8" w:space="0"/>
              <w:left w:val="single" w:color="auto" w:sz="8" w:space="0"/>
              <w:bottom w:val="single" w:color="auto" w:sz="8" w:space="0"/>
              <w:right w:val="single" w:color="auto" w:sz="8" w:space="0"/>
            </w:tcBorders>
            <w:noWrap w:val="0"/>
            <w:vAlign w:val="center"/>
          </w:tcPr>
          <w:p w14:paraId="53B214AC">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发证机构</w:t>
            </w:r>
          </w:p>
        </w:tc>
      </w:tr>
      <w:tr w14:paraId="6BF16135">
        <w:tblPrEx>
          <w:tblCellMar>
            <w:top w:w="0" w:type="dxa"/>
            <w:left w:w="108" w:type="dxa"/>
            <w:bottom w:w="0" w:type="dxa"/>
            <w:right w:w="108" w:type="dxa"/>
          </w:tblCellMar>
        </w:tblPrEx>
        <w:trPr>
          <w:trHeight w:val="645"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4DB814C4">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44BCCA54">
            <w:pPr>
              <w:bidi w:val="0"/>
              <w:jc w:val="center"/>
              <w:rPr>
                <w:rFonts w:hint="eastAsia" w:ascii="宋体" w:hAnsi="宋体" w:eastAsia="宋体" w:cs="宋体"/>
                <w:color w:val="auto"/>
                <w:sz w:val="24"/>
                <w:szCs w:val="24"/>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3AE1179A">
            <w:pPr>
              <w:bidi w:val="0"/>
              <w:jc w:val="center"/>
              <w:rPr>
                <w:rFonts w:hint="eastAsia" w:ascii="宋体" w:hAnsi="宋体" w:eastAsia="宋体" w:cs="宋体"/>
                <w:color w:val="auto"/>
                <w:sz w:val="24"/>
                <w:szCs w:val="24"/>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6ED8DBC7">
            <w:pPr>
              <w:bidi w:val="0"/>
              <w:jc w:val="center"/>
              <w:rPr>
                <w:rFonts w:hint="eastAsia" w:ascii="宋体" w:hAnsi="宋体" w:eastAsia="宋体" w:cs="宋体"/>
                <w:color w:val="auto"/>
                <w:sz w:val="24"/>
                <w:szCs w:val="24"/>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3B7949F5">
            <w:pPr>
              <w:bidi w:val="0"/>
              <w:jc w:val="center"/>
              <w:rPr>
                <w:rFonts w:hint="eastAsia" w:ascii="宋体" w:hAnsi="宋体" w:eastAsia="宋体" w:cs="宋体"/>
                <w:color w:val="auto"/>
                <w:sz w:val="24"/>
                <w:szCs w:val="24"/>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404A253E">
            <w:pPr>
              <w:bidi w:val="0"/>
              <w:jc w:val="center"/>
              <w:rPr>
                <w:rFonts w:hint="eastAsia" w:ascii="宋体" w:hAnsi="宋体" w:eastAsia="宋体" w:cs="宋体"/>
                <w:color w:val="auto"/>
                <w:sz w:val="24"/>
                <w:szCs w:val="24"/>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5476E606">
            <w:pPr>
              <w:bidi w:val="0"/>
              <w:jc w:val="center"/>
              <w:rPr>
                <w:rFonts w:hint="eastAsia" w:ascii="宋体" w:hAnsi="宋体" w:eastAsia="宋体" w:cs="宋体"/>
                <w:color w:val="auto"/>
                <w:sz w:val="24"/>
                <w:szCs w:val="24"/>
              </w:rPr>
            </w:pPr>
          </w:p>
        </w:tc>
      </w:tr>
      <w:tr w14:paraId="48B4D536">
        <w:tblPrEx>
          <w:tblCellMar>
            <w:top w:w="0" w:type="dxa"/>
            <w:left w:w="108" w:type="dxa"/>
            <w:bottom w:w="0" w:type="dxa"/>
            <w:right w:w="108" w:type="dxa"/>
          </w:tblCellMar>
        </w:tblPrEx>
        <w:trPr>
          <w:trHeight w:val="390"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3038AB8E">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2349EE86">
            <w:pPr>
              <w:bidi w:val="0"/>
              <w:jc w:val="center"/>
              <w:rPr>
                <w:rFonts w:hint="eastAsia" w:ascii="宋体" w:hAnsi="宋体" w:eastAsia="宋体" w:cs="宋体"/>
                <w:color w:val="auto"/>
                <w:sz w:val="24"/>
                <w:szCs w:val="24"/>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7DCBD54F">
            <w:pPr>
              <w:bidi w:val="0"/>
              <w:jc w:val="center"/>
              <w:rPr>
                <w:rFonts w:hint="eastAsia" w:ascii="宋体" w:hAnsi="宋体" w:eastAsia="宋体" w:cs="宋体"/>
                <w:color w:val="auto"/>
                <w:sz w:val="24"/>
                <w:szCs w:val="24"/>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39FE4ADB">
            <w:pPr>
              <w:bidi w:val="0"/>
              <w:jc w:val="center"/>
              <w:rPr>
                <w:rFonts w:hint="eastAsia" w:ascii="宋体" w:hAnsi="宋体" w:eastAsia="宋体" w:cs="宋体"/>
                <w:color w:val="auto"/>
                <w:sz w:val="24"/>
                <w:szCs w:val="24"/>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33E1CD61">
            <w:pPr>
              <w:bidi w:val="0"/>
              <w:jc w:val="center"/>
              <w:rPr>
                <w:rFonts w:hint="eastAsia" w:ascii="宋体" w:hAnsi="宋体" w:eastAsia="宋体" w:cs="宋体"/>
                <w:color w:val="auto"/>
                <w:sz w:val="24"/>
                <w:szCs w:val="24"/>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19029B83">
            <w:pPr>
              <w:bidi w:val="0"/>
              <w:jc w:val="center"/>
              <w:rPr>
                <w:rFonts w:hint="eastAsia" w:ascii="宋体" w:hAnsi="宋体" w:eastAsia="宋体" w:cs="宋体"/>
                <w:color w:val="auto"/>
                <w:sz w:val="24"/>
                <w:szCs w:val="24"/>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05C100C0">
            <w:pPr>
              <w:bidi w:val="0"/>
              <w:jc w:val="center"/>
              <w:rPr>
                <w:rFonts w:hint="eastAsia" w:ascii="宋体" w:hAnsi="宋体" w:eastAsia="宋体" w:cs="宋体"/>
                <w:color w:val="auto"/>
                <w:sz w:val="24"/>
                <w:szCs w:val="24"/>
              </w:rPr>
            </w:pPr>
          </w:p>
        </w:tc>
      </w:tr>
      <w:tr w14:paraId="7AC9A9E0">
        <w:tblPrEx>
          <w:tblCellMar>
            <w:top w:w="0" w:type="dxa"/>
            <w:left w:w="108" w:type="dxa"/>
            <w:bottom w:w="0" w:type="dxa"/>
            <w:right w:w="108" w:type="dxa"/>
          </w:tblCellMar>
        </w:tblPrEx>
        <w:trPr>
          <w:trHeight w:val="390"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400DC34C">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630FAD85">
            <w:pPr>
              <w:bidi w:val="0"/>
              <w:jc w:val="center"/>
              <w:rPr>
                <w:rFonts w:hint="eastAsia" w:ascii="宋体" w:hAnsi="宋体" w:eastAsia="宋体" w:cs="宋体"/>
                <w:color w:val="auto"/>
                <w:sz w:val="24"/>
                <w:szCs w:val="24"/>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3B7F9651">
            <w:pPr>
              <w:bidi w:val="0"/>
              <w:jc w:val="center"/>
              <w:rPr>
                <w:rFonts w:hint="eastAsia" w:ascii="宋体" w:hAnsi="宋体" w:eastAsia="宋体" w:cs="宋体"/>
                <w:color w:val="auto"/>
                <w:sz w:val="24"/>
                <w:szCs w:val="24"/>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5C434FD0">
            <w:pPr>
              <w:bidi w:val="0"/>
              <w:jc w:val="center"/>
              <w:rPr>
                <w:rFonts w:hint="eastAsia" w:ascii="宋体" w:hAnsi="宋体" w:eastAsia="宋体" w:cs="宋体"/>
                <w:color w:val="auto"/>
                <w:sz w:val="24"/>
                <w:szCs w:val="24"/>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1FE880B5">
            <w:pPr>
              <w:bidi w:val="0"/>
              <w:jc w:val="center"/>
              <w:rPr>
                <w:rFonts w:hint="eastAsia" w:ascii="宋体" w:hAnsi="宋体" w:eastAsia="宋体" w:cs="宋体"/>
                <w:color w:val="auto"/>
                <w:sz w:val="24"/>
                <w:szCs w:val="24"/>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02764926">
            <w:pPr>
              <w:bidi w:val="0"/>
              <w:jc w:val="center"/>
              <w:rPr>
                <w:rFonts w:hint="eastAsia" w:ascii="宋体" w:hAnsi="宋体" w:eastAsia="宋体" w:cs="宋体"/>
                <w:color w:val="auto"/>
                <w:sz w:val="24"/>
                <w:szCs w:val="24"/>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3C9355FE">
            <w:pPr>
              <w:bidi w:val="0"/>
              <w:jc w:val="center"/>
              <w:rPr>
                <w:rFonts w:hint="eastAsia" w:ascii="宋体" w:hAnsi="宋体" w:eastAsia="宋体" w:cs="宋体"/>
                <w:color w:val="auto"/>
                <w:sz w:val="24"/>
                <w:szCs w:val="24"/>
              </w:rPr>
            </w:pPr>
          </w:p>
        </w:tc>
      </w:tr>
      <w:tr w14:paraId="4727F04C">
        <w:tblPrEx>
          <w:tblCellMar>
            <w:top w:w="0" w:type="dxa"/>
            <w:left w:w="108" w:type="dxa"/>
            <w:bottom w:w="0" w:type="dxa"/>
            <w:right w:w="108" w:type="dxa"/>
          </w:tblCellMar>
        </w:tblPrEx>
        <w:trPr>
          <w:trHeight w:val="390"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3AEADE0A">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3EADAD0D">
            <w:pPr>
              <w:bidi w:val="0"/>
              <w:jc w:val="center"/>
              <w:rPr>
                <w:rFonts w:hint="eastAsia" w:ascii="宋体" w:hAnsi="宋体" w:eastAsia="宋体" w:cs="宋体"/>
                <w:color w:val="auto"/>
                <w:sz w:val="24"/>
                <w:szCs w:val="24"/>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09710227">
            <w:pPr>
              <w:bidi w:val="0"/>
              <w:jc w:val="center"/>
              <w:rPr>
                <w:rFonts w:hint="eastAsia" w:ascii="宋体" w:hAnsi="宋体" w:eastAsia="宋体" w:cs="宋体"/>
                <w:color w:val="auto"/>
                <w:sz w:val="24"/>
                <w:szCs w:val="24"/>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14996462">
            <w:pPr>
              <w:bidi w:val="0"/>
              <w:jc w:val="center"/>
              <w:rPr>
                <w:rFonts w:hint="eastAsia" w:ascii="宋体" w:hAnsi="宋体" w:eastAsia="宋体" w:cs="宋体"/>
                <w:color w:val="auto"/>
                <w:sz w:val="24"/>
                <w:szCs w:val="24"/>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2644CB4A">
            <w:pPr>
              <w:bidi w:val="0"/>
              <w:jc w:val="center"/>
              <w:rPr>
                <w:rFonts w:hint="eastAsia" w:ascii="宋体" w:hAnsi="宋体" w:eastAsia="宋体" w:cs="宋体"/>
                <w:color w:val="auto"/>
                <w:sz w:val="24"/>
                <w:szCs w:val="24"/>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70654186">
            <w:pPr>
              <w:bidi w:val="0"/>
              <w:jc w:val="center"/>
              <w:rPr>
                <w:rFonts w:hint="eastAsia" w:ascii="宋体" w:hAnsi="宋体" w:eastAsia="宋体" w:cs="宋体"/>
                <w:color w:val="auto"/>
                <w:sz w:val="24"/>
                <w:szCs w:val="24"/>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41306454">
            <w:pPr>
              <w:bidi w:val="0"/>
              <w:jc w:val="center"/>
              <w:rPr>
                <w:rFonts w:hint="eastAsia" w:ascii="宋体" w:hAnsi="宋体" w:eastAsia="宋体" w:cs="宋体"/>
                <w:color w:val="auto"/>
                <w:sz w:val="24"/>
                <w:szCs w:val="24"/>
              </w:rPr>
            </w:pPr>
          </w:p>
        </w:tc>
      </w:tr>
      <w:tr w14:paraId="55E1E467">
        <w:tblPrEx>
          <w:tblCellMar>
            <w:top w:w="0" w:type="dxa"/>
            <w:left w:w="108" w:type="dxa"/>
            <w:bottom w:w="0" w:type="dxa"/>
            <w:right w:w="108" w:type="dxa"/>
          </w:tblCellMar>
        </w:tblPrEx>
        <w:trPr>
          <w:trHeight w:val="390"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408EEAED">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1A35266E">
            <w:pPr>
              <w:bidi w:val="0"/>
              <w:jc w:val="center"/>
              <w:rPr>
                <w:rFonts w:hint="eastAsia" w:ascii="宋体" w:hAnsi="宋体" w:eastAsia="宋体" w:cs="宋体"/>
                <w:color w:val="auto"/>
                <w:sz w:val="24"/>
                <w:szCs w:val="24"/>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04C821A2">
            <w:pPr>
              <w:bidi w:val="0"/>
              <w:jc w:val="center"/>
              <w:rPr>
                <w:rFonts w:hint="eastAsia" w:ascii="宋体" w:hAnsi="宋体" w:eastAsia="宋体" w:cs="宋体"/>
                <w:color w:val="auto"/>
                <w:sz w:val="24"/>
                <w:szCs w:val="24"/>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5884C83F">
            <w:pPr>
              <w:bidi w:val="0"/>
              <w:jc w:val="center"/>
              <w:rPr>
                <w:rFonts w:hint="eastAsia" w:ascii="宋体" w:hAnsi="宋体" w:eastAsia="宋体" w:cs="宋体"/>
                <w:color w:val="auto"/>
                <w:sz w:val="24"/>
                <w:szCs w:val="24"/>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341430F9">
            <w:pPr>
              <w:bidi w:val="0"/>
              <w:jc w:val="center"/>
              <w:rPr>
                <w:rFonts w:hint="eastAsia" w:ascii="宋体" w:hAnsi="宋体" w:eastAsia="宋体" w:cs="宋体"/>
                <w:color w:val="auto"/>
                <w:sz w:val="24"/>
                <w:szCs w:val="24"/>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1BBF78C1">
            <w:pPr>
              <w:bidi w:val="0"/>
              <w:jc w:val="center"/>
              <w:rPr>
                <w:rFonts w:hint="eastAsia" w:ascii="宋体" w:hAnsi="宋体" w:eastAsia="宋体" w:cs="宋体"/>
                <w:color w:val="auto"/>
                <w:sz w:val="24"/>
                <w:szCs w:val="24"/>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131AD27F">
            <w:pPr>
              <w:bidi w:val="0"/>
              <w:jc w:val="center"/>
              <w:rPr>
                <w:rFonts w:hint="eastAsia" w:ascii="宋体" w:hAnsi="宋体" w:eastAsia="宋体" w:cs="宋体"/>
                <w:color w:val="auto"/>
                <w:sz w:val="24"/>
                <w:szCs w:val="24"/>
              </w:rPr>
            </w:pPr>
          </w:p>
        </w:tc>
      </w:tr>
      <w:tr w14:paraId="35D2DD96">
        <w:tblPrEx>
          <w:tblCellMar>
            <w:top w:w="0" w:type="dxa"/>
            <w:left w:w="108" w:type="dxa"/>
            <w:bottom w:w="0" w:type="dxa"/>
            <w:right w:w="108" w:type="dxa"/>
          </w:tblCellMar>
        </w:tblPrEx>
        <w:trPr>
          <w:trHeight w:val="390"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44D6F163">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72CEE981">
            <w:pPr>
              <w:bidi w:val="0"/>
              <w:jc w:val="center"/>
              <w:rPr>
                <w:rFonts w:hint="eastAsia" w:ascii="宋体" w:hAnsi="宋体" w:eastAsia="宋体" w:cs="宋体"/>
                <w:color w:val="auto"/>
                <w:sz w:val="24"/>
                <w:szCs w:val="24"/>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0A9009B2">
            <w:pPr>
              <w:bidi w:val="0"/>
              <w:jc w:val="center"/>
              <w:rPr>
                <w:rFonts w:hint="eastAsia" w:ascii="宋体" w:hAnsi="宋体" w:eastAsia="宋体" w:cs="宋体"/>
                <w:color w:val="auto"/>
                <w:sz w:val="24"/>
                <w:szCs w:val="24"/>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310CB254">
            <w:pPr>
              <w:bidi w:val="0"/>
              <w:jc w:val="center"/>
              <w:rPr>
                <w:rFonts w:hint="eastAsia" w:ascii="宋体" w:hAnsi="宋体" w:eastAsia="宋体" w:cs="宋体"/>
                <w:color w:val="auto"/>
                <w:sz w:val="24"/>
                <w:szCs w:val="24"/>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2C9FD9BE">
            <w:pPr>
              <w:bidi w:val="0"/>
              <w:jc w:val="center"/>
              <w:rPr>
                <w:rFonts w:hint="eastAsia" w:ascii="宋体" w:hAnsi="宋体" w:eastAsia="宋体" w:cs="宋体"/>
                <w:color w:val="auto"/>
                <w:sz w:val="24"/>
                <w:szCs w:val="24"/>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16067252">
            <w:pPr>
              <w:bidi w:val="0"/>
              <w:jc w:val="center"/>
              <w:rPr>
                <w:rFonts w:hint="eastAsia" w:ascii="宋体" w:hAnsi="宋体" w:eastAsia="宋体" w:cs="宋体"/>
                <w:color w:val="auto"/>
                <w:sz w:val="24"/>
                <w:szCs w:val="24"/>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7B14BFFF">
            <w:pPr>
              <w:bidi w:val="0"/>
              <w:jc w:val="center"/>
              <w:rPr>
                <w:rFonts w:hint="eastAsia" w:ascii="宋体" w:hAnsi="宋体" w:eastAsia="宋体" w:cs="宋体"/>
                <w:color w:val="auto"/>
                <w:sz w:val="24"/>
                <w:szCs w:val="24"/>
              </w:rPr>
            </w:pPr>
          </w:p>
        </w:tc>
      </w:tr>
    </w:tbl>
    <w:p w14:paraId="37A02680">
      <w:pPr>
        <w:spacing w:line="300" w:lineRule="exact"/>
        <w:jc w:val="center"/>
        <w:rPr>
          <w:rFonts w:hint="eastAsia" w:ascii="宋体" w:hAnsi="宋体"/>
          <w:color w:val="auto"/>
          <w:szCs w:val="21"/>
          <w:highlight w:val="none"/>
        </w:rPr>
      </w:pPr>
    </w:p>
    <w:p w14:paraId="69681433">
      <w:pPr>
        <w:rPr>
          <w:rFonts w:hint="eastAsia" w:ascii="宋体" w:hAnsi="宋体"/>
          <w:color w:val="auto"/>
          <w:sz w:val="24"/>
          <w:highlight w:val="none"/>
        </w:rPr>
      </w:pPr>
      <w:r>
        <w:rPr>
          <w:rFonts w:hint="eastAsia" w:ascii="宋体" w:hAnsi="宋体"/>
          <w:color w:val="auto"/>
          <w:sz w:val="24"/>
          <w:highlight w:val="none"/>
        </w:rPr>
        <w:t>注：1、上述“环境标志产品政府采购清单”以相关职能部门正式发布的最新一期为准。</w:t>
      </w:r>
    </w:p>
    <w:p w14:paraId="4A74EFF9">
      <w:pP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eastAsia="宋体"/>
          <w:color w:val="auto"/>
          <w:sz w:val="24"/>
          <w:highlight w:val="none"/>
        </w:rPr>
        <w:t xml:space="preserve"> </w:t>
      </w:r>
      <w:r>
        <w:rPr>
          <w:rFonts w:hint="eastAsia" w:ascii="宋体" w:hAnsi="宋体"/>
          <w:color w:val="auto"/>
          <w:sz w:val="24"/>
          <w:highlight w:val="none"/>
        </w:rPr>
        <w:t xml:space="preserve">  2、采购项目分包的，本表应按报价包号填写。</w:t>
      </w:r>
    </w:p>
    <w:p w14:paraId="53596DB6">
      <w:pPr>
        <w:ind w:firstLine="480" w:firstLineChars="200"/>
        <w:rPr>
          <w:rFonts w:hint="eastAsia" w:ascii="宋体" w:hAnsi="宋体"/>
          <w:color w:val="auto"/>
          <w:sz w:val="24"/>
          <w:highlight w:val="none"/>
        </w:rPr>
      </w:pPr>
      <w:r>
        <w:rPr>
          <w:rFonts w:hint="eastAsia" w:ascii="宋体" w:hAnsi="宋体"/>
          <w:color w:val="auto"/>
          <w:sz w:val="24"/>
          <w:highlight w:val="none"/>
        </w:rPr>
        <w:t>3、后附认证证书复印件加盖</w:t>
      </w:r>
      <w:r>
        <w:rPr>
          <w:rFonts w:hint="eastAsia" w:ascii="宋体" w:hAnsi="宋体"/>
          <w:color w:val="auto"/>
          <w:sz w:val="24"/>
          <w:highlight w:val="none"/>
          <w:lang w:eastAsia="zh-CN"/>
        </w:rPr>
        <w:t>供应商</w:t>
      </w:r>
      <w:r>
        <w:rPr>
          <w:rFonts w:hint="eastAsia" w:ascii="宋体" w:hAnsi="宋体"/>
          <w:color w:val="auto"/>
          <w:sz w:val="24"/>
          <w:highlight w:val="none"/>
        </w:rPr>
        <w:t>公章。</w:t>
      </w:r>
    </w:p>
    <w:p w14:paraId="3A09557D">
      <w:pPr>
        <w:spacing w:line="480" w:lineRule="auto"/>
        <w:jc w:val="both"/>
        <w:rPr>
          <w:rFonts w:hint="eastAsia" w:ascii="宋体" w:hAnsi="宋体" w:cs="宋体"/>
          <w:color w:val="auto"/>
          <w:sz w:val="24"/>
          <w:highlight w:val="none"/>
          <w:lang w:eastAsia="zh-CN"/>
        </w:rPr>
      </w:pPr>
    </w:p>
    <w:p w14:paraId="4E85E6AE">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（盖单位公章）</w:t>
      </w:r>
    </w:p>
    <w:p w14:paraId="73F9903D">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rPr>
        <w:t>法定代表人（单位负责人）或委托代理人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（签字并盖章）</w:t>
      </w:r>
    </w:p>
    <w:p w14:paraId="29790363">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lang w:val="en-US" w:eastAsia="zh-CN"/>
        </w:rPr>
        <w:t>日期：</w:t>
      </w:r>
      <w:r>
        <w:rPr>
          <w:rFonts w:hint="eastAsia" w:ascii="宋体" w:hAnsi="宋体" w:cs="宋体"/>
          <w:color w:val="auto"/>
          <w:sz w:val="24"/>
          <w:highlight w:val="none"/>
        </w:rPr>
        <w:t xml:space="preserve">      年     月     日</w:t>
      </w:r>
    </w:p>
    <w:p w14:paraId="0B01EBAB">
      <w:pP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7CBB234A">
      <w:pPr>
        <w:spacing w:before="48" w:line="219" w:lineRule="auto"/>
        <w:ind w:left="19"/>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附：中小企业划型标准规定</w:t>
      </w:r>
    </w:p>
    <w:p w14:paraId="2008988C">
      <w:pPr>
        <w:spacing w:before="48" w:line="219" w:lineRule="auto"/>
        <w:ind w:left="19"/>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p>
    <w:p w14:paraId="2C1A5DC9">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一、根据《中华人民共和国中小企业促进法》和《国务院关于进一步促进中小企业发展的若干意见》 (国发〔2009〕36 号)，制定本规定。</w:t>
      </w:r>
    </w:p>
    <w:p w14:paraId="6ADDB3F8">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二、中小企业划分为中型、小型、微型三种类型，具体标准根据企业从业人员、营业收入、资产总额等指标，结合行业特点制定。</w:t>
      </w:r>
    </w:p>
    <w:p w14:paraId="6D53B16F">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三、本规定适用的行业包括：农、林、牧、渔业，工业（包括采矿业，制造业，电力、热力、燃气及水生产和供应业），建筑业，批发业，零售业，交通运输业（不含铁路运输业）， 仓储业，邮政业，住宿业，餐饮业，信息传输业（包括电信、互联网和相关服务），软件 和信息技术服务业，房地产开发经营，物业管理，租赁和商务服务业，其他未列明行业（包 括科学研究和技术服务业，水利、环境和公共设施管理业，居民服务、修理和其他服务业，社会工作，文化、体育和娱乐业等）。</w:t>
      </w:r>
    </w:p>
    <w:p w14:paraId="0D207BE0">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四、各行业划型标准为：</w:t>
      </w:r>
    </w:p>
    <w:p w14:paraId="45A249B1">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（一）农、林、牧、渔业。营业收入 20000 万元以下的为中小微型企业。其中，营业收入 500 万元及以上的为中型企业，营业收入 50 万元及以上的为小型企业，营业收入 50 万元以下的为微型企业。</w:t>
      </w:r>
    </w:p>
    <w:p w14:paraId="050DF0CC">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（二）工业。从业人员 1000 人以下或营业收入 40000 万元以下的为中小微型企业。其中， 从业人员 300 人及以上，且营业收入 2000 万元及以上的为中型企业；从业人员 20 人及以 上，且营业收入 300 万元及以上的为小型企业；从业人员 20 人以下或营业收入 300 万元以下的为微型企业。</w:t>
      </w:r>
    </w:p>
    <w:p w14:paraId="1CFB2A66">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（三）建筑业。营业收入 80000 万元以下或资产总额 80000 万元以下的为中小微型企业。 其中，营业收入 6000 万元及以上，且资产总额 5000 万元及以上的为中型企业；营业收入 300 万元及以上，且资产总额 300 万元及以上的为小型企业；营业收入 300 万元以下或资产总额 300 万元以下的为微型企业。</w:t>
      </w:r>
    </w:p>
    <w:p w14:paraId="16864467">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（四）批发业。从业人员 200 人以下或营业收入 40000 万元以下的为中小微型企业。其中， 从业人员 20 人及以上，且营业收入 5000 万元及以上的为中型企业；从业人员 5 人及以上，且营业收入 1000 万元及以上的为小型企业；从业人员 5 人以下或营业收入 1000 万元以下的为微型企业。</w:t>
      </w:r>
    </w:p>
    <w:p w14:paraId="0BFADFB7">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（五）零售业。从业人员 300 人以下或营业收入 20000 万元以下的为中小微型企业。其中，从业人员 50 人及以上，且营业收入 500 万元及以上的为中型企业；从业人员10 人及以上，且营业收入 100 万元及以上的为小型企业；从业人员 10 人以下或营业收入 100 万元以下的为微型企业。</w:t>
      </w:r>
    </w:p>
    <w:p w14:paraId="6CAC0E94">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（六）交通运输业。从业人员 1000 人以下或营业收入 30000 万元以下的为中小微型企业。 其中，从业人员 300 人及以上，且营业收入 3000 万元及以上的为中型企业；从业人员 20 人及以上，且营业收入 200 万元及以上的为小型企业；从业人员 20 人以下或营业收入 200万元以下的为微型企业。</w:t>
      </w:r>
    </w:p>
    <w:p w14:paraId="63516FCC">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（七）仓储业。从业人员 200 人以下或营业收入 30000 万元以下的为中小微型企业。其中， 从业人员 100 人及以上，且营业收入 1000 万元及以上的为中型企业；从业人员 20 人及以 上，且营业收入 100 万元及以上的为小型企业；从业人员 20 人以下或营业收入 100 万元以下的为微型企业。</w:t>
      </w:r>
    </w:p>
    <w:p w14:paraId="21F448DB">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（八）邮政业。从业人员 1000 人以下或营业收入 30000 万元以下的为中小微型企业。其 中，从业人员 300 人及以上，且营业收入 2000 万元及以上的为中型企业；从业人员 20 人 及以上，且营业收入 100 万元及以上的为小型企业；从业人员 20 人以下或营业收入 100万元以下的为微型企业。</w:t>
      </w:r>
    </w:p>
    <w:p w14:paraId="7BE93E4B">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（九）住宿业。从业人员 300 人以下或营业收入 10000 万元以下的为中小微型企业。其中， 从业人员 100 人及以上，且营业收入 2000 万元及以上的为中型企业；从业人员 10 人及以 上，且营业收入 100 万元及以上的为小型企业；从业人员 10 人以下或营业收入 100 万元以下的为微型企业。</w:t>
      </w:r>
    </w:p>
    <w:p w14:paraId="6280ACA0">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（十）餐饮业。从业人员 300 人以下或营业收入 10000 万元以下的为中小微型企业。其中， 从业人员 100 人及以上，且营业收入 2000 万元及以上的为中型企业；从业人员 10 人及以 上，且营业收入 100 万元及以上的为小型企业；从业人员 10 人以下或营业收入 100 万元以下的为微型企业。</w:t>
      </w:r>
    </w:p>
    <w:p w14:paraId="085FF08B">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（十一）信息传输业。从业人员 2000 人以下或营业收入 100000 万元以下的为中小微型企 业。其中，从业人员 100 人及以上，且营业收入 1000 万元及以上的为中型企业；从业人 员 10 人及以上，且营业收入 100 万元及以上的为小型企业；从业人员 10 人以下或营业收入 100 万元以下的为微型企业。</w:t>
      </w:r>
    </w:p>
    <w:p w14:paraId="58C0F0C8">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（十二）软件和信息技术服务业。从业人员 300 人以下或营业收入 10000 万元以下的为中 小微型企业。其中，从业人员 100 人及以上，且营业收入 1000 万元及以上的为中型企业； 从业人员 10 人及以上，且营业收入 50 万元及以上的为小型企业；从业人员 10 人以下或营业收入 50 万元以下的为微型企业。</w:t>
      </w:r>
    </w:p>
    <w:p w14:paraId="5DEA6126">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房地产开发经营。营业收入 200000 万元以下或资产总额 10000 万元以下的为中</w:t>
      </w:r>
    </w:p>
    <w:p w14:paraId="6A1B4F3C">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小微型企业。其中，营业收入 1000 万元及以上，且资产总额 5000 万元及以上的为中型企 业；营业收入 100 万元及以上，且资产总额 2000 万元及以上的为小型企业；营业收入 100万元以下或资产总额 2000 万元以下的为微型企业。</w:t>
      </w:r>
    </w:p>
    <w:p w14:paraId="66D2051E">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（十四）物业管理。从业人员 1000 人以下或营业收入 5000 万元以下的为中小微型企业。 其中，从业人员 300 人及以上，且营业收入 1000 万元及以上的为中型企业；从业人员 100 人及以上，且营业收入 500 万元及以上的为小型企业；从业人员 100 人以下或营业收入500 万元以下的为微型企业。</w:t>
      </w:r>
    </w:p>
    <w:p w14:paraId="7F95418A">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（十五）租赁和商务服务业。从业人员 300 人以下或资产总额 120000 万元以下的为中小 微型企业。其中，从业人员 100 人及以上，且资产总额 8000 万元及以上的为中型企业； 从业人员 10 人及以上，且资产总额 100 万元及以上的为小型企业；从业人员 10 人以下或资产总额 100 万元以下的为微型企业。</w:t>
      </w:r>
    </w:p>
    <w:p w14:paraId="5EFE0C96">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（十六）其他未列明行业。从业人员 300 人以下的为中小微型企业。其中，从业人员 100 人及以上的为中型企业；从业人员 10 人及以上的为小型企业；从业人员 10 人以下的为微型企业。</w:t>
      </w:r>
    </w:p>
    <w:p w14:paraId="3F6C0F69">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五、企业类型的划分以统计部门的统计数据为依据。</w:t>
      </w:r>
    </w:p>
    <w:p w14:paraId="3B25C826">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六、本规定适用于在中华人民共和国境内依法设立的各类所有制和各种组织形式的企业。个体工商户和本规定以外的行业，参照本规定进行划型。</w:t>
      </w:r>
    </w:p>
    <w:p w14:paraId="5AA956B5">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七、本规定的中型企业标准上限即为大型企业标准的下限，国家统计部门据此制定大中小 微型企业的统计分类。国务院有关部门据此进行相关数据分析，不得制定与本规定不一致的企业划型标准。</w:t>
      </w:r>
    </w:p>
    <w:p w14:paraId="394A978F">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八、本规定由工业和信息化部、国家统计局会同有关部门根据《国民经济行业分类》修订情况和企业发展变化情况适时修订。</w:t>
      </w:r>
    </w:p>
    <w:p w14:paraId="3F5DCABB">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九、本规定由工业和信息化部、国家统计局会同有关部门负责解释。</w:t>
      </w:r>
    </w:p>
    <w:p w14:paraId="55440D14">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十、本规定自发布之日起执行，原国家经贸委、原国家计委、财政部和国家统计局 2003</w:t>
      </w:r>
    </w:p>
    <w:p w14:paraId="3F443954">
      <w:pPr>
        <w:bidi w:val="0"/>
        <w:outlineLvl w:val="9"/>
        <w:rPr>
          <w:rFonts w:hint="eastAsia" w:ascii="宋体" w:hAnsi="宋体" w:eastAsia="宋体" w:cs="宋体"/>
          <w:color w:val="auto"/>
          <w:sz w:val="24"/>
          <w:szCs w:val="24"/>
        </w:rPr>
      </w:pPr>
      <w:r>
        <w:rPr>
          <w:rFonts w:hint="eastAsia" w:ascii="宋体" w:hAnsi="宋体" w:eastAsia="宋体" w:cs="宋体"/>
          <w:color w:val="auto"/>
          <w:sz w:val="24"/>
          <w:szCs w:val="24"/>
        </w:rPr>
        <w:t>年颁布的《中小企业标准暂行规定》同时废止。</w:t>
      </w:r>
    </w:p>
    <w:p w14:paraId="39F4706F">
      <w:pPr>
        <w:ind w:right="-65" w:rightChars="-31"/>
        <w:jc w:val="center"/>
        <w:outlineLvl w:val="9"/>
        <w:rPr>
          <w:rFonts w:hint="eastAsia" w:ascii="宋体" w:hAnsi="宋体" w:eastAsia="宋体" w:cs="宋体"/>
          <w:b/>
          <w:color w:val="auto"/>
          <w:sz w:val="30"/>
          <w:szCs w:val="30"/>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r>
        <w:rPr>
          <w:rFonts w:hint="eastAsia" w:ascii="宋体" w:hAnsi="宋体" w:eastAsia="宋体" w:cs="宋体"/>
          <w:b/>
          <w:color w:val="auto"/>
          <w:sz w:val="30"/>
          <w:szCs w:val="30"/>
        </w:rPr>
        <w:t>中小企业划型标准</w:t>
      </w:r>
    </w:p>
    <w:tbl>
      <w:tblPr>
        <w:tblStyle w:val="16"/>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987"/>
        <w:gridCol w:w="735"/>
        <w:gridCol w:w="679"/>
        <w:gridCol w:w="579"/>
        <w:gridCol w:w="679"/>
        <w:gridCol w:w="673"/>
        <w:gridCol w:w="615"/>
        <w:gridCol w:w="679"/>
        <w:gridCol w:w="714"/>
        <w:gridCol w:w="619"/>
        <w:gridCol w:w="679"/>
        <w:gridCol w:w="682"/>
        <w:gridCol w:w="525"/>
      </w:tblGrid>
      <w:tr w14:paraId="14FA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512" w:type="dxa"/>
            <w:vMerge w:val="restart"/>
            <w:noWrap w:val="0"/>
            <w:vAlign w:val="center"/>
          </w:tcPr>
          <w:p w14:paraId="3A013D38">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序号</w:t>
            </w:r>
          </w:p>
        </w:tc>
        <w:tc>
          <w:tcPr>
            <w:tcW w:w="987" w:type="dxa"/>
            <w:vMerge w:val="restart"/>
            <w:noWrap w:val="0"/>
            <w:vAlign w:val="center"/>
          </w:tcPr>
          <w:p w14:paraId="0A939535">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行业</w:t>
            </w:r>
          </w:p>
        </w:tc>
        <w:tc>
          <w:tcPr>
            <w:tcW w:w="1993" w:type="dxa"/>
            <w:gridSpan w:val="3"/>
            <w:noWrap w:val="0"/>
            <w:vAlign w:val="center"/>
          </w:tcPr>
          <w:p w14:paraId="1DC3166A">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大型企业</w:t>
            </w:r>
          </w:p>
        </w:tc>
        <w:tc>
          <w:tcPr>
            <w:tcW w:w="1967" w:type="dxa"/>
            <w:gridSpan w:val="3"/>
            <w:noWrap w:val="0"/>
            <w:vAlign w:val="center"/>
          </w:tcPr>
          <w:p w14:paraId="5979EB10">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中型企业</w:t>
            </w:r>
          </w:p>
        </w:tc>
        <w:tc>
          <w:tcPr>
            <w:tcW w:w="2012" w:type="dxa"/>
            <w:gridSpan w:val="3"/>
            <w:noWrap w:val="0"/>
            <w:vAlign w:val="center"/>
          </w:tcPr>
          <w:p w14:paraId="2576B79C">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小型企业</w:t>
            </w:r>
          </w:p>
        </w:tc>
        <w:tc>
          <w:tcPr>
            <w:tcW w:w="1886" w:type="dxa"/>
            <w:gridSpan w:val="3"/>
            <w:noWrap w:val="0"/>
            <w:vAlign w:val="center"/>
          </w:tcPr>
          <w:p w14:paraId="1D715D8D">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微型企业</w:t>
            </w:r>
          </w:p>
        </w:tc>
      </w:tr>
      <w:tr w14:paraId="16C4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blHeader/>
          <w:jc w:val="center"/>
        </w:trPr>
        <w:tc>
          <w:tcPr>
            <w:tcW w:w="512" w:type="dxa"/>
            <w:vMerge w:val="continue"/>
            <w:noWrap w:val="0"/>
            <w:vAlign w:val="center"/>
          </w:tcPr>
          <w:p w14:paraId="084DA916">
            <w:pPr>
              <w:ind w:left="-48" w:leftChars="-23" w:right="-65" w:rightChars="-31"/>
              <w:jc w:val="center"/>
              <w:outlineLvl w:val="9"/>
              <w:rPr>
                <w:rFonts w:hint="eastAsia" w:ascii="宋体" w:hAnsi="宋体" w:eastAsia="宋体" w:cs="宋体"/>
                <w:b/>
                <w:color w:val="auto"/>
                <w:szCs w:val="21"/>
              </w:rPr>
            </w:pPr>
          </w:p>
        </w:tc>
        <w:tc>
          <w:tcPr>
            <w:tcW w:w="987" w:type="dxa"/>
            <w:vMerge w:val="continue"/>
            <w:noWrap w:val="0"/>
            <w:vAlign w:val="center"/>
          </w:tcPr>
          <w:p w14:paraId="4F2FAC67">
            <w:pPr>
              <w:ind w:left="-48" w:leftChars="-23" w:right="-65" w:rightChars="-31"/>
              <w:outlineLvl w:val="9"/>
              <w:rPr>
                <w:rFonts w:hint="eastAsia" w:ascii="宋体" w:hAnsi="宋体" w:eastAsia="宋体" w:cs="宋体"/>
                <w:b/>
                <w:color w:val="auto"/>
                <w:szCs w:val="21"/>
              </w:rPr>
            </w:pPr>
          </w:p>
        </w:tc>
        <w:tc>
          <w:tcPr>
            <w:tcW w:w="735" w:type="dxa"/>
            <w:noWrap w:val="0"/>
            <w:vAlign w:val="center"/>
          </w:tcPr>
          <w:p w14:paraId="3A807A99">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营业收入</w:t>
            </w:r>
          </w:p>
          <w:p w14:paraId="2CEBD2D5">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(万元)</w:t>
            </w:r>
          </w:p>
        </w:tc>
        <w:tc>
          <w:tcPr>
            <w:tcW w:w="679" w:type="dxa"/>
            <w:noWrap w:val="0"/>
            <w:vAlign w:val="center"/>
          </w:tcPr>
          <w:p w14:paraId="528B03FE">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从业人员</w:t>
            </w:r>
          </w:p>
          <w:p w14:paraId="0C9B6887">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(人)</w:t>
            </w:r>
          </w:p>
        </w:tc>
        <w:tc>
          <w:tcPr>
            <w:tcW w:w="579" w:type="dxa"/>
            <w:noWrap w:val="0"/>
            <w:vAlign w:val="center"/>
          </w:tcPr>
          <w:p w14:paraId="6B2F7FB1">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总资产</w:t>
            </w:r>
          </w:p>
          <w:p w14:paraId="1A073AE0">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(万元)</w:t>
            </w:r>
          </w:p>
        </w:tc>
        <w:tc>
          <w:tcPr>
            <w:tcW w:w="679" w:type="dxa"/>
            <w:noWrap w:val="0"/>
            <w:vAlign w:val="center"/>
          </w:tcPr>
          <w:p w14:paraId="4AF17D5D">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营业收入</w:t>
            </w:r>
          </w:p>
          <w:p w14:paraId="664C39E9">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(万元)</w:t>
            </w:r>
          </w:p>
        </w:tc>
        <w:tc>
          <w:tcPr>
            <w:tcW w:w="673" w:type="dxa"/>
            <w:noWrap w:val="0"/>
            <w:vAlign w:val="center"/>
          </w:tcPr>
          <w:p w14:paraId="683A4BCF">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从业人员</w:t>
            </w:r>
          </w:p>
          <w:p w14:paraId="3CE6ED51">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(人)</w:t>
            </w:r>
          </w:p>
        </w:tc>
        <w:tc>
          <w:tcPr>
            <w:tcW w:w="615" w:type="dxa"/>
            <w:noWrap w:val="0"/>
            <w:vAlign w:val="center"/>
          </w:tcPr>
          <w:p w14:paraId="4E81201E">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总资产</w:t>
            </w:r>
          </w:p>
          <w:p w14:paraId="2513F235">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(万元)</w:t>
            </w:r>
          </w:p>
        </w:tc>
        <w:tc>
          <w:tcPr>
            <w:tcW w:w="679" w:type="dxa"/>
            <w:noWrap w:val="0"/>
            <w:vAlign w:val="center"/>
          </w:tcPr>
          <w:p w14:paraId="5D281B59">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营业收入</w:t>
            </w:r>
          </w:p>
          <w:p w14:paraId="272FEA94">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(万元)</w:t>
            </w:r>
          </w:p>
        </w:tc>
        <w:tc>
          <w:tcPr>
            <w:tcW w:w="714" w:type="dxa"/>
            <w:noWrap w:val="0"/>
            <w:vAlign w:val="center"/>
          </w:tcPr>
          <w:p w14:paraId="005B429D">
            <w:pPr>
              <w:ind w:left="119" w:leftChars="-23" w:right="-65" w:rightChars="-31" w:hanging="167" w:hangingChars="79"/>
              <w:jc w:val="center"/>
              <w:outlineLvl w:val="9"/>
              <w:rPr>
                <w:rFonts w:hint="eastAsia" w:ascii="宋体" w:hAnsi="宋体" w:eastAsia="宋体" w:cs="宋体"/>
                <w:b/>
                <w:color w:val="auto"/>
                <w:szCs w:val="21"/>
              </w:rPr>
            </w:pPr>
            <w:r>
              <w:rPr>
                <w:rFonts w:hint="eastAsia" w:ascii="宋体" w:hAnsi="宋体" w:eastAsia="宋体" w:cs="宋体"/>
                <w:b/>
                <w:color w:val="auto"/>
                <w:szCs w:val="21"/>
              </w:rPr>
              <w:t>从业人员</w:t>
            </w:r>
          </w:p>
          <w:p w14:paraId="2BF724DB">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(人)</w:t>
            </w:r>
          </w:p>
        </w:tc>
        <w:tc>
          <w:tcPr>
            <w:tcW w:w="619" w:type="dxa"/>
            <w:noWrap w:val="0"/>
            <w:vAlign w:val="center"/>
          </w:tcPr>
          <w:p w14:paraId="0523C46B">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总资产</w:t>
            </w:r>
          </w:p>
          <w:p w14:paraId="22BE3285">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(万元)</w:t>
            </w:r>
          </w:p>
        </w:tc>
        <w:tc>
          <w:tcPr>
            <w:tcW w:w="679" w:type="dxa"/>
            <w:noWrap w:val="0"/>
            <w:vAlign w:val="center"/>
          </w:tcPr>
          <w:p w14:paraId="0D498F72">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营业收入</w:t>
            </w:r>
          </w:p>
          <w:p w14:paraId="75B7A7C4">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(万元)</w:t>
            </w:r>
          </w:p>
        </w:tc>
        <w:tc>
          <w:tcPr>
            <w:tcW w:w="682" w:type="dxa"/>
            <w:noWrap w:val="0"/>
            <w:vAlign w:val="center"/>
          </w:tcPr>
          <w:p w14:paraId="27065954">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从业人员</w:t>
            </w:r>
          </w:p>
          <w:p w14:paraId="6312151A">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(人)</w:t>
            </w:r>
          </w:p>
        </w:tc>
        <w:tc>
          <w:tcPr>
            <w:tcW w:w="525" w:type="dxa"/>
            <w:noWrap w:val="0"/>
            <w:vAlign w:val="center"/>
          </w:tcPr>
          <w:p w14:paraId="65F6C852">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总资产</w:t>
            </w:r>
          </w:p>
          <w:p w14:paraId="36E6ACB0">
            <w:pPr>
              <w:ind w:left="-48" w:leftChars="-23" w:right="-65" w:rightChars="-31"/>
              <w:jc w:val="center"/>
              <w:outlineLvl w:val="9"/>
              <w:rPr>
                <w:rFonts w:hint="eastAsia" w:ascii="宋体" w:hAnsi="宋体" w:eastAsia="宋体" w:cs="宋体"/>
                <w:b/>
                <w:color w:val="auto"/>
                <w:szCs w:val="21"/>
              </w:rPr>
            </w:pPr>
            <w:r>
              <w:rPr>
                <w:rFonts w:hint="eastAsia" w:ascii="宋体" w:hAnsi="宋体" w:eastAsia="宋体" w:cs="宋体"/>
                <w:b/>
                <w:color w:val="auto"/>
                <w:szCs w:val="21"/>
              </w:rPr>
              <w:t>(万元)</w:t>
            </w:r>
          </w:p>
        </w:tc>
      </w:tr>
      <w:tr w14:paraId="4218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12" w:type="dxa"/>
            <w:noWrap w:val="0"/>
            <w:vAlign w:val="center"/>
          </w:tcPr>
          <w:p w14:paraId="14995611">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1</w:t>
            </w:r>
          </w:p>
        </w:tc>
        <w:tc>
          <w:tcPr>
            <w:tcW w:w="987" w:type="dxa"/>
            <w:noWrap w:val="0"/>
            <w:vAlign w:val="center"/>
          </w:tcPr>
          <w:p w14:paraId="2FF9E027">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农、林、牧、渔业</w:t>
            </w:r>
          </w:p>
        </w:tc>
        <w:tc>
          <w:tcPr>
            <w:tcW w:w="735" w:type="dxa"/>
            <w:noWrap w:val="0"/>
            <w:vAlign w:val="center"/>
          </w:tcPr>
          <w:p w14:paraId="29B51C76">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≥20000</w:t>
            </w:r>
          </w:p>
        </w:tc>
        <w:tc>
          <w:tcPr>
            <w:tcW w:w="679" w:type="dxa"/>
            <w:noWrap w:val="0"/>
            <w:vAlign w:val="center"/>
          </w:tcPr>
          <w:p w14:paraId="7ADB30DC">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579" w:type="dxa"/>
            <w:noWrap w:val="0"/>
            <w:vAlign w:val="center"/>
          </w:tcPr>
          <w:p w14:paraId="04418ACD">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364433D5">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≥500</w:t>
            </w:r>
          </w:p>
        </w:tc>
        <w:tc>
          <w:tcPr>
            <w:tcW w:w="673" w:type="dxa"/>
            <w:noWrap w:val="0"/>
            <w:vAlign w:val="center"/>
          </w:tcPr>
          <w:p w14:paraId="559533F1">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15" w:type="dxa"/>
            <w:noWrap w:val="0"/>
            <w:vAlign w:val="center"/>
          </w:tcPr>
          <w:p w14:paraId="62A7F2FA">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1F52F51F">
            <w:pPr>
              <w:jc w:val="center"/>
              <w:outlineLvl w:val="9"/>
              <w:rPr>
                <w:rFonts w:hint="eastAsia" w:ascii="宋体" w:hAnsi="宋体" w:eastAsia="宋体" w:cs="宋体"/>
                <w:color w:val="auto"/>
                <w:szCs w:val="21"/>
              </w:rPr>
            </w:pPr>
            <w:r>
              <w:rPr>
                <w:rFonts w:hint="eastAsia" w:ascii="宋体" w:hAnsi="宋体" w:eastAsia="宋体" w:cs="宋体"/>
                <w:color w:val="auto"/>
                <w:szCs w:val="21"/>
              </w:rPr>
              <w:t>≥50</w:t>
            </w:r>
          </w:p>
        </w:tc>
        <w:tc>
          <w:tcPr>
            <w:tcW w:w="714" w:type="dxa"/>
            <w:noWrap w:val="0"/>
            <w:vAlign w:val="center"/>
          </w:tcPr>
          <w:p w14:paraId="24663E58">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19" w:type="dxa"/>
            <w:noWrap w:val="0"/>
            <w:vAlign w:val="center"/>
          </w:tcPr>
          <w:p w14:paraId="0F5C2722">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49E6921C">
            <w:pPr>
              <w:jc w:val="center"/>
              <w:outlineLvl w:val="9"/>
              <w:rPr>
                <w:rFonts w:hint="eastAsia" w:ascii="宋体" w:hAnsi="宋体" w:eastAsia="宋体" w:cs="宋体"/>
                <w:color w:val="auto"/>
                <w:szCs w:val="21"/>
              </w:rPr>
            </w:pPr>
            <w:r>
              <w:rPr>
                <w:rFonts w:hint="eastAsia" w:ascii="宋体" w:hAnsi="宋体" w:eastAsia="宋体" w:cs="宋体"/>
                <w:color w:val="auto"/>
                <w:szCs w:val="21"/>
              </w:rPr>
              <w:t>＜50</w:t>
            </w:r>
          </w:p>
        </w:tc>
        <w:tc>
          <w:tcPr>
            <w:tcW w:w="682" w:type="dxa"/>
            <w:noWrap w:val="0"/>
            <w:vAlign w:val="center"/>
          </w:tcPr>
          <w:p w14:paraId="14E316AA">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525" w:type="dxa"/>
            <w:noWrap w:val="0"/>
            <w:vAlign w:val="center"/>
          </w:tcPr>
          <w:p w14:paraId="33F6CBD5">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r w14:paraId="35E0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1FA4E2C3">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2</w:t>
            </w:r>
          </w:p>
        </w:tc>
        <w:tc>
          <w:tcPr>
            <w:tcW w:w="987" w:type="dxa"/>
            <w:noWrap w:val="0"/>
            <w:vAlign w:val="center"/>
          </w:tcPr>
          <w:p w14:paraId="1C364F9E">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工业</w:t>
            </w:r>
          </w:p>
        </w:tc>
        <w:tc>
          <w:tcPr>
            <w:tcW w:w="735" w:type="dxa"/>
            <w:noWrap w:val="0"/>
            <w:vAlign w:val="center"/>
          </w:tcPr>
          <w:p w14:paraId="19BDB6DA">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≥40000</w:t>
            </w:r>
          </w:p>
        </w:tc>
        <w:tc>
          <w:tcPr>
            <w:tcW w:w="679" w:type="dxa"/>
            <w:noWrap w:val="0"/>
            <w:vAlign w:val="center"/>
          </w:tcPr>
          <w:p w14:paraId="1EB0B91D">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≥1000</w:t>
            </w:r>
          </w:p>
        </w:tc>
        <w:tc>
          <w:tcPr>
            <w:tcW w:w="579" w:type="dxa"/>
            <w:noWrap w:val="0"/>
            <w:vAlign w:val="center"/>
          </w:tcPr>
          <w:p w14:paraId="3B58520B">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　</w:t>
            </w:r>
          </w:p>
        </w:tc>
        <w:tc>
          <w:tcPr>
            <w:tcW w:w="679" w:type="dxa"/>
            <w:noWrap w:val="0"/>
            <w:vAlign w:val="center"/>
          </w:tcPr>
          <w:p w14:paraId="35A69140">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≥2000</w:t>
            </w:r>
          </w:p>
        </w:tc>
        <w:tc>
          <w:tcPr>
            <w:tcW w:w="673" w:type="dxa"/>
            <w:noWrap w:val="0"/>
            <w:vAlign w:val="center"/>
          </w:tcPr>
          <w:p w14:paraId="043EF6A7">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≥300</w:t>
            </w:r>
          </w:p>
        </w:tc>
        <w:tc>
          <w:tcPr>
            <w:tcW w:w="615" w:type="dxa"/>
            <w:noWrap w:val="0"/>
            <w:vAlign w:val="center"/>
          </w:tcPr>
          <w:p w14:paraId="2115FE95">
            <w:pPr>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　</w:t>
            </w:r>
          </w:p>
        </w:tc>
        <w:tc>
          <w:tcPr>
            <w:tcW w:w="679" w:type="dxa"/>
            <w:noWrap w:val="0"/>
            <w:vAlign w:val="center"/>
          </w:tcPr>
          <w:p w14:paraId="3DCF6270">
            <w:pPr>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≥300</w:t>
            </w:r>
          </w:p>
        </w:tc>
        <w:tc>
          <w:tcPr>
            <w:tcW w:w="714" w:type="dxa"/>
            <w:noWrap w:val="0"/>
            <w:vAlign w:val="center"/>
          </w:tcPr>
          <w:p w14:paraId="446D7434">
            <w:pPr>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≥20</w:t>
            </w:r>
          </w:p>
        </w:tc>
        <w:tc>
          <w:tcPr>
            <w:tcW w:w="619" w:type="dxa"/>
            <w:noWrap w:val="0"/>
            <w:vAlign w:val="center"/>
          </w:tcPr>
          <w:p w14:paraId="75B545DD">
            <w:pPr>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　</w:t>
            </w:r>
          </w:p>
        </w:tc>
        <w:tc>
          <w:tcPr>
            <w:tcW w:w="679" w:type="dxa"/>
            <w:noWrap w:val="0"/>
            <w:vAlign w:val="center"/>
          </w:tcPr>
          <w:p w14:paraId="21F1CD47">
            <w:pPr>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＜300</w:t>
            </w:r>
          </w:p>
        </w:tc>
        <w:tc>
          <w:tcPr>
            <w:tcW w:w="682" w:type="dxa"/>
            <w:noWrap w:val="0"/>
            <w:vAlign w:val="center"/>
          </w:tcPr>
          <w:p w14:paraId="48084E10">
            <w:pPr>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＜20</w:t>
            </w:r>
          </w:p>
        </w:tc>
        <w:tc>
          <w:tcPr>
            <w:tcW w:w="525" w:type="dxa"/>
            <w:noWrap w:val="0"/>
            <w:vAlign w:val="center"/>
          </w:tcPr>
          <w:p w14:paraId="021B4594">
            <w:pPr>
              <w:jc w:val="center"/>
              <w:outlineLvl w:val="9"/>
              <w:rPr>
                <w:rFonts w:hint="eastAsia" w:ascii="宋体" w:hAnsi="宋体" w:eastAsia="宋体" w:cs="宋体"/>
                <w:b/>
                <w:color w:val="auto"/>
                <w:szCs w:val="21"/>
              </w:rPr>
            </w:pPr>
            <w:r>
              <w:rPr>
                <w:rFonts w:hint="eastAsia" w:ascii="宋体" w:hAnsi="宋体" w:eastAsia="宋体" w:cs="宋体"/>
                <w:b/>
                <w:color w:val="auto"/>
                <w:szCs w:val="21"/>
              </w:rPr>
              <w:t>　</w:t>
            </w:r>
          </w:p>
        </w:tc>
      </w:tr>
      <w:tr w14:paraId="5F01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12" w:type="dxa"/>
            <w:noWrap w:val="0"/>
            <w:vAlign w:val="center"/>
          </w:tcPr>
          <w:p w14:paraId="7E73CDE3">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3</w:t>
            </w:r>
          </w:p>
        </w:tc>
        <w:tc>
          <w:tcPr>
            <w:tcW w:w="987" w:type="dxa"/>
            <w:noWrap w:val="0"/>
            <w:vAlign w:val="center"/>
          </w:tcPr>
          <w:p w14:paraId="4BFC191F">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建筑业</w:t>
            </w:r>
          </w:p>
        </w:tc>
        <w:tc>
          <w:tcPr>
            <w:tcW w:w="735" w:type="dxa"/>
            <w:noWrap w:val="0"/>
            <w:vAlign w:val="center"/>
          </w:tcPr>
          <w:p w14:paraId="7B25ECBF">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≥80000</w:t>
            </w:r>
          </w:p>
        </w:tc>
        <w:tc>
          <w:tcPr>
            <w:tcW w:w="679" w:type="dxa"/>
            <w:noWrap w:val="0"/>
            <w:vAlign w:val="center"/>
          </w:tcPr>
          <w:p w14:paraId="1ED75544">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579" w:type="dxa"/>
            <w:noWrap w:val="0"/>
            <w:vAlign w:val="center"/>
          </w:tcPr>
          <w:p w14:paraId="1A6E9643">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≥80000</w:t>
            </w:r>
          </w:p>
        </w:tc>
        <w:tc>
          <w:tcPr>
            <w:tcW w:w="679" w:type="dxa"/>
            <w:noWrap w:val="0"/>
            <w:vAlign w:val="center"/>
          </w:tcPr>
          <w:p w14:paraId="78311EB9">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≥6000</w:t>
            </w:r>
          </w:p>
        </w:tc>
        <w:tc>
          <w:tcPr>
            <w:tcW w:w="673" w:type="dxa"/>
            <w:noWrap w:val="0"/>
            <w:vAlign w:val="center"/>
          </w:tcPr>
          <w:p w14:paraId="077593F8">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15" w:type="dxa"/>
            <w:noWrap w:val="0"/>
            <w:vAlign w:val="center"/>
          </w:tcPr>
          <w:p w14:paraId="34198560">
            <w:pPr>
              <w:jc w:val="center"/>
              <w:outlineLvl w:val="9"/>
              <w:rPr>
                <w:rFonts w:hint="eastAsia" w:ascii="宋体" w:hAnsi="宋体" w:eastAsia="宋体" w:cs="宋体"/>
                <w:color w:val="auto"/>
                <w:szCs w:val="21"/>
              </w:rPr>
            </w:pPr>
            <w:r>
              <w:rPr>
                <w:rFonts w:hint="eastAsia" w:ascii="宋体" w:hAnsi="宋体" w:eastAsia="宋体" w:cs="宋体"/>
                <w:color w:val="auto"/>
                <w:szCs w:val="21"/>
              </w:rPr>
              <w:t>≥5000</w:t>
            </w:r>
          </w:p>
        </w:tc>
        <w:tc>
          <w:tcPr>
            <w:tcW w:w="679" w:type="dxa"/>
            <w:noWrap w:val="0"/>
            <w:vAlign w:val="center"/>
          </w:tcPr>
          <w:p w14:paraId="3B13E002">
            <w:pPr>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714" w:type="dxa"/>
            <w:noWrap w:val="0"/>
            <w:vAlign w:val="center"/>
          </w:tcPr>
          <w:p w14:paraId="5332B25E">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19" w:type="dxa"/>
            <w:noWrap w:val="0"/>
            <w:vAlign w:val="center"/>
          </w:tcPr>
          <w:p w14:paraId="1886F4A1">
            <w:pPr>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679" w:type="dxa"/>
            <w:noWrap w:val="0"/>
            <w:vAlign w:val="center"/>
          </w:tcPr>
          <w:p w14:paraId="1EE50AD7">
            <w:pPr>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682" w:type="dxa"/>
            <w:noWrap w:val="0"/>
            <w:vAlign w:val="center"/>
          </w:tcPr>
          <w:p w14:paraId="15F9D617">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525" w:type="dxa"/>
            <w:noWrap w:val="0"/>
            <w:vAlign w:val="center"/>
          </w:tcPr>
          <w:p w14:paraId="3B802A72">
            <w:pPr>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r>
      <w:tr w14:paraId="6CCE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12" w:type="dxa"/>
            <w:noWrap w:val="0"/>
            <w:vAlign w:val="center"/>
          </w:tcPr>
          <w:p w14:paraId="4403571A">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4</w:t>
            </w:r>
          </w:p>
        </w:tc>
        <w:tc>
          <w:tcPr>
            <w:tcW w:w="987" w:type="dxa"/>
            <w:noWrap w:val="0"/>
            <w:vAlign w:val="center"/>
          </w:tcPr>
          <w:p w14:paraId="0CE46D2C">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批发业</w:t>
            </w:r>
          </w:p>
        </w:tc>
        <w:tc>
          <w:tcPr>
            <w:tcW w:w="735" w:type="dxa"/>
            <w:noWrap w:val="0"/>
            <w:vAlign w:val="center"/>
          </w:tcPr>
          <w:p w14:paraId="240A679C">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≥40000</w:t>
            </w:r>
          </w:p>
        </w:tc>
        <w:tc>
          <w:tcPr>
            <w:tcW w:w="679" w:type="dxa"/>
            <w:noWrap w:val="0"/>
            <w:vAlign w:val="center"/>
          </w:tcPr>
          <w:p w14:paraId="07B84A8B">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≥200</w:t>
            </w:r>
          </w:p>
        </w:tc>
        <w:tc>
          <w:tcPr>
            <w:tcW w:w="579" w:type="dxa"/>
            <w:noWrap w:val="0"/>
            <w:vAlign w:val="center"/>
          </w:tcPr>
          <w:p w14:paraId="7468DDDB">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4B87874E">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≥5000</w:t>
            </w:r>
          </w:p>
        </w:tc>
        <w:tc>
          <w:tcPr>
            <w:tcW w:w="673" w:type="dxa"/>
            <w:noWrap w:val="0"/>
            <w:vAlign w:val="center"/>
          </w:tcPr>
          <w:p w14:paraId="195B2D9C">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≥20</w:t>
            </w:r>
          </w:p>
        </w:tc>
        <w:tc>
          <w:tcPr>
            <w:tcW w:w="615" w:type="dxa"/>
            <w:noWrap w:val="0"/>
            <w:vAlign w:val="center"/>
          </w:tcPr>
          <w:p w14:paraId="1036432E">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54E62073">
            <w:pPr>
              <w:jc w:val="center"/>
              <w:outlineLvl w:val="9"/>
              <w:rPr>
                <w:rFonts w:hint="eastAsia" w:ascii="宋体" w:hAnsi="宋体" w:eastAsia="宋体" w:cs="宋体"/>
                <w:color w:val="auto"/>
                <w:szCs w:val="21"/>
              </w:rPr>
            </w:pPr>
            <w:r>
              <w:rPr>
                <w:rFonts w:hint="eastAsia" w:ascii="宋体" w:hAnsi="宋体" w:eastAsia="宋体" w:cs="宋体"/>
                <w:color w:val="auto"/>
                <w:szCs w:val="21"/>
              </w:rPr>
              <w:t>≥1000</w:t>
            </w:r>
          </w:p>
        </w:tc>
        <w:tc>
          <w:tcPr>
            <w:tcW w:w="714" w:type="dxa"/>
            <w:noWrap w:val="0"/>
            <w:vAlign w:val="center"/>
          </w:tcPr>
          <w:p w14:paraId="7A1C9BA6">
            <w:pPr>
              <w:jc w:val="center"/>
              <w:outlineLvl w:val="9"/>
              <w:rPr>
                <w:rFonts w:hint="eastAsia" w:ascii="宋体" w:hAnsi="宋体" w:eastAsia="宋体" w:cs="宋体"/>
                <w:color w:val="auto"/>
                <w:szCs w:val="21"/>
              </w:rPr>
            </w:pPr>
            <w:r>
              <w:rPr>
                <w:rFonts w:hint="eastAsia" w:ascii="宋体" w:hAnsi="宋体" w:eastAsia="宋体" w:cs="宋体"/>
                <w:color w:val="auto"/>
                <w:szCs w:val="21"/>
              </w:rPr>
              <w:t>≥5</w:t>
            </w:r>
          </w:p>
        </w:tc>
        <w:tc>
          <w:tcPr>
            <w:tcW w:w="619" w:type="dxa"/>
            <w:noWrap w:val="0"/>
            <w:vAlign w:val="center"/>
          </w:tcPr>
          <w:p w14:paraId="35CCF374">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35A8923B">
            <w:pPr>
              <w:jc w:val="center"/>
              <w:outlineLvl w:val="9"/>
              <w:rPr>
                <w:rFonts w:hint="eastAsia" w:ascii="宋体" w:hAnsi="宋体" w:eastAsia="宋体" w:cs="宋体"/>
                <w:color w:val="auto"/>
                <w:szCs w:val="21"/>
              </w:rPr>
            </w:pPr>
            <w:r>
              <w:rPr>
                <w:rFonts w:hint="eastAsia" w:ascii="宋体" w:hAnsi="宋体" w:eastAsia="宋体" w:cs="宋体"/>
                <w:color w:val="auto"/>
                <w:szCs w:val="21"/>
              </w:rPr>
              <w:t>＜1000</w:t>
            </w:r>
          </w:p>
        </w:tc>
        <w:tc>
          <w:tcPr>
            <w:tcW w:w="682" w:type="dxa"/>
            <w:noWrap w:val="0"/>
            <w:vAlign w:val="center"/>
          </w:tcPr>
          <w:p w14:paraId="75252334">
            <w:pPr>
              <w:jc w:val="center"/>
              <w:outlineLvl w:val="9"/>
              <w:rPr>
                <w:rFonts w:hint="eastAsia" w:ascii="宋体" w:hAnsi="宋体" w:eastAsia="宋体" w:cs="宋体"/>
                <w:color w:val="auto"/>
                <w:szCs w:val="21"/>
              </w:rPr>
            </w:pPr>
            <w:r>
              <w:rPr>
                <w:rFonts w:hint="eastAsia" w:ascii="宋体" w:hAnsi="宋体" w:eastAsia="宋体" w:cs="宋体"/>
                <w:color w:val="auto"/>
                <w:szCs w:val="21"/>
              </w:rPr>
              <w:t>＜5</w:t>
            </w:r>
          </w:p>
        </w:tc>
        <w:tc>
          <w:tcPr>
            <w:tcW w:w="525" w:type="dxa"/>
            <w:noWrap w:val="0"/>
            <w:vAlign w:val="center"/>
          </w:tcPr>
          <w:p w14:paraId="074F8244">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r w14:paraId="286A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57B69779">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5</w:t>
            </w:r>
          </w:p>
        </w:tc>
        <w:tc>
          <w:tcPr>
            <w:tcW w:w="987" w:type="dxa"/>
            <w:noWrap w:val="0"/>
            <w:vAlign w:val="center"/>
          </w:tcPr>
          <w:p w14:paraId="340858FB">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零售业</w:t>
            </w:r>
          </w:p>
        </w:tc>
        <w:tc>
          <w:tcPr>
            <w:tcW w:w="735" w:type="dxa"/>
            <w:noWrap w:val="0"/>
            <w:vAlign w:val="center"/>
          </w:tcPr>
          <w:p w14:paraId="6DDF1E88">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≥20000</w:t>
            </w:r>
          </w:p>
        </w:tc>
        <w:tc>
          <w:tcPr>
            <w:tcW w:w="679" w:type="dxa"/>
            <w:noWrap w:val="0"/>
            <w:vAlign w:val="center"/>
          </w:tcPr>
          <w:p w14:paraId="63A98029">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579" w:type="dxa"/>
            <w:noWrap w:val="0"/>
            <w:vAlign w:val="center"/>
          </w:tcPr>
          <w:p w14:paraId="0155A47C">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39B858F4">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≥500</w:t>
            </w:r>
          </w:p>
        </w:tc>
        <w:tc>
          <w:tcPr>
            <w:tcW w:w="673" w:type="dxa"/>
            <w:noWrap w:val="0"/>
            <w:vAlign w:val="center"/>
          </w:tcPr>
          <w:p w14:paraId="2E36D8B3">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≥50</w:t>
            </w:r>
          </w:p>
        </w:tc>
        <w:tc>
          <w:tcPr>
            <w:tcW w:w="615" w:type="dxa"/>
            <w:noWrap w:val="0"/>
            <w:vAlign w:val="center"/>
          </w:tcPr>
          <w:p w14:paraId="57373837">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661CF9BD">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714" w:type="dxa"/>
            <w:noWrap w:val="0"/>
            <w:vAlign w:val="center"/>
          </w:tcPr>
          <w:p w14:paraId="21F8AE3D">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619" w:type="dxa"/>
            <w:noWrap w:val="0"/>
            <w:vAlign w:val="center"/>
          </w:tcPr>
          <w:p w14:paraId="1970BA13">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49DA4824">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82" w:type="dxa"/>
            <w:noWrap w:val="0"/>
            <w:vAlign w:val="center"/>
          </w:tcPr>
          <w:p w14:paraId="34CDB342">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525" w:type="dxa"/>
            <w:noWrap w:val="0"/>
            <w:vAlign w:val="center"/>
          </w:tcPr>
          <w:p w14:paraId="1EEE3B80">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r w14:paraId="24DA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7D7DBBC0">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6</w:t>
            </w:r>
          </w:p>
        </w:tc>
        <w:tc>
          <w:tcPr>
            <w:tcW w:w="987" w:type="dxa"/>
            <w:noWrap w:val="0"/>
            <w:vAlign w:val="center"/>
          </w:tcPr>
          <w:p w14:paraId="0815D0FF">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交通运输业</w:t>
            </w:r>
          </w:p>
        </w:tc>
        <w:tc>
          <w:tcPr>
            <w:tcW w:w="735" w:type="dxa"/>
            <w:noWrap w:val="0"/>
            <w:vAlign w:val="center"/>
          </w:tcPr>
          <w:p w14:paraId="7FEF45A6">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≥30000</w:t>
            </w:r>
          </w:p>
        </w:tc>
        <w:tc>
          <w:tcPr>
            <w:tcW w:w="679" w:type="dxa"/>
            <w:noWrap w:val="0"/>
            <w:vAlign w:val="center"/>
          </w:tcPr>
          <w:p w14:paraId="6595C874">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w:t>
            </w:r>
          </w:p>
        </w:tc>
        <w:tc>
          <w:tcPr>
            <w:tcW w:w="579" w:type="dxa"/>
            <w:noWrap w:val="0"/>
            <w:vAlign w:val="center"/>
          </w:tcPr>
          <w:p w14:paraId="307191F3">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1E90F96A">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≥3000</w:t>
            </w:r>
          </w:p>
        </w:tc>
        <w:tc>
          <w:tcPr>
            <w:tcW w:w="673" w:type="dxa"/>
            <w:noWrap w:val="0"/>
            <w:vAlign w:val="center"/>
          </w:tcPr>
          <w:p w14:paraId="03C593A8">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615" w:type="dxa"/>
            <w:noWrap w:val="0"/>
            <w:vAlign w:val="center"/>
          </w:tcPr>
          <w:p w14:paraId="79332F13">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7922B4EC">
            <w:pPr>
              <w:jc w:val="center"/>
              <w:outlineLvl w:val="9"/>
              <w:rPr>
                <w:rFonts w:hint="eastAsia" w:ascii="宋体" w:hAnsi="宋体" w:eastAsia="宋体" w:cs="宋体"/>
                <w:color w:val="auto"/>
                <w:szCs w:val="21"/>
              </w:rPr>
            </w:pPr>
            <w:r>
              <w:rPr>
                <w:rFonts w:hint="eastAsia" w:ascii="宋体" w:hAnsi="宋体" w:eastAsia="宋体" w:cs="宋体"/>
                <w:color w:val="auto"/>
                <w:szCs w:val="21"/>
              </w:rPr>
              <w:t>≥200</w:t>
            </w:r>
          </w:p>
        </w:tc>
        <w:tc>
          <w:tcPr>
            <w:tcW w:w="714" w:type="dxa"/>
            <w:noWrap w:val="0"/>
            <w:vAlign w:val="center"/>
          </w:tcPr>
          <w:p w14:paraId="31492240">
            <w:pPr>
              <w:jc w:val="center"/>
              <w:outlineLvl w:val="9"/>
              <w:rPr>
                <w:rFonts w:hint="eastAsia" w:ascii="宋体" w:hAnsi="宋体" w:eastAsia="宋体" w:cs="宋体"/>
                <w:color w:val="auto"/>
                <w:szCs w:val="21"/>
              </w:rPr>
            </w:pPr>
            <w:r>
              <w:rPr>
                <w:rFonts w:hint="eastAsia" w:ascii="宋体" w:hAnsi="宋体" w:eastAsia="宋体" w:cs="宋体"/>
                <w:color w:val="auto"/>
                <w:szCs w:val="21"/>
              </w:rPr>
              <w:t>≥20</w:t>
            </w:r>
          </w:p>
        </w:tc>
        <w:tc>
          <w:tcPr>
            <w:tcW w:w="619" w:type="dxa"/>
            <w:noWrap w:val="0"/>
            <w:vAlign w:val="center"/>
          </w:tcPr>
          <w:p w14:paraId="4466A1DF">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721EBF42">
            <w:pPr>
              <w:jc w:val="center"/>
              <w:outlineLvl w:val="9"/>
              <w:rPr>
                <w:rFonts w:hint="eastAsia" w:ascii="宋体" w:hAnsi="宋体" w:eastAsia="宋体" w:cs="宋体"/>
                <w:color w:val="auto"/>
                <w:szCs w:val="21"/>
              </w:rPr>
            </w:pPr>
            <w:r>
              <w:rPr>
                <w:rFonts w:hint="eastAsia" w:ascii="宋体" w:hAnsi="宋体" w:eastAsia="宋体" w:cs="宋体"/>
                <w:color w:val="auto"/>
                <w:szCs w:val="21"/>
              </w:rPr>
              <w:t>＜200</w:t>
            </w:r>
          </w:p>
        </w:tc>
        <w:tc>
          <w:tcPr>
            <w:tcW w:w="682" w:type="dxa"/>
            <w:noWrap w:val="0"/>
            <w:vAlign w:val="center"/>
          </w:tcPr>
          <w:p w14:paraId="6C774F29">
            <w:pPr>
              <w:jc w:val="center"/>
              <w:outlineLvl w:val="9"/>
              <w:rPr>
                <w:rFonts w:hint="eastAsia" w:ascii="宋体" w:hAnsi="宋体" w:eastAsia="宋体" w:cs="宋体"/>
                <w:color w:val="auto"/>
                <w:szCs w:val="21"/>
              </w:rPr>
            </w:pPr>
            <w:r>
              <w:rPr>
                <w:rFonts w:hint="eastAsia" w:ascii="宋体" w:hAnsi="宋体" w:eastAsia="宋体" w:cs="宋体"/>
                <w:color w:val="auto"/>
                <w:szCs w:val="21"/>
              </w:rPr>
              <w:t>＜20</w:t>
            </w:r>
          </w:p>
        </w:tc>
        <w:tc>
          <w:tcPr>
            <w:tcW w:w="525" w:type="dxa"/>
            <w:noWrap w:val="0"/>
            <w:vAlign w:val="center"/>
          </w:tcPr>
          <w:p w14:paraId="59E9E12B">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r w14:paraId="49C9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596758CB">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7</w:t>
            </w:r>
          </w:p>
        </w:tc>
        <w:tc>
          <w:tcPr>
            <w:tcW w:w="987" w:type="dxa"/>
            <w:noWrap w:val="0"/>
            <w:vAlign w:val="center"/>
          </w:tcPr>
          <w:p w14:paraId="1FEEECE9">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仓储业</w:t>
            </w:r>
          </w:p>
        </w:tc>
        <w:tc>
          <w:tcPr>
            <w:tcW w:w="735" w:type="dxa"/>
            <w:noWrap w:val="0"/>
            <w:vAlign w:val="center"/>
          </w:tcPr>
          <w:p w14:paraId="50F3BFFE">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≥30000</w:t>
            </w:r>
          </w:p>
        </w:tc>
        <w:tc>
          <w:tcPr>
            <w:tcW w:w="679" w:type="dxa"/>
            <w:noWrap w:val="0"/>
            <w:vAlign w:val="center"/>
          </w:tcPr>
          <w:p w14:paraId="0F73315F">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≥200</w:t>
            </w:r>
          </w:p>
        </w:tc>
        <w:tc>
          <w:tcPr>
            <w:tcW w:w="579" w:type="dxa"/>
            <w:noWrap w:val="0"/>
            <w:vAlign w:val="center"/>
          </w:tcPr>
          <w:p w14:paraId="4134F603">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5E0D4336">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w:t>
            </w:r>
          </w:p>
        </w:tc>
        <w:tc>
          <w:tcPr>
            <w:tcW w:w="673" w:type="dxa"/>
            <w:noWrap w:val="0"/>
            <w:vAlign w:val="center"/>
          </w:tcPr>
          <w:p w14:paraId="155CBC06">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15" w:type="dxa"/>
            <w:noWrap w:val="0"/>
            <w:vAlign w:val="center"/>
          </w:tcPr>
          <w:p w14:paraId="5A7E4FC9">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078A6C29">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714" w:type="dxa"/>
            <w:noWrap w:val="0"/>
            <w:vAlign w:val="center"/>
          </w:tcPr>
          <w:p w14:paraId="492D6CF1">
            <w:pPr>
              <w:jc w:val="center"/>
              <w:outlineLvl w:val="9"/>
              <w:rPr>
                <w:rFonts w:hint="eastAsia" w:ascii="宋体" w:hAnsi="宋体" w:eastAsia="宋体" w:cs="宋体"/>
                <w:color w:val="auto"/>
                <w:szCs w:val="21"/>
              </w:rPr>
            </w:pPr>
            <w:r>
              <w:rPr>
                <w:rFonts w:hint="eastAsia" w:ascii="宋体" w:hAnsi="宋体" w:eastAsia="宋体" w:cs="宋体"/>
                <w:color w:val="auto"/>
                <w:szCs w:val="21"/>
              </w:rPr>
              <w:t>≥20</w:t>
            </w:r>
          </w:p>
        </w:tc>
        <w:tc>
          <w:tcPr>
            <w:tcW w:w="619" w:type="dxa"/>
            <w:noWrap w:val="0"/>
            <w:vAlign w:val="center"/>
          </w:tcPr>
          <w:p w14:paraId="7882F6C1">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0ABB687A">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82" w:type="dxa"/>
            <w:noWrap w:val="0"/>
            <w:vAlign w:val="center"/>
          </w:tcPr>
          <w:p w14:paraId="4441EAD0">
            <w:pPr>
              <w:jc w:val="center"/>
              <w:outlineLvl w:val="9"/>
              <w:rPr>
                <w:rFonts w:hint="eastAsia" w:ascii="宋体" w:hAnsi="宋体" w:eastAsia="宋体" w:cs="宋体"/>
                <w:color w:val="auto"/>
                <w:szCs w:val="21"/>
              </w:rPr>
            </w:pPr>
            <w:r>
              <w:rPr>
                <w:rFonts w:hint="eastAsia" w:ascii="宋体" w:hAnsi="宋体" w:eastAsia="宋体" w:cs="宋体"/>
                <w:color w:val="auto"/>
                <w:szCs w:val="21"/>
              </w:rPr>
              <w:t>＜20</w:t>
            </w:r>
          </w:p>
        </w:tc>
        <w:tc>
          <w:tcPr>
            <w:tcW w:w="525" w:type="dxa"/>
            <w:noWrap w:val="0"/>
            <w:vAlign w:val="center"/>
          </w:tcPr>
          <w:p w14:paraId="4C07FB27">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r w14:paraId="1D00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684D01E3">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8</w:t>
            </w:r>
          </w:p>
        </w:tc>
        <w:tc>
          <w:tcPr>
            <w:tcW w:w="987" w:type="dxa"/>
            <w:noWrap w:val="0"/>
            <w:vAlign w:val="center"/>
          </w:tcPr>
          <w:p w14:paraId="64FB8939">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邮政业</w:t>
            </w:r>
          </w:p>
        </w:tc>
        <w:tc>
          <w:tcPr>
            <w:tcW w:w="735" w:type="dxa"/>
            <w:noWrap w:val="0"/>
            <w:vAlign w:val="center"/>
          </w:tcPr>
          <w:p w14:paraId="0B794D75">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≥30000</w:t>
            </w:r>
          </w:p>
        </w:tc>
        <w:tc>
          <w:tcPr>
            <w:tcW w:w="679" w:type="dxa"/>
            <w:noWrap w:val="0"/>
            <w:vAlign w:val="center"/>
          </w:tcPr>
          <w:p w14:paraId="3C22C422">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w:t>
            </w:r>
          </w:p>
        </w:tc>
        <w:tc>
          <w:tcPr>
            <w:tcW w:w="579" w:type="dxa"/>
            <w:noWrap w:val="0"/>
            <w:vAlign w:val="center"/>
          </w:tcPr>
          <w:p w14:paraId="57B629A6">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1ED7C635">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≥2000</w:t>
            </w:r>
          </w:p>
        </w:tc>
        <w:tc>
          <w:tcPr>
            <w:tcW w:w="673" w:type="dxa"/>
            <w:noWrap w:val="0"/>
            <w:vAlign w:val="center"/>
          </w:tcPr>
          <w:p w14:paraId="0B5E7974">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615" w:type="dxa"/>
            <w:noWrap w:val="0"/>
            <w:vAlign w:val="center"/>
          </w:tcPr>
          <w:p w14:paraId="3B0588A4">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5869B4FE">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714" w:type="dxa"/>
            <w:noWrap w:val="0"/>
            <w:vAlign w:val="center"/>
          </w:tcPr>
          <w:p w14:paraId="7FC688BD">
            <w:pPr>
              <w:jc w:val="center"/>
              <w:outlineLvl w:val="9"/>
              <w:rPr>
                <w:rFonts w:hint="eastAsia" w:ascii="宋体" w:hAnsi="宋体" w:eastAsia="宋体" w:cs="宋体"/>
                <w:color w:val="auto"/>
                <w:szCs w:val="21"/>
              </w:rPr>
            </w:pPr>
            <w:r>
              <w:rPr>
                <w:rFonts w:hint="eastAsia" w:ascii="宋体" w:hAnsi="宋体" w:eastAsia="宋体" w:cs="宋体"/>
                <w:color w:val="auto"/>
                <w:szCs w:val="21"/>
              </w:rPr>
              <w:t>≥20</w:t>
            </w:r>
          </w:p>
        </w:tc>
        <w:tc>
          <w:tcPr>
            <w:tcW w:w="619" w:type="dxa"/>
            <w:noWrap w:val="0"/>
            <w:vAlign w:val="center"/>
          </w:tcPr>
          <w:p w14:paraId="07C45B04">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1B198C0C">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82" w:type="dxa"/>
            <w:noWrap w:val="0"/>
            <w:vAlign w:val="center"/>
          </w:tcPr>
          <w:p w14:paraId="2E4879A8">
            <w:pPr>
              <w:jc w:val="center"/>
              <w:outlineLvl w:val="9"/>
              <w:rPr>
                <w:rFonts w:hint="eastAsia" w:ascii="宋体" w:hAnsi="宋体" w:eastAsia="宋体" w:cs="宋体"/>
                <w:color w:val="auto"/>
                <w:szCs w:val="21"/>
              </w:rPr>
            </w:pPr>
            <w:r>
              <w:rPr>
                <w:rFonts w:hint="eastAsia" w:ascii="宋体" w:hAnsi="宋体" w:eastAsia="宋体" w:cs="宋体"/>
                <w:color w:val="auto"/>
                <w:szCs w:val="21"/>
              </w:rPr>
              <w:t>＜20</w:t>
            </w:r>
          </w:p>
        </w:tc>
        <w:tc>
          <w:tcPr>
            <w:tcW w:w="525" w:type="dxa"/>
            <w:noWrap w:val="0"/>
            <w:vAlign w:val="center"/>
          </w:tcPr>
          <w:p w14:paraId="002A13BE">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r w14:paraId="34C2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37824D2A">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9</w:t>
            </w:r>
          </w:p>
        </w:tc>
        <w:tc>
          <w:tcPr>
            <w:tcW w:w="987" w:type="dxa"/>
            <w:noWrap w:val="0"/>
            <w:vAlign w:val="center"/>
          </w:tcPr>
          <w:p w14:paraId="305414F6">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住宿业</w:t>
            </w:r>
          </w:p>
        </w:tc>
        <w:tc>
          <w:tcPr>
            <w:tcW w:w="735" w:type="dxa"/>
            <w:noWrap w:val="0"/>
            <w:vAlign w:val="center"/>
          </w:tcPr>
          <w:p w14:paraId="1865B334">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≥10000</w:t>
            </w:r>
          </w:p>
        </w:tc>
        <w:tc>
          <w:tcPr>
            <w:tcW w:w="679" w:type="dxa"/>
            <w:noWrap w:val="0"/>
            <w:vAlign w:val="center"/>
          </w:tcPr>
          <w:p w14:paraId="3905E460">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579" w:type="dxa"/>
            <w:noWrap w:val="0"/>
            <w:vAlign w:val="center"/>
          </w:tcPr>
          <w:p w14:paraId="4623EA1F">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2A0C5EFA">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≥2000</w:t>
            </w:r>
          </w:p>
        </w:tc>
        <w:tc>
          <w:tcPr>
            <w:tcW w:w="673" w:type="dxa"/>
            <w:noWrap w:val="0"/>
            <w:vAlign w:val="center"/>
          </w:tcPr>
          <w:p w14:paraId="109C9661">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15" w:type="dxa"/>
            <w:noWrap w:val="0"/>
            <w:vAlign w:val="center"/>
          </w:tcPr>
          <w:p w14:paraId="62D55C61">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6E3AEE5C">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714" w:type="dxa"/>
            <w:noWrap w:val="0"/>
            <w:vAlign w:val="center"/>
          </w:tcPr>
          <w:p w14:paraId="79893C0E">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619" w:type="dxa"/>
            <w:noWrap w:val="0"/>
            <w:vAlign w:val="center"/>
          </w:tcPr>
          <w:p w14:paraId="4029D6C1">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4B07942D">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82" w:type="dxa"/>
            <w:noWrap w:val="0"/>
            <w:vAlign w:val="center"/>
          </w:tcPr>
          <w:p w14:paraId="0A5B9229">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525" w:type="dxa"/>
            <w:noWrap w:val="0"/>
            <w:vAlign w:val="center"/>
          </w:tcPr>
          <w:p w14:paraId="150FCD5C">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r w14:paraId="54DC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3D685C8F">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10</w:t>
            </w:r>
          </w:p>
        </w:tc>
        <w:tc>
          <w:tcPr>
            <w:tcW w:w="987" w:type="dxa"/>
            <w:noWrap w:val="0"/>
            <w:vAlign w:val="center"/>
          </w:tcPr>
          <w:p w14:paraId="48B0101B">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餐饮业</w:t>
            </w:r>
          </w:p>
        </w:tc>
        <w:tc>
          <w:tcPr>
            <w:tcW w:w="735" w:type="dxa"/>
            <w:noWrap w:val="0"/>
            <w:vAlign w:val="center"/>
          </w:tcPr>
          <w:p w14:paraId="520F1695">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≥10000</w:t>
            </w:r>
          </w:p>
        </w:tc>
        <w:tc>
          <w:tcPr>
            <w:tcW w:w="679" w:type="dxa"/>
            <w:noWrap w:val="0"/>
            <w:vAlign w:val="center"/>
          </w:tcPr>
          <w:p w14:paraId="2FAD2E7B">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579" w:type="dxa"/>
            <w:noWrap w:val="0"/>
            <w:vAlign w:val="center"/>
          </w:tcPr>
          <w:p w14:paraId="4EEEFE72">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6A775B9D">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≥2000</w:t>
            </w:r>
          </w:p>
        </w:tc>
        <w:tc>
          <w:tcPr>
            <w:tcW w:w="673" w:type="dxa"/>
            <w:noWrap w:val="0"/>
            <w:vAlign w:val="center"/>
          </w:tcPr>
          <w:p w14:paraId="2AC35C06">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15" w:type="dxa"/>
            <w:noWrap w:val="0"/>
            <w:vAlign w:val="center"/>
          </w:tcPr>
          <w:p w14:paraId="2FE9D1CF">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6EFAF6C7">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714" w:type="dxa"/>
            <w:noWrap w:val="0"/>
            <w:vAlign w:val="center"/>
          </w:tcPr>
          <w:p w14:paraId="27D70764">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619" w:type="dxa"/>
            <w:noWrap w:val="0"/>
            <w:vAlign w:val="center"/>
          </w:tcPr>
          <w:p w14:paraId="5F9B0A6E">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360CE785">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82" w:type="dxa"/>
            <w:noWrap w:val="0"/>
            <w:vAlign w:val="center"/>
          </w:tcPr>
          <w:p w14:paraId="57B94EE5">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525" w:type="dxa"/>
            <w:noWrap w:val="0"/>
            <w:vAlign w:val="center"/>
          </w:tcPr>
          <w:p w14:paraId="71933981">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r w14:paraId="7B57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50F4E02B">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11</w:t>
            </w:r>
          </w:p>
        </w:tc>
        <w:tc>
          <w:tcPr>
            <w:tcW w:w="987" w:type="dxa"/>
            <w:noWrap w:val="0"/>
            <w:vAlign w:val="center"/>
          </w:tcPr>
          <w:p w14:paraId="273E4C1B">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信息传输业</w:t>
            </w:r>
          </w:p>
        </w:tc>
        <w:tc>
          <w:tcPr>
            <w:tcW w:w="735" w:type="dxa"/>
            <w:noWrap w:val="0"/>
            <w:vAlign w:val="center"/>
          </w:tcPr>
          <w:p w14:paraId="6DE54C33">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≥100000</w:t>
            </w:r>
          </w:p>
        </w:tc>
        <w:tc>
          <w:tcPr>
            <w:tcW w:w="679" w:type="dxa"/>
            <w:noWrap w:val="0"/>
            <w:vAlign w:val="center"/>
          </w:tcPr>
          <w:p w14:paraId="2DB9F0B9">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≥2000</w:t>
            </w:r>
          </w:p>
        </w:tc>
        <w:tc>
          <w:tcPr>
            <w:tcW w:w="579" w:type="dxa"/>
            <w:noWrap w:val="0"/>
            <w:vAlign w:val="center"/>
          </w:tcPr>
          <w:p w14:paraId="52E2E190">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33978754">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w:t>
            </w:r>
          </w:p>
        </w:tc>
        <w:tc>
          <w:tcPr>
            <w:tcW w:w="673" w:type="dxa"/>
            <w:noWrap w:val="0"/>
            <w:vAlign w:val="center"/>
          </w:tcPr>
          <w:p w14:paraId="6E3790E4">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15" w:type="dxa"/>
            <w:noWrap w:val="0"/>
            <w:vAlign w:val="center"/>
          </w:tcPr>
          <w:p w14:paraId="6B5CB52B">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2E992935">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714" w:type="dxa"/>
            <w:noWrap w:val="0"/>
            <w:vAlign w:val="center"/>
          </w:tcPr>
          <w:p w14:paraId="2D43AD1B">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619" w:type="dxa"/>
            <w:noWrap w:val="0"/>
            <w:vAlign w:val="center"/>
          </w:tcPr>
          <w:p w14:paraId="3649E9DB">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588478E0">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82" w:type="dxa"/>
            <w:noWrap w:val="0"/>
            <w:vAlign w:val="center"/>
          </w:tcPr>
          <w:p w14:paraId="0BE9F1E9">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525" w:type="dxa"/>
            <w:noWrap w:val="0"/>
            <w:vAlign w:val="center"/>
          </w:tcPr>
          <w:p w14:paraId="0CE57A97">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r w14:paraId="570A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12" w:type="dxa"/>
            <w:noWrap w:val="0"/>
            <w:vAlign w:val="center"/>
          </w:tcPr>
          <w:p w14:paraId="00FE5AD3">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12</w:t>
            </w:r>
          </w:p>
        </w:tc>
        <w:tc>
          <w:tcPr>
            <w:tcW w:w="987" w:type="dxa"/>
            <w:noWrap w:val="0"/>
            <w:vAlign w:val="center"/>
          </w:tcPr>
          <w:p w14:paraId="15CFC20E">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软件和信息技术服务业</w:t>
            </w:r>
          </w:p>
        </w:tc>
        <w:tc>
          <w:tcPr>
            <w:tcW w:w="735" w:type="dxa"/>
            <w:noWrap w:val="0"/>
            <w:vAlign w:val="center"/>
          </w:tcPr>
          <w:p w14:paraId="4DED81CC">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≥10000</w:t>
            </w:r>
          </w:p>
        </w:tc>
        <w:tc>
          <w:tcPr>
            <w:tcW w:w="679" w:type="dxa"/>
            <w:noWrap w:val="0"/>
            <w:vAlign w:val="center"/>
          </w:tcPr>
          <w:p w14:paraId="5ED4A6F7">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579" w:type="dxa"/>
            <w:noWrap w:val="0"/>
            <w:vAlign w:val="center"/>
          </w:tcPr>
          <w:p w14:paraId="34E92447">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6FC32B3F">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w:t>
            </w:r>
          </w:p>
        </w:tc>
        <w:tc>
          <w:tcPr>
            <w:tcW w:w="673" w:type="dxa"/>
            <w:noWrap w:val="0"/>
            <w:vAlign w:val="center"/>
          </w:tcPr>
          <w:p w14:paraId="028A05EA">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15" w:type="dxa"/>
            <w:noWrap w:val="0"/>
            <w:vAlign w:val="center"/>
          </w:tcPr>
          <w:p w14:paraId="2896E919">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2BC2C2DF">
            <w:pPr>
              <w:jc w:val="center"/>
              <w:outlineLvl w:val="9"/>
              <w:rPr>
                <w:rFonts w:hint="eastAsia" w:ascii="宋体" w:hAnsi="宋体" w:eastAsia="宋体" w:cs="宋体"/>
                <w:color w:val="auto"/>
                <w:szCs w:val="21"/>
              </w:rPr>
            </w:pPr>
            <w:r>
              <w:rPr>
                <w:rFonts w:hint="eastAsia" w:ascii="宋体" w:hAnsi="宋体" w:eastAsia="宋体" w:cs="宋体"/>
                <w:color w:val="auto"/>
                <w:szCs w:val="21"/>
              </w:rPr>
              <w:t>≥50</w:t>
            </w:r>
          </w:p>
        </w:tc>
        <w:tc>
          <w:tcPr>
            <w:tcW w:w="714" w:type="dxa"/>
            <w:noWrap w:val="0"/>
            <w:vAlign w:val="center"/>
          </w:tcPr>
          <w:p w14:paraId="2CBC3F7F">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619" w:type="dxa"/>
            <w:noWrap w:val="0"/>
            <w:vAlign w:val="center"/>
          </w:tcPr>
          <w:p w14:paraId="1650CD31">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158613E0">
            <w:pPr>
              <w:jc w:val="center"/>
              <w:outlineLvl w:val="9"/>
              <w:rPr>
                <w:rFonts w:hint="eastAsia" w:ascii="宋体" w:hAnsi="宋体" w:eastAsia="宋体" w:cs="宋体"/>
                <w:color w:val="auto"/>
                <w:szCs w:val="21"/>
              </w:rPr>
            </w:pPr>
            <w:r>
              <w:rPr>
                <w:rFonts w:hint="eastAsia" w:ascii="宋体" w:hAnsi="宋体" w:eastAsia="宋体" w:cs="宋体"/>
                <w:color w:val="auto"/>
                <w:szCs w:val="21"/>
              </w:rPr>
              <w:t>＜50</w:t>
            </w:r>
          </w:p>
        </w:tc>
        <w:tc>
          <w:tcPr>
            <w:tcW w:w="682" w:type="dxa"/>
            <w:noWrap w:val="0"/>
            <w:vAlign w:val="center"/>
          </w:tcPr>
          <w:p w14:paraId="0D85CC33">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525" w:type="dxa"/>
            <w:noWrap w:val="0"/>
            <w:vAlign w:val="center"/>
          </w:tcPr>
          <w:p w14:paraId="107C81E9">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r w14:paraId="6591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12" w:type="dxa"/>
            <w:noWrap w:val="0"/>
            <w:vAlign w:val="center"/>
          </w:tcPr>
          <w:p w14:paraId="3573B52C">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13</w:t>
            </w:r>
          </w:p>
        </w:tc>
        <w:tc>
          <w:tcPr>
            <w:tcW w:w="987" w:type="dxa"/>
            <w:noWrap w:val="0"/>
            <w:vAlign w:val="center"/>
          </w:tcPr>
          <w:p w14:paraId="47615978">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房地产开发经营</w:t>
            </w:r>
          </w:p>
        </w:tc>
        <w:tc>
          <w:tcPr>
            <w:tcW w:w="735" w:type="dxa"/>
            <w:noWrap w:val="0"/>
            <w:vAlign w:val="center"/>
          </w:tcPr>
          <w:p w14:paraId="5B4BE6D2">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≥200000</w:t>
            </w:r>
          </w:p>
        </w:tc>
        <w:tc>
          <w:tcPr>
            <w:tcW w:w="679" w:type="dxa"/>
            <w:noWrap w:val="0"/>
            <w:vAlign w:val="center"/>
          </w:tcPr>
          <w:p w14:paraId="24BB3627">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579" w:type="dxa"/>
            <w:noWrap w:val="0"/>
            <w:vAlign w:val="center"/>
          </w:tcPr>
          <w:p w14:paraId="2FF8D87D">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或,≥10000</w:t>
            </w:r>
          </w:p>
        </w:tc>
        <w:tc>
          <w:tcPr>
            <w:tcW w:w="679" w:type="dxa"/>
            <w:noWrap w:val="0"/>
            <w:vAlign w:val="center"/>
          </w:tcPr>
          <w:p w14:paraId="203D3635">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w:t>
            </w:r>
          </w:p>
        </w:tc>
        <w:tc>
          <w:tcPr>
            <w:tcW w:w="673" w:type="dxa"/>
            <w:noWrap w:val="0"/>
            <w:vAlign w:val="center"/>
          </w:tcPr>
          <w:p w14:paraId="550CEB02">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15" w:type="dxa"/>
            <w:noWrap w:val="0"/>
            <w:vAlign w:val="center"/>
          </w:tcPr>
          <w:p w14:paraId="34AF33EA">
            <w:pPr>
              <w:jc w:val="center"/>
              <w:outlineLvl w:val="9"/>
              <w:rPr>
                <w:rFonts w:hint="eastAsia" w:ascii="宋体" w:hAnsi="宋体" w:eastAsia="宋体" w:cs="宋体"/>
                <w:color w:val="auto"/>
                <w:szCs w:val="21"/>
              </w:rPr>
            </w:pPr>
            <w:r>
              <w:rPr>
                <w:rFonts w:hint="eastAsia" w:ascii="宋体" w:hAnsi="宋体" w:eastAsia="宋体" w:cs="宋体"/>
                <w:color w:val="auto"/>
                <w:szCs w:val="21"/>
              </w:rPr>
              <w:t>且,≥5000</w:t>
            </w:r>
          </w:p>
        </w:tc>
        <w:tc>
          <w:tcPr>
            <w:tcW w:w="679" w:type="dxa"/>
            <w:noWrap w:val="0"/>
            <w:vAlign w:val="center"/>
          </w:tcPr>
          <w:p w14:paraId="6E424C11">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714" w:type="dxa"/>
            <w:noWrap w:val="0"/>
            <w:vAlign w:val="center"/>
          </w:tcPr>
          <w:p w14:paraId="2D2FECBC">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19" w:type="dxa"/>
            <w:noWrap w:val="0"/>
            <w:vAlign w:val="center"/>
          </w:tcPr>
          <w:p w14:paraId="4775A9B8">
            <w:pPr>
              <w:jc w:val="center"/>
              <w:outlineLvl w:val="9"/>
              <w:rPr>
                <w:rFonts w:hint="eastAsia" w:ascii="宋体" w:hAnsi="宋体" w:eastAsia="宋体" w:cs="宋体"/>
                <w:color w:val="auto"/>
                <w:szCs w:val="21"/>
              </w:rPr>
            </w:pPr>
            <w:r>
              <w:rPr>
                <w:rFonts w:hint="eastAsia" w:ascii="宋体" w:hAnsi="宋体" w:eastAsia="宋体" w:cs="宋体"/>
                <w:color w:val="auto"/>
                <w:szCs w:val="21"/>
              </w:rPr>
              <w:t>且,≥2000</w:t>
            </w:r>
          </w:p>
        </w:tc>
        <w:tc>
          <w:tcPr>
            <w:tcW w:w="679" w:type="dxa"/>
            <w:noWrap w:val="0"/>
            <w:vAlign w:val="center"/>
          </w:tcPr>
          <w:p w14:paraId="4CCDC42B">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82" w:type="dxa"/>
            <w:noWrap w:val="0"/>
            <w:vAlign w:val="center"/>
          </w:tcPr>
          <w:p w14:paraId="17B51713">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525" w:type="dxa"/>
            <w:noWrap w:val="0"/>
            <w:vAlign w:val="center"/>
          </w:tcPr>
          <w:p w14:paraId="601E0AAD">
            <w:pPr>
              <w:jc w:val="center"/>
              <w:outlineLvl w:val="9"/>
              <w:rPr>
                <w:rFonts w:hint="eastAsia" w:ascii="宋体" w:hAnsi="宋体" w:eastAsia="宋体" w:cs="宋体"/>
                <w:color w:val="auto"/>
                <w:szCs w:val="21"/>
              </w:rPr>
            </w:pPr>
            <w:r>
              <w:rPr>
                <w:rFonts w:hint="eastAsia" w:ascii="宋体" w:hAnsi="宋体" w:eastAsia="宋体" w:cs="宋体"/>
                <w:color w:val="auto"/>
                <w:szCs w:val="21"/>
              </w:rPr>
              <w:t>或,＜2000</w:t>
            </w:r>
          </w:p>
        </w:tc>
      </w:tr>
      <w:tr w14:paraId="3EB2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7F79757C">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14</w:t>
            </w:r>
          </w:p>
        </w:tc>
        <w:tc>
          <w:tcPr>
            <w:tcW w:w="987" w:type="dxa"/>
            <w:noWrap w:val="0"/>
            <w:vAlign w:val="center"/>
          </w:tcPr>
          <w:p w14:paraId="276B9387">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物业管理</w:t>
            </w:r>
          </w:p>
        </w:tc>
        <w:tc>
          <w:tcPr>
            <w:tcW w:w="735" w:type="dxa"/>
            <w:noWrap w:val="0"/>
            <w:vAlign w:val="center"/>
          </w:tcPr>
          <w:p w14:paraId="1501F45C">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≥5000</w:t>
            </w:r>
          </w:p>
        </w:tc>
        <w:tc>
          <w:tcPr>
            <w:tcW w:w="679" w:type="dxa"/>
            <w:noWrap w:val="0"/>
            <w:vAlign w:val="center"/>
          </w:tcPr>
          <w:p w14:paraId="0E4BD0D5">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w:t>
            </w:r>
          </w:p>
        </w:tc>
        <w:tc>
          <w:tcPr>
            <w:tcW w:w="579" w:type="dxa"/>
            <w:noWrap w:val="0"/>
            <w:vAlign w:val="center"/>
          </w:tcPr>
          <w:p w14:paraId="02975CE8">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2AF582EC">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≥1000</w:t>
            </w:r>
          </w:p>
        </w:tc>
        <w:tc>
          <w:tcPr>
            <w:tcW w:w="673" w:type="dxa"/>
            <w:noWrap w:val="0"/>
            <w:vAlign w:val="center"/>
          </w:tcPr>
          <w:p w14:paraId="0B43B1EB">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615" w:type="dxa"/>
            <w:noWrap w:val="0"/>
            <w:vAlign w:val="center"/>
          </w:tcPr>
          <w:p w14:paraId="514B11DB">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07EAF939">
            <w:pPr>
              <w:jc w:val="center"/>
              <w:outlineLvl w:val="9"/>
              <w:rPr>
                <w:rFonts w:hint="eastAsia" w:ascii="宋体" w:hAnsi="宋体" w:eastAsia="宋体" w:cs="宋体"/>
                <w:color w:val="auto"/>
                <w:szCs w:val="21"/>
              </w:rPr>
            </w:pPr>
            <w:r>
              <w:rPr>
                <w:rFonts w:hint="eastAsia" w:ascii="宋体" w:hAnsi="宋体" w:eastAsia="宋体" w:cs="宋体"/>
                <w:color w:val="auto"/>
                <w:szCs w:val="21"/>
              </w:rPr>
              <w:t>≥500</w:t>
            </w:r>
          </w:p>
        </w:tc>
        <w:tc>
          <w:tcPr>
            <w:tcW w:w="714" w:type="dxa"/>
            <w:noWrap w:val="0"/>
            <w:vAlign w:val="center"/>
          </w:tcPr>
          <w:p w14:paraId="5611BA99">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19" w:type="dxa"/>
            <w:noWrap w:val="0"/>
            <w:vAlign w:val="center"/>
          </w:tcPr>
          <w:p w14:paraId="4E1394D2">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68C93AB8">
            <w:pPr>
              <w:jc w:val="center"/>
              <w:outlineLvl w:val="9"/>
              <w:rPr>
                <w:rFonts w:hint="eastAsia" w:ascii="宋体" w:hAnsi="宋体" w:eastAsia="宋体" w:cs="宋体"/>
                <w:color w:val="auto"/>
                <w:szCs w:val="21"/>
              </w:rPr>
            </w:pPr>
            <w:r>
              <w:rPr>
                <w:rFonts w:hint="eastAsia" w:ascii="宋体" w:hAnsi="宋体" w:eastAsia="宋体" w:cs="宋体"/>
                <w:color w:val="auto"/>
                <w:szCs w:val="21"/>
              </w:rPr>
              <w:t>＜500</w:t>
            </w:r>
          </w:p>
        </w:tc>
        <w:tc>
          <w:tcPr>
            <w:tcW w:w="682" w:type="dxa"/>
            <w:noWrap w:val="0"/>
            <w:vAlign w:val="center"/>
          </w:tcPr>
          <w:p w14:paraId="62E0A1AC">
            <w:pPr>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525" w:type="dxa"/>
            <w:noWrap w:val="0"/>
            <w:vAlign w:val="center"/>
          </w:tcPr>
          <w:p w14:paraId="01CD6CA1">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r w14:paraId="3AF5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12" w:type="dxa"/>
            <w:noWrap w:val="0"/>
            <w:vAlign w:val="center"/>
          </w:tcPr>
          <w:p w14:paraId="141A3681">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15</w:t>
            </w:r>
          </w:p>
        </w:tc>
        <w:tc>
          <w:tcPr>
            <w:tcW w:w="987" w:type="dxa"/>
            <w:noWrap w:val="0"/>
            <w:vAlign w:val="center"/>
          </w:tcPr>
          <w:p w14:paraId="452925AD">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租赁和商务服务业</w:t>
            </w:r>
          </w:p>
        </w:tc>
        <w:tc>
          <w:tcPr>
            <w:tcW w:w="735" w:type="dxa"/>
            <w:noWrap w:val="0"/>
            <w:vAlign w:val="center"/>
          </w:tcPr>
          <w:p w14:paraId="628B1D07">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433D7449">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579" w:type="dxa"/>
            <w:noWrap w:val="0"/>
            <w:vAlign w:val="center"/>
          </w:tcPr>
          <w:p w14:paraId="5EDAD472">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或,≥120000</w:t>
            </w:r>
          </w:p>
        </w:tc>
        <w:tc>
          <w:tcPr>
            <w:tcW w:w="679" w:type="dxa"/>
            <w:noWrap w:val="0"/>
            <w:vAlign w:val="center"/>
          </w:tcPr>
          <w:p w14:paraId="71C50699">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3" w:type="dxa"/>
            <w:noWrap w:val="0"/>
            <w:vAlign w:val="center"/>
          </w:tcPr>
          <w:p w14:paraId="27708CFA">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15" w:type="dxa"/>
            <w:noWrap w:val="0"/>
            <w:vAlign w:val="center"/>
          </w:tcPr>
          <w:p w14:paraId="4D6FF1F1">
            <w:pPr>
              <w:jc w:val="center"/>
              <w:outlineLvl w:val="9"/>
              <w:rPr>
                <w:rFonts w:hint="eastAsia" w:ascii="宋体" w:hAnsi="宋体" w:eastAsia="宋体" w:cs="宋体"/>
                <w:color w:val="auto"/>
                <w:szCs w:val="21"/>
              </w:rPr>
            </w:pPr>
            <w:r>
              <w:rPr>
                <w:rFonts w:hint="eastAsia" w:ascii="宋体" w:hAnsi="宋体" w:eastAsia="宋体" w:cs="宋体"/>
                <w:color w:val="auto"/>
                <w:szCs w:val="21"/>
              </w:rPr>
              <w:t>且,≥8000</w:t>
            </w:r>
          </w:p>
        </w:tc>
        <w:tc>
          <w:tcPr>
            <w:tcW w:w="679" w:type="dxa"/>
            <w:noWrap w:val="0"/>
            <w:vAlign w:val="center"/>
          </w:tcPr>
          <w:p w14:paraId="66561490">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714" w:type="dxa"/>
            <w:noWrap w:val="0"/>
            <w:vAlign w:val="center"/>
          </w:tcPr>
          <w:p w14:paraId="5B8B252C">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619" w:type="dxa"/>
            <w:noWrap w:val="0"/>
            <w:vAlign w:val="center"/>
          </w:tcPr>
          <w:p w14:paraId="3905D0A7">
            <w:pPr>
              <w:jc w:val="center"/>
              <w:outlineLvl w:val="9"/>
              <w:rPr>
                <w:rFonts w:hint="eastAsia" w:ascii="宋体" w:hAnsi="宋体" w:eastAsia="宋体" w:cs="宋体"/>
                <w:color w:val="auto"/>
                <w:szCs w:val="21"/>
              </w:rPr>
            </w:pPr>
            <w:r>
              <w:rPr>
                <w:rFonts w:hint="eastAsia" w:ascii="宋体" w:hAnsi="宋体" w:eastAsia="宋体" w:cs="宋体"/>
                <w:color w:val="auto"/>
                <w:szCs w:val="21"/>
              </w:rPr>
              <w:t>且,≥100</w:t>
            </w:r>
          </w:p>
        </w:tc>
        <w:tc>
          <w:tcPr>
            <w:tcW w:w="679" w:type="dxa"/>
            <w:noWrap w:val="0"/>
            <w:vAlign w:val="center"/>
          </w:tcPr>
          <w:p w14:paraId="26F3BB15">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82" w:type="dxa"/>
            <w:noWrap w:val="0"/>
            <w:vAlign w:val="center"/>
          </w:tcPr>
          <w:p w14:paraId="1C0E2A27">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525" w:type="dxa"/>
            <w:noWrap w:val="0"/>
            <w:vAlign w:val="center"/>
          </w:tcPr>
          <w:p w14:paraId="6D60D706">
            <w:pPr>
              <w:jc w:val="center"/>
              <w:outlineLvl w:val="9"/>
              <w:rPr>
                <w:rFonts w:hint="eastAsia" w:ascii="宋体" w:hAnsi="宋体" w:eastAsia="宋体" w:cs="宋体"/>
                <w:color w:val="auto"/>
                <w:szCs w:val="21"/>
              </w:rPr>
            </w:pPr>
            <w:r>
              <w:rPr>
                <w:rFonts w:hint="eastAsia" w:ascii="宋体" w:hAnsi="宋体" w:eastAsia="宋体" w:cs="宋体"/>
                <w:color w:val="auto"/>
                <w:szCs w:val="21"/>
              </w:rPr>
              <w:t>或,＜100</w:t>
            </w:r>
          </w:p>
        </w:tc>
      </w:tr>
      <w:tr w14:paraId="35C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12" w:type="dxa"/>
            <w:noWrap w:val="0"/>
            <w:vAlign w:val="center"/>
          </w:tcPr>
          <w:p w14:paraId="02B95364">
            <w:pPr>
              <w:ind w:left="-107" w:leftChars="-51" w:right="-107" w:rightChars="-51"/>
              <w:jc w:val="center"/>
              <w:outlineLvl w:val="9"/>
              <w:rPr>
                <w:rFonts w:hint="eastAsia" w:ascii="宋体" w:hAnsi="宋体" w:eastAsia="宋体" w:cs="宋体"/>
                <w:bCs/>
                <w:color w:val="auto"/>
                <w:szCs w:val="21"/>
              </w:rPr>
            </w:pPr>
            <w:r>
              <w:rPr>
                <w:rFonts w:hint="eastAsia" w:ascii="宋体" w:hAnsi="宋体" w:eastAsia="宋体" w:cs="宋体"/>
                <w:bCs/>
                <w:color w:val="auto"/>
                <w:szCs w:val="21"/>
              </w:rPr>
              <w:t>16</w:t>
            </w:r>
          </w:p>
        </w:tc>
        <w:tc>
          <w:tcPr>
            <w:tcW w:w="987" w:type="dxa"/>
            <w:noWrap w:val="0"/>
            <w:vAlign w:val="center"/>
          </w:tcPr>
          <w:p w14:paraId="47E3580B">
            <w:pPr>
              <w:ind w:left="-27" w:leftChars="-13" w:right="-65" w:rightChars="-31"/>
              <w:outlineLvl w:val="9"/>
              <w:rPr>
                <w:rFonts w:hint="eastAsia" w:ascii="宋体" w:hAnsi="宋体" w:eastAsia="宋体" w:cs="宋体"/>
                <w:bCs/>
                <w:color w:val="auto"/>
                <w:szCs w:val="21"/>
              </w:rPr>
            </w:pPr>
            <w:r>
              <w:rPr>
                <w:rFonts w:hint="eastAsia" w:ascii="宋体" w:hAnsi="宋体" w:eastAsia="宋体" w:cs="宋体"/>
                <w:bCs/>
                <w:color w:val="auto"/>
                <w:szCs w:val="21"/>
              </w:rPr>
              <w:t>其他未列明行业</w:t>
            </w:r>
          </w:p>
        </w:tc>
        <w:tc>
          <w:tcPr>
            <w:tcW w:w="735" w:type="dxa"/>
            <w:noWrap w:val="0"/>
            <w:vAlign w:val="center"/>
          </w:tcPr>
          <w:p w14:paraId="2993590D">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4A1105A2">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≥300</w:t>
            </w:r>
          </w:p>
        </w:tc>
        <w:tc>
          <w:tcPr>
            <w:tcW w:w="579" w:type="dxa"/>
            <w:noWrap w:val="0"/>
            <w:vAlign w:val="center"/>
          </w:tcPr>
          <w:p w14:paraId="2278EBA5">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2134DAB2">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3" w:type="dxa"/>
            <w:noWrap w:val="0"/>
            <w:vAlign w:val="center"/>
          </w:tcPr>
          <w:p w14:paraId="6B3608C9">
            <w:pPr>
              <w:ind w:left="-107" w:leftChars="-51" w:right="-107" w:rightChars="-51"/>
              <w:jc w:val="center"/>
              <w:outlineLvl w:val="9"/>
              <w:rPr>
                <w:rFonts w:hint="eastAsia" w:ascii="宋体" w:hAnsi="宋体" w:eastAsia="宋体" w:cs="宋体"/>
                <w:color w:val="auto"/>
                <w:szCs w:val="21"/>
              </w:rPr>
            </w:pPr>
            <w:r>
              <w:rPr>
                <w:rFonts w:hint="eastAsia" w:ascii="宋体" w:hAnsi="宋体" w:eastAsia="宋体" w:cs="宋体"/>
                <w:color w:val="auto"/>
                <w:szCs w:val="21"/>
              </w:rPr>
              <w:t>≥100</w:t>
            </w:r>
          </w:p>
        </w:tc>
        <w:tc>
          <w:tcPr>
            <w:tcW w:w="615" w:type="dxa"/>
            <w:noWrap w:val="0"/>
            <w:vAlign w:val="center"/>
          </w:tcPr>
          <w:p w14:paraId="537F55D6">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03AC92BC">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714" w:type="dxa"/>
            <w:noWrap w:val="0"/>
            <w:vAlign w:val="center"/>
          </w:tcPr>
          <w:p w14:paraId="2808AA83">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619" w:type="dxa"/>
            <w:noWrap w:val="0"/>
            <w:vAlign w:val="center"/>
          </w:tcPr>
          <w:p w14:paraId="5BA92418">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79" w:type="dxa"/>
            <w:noWrap w:val="0"/>
            <w:vAlign w:val="center"/>
          </w:tcPr>
          <w:p w14:paraId="212761A2">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c>
          <w:tcPr>
            <w:tcW w:w="682" w:type="dxa"/>
            <w:noWrap w:val="0"/>
            <w:vAlign w:val="center"/>
          </w:tcPr>
          <w:p w14:paraId="6CC34952">
            <w:pPr>
              <w:jc w:val="center"/>
              <w:outlineLvl w:val="9"/>
              <w:rPr>
                <w:rFonts w:hint="eastAsia" w:ascii="宋体" w:hAnsi="宋体" w:eastAsia="宋体" w:cs="宋体"/>
                <w:color w:val="auto"/>
                <w:szCs w:val="21"/>
              </w:rPr>
            </w:pPr>
            <w:r>
              <w:rPr>
                <w:rFonts w:hint="eastAsia" w:ascii="宋体" w:hAnsi="宋体" w:eastAsia="宋体" w:cs="宋体"/>
                <w:color w:val="auto"/>
                <w:szCs w:val="21"/>
              </w:rPr>
              <w:t>＜10</w:t>
            </w:r>
          </w:p>
        </w:tc>
        <w:tc>
          <w:tcPr>
            <w:tcW w:w="525" w:type="dxa"/>
            <w:noWrap w:val="0"/>
            <w:vAlign w:val="center"/>
          </w:tcPr>
          <w:p w14:paraId="5A7CF843">
            <w:pPr>
              <w:jc w:val="center"/>
              <w:outlineLvl w:val="9"/>
              <w:rPr>
                <w:rFonts w:hint="eastAsia" w:ascii="宋体" w:hAnsi="宋体" w:eastAsia="宋体" w:cs="宋体"/>
                <w:color w:val="auto"/>
                <w:szCs w:val="21"/>
              </w:rPr>
            </w:pPr>
            <w:r>
              <w:rPr>
                <w:rFonts w:hint="eastAsia" w:ascii="宋体" w:hAnsi="宋体" w:eastAsia="宋体" w:cs="宋体"/>
                <w:color w:val="auto"/>
                <w:szCs w:val="21"/>
              </w:rPr>
              <w:t>　</w:t>
            </w:r>
          </w:p>
        </w:tc>
      </w:tr>
    </w:tbl>
    <w:p w14:paraId="4E1969BC">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p>
    <w:p w14:paraId="418E95FC">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62090896">
      <w:pPr>
        <w:spacing w:before="182" w:line="220" w:lineRule="auto"/>
        <w:ind w:left="3332"/>
        <w:outlineLvl w:val="0"/>
        <w:rPr>
          <w:rFonts w:hint="eastAsia" w:ascii="宋体" w:hAnsi="宋体" w:eastAsia="宋体" w:cs="宋体"/>
          <w:color w:val="auto"/>
          <w:sz w:val="24"/>
          <w:szCs w:val="24"/>
        </w:rPr>
      </w:pPr>
      <w:bookmarkStart w:id="77" w:name="_Toc805"/>
      <w:bookmarkStart w:id="78" w:name="_Toc6463"/>
      <w:bookmarkStart w:id="79" w:name="_Toc12055"/>
      <w:r>
        <w:rPr>
          <w:rFonts w:hint="eastAsia" w:ascii="宋体" w:hAnsi="宋体" w:eastAsia="宋体" w:cs="宋体"/>
          <w:color w:val="auto"/>
          <w:sz w:val="24"/>
          <w:szCs w:val="24"/>
          <w14:textOutline w14:w="4358" w14:cap="sq" w14:cmpd="sng">
            <w14:solidFill>
              <w14:srgbClr w14:val="000000"/>
            </w14:solidFill>
            <w14:prstDash w14:val="solid"/>
            <w14:bevel/>
          </w14:textOutline>
        </w:rPr>
        <w:t>残疾人福利性单位声明函</w:t>
      </w:r>
      <w:bookmarkEnd w:id="77"/>
      <w:bookmarkEnd w:id="78"/>
      <w:bookmarkEnd w:id="79"/>
    </w:p>
    <w:p w14:paraId="4518F953">
      <w:pPr>
        <w:pStyle w:val="5"/>
        <w:spacing w:line="283" w:lineRule="auto"/>
        <w:outlineLvl w:val="9"/>
        <w:rPr>
          <w:rFonts w:hint="eastAsia" w:ascii="宋体" w:hAnsi="宋体" w:eastAsia="宋体" w:cs="宋体"/>
          <w:color w:val="auto"/>
        </w:rPr>
      </w:pPr>
    </w:p>
    <w:p w14:paraId="7D8B38F2">
      <w:pPr>
        <w:pStyle w:val="5"/>
        <w:spacing w:line="283" w:lineRule="auto"/>
        <w:outlineLvl w:val="9"/>
        <w:rPr>
          <w:rFonts w:hint="eastAsia" w:ascii="宋体" w:hAnsi="宋体" w:eastAsia="宋体" w:cs="宋体"/>
          <w:color w:val="auto"/>
        </w:rPr>
      </w:pPr>
    </w:p>
    <w:p w14:paraId="7F526796">
      <w:pPr>
        <w:spacing w:before="78" w:line="465" w:lineRule="exact"/>
        <w:ind w:right="2"/>
        <w:jc w:val="right"/>
        <w:outlineLvl w:val="9"/>
        <w:rPr>
          <w:rFonts w:hint="eastAsia" w:ascii="宋体" w:hAnsi="宋体" w:eastAsia="宋体" w:cs="宋体"/>
          <w:color w:val="auto"/>
          <w:sz w:val="24"/>
          <w:szCs w:val="24"/>
        </w:rPr>
      </w:pPr>
      <w:r>
        <w:rPr>
          <w:rFonts w:hint="eastAsia" w:ascii="宋体" w:hAnsi="宋体" w:eastAsia="宋体" w:cs="宋体"/>
          <w:color w:val="auto"/>
          <w:spacing w:val="-4"/>
          <w:position w:val="17"/>
          <w:sz w:val="24"/>
          <w:szCs w:val="24"/>
        </w:rPr>
        <w:t>本单位郑重声明，根据《财政部</w:t>
      </w:r>
      <w:r>
        <w:rPr>
          <w:rFonts w:hint="eastAsia" w:ascii="宋体" w:hAnsi="宋体" w:eastAsia="宋体" w:cs="宋体"/>
          <w:color w:val="auto"/>
          <w:spacing w:val="38"/>
          <w:position w:val="17"/>
          <w:sz w:val="24"/>
          <w:szCs w:val="24"/>
        </w:rPr>
        <w:t xml:space="preserve"> </w:t>
      </w:r>
      <w:r>
        <w:rPr>
          <w:rFonts w:hint="eastAsia" w:ascii="宋体" w:hAnsi="宋体" w:eastAsia="宋体" w:cs="宋体"/>
          <w:color w:val="auto"/>
          <w:spacing w:val="-4"/>
          <w:position w:val="17"/>
          <w:sz w:val="24"/>
          <w:szCs w:val="24"/>
        </w:rPr>
        <w:t>民政部</w:t>
      </w:r>
      <w:r>
        <w:rPr>
          <w:rFonts w:hint="eastAsia" w:ascii="宋体" w:hAnsi="宋体" w:eastAsia="宋体" w:cs="宋体"/>
          <w:color w:val="auto"/>
          <w:spacing w:val="32"/>
          <w:position w:val="17"/>
          <w:sz w:val="24"/>
          <w:szCs w:val="24"/>
        </w:rPr>
        <w:t xml:space="preserve"> </w:t>
      </w:r>
      <w:r>
        <w:rPr>
          <w:rFonts w:hint="eastAsia" w:ascii="宋体" w:hAnsi="宋体" w:eastAsia="宋体" w:cs="宋体"/>
          <w:color w:val="auto"/>
          <w:spacing w:val="-4"/>
          <w:position w:val="17"/>
          <w:sz w:val="24"/>
          <w:szCs w:val="24"/>
        </w:rPr>
        <w:t>中国残疾人联合会关于促进残疾人就业政府</w:t>
      </w:r>
    </w:p>
    <w:p w14:paraId="2E2C83AB">
      <w:pPr>
        <w:spacing w:line="219"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采购政策的通知》（财库〔2017〕141号）的规定</w:t>
      </w:r>
      <w:r>
        <w:rPr>
          <w:rFonts w:hint="eastAsia" w:ascii="宋体" w:hAnsi="宋体" w:eastAsia="宋体" w:cs="宋体"/>
          <w:color w:val="auto"/>
          <w:spacing w:val="-1"/>
          <w:sz w:val="24"/>
          <w:szCs w:val="24"/>
        </w:rPr>
        <w:t>，本单位（请进行选择</w:t>
      </w:r>
      <w:r>
        <w:rPr>
          <w:rFonts w:hint="eastAsia" w:ascii="宋体" w:hAnsi="宋体" w:eastAsia="宋体" w:cs="宋体"/>
          <w:color w:val="auto"/>
          <w:sz w:val="24"/>
          <w:szCs w:val="24"/>
        </w:rPr>
        <w:t>）：</w:t>
      </w:r>
    </w:p>
    <w:p w14:paraId="0253D00C">
      <w:pPr>
        <w:spacing w:before="182" w:line="220" w:lineRule="auto"/>
        <w:ind w:left="505"/>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不属于符合条件的残疾人福利性单位。</w:t>
      </w:r>
    </w:p>
    <w:p w14:paraId="5667B79D">
      <w:pPr>
        <w:spacing w:before="182" w:line="359" w:lineRule="auto"/>
        <w:ind w:left="1" w:firstLine="503"/>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属于符合条件的残疾人福利性单位，</w:t>
      </w:r>
      <w:r>
        <w:rPr>
          <w:rFonts w:hint="eastAsia" w:ascii="宋体" w:hAnsi="宋体" w:eastAsia="宋体" w:cs="宋体"/>
          <w:color w:val="auto"/>
          <w:spacing w:val="-3"/>
          <w:sz w:val="24"/>
          <w:szCs w:val="24"/>
        </w:rPr>
        <w:t>且本单位参加</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3"/>
          <w:sz w:val="24"/>
          <w:szCs w:val="24"/>
        </w:rPr>
        <w:t>单位的</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3"/>
          <w:sz w:val="24"/>
          <w:szCs w:val="24"/>
        </w:rPr>
        <w:t>项目采购活</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动提供本单位制造的货物（由本单位承担工程/提供货物</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rPr>
        <w:t>或者提供其他</w:t>
      </w:r>
      <w:r>
        <w:rPr>
          <w:rFonts w:hint="eastAsia" w:ascii="宋体" w:hAnsi="宋体" w:eastAsia="宋体" w:cs="宋体"/>
          <w:color w:val="auto"/>
          <w:sz w:val="24"/>
          <w:szCs w:val="24"/>
        </w:rPr>
        <w:t>残疾人福利性</w:t>
      </w:r>
    </w:p>
    <w:p w14:paraId="13E9E2A9">
      <w:pPr>
        <w:spacing w:line="219" w:lineRule="auto"/>
        <w:ind w:left="2"/>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单位制造的货物（不包括使用非残疾人福利性单位注册商标的货物）。</w:t>
      </w:r>
    </w:p>
    <w:p w14:paraId="1B8010D1">
      <w:pPr>
        <w:spacing w:before="181" w:line="219" w:lineRule="auto"/>
        <w:ind w:left="481"/>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本单位对上述声明的真实性负责。如有虚假，将依法承担相应责任。</w:t>
      </w:r>
    </w:p>
    <w:p w14:paraId="7FE42EDE">
      <w:pPr>
        <w:pStyle w:val="5"/>
        <w:spacing w:line="249" w:lineRule="auto"/>
        <w:outlineLvl w:val="9"/>
        <w:rPr>
          <w:rFonts w:hint="eastAsia" w:ascii="宋体" w:hAnsi="宋体" w:eastAsia="宋体" w:cs="宋体"/>
          <w:color w:val="auto"/>
        </w:rPr>
      </w:pPr>
    </w:p>
    <w:p w14:paraId="03BE60BD">
      <w:pPr>
        <w:pStyle w:val="5"/>
        <w:spacing w:line="249" w:lineRule="auto"/>
        <w:outlineLvl w:val="9"/>
        <w:rPr>
          <w:rFonts w:hint="eastAsia" w:ascii="宋体" w:hAnsi="宋体" w:eastAsia="宋体" w:cs="宋体"/>
          <w:color w:val="auto"/>
        </w:rPr>
      </w:pPr>
    </w:p>
    <w:p w14:paraId="35DC6622">
      <w:pPr>
        <w:pStyle w:val="5"/>
        <w:spacing w:line="249" w:lineRule="auto"/>
        <w:outlineLvl w:val="9"/>
        <w:rPr>
          <w:rFonts w:hint="eastAsia" w:ascii="宋体" w:hAnsi="宋体" w:eastAsia="宋体" w:cs="宋体"/>
          <w:color w:val="auto"/>
        </w:rPr>
      </w:pPr>
    </w:p>
    <w:p w14:paraId="43D6FBA0">
      <w:pPr>
        <w:pStyle w:val="5"/>
        <w:spacing w:line="249" w:lineRule="auto"/>
        <w:outlineLvl w:val="9"/>
        <w:rPr>
          <w:rFonts w:hint="eastAsia" w:ascii="宋体" w:hAnsi="宋体" w:eastAsia="宋体" w:cs="宋体"/>
          <w:color w:val="auto"/>
        </w:rPr>
      </w:pPr>
    </w:p>
    <w:p w14:paraId="3366860B">
      <w:pPr>
        <w:pStyle w:val="5"/>
        <w:spacing w:line="249" w:lineRule="auto"/>
        <w:outlineLvl w:val="9"/>
        <w:rPr>
          <w:rFonts w:hint="eastAsia" w:ascii="宋体" w:hAnsi="宋体" w:eastAsia="宋体" w:cs="宋体"/>
          <w:color w:val="auto"/>
        </w:rPr>
      </w:pPr>
    </w:p>
    <w:p w14:paraId="57F6B68E">
      <w:pPr>
        <w:pStyle w:val="5"/>
        <w:spacing w:line="250" w:lineRule="auto"/>
        <w:outlineLvl w:val="9"/>
        <w:rPr>
          <w:rFonts w:hint="eastAsia" w:ascii="宋体" w:hAnsi="宋体" w:eastAsia="宋体" w:cs="宋体"/>
          <w:color w:val="auto"/>
        </w:rPr>
      </w:pPr>
    </w:p>
    <w:p w14:paraId="6401F383">
      <w:pPr>
        <w:spacing w:before="78" w:line="219" w:lineRule="auto"/>
        <w:ind w:left="483"/>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投标人名称</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 xml:space="preserve">                    </w:t>
      </w:r>
      <w:r>
        <w:rPr>
          <w:rFonts w:hint="eastAsia" w:ascii="宋体" w:hAnsi="宋体" w:eastAsia="宋体" w:cs="宋体"/>
          <w:color w:val="auto"/>
          <w:spacing w:val="-2"/>
          <w:sz w:val="24"/>
          <w:szCs w:val="24"/>
        </w:rPr>
        <w:t>（盖章</w:t>
      </w:r>
      <w:r>
        <w:rPr>
          <w:rFonts w:hint="eastAsia" w:ascii="宋体" w:hAnsi="宋体" w:eastAsia="宋体" w:cs="宋体"/>
          <w:color w:val="auto"/>
          <w:spacing w:val="1"/>
          <w:sz w:val="24"/>
          <w:szCs w:val="24"/>
        </w:rPr>
        <w:t>）</w:t>
      </w:r>
    </w:p>
    <w:p w14:paraId="3449006F">
      <w:pPr>
        <w:spacing w:line="220" w:lineRule="auto"/>
        <w:ind w:left="483"/>
        <w:outlineLvl w:val="9"/>
        <w:rPr>
          <w:rFonts w:hint="eastAsia" w:ascii="宋体" w:hAnsi="宋体" w:eastAsia="宋体" w:cs="宋体"/>
          <w:color w:val="auto"/>
          <w:spacing w:val="1"/>
          <w:sz w:val="24"/>
          <w:szCs w:val="24"/>
        </w:rPr>
      </w:pPr>
    </w:p>
    <w:p w14:paraId="0594A994">
      <w:pPr>
        <w:spacing w:line="220" w:lineRule="auto"/>
        <w:ind w:left="483"/>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法定代表人（单位负责人）或委托代理人：          （签字并盖章）</w:t>
      </w:r>
    </w:p>
    <w:p w14:paraId="5D7C2F85">
      <w:pPr>
        <w:pStyle w:val="5"/>
        <w:spacing w:line="257" w:lineRule="auto"/>
        <w:outlineLvl w:val="9"/>
        <w:rPr>
          <w:rFonts w:hint="eastAsia" w:ascii="宋体" w:hAnsi="宋体" w:eastAsia="宋体" w:cs="宋体"/>
          <w:color w:val="auto"/>
        </w:rPr>
      </w:pPr>
    </w:p>
    <w:p w14:paraId="3F40D08F">
      <w:pPr>
        <w:spacing w:before="78" w:line="220" w:lineRule="auto"/>
        <w:ind w:left="522"/>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日期</w:t>
      </w:r>
      <w:r>
        <w:rPr>
          <w:rFonts w:hint="eastAsia"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9"/>
          <w:sz w:val="24"/>
          <w:szCs w:val="24"/>
        </w:rPr>
        <w:t>年</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9"/>
          <w:sz w:val="24"/>
          <w:szCs w:val="24"/>
        </w:rPr>
        <w:t>日</w:t>
      </w:r>
    </w:p>
    <w:p w14:paraId="1EDA71FE">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334D5998">
      <w:pPr>
        <w:spacing w:before="181" w:line="466" w:lineRule="exact"/>
        <w:ind w:left="1165"/>
        <w:outlineLvl w:val="9"/>
        <w:rPr>
          <w:rFonts w:hint="eastAsia" w:ascii="宋体" w:hAnsi="宋体" w:eastAsia="宋体" w:cs="宋体"/>
          <w:color w:val="auto"/>
          <w:sz w:val="24"/>
          <w:szCs w:val="24"/>
        </w:rPr>
      </w:pPr>
      <w:r>
        <w:rPr>
          <w:rFonts w:hint="eastAsia" w:ascii="宋体" w:hAnsi="宋体" w:eastAsia="宋体" w:cs="宋体"/>
          <w:color w:val="auto"/>
          <w:position w:val="17"/>
          <w:sz w:val="24"/>
          <w:szCs w:val="24"/>
          <w14:textOutline w14:w="4358" w14:cap="sq" w14:cmpd="sng">
            <w14:solidFill>
              <w14:srgbClr w14:val="000000"/>
            </w14:solidFill>
            <w14:prstDash w14:val="solid"/>
            <w14:bevel/>
          </w14:textOutline>
        </w:rPr>
        <w:t>省级以上监狱管理局、戒毒管理局（含新疆生产建设兵团）出具的</w:t>
      </w:r>
    </w:p>
    <w:p w14:paraId="05ED24AC">
      <w:pPr>
        <w:spacing w:line="220" w:lineRule="auto"/>
        <w:ind w:left="3333"/>
        <w:outlineLvl w:val="0"/>
        <w:rPr>
          <w:rFonts w:hint="eastAsia" w:ascii="宋体" w:hAnsi="宋体" w:eastAsia="宋体" w:cs="宋体"/>
          <w:color w:val="auto"/>
          <w:sz w:val="24"/>
          <w:szCs w:val="24"/>
        </w:rPr>
      </w:pPr>
      <w:bookmarkStart w:id="80" w:name="_Toc15465"/>
      <w:bookmarkStart w:id="81" w:name="_Toc897"/>
      <w:bookmarkStart w:id="82" w:name="_Toc18630"/>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属于监狱企业的证明文件</w:t>
      </w:r>
      <w:bookmarkEnd w:id="80"/>
      <w:bookmarkEnd w:id="81"/>
      <w:bookmarkEnd w:id="82"/>
    </w:p>
    <w:p w14:paraId="23206D25">
      <w:pPr>
        <w:spacing w:before="182" w:line="219" w:lineRule="auto"/>
        <w:ind w:left="3700"/>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（如果是，提供）</w:t>
      </w:r>
    </w:p>
    <w:p w14:paraId="172FEC7D">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1245F39B">
      <w:pPr>
        <w:spacing w:before="48" w:line="220" w:lineRule="auto"/>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格式十：类似业绩一览表</w:t>
      </w:r>
    </w:p>
    <w:p w14:paraId="6B37BA3B">
      <w:pPr>
        <w:spacing w:before="48" w:line="220" w:lineRule="auto"/>
        <w:outlineLvl w:val="9"/>
        <w:rPr>
          <w:rFonts w:hint="eastAsia" w:ascii="宋体" w:hAnsi="宋体" w:eastAsia="宋体" w:cs="宋体"/>
          <w:color w:val="auto"/>
          <w:sz w:val="24"/>
          <w:szCs w:val="24"/>
        </w:rPr>
      </w:pPr>
    </w:p>
    <w:tbl>
      <w:tblPr>
        <w:tblStyle w:val="20"/>
        <w:tblW w:w="9296"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1840"/>
        <w:gridCol w:w="1412"/>
        <w:gridCol w:w="1663"/>
        <w:gridCol w:w="1562"/>
        <w:gridCol w:w="1590"/>
        <w:gridCol w:w="669"/>
      </w:tblGrid>
      <w:tr w14:paraId="0B45A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560" w:type="dxa"/>
            <w:noWrap w:val="0"/>
            <w:textDirection w:val="tbRlV"/>
            <w:vAlign w:val="center"/>
          </w:tcPr>
          <w:p w14:paraId="73359DB5">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40" w:type="dxa"/>
            <w:noWrap w:val="0"/>
            <w:vAlign w:val="center"/>
          </w:tcPr>
          <w:p w14:paraId="5D72D099">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412" w:type="dxa"/>
            <w:noWrap w:val="0"/>
            <w:vAlign w:val="center"/>
          </w:tcPr>
          <w:p w14:paraId="2FA2DC3A">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服务时间</w:t>
            </w:r>
          </w:p>
        </w:tc>
        <w:tc>
          <w:tcPr>
            <w:tcW w:w="1663" w:type="dxa"/>
            <w:noWrap w:val="0"/>
            <w:vAlign w:val="center"/>
          </w:tcPr>
          <w:p w14:paraId="131D8208">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rPr>
              <w:t>金额</w:t>
            </w:r>
          </w:p>
        </w:tc>
        <w:tc>
          <w:tcPr>
            <w:tcW w:w="1562" w:type="dxa"/>
            <w:noWrap w:val="0"/>
            <w:vAlign w:val="center"/>
          </w:tcPr>
          <w:p w14:paraId="1D5B6CAE">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委托单位</w:t>
            </w:r>
          </w:p>
        </w:tc>
        <w:tc>
          <w:tcPr>
            <w:tcW w:w="1590" w:type="dxa"/>
            <w:noWrap w:val="0"/>
            <w:vAlign w:val="center"/>
          </w:tcPr>
          <w:p w14:paraId="66847FF4">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委托事项</w:t>
            </w:r>
          </w:p>
        </w:tc>
        <w:tc>
          <w:tcPr>
            <w:tcW w:w="669" w:type="dxa"/>
            <w:noWrap w:val="0"/>
            <w:vAlign w:val="center"/>
          </w:tcPr>
          <w:p w14:paraId="0C8EE1F8">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5C247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560" w:type="dxa"/>
            <w:noWrap w:val="0"/>
            <w:vAlign w:val="center"/>
          </w:tcPr>
          <w:p w14:paraId="70385F77">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40" w:type="dxa"/>
            <w:noWrap w:val="0"/>
            <w:vAlign w:val="center"/>
          </w:tcPr>
          <w:p w14:paraId="6E974180">
            <w:pPr>
              <w:bidi w:val="0"/>
              <w:jc w:val="center"/>
              <w:rPr>
                <w:rFonts w:hint="eastAsia" w:ascii="宋体" w:hAnsi="宋体" w:eastAsia="宋体" w:cs="宋体"/>
                <w:color w:val="auto"/>
                <w:sz w:val="24"/>
                <w:szCs w:val="24"/>
              </w:rPr>
            </w:pPr>
          </w:p>
        </w:tc>
        <w:tc>
          <w:tcPr>
            <w:tcW w:w="1412" w:type="dxa"/>
            <w:noWrap w:val="0"/>
            <w:vAlign w:val="center"/>
          </w:tcPr>
          <w:p w14:paraId="1A70F919">
            <w:pPr>
              <w:bidi w:val="0"/>
              <w:jc w:val="center"/>
              <w:rPr>
                <w:rFonts w:hint="eastAsia" w:ascii="宋体" w:hAnsi="宋体" w:eastAsia="宋体" w:cs="宋体"/>
                <w:color w:val="auto"/>
                <w:sz w:val="24"/>
                <w:szCs w:val="24"/>
              </w:rPr>
            </w:pPr>
          </w:p>
        </w:tc>
        <w:tc>
          <w:tcPr>
            <w:tcW w:w="1663" w:type="dxa"/>
            <w:noWrap w:val="0"/>
            <w:vAlign w:val="center"/>
          </w:tcPr>
          <w:p w14:paraId="23E9278C">
            <w:pPr>
              <w:bidi w:val="0"/>
              <w:jc w:val="center"/>
              <w:rPr>
                <w:rFonts w:hint="eastAsia" w:ascii="宋体" w:hAnsi="宋体" w:eastAsia="宋体" w:cs="宋体"/>
                <w:color w:val="auto"/>
                <w:sz w:val="24"/>
                <w:szCs w:val="24"/>
              </w:rPr>
            </w:pPr>
          </w:p>
        </w:tc>
        <w:tc>
          <w:tcPr>
            <w:tcW w:w="1562" w:type="dxa"/>
            <w:noWrap w:val="0"/>
            <w:vAlign w:val="center"/>
          </w:tcPr>
          <w:p w14:paraId="3238F38A">
            <w:pPr>
              <w:bidi w:val="0"/>
              <w:jc w:val="center"/>
              <w:rPr>
                <w:rFonts w:hint="eastAsia" w:ascii="宋体" w:hAnsi="宋体" w:eastAsia="宋体" w:cs="宋体"/>
                <w:color w:val="auto"/>
                <w:sz w:val="24"/>
                <w:szCs w:val="24"/>
              </w:rPr>
            </w:pPr>
          </w:p>
        </w:tc>
        <w:tc>
          <w:tcPr>
            <w:tcW w:w="1590" w:type="dxa"/>
            <w:noWrap w:val="0"/>
            <w:vAlign w:val="center"/>
          </w:tcPr>
          <w:p w14:paraId="27AED06E">
            <w:pPr>
              <w:bidi w:val="0"/>
              <w:jc w:val="center"/>
              <w:rPr>
                <w:rFonts w:hint="eastAsia" w:ascii="宋体" w:hAnsi="宋体" w:eastAsia="宋体" w:cs="宋体"/>
                <w:color w:val="auto"/>
                <w:sz w:val="24"/>
                <w:szCs w:val="24"/>
              </w:rPr>
            </w:pPr>
          </w:p>
        </w:tc>
        <w:tc>
          <w:tcPr>
            <w:tcW w:w="669" w:type="dxa"/>
            <w:noWrap w:val="0"/>
            <w:vAlign w:val="center"/>
          </w:tcPr>
          <w:p w14:paraId="6C6616D4">
            <w:pPr>
              <w:bidi w:val="0"/>
              <w:jc w:val="center"/>
              <w:rPr>
                <w:rFonts w:hint="eastAsia" w:ascii="宋体" w:hAnsi="宋体" w:eastAsia="宋体" w:cs="宋体"/>
                <w:color w:val="auto"/>
                <w:sz w:val="24"/>
                <w:szCs w:val="24"/>
              </w:rPr>
            </w:pPr>
          </w:p>
        </w:tc>
      </w:tr>
      <w:tr w14:paraId="03163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560" w:type="dxa"/>
            <w:noWrap w:val="0"/>
            <w:vAlign w:val="center"/>
          </w:tcPr>
          <w:p w14:paraId="7262CD1A">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40" w:type="dxa"/>
            <w:noWrap w:val="0"/>
            <w:vAlign w:val="center"/>
          </w:tcPr>
          <w:p w14:paraId="6613A107">
            <w:pPr>
              <w:bidi w:val="0"/>
              <w:jc w:val="center"/>
              <w:rPr>
                <w:rFonts w:hint="eastAsia" w:ascii="宋体" w:hAnsi="宋体" w:eastAsia="宋体" w:cs="宋体"/>
                <w:color w:val="auto"/>
                <w:sz w:val="24"/>
                <w:szCs w:val="24"/>
              </w:rPr>
            </w:pPr>
          </w:p>
        </w:tc>
        <w:tc>
          <w:tcPr>
            <w:tcW w:w="1412" w:type="dxa"/>
            <w:noWrap w:val="0"/>
            <w:vAlign w:val="center"/>
          </w:tcPr>
          <w:p w14:paraId="184C19FA">
            <w:pPr>
              <w:bidi w:val="0"/>
              <w:jc w:val="center"/>
              <w:rPr>
                <w:rFonts w:hint="eastAsia" w:ascii="宋体" w:hAnsi="宋体" w:eastAsia="宋体" w:cs="宋体"/>
                <w:color w:val="auto"/>
                <w:sz w:val="24"/>
                <w:szCs w:val="24"/>
              </w:rPr>
            </w:pPr>
          </w:p>
        </w:tc>
        <w:tc>
          <w:tcPr>
            <w:tcW w:w="1663" w:type="dxa"/>
            <w:noWrap w:val="0"/>
            <w:vAlign w:val="center"/>
          </w:tcPr>
          <w:p w14:paraId="7FFB0FC9">
            <w:pPr>
              <w:bidi w:val="0"/>
              <w:jc w:val="center"/>
              <w:rPr>
                <w:rFonts w:hint="eastAsia" w:ascii="宋体" w:hAnsi="宋体" w:eastAsia="宋体" w:cs="宋体"/>
                <w:color w:val="auto"/>
                <w:sz w:val="24"/>
                <w:szCs w:val="24"/>
              </w:rPr>
            </w:pPr>
          </w:p>
        </w:tc>
        <w:tc>
          <w:tcPr>
            <w:tcW w:w="1562" w:type="dxa"/>
            <w:noWrap w:val="0"/>
            <w:vAlign w:val="center"/>
          </w:tcPr>
          <w:p w14:paraId="61D2FD89">
            <w:pPr>
              <w:bidi w:val="0"/>
              <w:jc w:val="center"/>
              <w:rPr>
                <w:rFonts w:hint="eastAsia" w:ascii="宋体" w:hAnsi="宋体" w:eastAsia="宋体" w:cs="宋体"/>
                <w:color w:val="auto"/>
                <w:sz w:val="24"/>
                <w:szCs w:val="24"/>
              </w:rPr>
            </w:pPr>
          </w:p>
        </w:tc>
        <w:tc>
          <w:tcPr>
            <w:tcW w:w="1590" w:type="dxa"/>
            <w:noWrap w:val="0"/>
            <w:vAlign w:val="center"/>
          </w:tcPr>
          <w:p w14:paraId="4D79EE70">
            <w:pPr>
              <w:bidi w:val="0"/>
              <w:jc w:val="center"/>
              <w:rPr>
                <w:rFonts w:hint="eastAsia" w:ascii="宋体" w:hAnsi="宋体" w:eastAsia="宋体" w:cs="宋体"/>
                <w:color w:val="auto"/>
                <w:sz w:val="24"/>
                <w:szCs w:val="24"/>
              </w:rPr>
            </w:pPr>
          </w:p>
        </w:tc>
        <w:tc>
          <w:tcPr>
            <w:tcW w:w="669" w:type="dxa"/>
            <w:noWrap w:val="0"/>
            <w:vAlign w:val="center"/>
          </w:tcPr>
          <w:p w14:paraId="28C80E9B">
            <w:pPr>
              <w:bidi w:val="0"/>
              <w:jc w:val="center"/>
              <w:rPr>
                <w:rFonts w:hint="eastAsia" w:ascii="宋体" w:hAnsi="宋体" w:eastAsia="宋体" w:cs="宋体"/>
                <w:color w:val="auto"/>
                <w:sz w:val="24"/>
                <w:szCs w:val="24"/>
              </w:rPr>
            </w:pPr>
          </w:p>
        </w:tc>
      </w:tr>
      <w:tr w14:paraId="11CAB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560" w:type="dxa"/>
            <w:noWrap w:val="0"/>
            <w:vAlign w:val="center"/>
          </w:tcPr>
          <w:p w14:paraId="03B56EEF">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40" w:type="dxa"/>
            <w:noWrap w:val="0"/>
            <w:vAlign w:val="center"/>
          </w:tcPr>
          <w:p w14:paraId="5064E2C6">
            <w:pPr>
              <w:bidi w:val="0"/>
              <w:jc w:val="center"/>
              <w:rPr>
                <w:rFonts w:hint="eastAsia" w:ascii="宋体" w:hAnsi="宋体" w:eastAsia="宋体" w:cs="宋体"/>
                <w:color w:val="auto"/>
                <w:sz w:val="24"/>
                <w:szCs w:val="24"/>
              </w:rPr>
            </w:pPr>
          </w:p>
        </w:tc>
        <w:tc>
          <w:tcPr>
            <w:tcW w:w="1412" w:type="dxa"/>
            <w:noWrap w:val="0"/>
            <w:vAlign w:val="center"/>
          </w:tcPr>
          <w:p w14:paraId="40615E50">
            <w:pPr>
              <w:bidi w:val="0"/>
              <w:jc w:val="center"/>
              <w:rPr>
                <w:rFonts w:hint="eastAsia" w:ascii="宋体" w:hAnsi="宋体" w:eastAsia="宋体" w:cs="宋体"/>
                <w:color w:val="auto"/>
                <w:sz w:val="24"/>
                <w:szCs w:val="24"/>
              </w:rPr>
            </w:pPr>
          </w:p>
        </w:tc>
        <w:tc>
          <w:tcPr>
            <w:tcW w:w="1663" w:type="dxa"/>
            <w:noWrap w:val="0"/>
            <w:vAlign w:val="center"/>
          </w:tcPr>
          <w:p w14:paraId="0564EC12">
            <w:pPr>
              <w:bidi w:val="0"/>
              <w:jc w:val="center"/>
              <w:rPr>
                <w:rFonts w:hint="eastAsia" w:ascii="宋体" w:hAnsi="宋体" w:eastAsia="宋体" w:cs="宋体"/>
                <w:color w:val="auto"/>
                <w:sz w:val="24"/>
                <w:szCs w:val="24"/>
              </w:rPr>
            </w:pPr>
          </w:p>
        </w:tc>
        <w:tc>
          <w:tcPr>
            <w:tcW w:w="1562" w:type="dxa"/>
            <w:noWrap w:val="0"/>
            <w:vAlign w:val="center"/>
          </w:tcPr>
          <w:p w14:paraId="74205FE5">
            <w:pPr>
              <w:bidi w:val="0"/>
              <w:jc w:val="center"/>
              <w:rPr>
                <w:rFonts w:hint="eastAsia" w:ascii="宋体" w:hAnsi="宋体" w:eastAsia="宋体" w:cs="宋体"/>
                <w:color w:val="auto"/>
                <w:sz w:val="24"/>
                <w:szCs w:val="24"/>
              </w:rPr>
            </w:pPr>
          </w:p>
        </w:tc>
        <w:tc>
          <w:tcPr>
            <w:tcW w:w="1590" w:type="dxa"/>
            <w:noWrap w:val="0"/>
            <w:vAlign w:val="center"/>
          </w:tcPr>
          <w:p w14:paraId="4E7C32E8">
            <w:pPr>
              <w:bidi w:val="0"/>
              <w:jc w:val="center"/>
              <w:rPr>
                <w:rFonts w:hint="eastAsia" w:ascii="宋体" w:hAnsi="宋体" w:eastAsia="宋体" w:cs="宋体"/>
                <w:color w:val="auto"/>
                <w:sz w:val="24"/>
                <w:szCs w:val="24"/>
              </w:rPr>
            </w:pPr>
          </w:p>
        </w:tc>
        <w:tc>
          <w:tcPr>
            <w:tcW w:w="669" w:type="dxa"/>
            <w:noWrap w:val="0"/>
            <w:vAlign w:val="center"/>
          </w:tcPr>
          <w:p w14:paraId="7B131795">
            <w:pPr>
              <w:bidi w:val="0"/>
              <w:jc w:val="center"/>
              <w:rPr>
                <w:rFonts w:hint="eastAsia" w:ascii="宋体" w:hAnsi="宋体" w:eastAsia="宋体" w:cs="宋体"/>
                <w:color w:val="auto"/>
                <w:sz w:val="24"/>
                <w:szCs w:val="24"/>
              </w:rPr>
            </w:pPr>
          </w:p>
        </w:tc>
      </w:tr>
      <w:tr w14:paraId="05711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560" w:type="dxa"/>
            <w:noWrap w:val="0"/>
            <w:vAlign w:val="center"/>
          </w:tcPr>
          <w:p w14:paraId="4DEE5D89">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40" w:type="dxa"/>
            <w:noWrap w:val="0"/>
            <w:vAlign w:val="center"/>
          </w:tcPr>
          <w:p w14:paraId="1825E275">
            <w:pPr>
              <w:bidi w:val="0"/>
              <w:jc w:val="center"/>
              <w:rPr>
                <w:rFonts w:hint="eastAsia" w:ascii="宋体" w:hAnsi="宋体" w:eastAsia="宋体" w:cs="宋体"/>
                <w:color w:val="auto"/>
                <w:sz w:val="24"/>
                <w:szCs w:val="24"/>
              </w:rPr>
            </w:pPr>
          </w:p>
        </w:tc>
        <w:tc>
          <w:tcPr>
            <w:tcW w:w="1412" w:type="dxa"/>
            <w:noWrap w:val="0"/>
            <w:vAlign w:val="center"/>
          </w:tcPr>
          <w:p w14:paraId="0BA5DFCA">
            <w:pPr>
              <w:bidi w:val="0"/>
              <w:jc w:val="center"/>
              <w:rPr>
                <w:rFonts w:hint="eastAsia" w:ascii="宋体" w:hAnsi="宋体" w:eastAsia="宋体" w:cs="宋体"/>
                <w:color w:val="auto"/>
                <w:sz w:val="24"/>
                <w:szCs w:val="24"/>
              </w:rPr>
            </w:pPr>
          </w:p>
        </w:tc>
        <w:tc>
          <w:tcPr>
            <w:tcW w:w="1663" w:type="dxa"/>
            <w:noWrap w:val="0"/>
            <w:vAlign w:val="center"/>
          </w:tcPr>
          <w:p w14:paraId="5058C306">
            <w:pPr>
              <w:bidi w:val="0"/>
              <w:jc w:val="center"/>
              <w:rPr>
                <w:rFonts w:hint="eastAsia" w:ascii="宋体" w:hAnsi="宋体" w:eastAsia="宋体" w:cs="宋体"/>
                <w:color w:val="auto"/>
                <w:sz w:val="24"/>
                <w:szCs w:val="24"/>
              </w:rPr>
            </w:pPr>
          </w:p>
        </w:tc>
        <w:tc>
          <w:tcPr>
            <w:tcW w:w="1562" w:type="dxa"/>
            <w:noWrap w:val="0"/>
            <w:vAlign w:val="center"/>
          </w:tcPr>
          <w:p w14:paraId="70D8FF16">
            <w:pPr>
              <w:bidi w:val="0"/>
              <w:jc w:val="center"/>
              <w:rPr>
                <w:rFonts w:hint="eastAsia" w:ascii="宋体" w:hAnsi="宋体" w:eastAsia="宋体" w:cs="宋体"/>
                <w:color w:val="auto"/>
                <w:sz w:val="24"/>
                <w:szCs w:val="24"/>
              </w:rPr>
            </w:pPr>
          </w:p>
        </w:tc>
        <w:tc>
          <w:tcPr>
            <w:tcW w:w="1590" w:type="dxa"/>
            <w:noWrap w:val="0"/>
            <w:vAlign w:val="center"/>
          </w:tcPr>
          <w:p w14:paraId="4610C6C6">
            <w:pPr>
              <w:bidi w:val="0"/>
              <w:jc w:val="center"/>
              <w:rPr>
                <w:rFonts w:hint="eastAsia" w:ascii="宋体" w:hAnsi="宋体" w:eastAsia="宋体" w:cs="宋体"/>
                <w:color w:val="auto"/>
                <w:sz w:val="24"/>
                <w:szCs w:val="24"/>
              </w:rPr>
            </w:pPr>
          </w:p>
        </w:tc>
        <w:tc>
          <w:tcPr>
            <w:tcW w:w="669" w:type="dxa"/>
            <w:noWrap w:val="0"/>
            <w:vAlign w:val="center"/>
          </w:tcPr>
          <w:p w14:paraId="13EF3DA9">
            <w:pPr>
              <w:bidi w:val="0"/>
              <w:jc w:val="center"/>
              <w:rPr>
                <w:rFonts w:hint="eastAsia" w:ascii="宋体" w:hAnsi="宋体" w:eastAsia="宋体" w:cs="宋体"/>
                <w:color w:val="auto"/>
                <w:sz w:val="24"/>
                <w:szCs w:val="24"/>
              </w:rPr>
            </w:pPr>
          </w:p>
        </w:tc>
      </w:tr>
      <w:tr w14:paraId="4471E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560" w:type="dxa"/>
            <w:noWrap w:val="0"/>
            <w:vAlign w:val="center"/>
          </w:tcPr>
          <w:p w14:paraId="1172D869">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40" w:type="dxa"/>
            <w:noWrap w:val="0"/>
            <w:vAlign w:val="center"/>
          </w:tcPr>
          <w:p w14:paraId="769E5A26">
            <w:pPr>
              <w:bidi w:val="0"/>
              <w:jc w:val="center"/>
              <w:rPr>
                <w:rFonts w:hint="eastAsia" w:ascii="宋体" w:hAnsi="宋体" w:eastAsia="宋体" w:cs="宋体"/>
                <w:color w:val="auto"/>
                <w:sz w:val="24"/>
                <w:szCs w:val="24"/>
              </w:rPr>
            </w:pPr>
          </w:p>
        </w:tc>
        <w:tc>
          <w:tcPr>
            <w:tcW w:w="1412" w:type="dxa"/>
            <w:noWrap w:val="0"/>
            <w:vAlign w:val="center"/>
          </w:tcPr>
          <w:p w14:paraId="455126E0">
            <w:pPr>
              <w:bidi w:val="0"/>
              <w:jc w:val="center"/>
              <w:rPr>
                <w:rFonts w:hint="eastAsia" w:ascii="宋体" w:hAnsi="宋体" w:eastAsia="宋体" w:cs="宋体"/>
                <w:color w:val="auto"/>
                <w:sz w:val="24"/>
                <w:szCs w:val="24"/>
              </w:rPr>
            </w:pPr>
          </w:p>
        </w:tc>
        <w:tc>
          <w:tcPr>
            <w:tcW w:w="1663" w:type="dxa"/>
            <w:noWrap w:val="0"/>
            <w:vAlign w:val="center"/>
          </w:tcPr>
          <w:p w14:paraId="55B4537E">
            <w:pPr>
              <w:bidi w:val="0"/>
              <w:jc w:val="center"/>
              <w:rPr>
                <w:rFonts w:hint="eastAsia" w:ascii="宋体" w:hAnsi="宋体" w:eastAsia="宋体" w:cs="宋体"/>
                <w:color w:val="auto"/>
                <w:sz w:val="24"/>
                <w:szCs w:val="24"/>
              </w:rPr>
            </w:pPr>
          </w:p>
        </w:tc>
        <w:tc>
          <w:tcPr>
            <w:tcW w:w="1562" w:type="dxa"/>
            <w:noWrap w:val="0"/>
            <w:vAlign w:val="center"/>
          </w:tcPr>
          <w:p w14:paraId="6546AD59">
            <w:pPr>
              <w:bidi w:val="0"/>
              <w:jc w:val="center"/>
              <w:rPr>
                <w:rFonts w:hint="eastAsia" w:ascii="宋体" w:hAnsi="宋体" w:eastAsia="宋体" w:cs="宋体"/>
                <w:color w:val="auto"/>
                <w:sz w:val="24"/>
                <w:szCs w:val="24"/>
              </w:rPr>
            </w:pPr>
          </w:p>
        </w:tc>
        <w:tc>
          <w:tcPr>
            <w:tcW w:w="1590" w:type="dxa"/>
            <w:noWrap w:val="0"/>
            <w:vAlign w:val="center"/>
          </w:tcPr>
          <w:p w14:paraId="0B43535C">
            <w:pPr>
              <w:bidi w:val="0"/>
              <w:jc w:val="center"/>
              <w:rPr>
                <w:rFonts w:hint="eastAsia" w:ascii="宋体" w:hAnsi="宋体" w:eastAsia="宋体" w:cs="宋体"/>
                <w:color w:val="auto"/>
                <w:sz w:val="24"/>
                <w:szCs w:val="24"/>
              </w:rPr>
            </w:pPr>
          </w:p>
        </w:tc>
        <w:tc>
          <w:tcPr>
            <w:tcW w:w="669" w:type="dxa"/>
            <w:noWrap w:val="0"/>
            <w:vAlign w:val="center"/>
          </w:tcPr>
          <w:p w14:paraId="3ACA9E2B">
            <w:pPr>
              <w:bidi w:val="0"/>
              <w:jc w:val="center"/>
              <w:rPr>
                <w:rFonts w:hint="eastAsia" w:ascii="宋体" w:hAnsi="宋体" w:eastAsia="宋体" w:cs="宋体"/>
                <w:color w:val="auto"/>
                <w:sz w:val="24"/>
                <w:szCs w:val="24"/>
              </w:rPr>
            </w:pPr>
          </w:p>
        </w:tc>
      </w:tr>
      <w:tr w14:paraId="00C2B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560" w:type="dxa"/>
            <w:noWrap w:val="0"/>
            <w:vAlign w:val="center"/>
          </w:tcPr>
          <w:p w14:paraId="35E6018D">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840" w:type="dxa"/>
            <w:noWrap w:val="0"/>
            <w:vAlign w:val="center"/>
          </w:tcPr>
          <w:p w14:paraId="7C348B1B">
            <w:pPr>
              <w:bidi w:val="0"/>
              <w:jc w:val="center"/>
              <w:rPr>
                <w:rFonts w:hint="eastAsia" w:ascii="宋体" w:hAnsi="宋体" w:eastAsia="宋体" w:cs="宋体"/>
                <w:color w:val="auto"/>
                <w:sz w:val="24"/>
                <w:szCs w:val="24"/>
              </w:rPr>
            </w:pPr>
          </w:p>
        </w:tc>
        <w:tc>
          <w:tcPr>
            <w:tcW w:w="1412" w:type="dxa"/>
            <w:noWrap w:val="0"/>
            <w:vAlign w:val="center"/>
          </w:tcPr>
          <w:p w14:paraId="1875FD8E">
            <w:pPr>
              <w:bidi w:val="0"/>
              <w:jc w:val="center"/>
              <w:rPr>
                <w:rFonts w:hint="eastAsia" w:ascii="宋体" w:hAnsi="宋体" w:eastAsia="宋体" w:cs="宋体"/>
                <w:color w:val="auto"/>
                <w:sz w:val="24"/>
                <w:szCs w:val="24"/>
              </w:rPr>
            </w:pPr>
          </w:p>
        </w:tc>
        <w:tc>
          <w:tcPr>
            <w:tcW w:w="1663" w:type="dxa"/>
            <w:noWrap w:val="0"/>
            <w:vAlign w:val="center"/>
          </w:tcPr>
          <w:p w14:paraId="6829488C">
            <w:pPr>
              <w:bidi w:val="0"/>
              <w:jc w:val="center"/>
              <w:rPr>
                <w:rFonts w:hint="eastAsia" w:ascii="宋体" w:hAnsi="宋体" w:eastAsia="宋体" w:cs="宋体"/>
                <w:color w:val="auto"/>
                <w:sz w:val="24"/>
                <w:szCs w:val="24"/>
              </w:rPr>
            </w:pPr>
          </w:p>
        </w:tc>
        <w:tc>
          <w:tcPr>
            <w:tcW w:w="1562" w:type="dxa"/>
            <w:noWrap w:val="0"/>
            <w:vAlign w:val="center"/>
          </w:tcPr>
          <w:p w14:paraId="5D40BF7B">
            <w:pPr>
              <w:bidi w:val="0"/>
              <w:jc w:val="center"/>
              <w:rPr>
                <w:rFonts w:hint="eastAsia" w:ascii="宋体" w:hAnsi="宋体" w:eastAsia="宋体" w:cs="宋体"/>
                <w:color w:val="auto"/>
                <w:sz w:val="24"/>
                <w:szCs w:val="24"/>
              </w:rPr>
            </w:pPr>
          </w:p>
        </w:tc>
        <w:tc>
          <w:tcPr>
            <w:tcW w:w="1590" w:type="dxa"/>
            <w:noWrap w:val="0"/>
            <w:vAlign w:val="center"/>
          </w:tcPr>
          <w:p w14:paraId="57E90259">
            <w:pPr>
              <w:bidi w:val="0"/>
              <w:jc w:val="center"/>
              <w:rPr>
                <w:rFonts w:hint="eastAsia" w:ascii="宋体" w:hAnsi="宋体" w:eastAsia="宋体" w:cs="宋体"/>
                <w:color w:val="auto"/>
                <w:sz w:val="24"/>
                <w:szCs w:val="24"/>
              </w:rPr>
            </w:pPr>
          </w:p>
        </w:tc>
        <w:tc>
          <w:tcPr>
            <w:tcW w:w="669" w:type="dxa"/>
            <w:noWrap w:val="0"/>
            <w:vAlign w:val="center"/>
          </w:tcPr>
          <w:p w14:paraId="7943E972">
            <w:pPr>
              <w:bidi w:val="0"/>
              <w:jc w:val="center"/>
              <w:rPr>
                <w:rFonts w:hint="eastAsia" w:ascii="宋体" w:hAnsi="宋体" w:eastAsia="宋体" w:cs="宋体"/>
                <w:color w:val="auto"/>
                <w:sz w:val="24"/>
                <w:szCs w:val="24"/>
              </w:rPr>
            </w:pPr>
          </w:p>
        </w:tc>
      </w:tr>
      <w:tr w14:paraId="6B104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560" w:type="dxa"/>
            <w:noWrap w:val="0"/>
            <w:vAlign w:val="center"/>
          </w:tcPr>
          <w:p w14:paraId="28AE3D8A">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840" w:type="dxa"/>
            <w:noWrap w:val="0"/>
            <w:vAlign w:val="center"/>
          </w:tcPr>
          <w:p w14:paraId="7E6DC91E">
            <w:pPr>
              <w:bidi w:val="0"/>
              <w:jc w:val="center"/>
              <w:rPr>
                <w:rFonts w:hint="eastAsia" w:ascii="宋体" w:hAnsi="宋体" w:eastAsia="宋体" w:cs="宋体"/>
                <w:color w:val="auto"/>
                <w:sz w:val="24"/>
                <w:szCs w:val="24"/>
              </w:rPr>
            </w:pPr>
          </w:p>
        </w:tc>
        <w:tc>
          <w:tcPr>
            <w:tcW w:w="1412" w:type="dxa"/>
            <w:noWrap w:val="0"/>
            <w:vAlign w:val="center"/>
          </w:tcPr>
          <w:p w14:paraId="37DBFD93">
            <w:pPr>
              <w:bidi w:val="0"/>
              <w:jc w:val="center"/>
              <w:rPr>
                <w:rFonts w:hint="eastAsia" w:ascii="宋体" w:hAnsi="宋体" w:eastAsia="宋体" w:cs="宋体"/>
                <w:color w:val="auto"/>
                <w:sz w:val="24"/>
                <w:szCs w:val="24"/>
              </w:rPr>
            </w:pPr>
          </w:p>
        </w:tc>
        <w:tc>
          <w:tcPr>
            <w:tcW w:w="1663" w:type="dxa"/>
            <w:noWrap w:val="0"/>
            <w:vAlign w:val="center"/>
          </w:tcPr>
          <w:p w14:paraId="37BA0476">
            <w:pPr>
              <w:bidi w:val="0"/>
              <w:jc w:val="center"/>
              <w:rPr>
                <w:rFonts w:hint="eastAsia" w:ascii="宋体" w:hAnsi="宋体" w:eastAsia="宋体" w:cs="宋体"/>
                <w:color w:val="auto"/>
                <w:sz w:val="24"/>
                <w:szCs w:val="24"/>
              </w:rPr>
            </w:pPr>
          </w:p>
        </w:tc>
        <w:tc>
          <w:tcPr>
            <w:tcW w:w="1562" w:type="dxa"/>
            <w:noWrap w:val="0"/>
            <w:vAlign w:val="center"/>
          </w:tcPr>
          <w:p w14:paraId="591E2BA5">
            <w:pPr>
              <w:bidi w:val="0"/>
              <w:jc w:val="center"/>
              <w:rPr>
                <w:rFonts w:hint="eastAsia" w:ascii="宋体" w:hAnsi="宋体" w:eastAsia="宋体" w:cs="宋体"/>
                <w:color w:val="auto"/>
                <w:sz w:val="24"/>
                <w:szCs w:val="24"/>
              </w:rPr>
            </w:pPr>
          </w:p>
        </w:tc>
        <w:tc>
          <w:tcPr>
            <w:tcW w:w="1590" w:type="dxa"/>
            <w:noWrap w:val="0"/>
            <w:vAlign w:val="center"/>
          </w:tcPr>
          <w:p w14:paraId="2BCA2F08">
            <w:pPr>
              <w:bidi w:val="0"/>
              <w:jc w:val="center"/>
              <w:rPr>
                <w:rFonts w:hint="eastAsia" w:ascii="宋体" w:hAnsi="宋体" w:eastAsia="宋体" w:cs="宋体"/>
                <w:color w:val="auto"/>
                <w:sz w:val="24"/>
                <w:szCs w:val="24"/>
              </w:rPr>
            </w:pPr>
          </w:p>
        </w:tc>
        <w:tc>
          <w:tcPr>
            <w:tcW w:w="669" w:type="dxa"/>
            <w:noWrap w:val="0"/>
            <w:vAlign w:val="center"/>
          </w:tcPr>
          <w:p w14:paraId="7D9FEB23">
            <w:pPr>
              <w:bidi w:val="0"/>
              <w:jc w:val="center"/>
              <w:rPr>
                <w:rFonts w:hint="eastAsia" w:ascii="宋体" w:hAnsi="宋体" w:eastAsia="宋体" w:cs="宋体"/>
                <w:color w:val="auto"/>
                <w:sz w:val="24"/>
                <w:szCs w:val="24"/>
              </w:rPr>
            </w:pPr>
          </w:p>
        </w:tc>
      </w:tr>
      <w:tr w14:paraId="7BA52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560" w:type="dxa"/>
            <w:noWrap w:val="0"/>
            <w:vAlign w:val="center"/>
          </w:tcPr>
          <w:p w14:paraId="27A3E80E">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840" w:type="dxa"/>
            <w:noWrap w:val="0"/>
            <w:vAlign w:val="center"/>
          </w:tcPr>
          <w:p w14:paraId="188CB9B9">
            <w:pPr>
              <w:bidi w:val="0"/>
              <w:jc w:val="center"/>
              <w:rPr>
                <w:rFonts w:hint="eastAsia" w:ascii="宋体" w:hAnsi="宋体" w:eastAsia="宋体" w:cs="宋体"/>
                <w:color w:val="auto"/>
                <w:sz w:val="24"/>
                <w:szCs w:val="24"/>
              </w:rPr>
            </w:pPr>
          </w:p>
        </w:tc>
        <w:tc>
          <w:tcPr>
            <w:tcW w:w="1412" w:type="dxa"/>
            <w:noWrap w:val="0"/>
            <w:vAlign w:val="center"/>
          </w:tcPr>
          <w:p w14:paraId="0DA66524">
            <w:pPr>
              <w:bidi w:val="0"/>
              <w:jc w:val="center"/>
              <w:rPr>
                <w:rFonts w:hint="eastAsia" w:ascii="宋体" w:hAnsi="宋体" w:eastAsia="宋体" w:cs="宋体"/>
                <w:color w:val="auto"/>
                <w:sz w:val="24"/>
                <w:szCs w:val="24"/>
              </w:rPr>
            </w:pPr>
          </w:p>
        </w:tc>
        <w:tc>
          <w:tcPr>
            <w:tcW w:w="1663" w:type="dxa"/>
            <w:noWrap w:val="0"/>
            <w:vAlign w:val="center"/>
          </w:tcPr>
          <w:p w14:paraId="4E9F352E">
            <w:pPr>
              <w:bidi w:val="0"/>
              <w:jc w:val="center"/>
              <w:rPr>
                <w:rFonts w:hint="eastAsia" w:ascii="宋体" w:hAnsi="宋体" w:eastAsia="宋体" w:cs="宋体"/>
                <w:color w:val="auto"/>
                <w:sz w:val="24"/>
                <w:szCs w:val="24"/>
              </w:rPr>
            </w:pPr>
          </w:p>
        </w:tc>
        <w:tc>
          <w:tcPr>
            <w:tcW w:w="1562" w:type="dxa"/>
            <w:noWrap w:val="0"/>
            <w:vAlign w:val="center"/>
          </w:tcPr>
          <w:p w14:paraId="39B2E2AE">
            <w:pPr>
              <w:bidi w:val="0"/>
              <w:jc w:val="center"/>
              <w:rPr>
                <w:rFonts w:hint="eastAsia" w:ascii="宋体" w:hAnsi="宋体" w:eastAsia="宋体" w:cs="宋体"/>
                <w:color w:val="auto"/>
                <w:sz w:val="24"/>
                <w:szCs w:val="24"/>
              </w:rPr>
            </w:pPr>
          </w:p>
        </w:tc>
        <w:tc>
          <w:tcPr>
            <w:tcW w:w="1590" w:type="dxa"/>
            <w:noWrap w:val="0"/>
            <w:vAlign w:val="center"/>
          </w:tcPr>
          <w:p w14:paraId="4986EDD8">
            <w:pPr>
              <w:bidi w:val="0"/>
              <w:jc w:val="center"/>
              <w:rPr>
                <w:rFonts w:hint="eastAsia" w:ascii="宋体" w:hAnsi="宋体" w:eastAsia="宋体" w:cs="宋体"/>
                <w:color w:val="auto"/>
                <w:sz w:val="24"/>
                <w:szCs w:val="24"/>
              </w:rPr>
            </w:pPr>
          </w:p>
        </w:tc>
        <w:tc>
          <w:tcPr>
            <w:tcW w:w="669" w:type="dxa"/>
            <w:noWrap w:val="0"/>
            <w:vAlign w:val="center"/>
          </w:tcPr>
          <w:p w14:paraId="0EED7457">
            <w:pPr>
              <w:bidi w:val="0"/>
              <w:jc w:val="center"/>
              <w:rPr>
                <w:rFonts w:hint="eastAsia" w:ascii="宋体" w:hAnsi="宋体" w:eastAsia="宋体" w:cs="宋体"/>
                <w:color w:val="auto"/>
                <w:sz w:val="24"/>
                <w:szCs w:val="24"/>
              </w:rPr>
            </w:pPr>
          </w:p>
        </w:tc>
      </w:tr>
      <w:tr w14:paraId="5048A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560" w:type="dxa"/>
            <w:noWrap w:val="0"/>
            <w:vAlign w:val="center"/>
          </w:tcPr>
          <w:p w14:paraId="17D78C2A">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840" w:type="dxa"/>
            <w:noWrap w:val="0"/>
            <w:vAlign w:val="center"/>
          </w:tcPr>
          <w:p w14:paraId="574F9B90">
            <w:pPr>
              <w:bidi w:val="0"/>
              <w:jc w:val="center"/>
              <w:rPr>
                <w:rFonts w:hint="eastAsia" w:ascii="宋体" w:hAnsi="宋体" w:eastAsia="宋体" w:cs="宋体"/>
                <w:color w:val="auto"/>
                <w:sz w:val="24"/>
                <w:szCs w:val="24"/>
              </w:rPr>
            </w:pPr>
          </w:p>
        </w:tc>
        <w:tc>
          <w:tcPr>
            <w:tcW w:w="1412" w:type="dxa"/>
            <w:noWrap w:val="0"/>
            <w:vAlign w:val="center"/>
          </w:tcPr>
          <w:p w14:paraId="3A7801AA">
            <w:pPr>
              <w:bidi w:val="0"/>
              <w:jc w:val="center"/>
              <w:rPr>
                <w:rFonts w:hint="eastAsia" w:ascii="宋体" w:hAnsi="宋体" w:eastAsia="宋体" w:cs="宋体"/>
                <w:color w:val="auto"/>
                <w:sz w:val="24"/>
                <w:szCs w:val="24"/>
              </w:rPr>
            </w:pPr>
          </w:p>
        </w:tc>
        <w:tc>
          <w:tcPr>
            <w:tcW w:w="1663" w:type="dxa"/>
            <w:noWrap w:val="0"/>
            <w:vAlign w:val="center"/>
          </w:tcPr>
          <w:p w14:paraId="36DF9A1E">
            <w:pPr>
              <w:bidi w:val="0"/>
              <w:jc w:val="center"/>
              <w:rPr>
                <w:rFonts w:hint="eastAsia" w:ascii="宋体" w:hAnsi="宋体" w:eastAsia="宋体" w:cs="宋体"/>
                <w:color w:val="auto"/>
                <w:sz w:val="24"/>
                <w:szCs w:val="24"/>
              </w:rPr>
            </w:pPr>
          </w:p>
        </w:tc>
        <w:tc>
          <w:tcPr>
            <w:tcW w:w="1562" w:type="dxa"/>
            <w:noWrap w:val="0"/>
            <w:vAlign w:val="center"/>
          </w:tcPr>
          <w:p w14:paraId="6A7D0216">
            <w:pPr>
              <w:bidi w:val="0"/>
              <w:jc w:val="center"/>
              <w:rPr>
                <w:rFonts w:hint="eastAsia" w:ascii="宋体" w:hAnsi="宋体" w:eastAsia="宋体" w:cs="宋体"/>
                <w:color w:val="auto"/>
                <w:sz w:val="24"/>
                <w:szCs w:val="24"/>
              </w:rPr>
            </w:pPr>
          </w:p>
        </w:tc>
        <w:tc>
          <w:tcPr>
            <w:tcW w:w="1590" w:type="dxa"/>
            <w:noWrap w:val="0"/>
            <w:vAlign w:val="center"/>
          </w:tcPr>
          <w:p w14:paraId="4F34B969">
            <w:pPr>
              <w:bidi w:val="0"/>
              <w:jc w:val="center"/>
              <w:rPr>
                <w:rFonts w:hint="eastAsia" w:ascii="宋体" w:hAnsi="宋体" w:eastAsia="宋体" w:cs="宋体"/>
                <w:color w:val="auto"/>
                <w:sz w:val="24"/>
                <w:szCs w:val="24"/>
              </w:rPr>
            </w:pPr>
          </w:p>
        </w:tc>
        <w:tc>
          <w:tcPr>
            <w:tcW w:w="669" w:type="dxa"/>
            <w:noWrap w:val="0"/>
            <w:vAlign w:val="center"/>
          </w:tcPr>
          <w:p w14:paraId="58178D44">
            <w:pPr>
              <w:bidi w:val="0"/>
              <w:jc w:val="center"/>
              <w:rPr>
                <w:rFonts w:hint="eastAsia" w:ascii="宋体" w:hAnsi="宋体" w:eastAsia="宋体" w:cs="宋体"/>
                <w:color w:val="auto"/>
                <w:sz w:val="24"/>
                <w:szCs w:val="24"/>
              </w:rPr>
            </w:pPr>
          </w:p>
        </w:tc>
      </w:tr>
      <w:tr w14:paraId="40980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560" w:type="dxa"/>
            <w:noWrap w:val="0"/>
            <w:vAlign w:val="center"/>
          </w:tcPr>
          <w:p w14:paraId="70690F4A">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840" w:type="dxa"/>
            <w:noWrap w:val="0"/>
            <w:vAlign w:val="center"/>
          </w:tcPr>
          <w:p w14:paraId="14375140">
            <w:pPr>
              <w:bidi w:val="0"/>
              <w:jc w:val="center"/>
              <w:rPr>
                <w:rFonts w:hint="eastAsia" w:ascii="宋体" w:hAnsi="宋体" w:eastAsia="宋体" w:cs="宋体"/>
                <w:color w:val="auto"/>
                <w:sz w:val="24"/>
                <w:szCs w:val="24"/>
              </w:rPr>
            </w:pPr>
          </w:p>
        </w:tc>
        <w:tc>
          <w:tcPr>
            <w:tcW w:w="1412" w:type="dxa"/>
            <w:noWrap w:val="0"/>
            <w:vAlign w:val="center"/>
          </w:tcPr>
          <w:p w14:paraId="75C120C0">
            <w:pPr>
              <w:bidi w:val="0"/>
              <w:jc w:val="center"/>
              <w:rPr>
                <w:rFonts w:hint="eastAsia" w:ascii="宋体" w:hAnsi="宋体" w:eastAsia="宋体" w:cs="宋体"/>
                <w:color w:val="auto"/>
                <w:sz w:val="24"/>
                <w:szCs w:val="24"/>
              </w:rPr>
            </w:pPr>
          </w:p>
        </w:tc>
        <w:tc>
          <w:tcPr>
            <w:tcW w:w="1663" w:type="dxa"/>
            <w:noWrap w:val="0"/>
            <w:vAlign w:val="center"/>
          </w:tcPr>
          <w:p w14:paraId="528A92A1">
            <w:pPr>
              <w:bidi w:val="0"/>
              <w:jc w:val="center"/>
              <w:rPr>
                <w:rFonts w:hint="eastAsia" w:ascii="宋体" w:hAnsi="宋体" w:eastAsia="宋体" w:cs="宋体"/>
                <w:color w:val="auto"/>
                <w:sz w:val="24"/>
                <w:szCs w:val="24"/>
              </w:rPr>
            </w:pPr>
          </w:p>
        </w:tc>
        <w:tc>
          <w:tcPr>
            <w:tcW w:w="1562" w:type="dxa"/>
            <w:noWrap w:val="0"/>
            <w:vAlign w:val="center"/>
          </w:tcPr>
          <w:p w14:paraId="4A96512A">
            <w:pPr>
              <w:bidi w:val="0"/>
              <w:jc w:val="center"/>
              <w:rPr>
                <w:rFonts w:hint="eastAsia" w:ascii="宋体" w:hAnsi="宋体" w:eastAsia="宋体" w:cs="宋体"/>
                <w:color w:val="auto"/>
                <w:sz w:val="24"/>
                <w:szCs w:val="24"/>
              </w:rPr>
            </w:pPr>
          </w:p>
        </w:tc>
        <w:tc>
          <w:tcPr>
            <w:tcW w:w="1590" w:type="dxa"/>
            <w:noWrap w:val="0"/>
            <w:vAlign w:val="center"/>
          </w:tcPr>
          <w:p w14:paraId="221E202E">
            <w:pPr>
              <w:bidi w:val="0"/>
              <w:jc w:val="center"/>
              <w:rPr>
                <w:rFonts w:hint="eastAsia" w:ascii="宋体" w:hAnsi="宋体" w:eastAsia="宋体" w:cs="宋体"/>
                <w:color w:val="auto"/>
                <w:sz w:val="24"/>
                <w:szCs w:val="24"/>
              </w:rPr>
            </w:pPr>
          </w:p>
        </w:tc>
        <w:tc>
          <w:tcPr>
            <w:tcW w:w="669" w:type="dxa"/>
            <w:noWrap w:val="0"/>
            <w:vAlign w:val="center"/>
          </w:tcPr>
          <w:p w14:paraId="0B541960">
            <w:pPr>
              <w:bidi w:val="0"/>
              <w:jc w:val="center"/>
              <w:rPr>
                <w:rFonts w:hint="eastAsia" w:ascii="宋体" w:hAnsi="宋体" w:eastAsia="宋体" w:cs="宋体"/>
                <w:color w:val="auto"/>
                <w:sz w:val="24"/>
                <w:szCs w:val="24"/>
              </w:rPr>
            </w:pPr>
          </w:p>
        </w:tc>
      </w:tr>
      <w:tr w14:paraId="28859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0" w:type="dxa"/>
            <w:noWrap w:val="0"/>
            <w:vAlign w:val="center"/>
          </w:tcPr>
          <w:p w14:paraId="3E64D4B3">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CDB404F">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840" w:type="dxa"/>
            <w:noWrap w:val="0"/>
            <w:vAlign w:val="center"/>
          </w:tcPr>
          <w:p w14:paraId="12404628">
            <w:pPr>
              <w:bidi w:val="0"/>
              <w:jc w:val="center"/>
              <w:rPr>
                <w:rFonts w:hint="eastAsia" w:ascii="宋体" w:hAnsi="宋体" w:eastAsia="宋体" w:cs="宋体"/>
                <w:color w:val="auto"/>
                <w:sz w:val="24"/>
                <w:szCs w:val="24"/>
              </w:rPr>
            </w:pPr>
          </w:p>
        </w:tc>
        <w:tc>
          <w:tcPr>
            <w:tcW w:w="1412" w:type="dxa"/>
            <w:noWrap w:val="0"/>
            <w:vAlign w:val="center"/>
          </w:tcPr>
          <w:p w14:paraId="349CC673">
            <w:pPr>
              <w:bidi w:val="0"/>
              <w:jc w:val="center"/>
              <w:rPr>
                <w:rFonts w:hint="eastAsia" w:ascii="宋体" w:hAnsi="宋体" w:eastAsia="宋体" w:cs="宋体"/>
                <w:color w:val="auto"/>
                <w:sz w:val="24"/>
                <w:szCs w:val="24"/>
              </w:rPr>
            </w:pPr>
          </w:p>
        </w:tc>
        <w:tc>
          <w:tcPr>
            <w:tcW w:w="1663" w:type="dxa"/>
            <w:noWrap w:val="0"/>
            <w:vAlign w:val="center"/>
          </w:tcPr>
          <w:p w14:paraId="21C07D79">
            <w:pPr>
              <w:bidi w:val="0"/>
              <w:jc w:val="center"/>
              <w:rPr>
                <w:rFonts w:hint="eastAsia" w:ascii="宋体" w:hAnsi="宋体" w:eastAsia="宋体" w:cs="宋体"/>
                <w:color w:val="auto"/>
                <w:sz w:val="24"/>
                <w:szCs w:val="24"/>
              </w:rPr>
            </w:pPr>
          </w:p>
        </w:tc>
        <w:tc>
          <w:tcPr>
            <w:tcW w:w="1562" w:type="dxa"/>
            <w:noWrap w:val="0"/>
            <w:vAlign w:val="center"/>
          </w:tcPr>
          <w:p w14:paraId="0403F5C5">
            <w:pPr>
              <w:bidi w:val="0"/>
              <w:jc w:val="center"/>
              <w:rPr>
                <w:rFonts w:hint="eastAsia" w:ascii="宋体" w:hAnsi="宋体" w:eastAsia="宋体" w:cs="宋体"/>
                <w:color w:val="auto"/>
                <w:sz w:val="24"/>
                <w:szCs w:val="24"/>
              </w:rPr>
            </w:pPr>
          </w:p>
        </w:tc>
        <w:tc>
          <w:tcPr>
            <w:tcW w:w="1590" w:type="dxa"/>
            <w:noWrap w:val="0"/>
            <w:vAlign w:val="center"/>
          </w:tcPr>
          <w:p w14:paraId="66074293">
            <w:pPr>
              <w:bidi w:val="0"/>
              <w:jc w:val="center"/>
              <w:rPr>
                <w:rFonts w:hint="eastAsia" w:ascii="宋体" w:hAnsi="宋体" w:eastAsia="宋体" w:cs="宋体"/>
                <w:color w:val="auto"/>
                <w:sz w:val="24"/>
                <w:szCs w:val="24"/>
              </w:rPr>
            </w:pPr>
          </w:p>
        </w:tc>
        <w:tc>
          <w:tcPr>
            <w:tcW w:w="669" w:type="dxa"/>
            <w:noWrap w:val="0"/>
            <w:vAlign w:val="center"/>
          </w:tcPr>
          <w:p w14:paraId="0F9E4AF3">
            <w:pPr>
              <w:bidi w:val="0"/>
              <w:jc w:val="center"/>
              <w:rPr>
                <w:rFonts w:hint="eastAsia" w:ascii="宋体" w:hAnsi="宋体" w:eastAsia="宋体" w:cs="宋体"/>
                <w:color w:val="auto"/>
                <w:sz w:val="24"/>
                <w:szCs w:val="24"/>
              </w:rPr>
            </w:pPr>
          </w:p>
        </w:tc>
      </w:tr>
    </w:tbl>
    <w:p w14:paraId="2323C349">
      <w:pPr>
        <w:outlineLvl w:val="9"/>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6"/>
          <w:sz w:val="24"/>
          <w:szCs w:val="24"/>
          <w:highlight w:val="none"/>
        </w:rPr>
        <w:t>后</w:t>
      </w:r>
      <w:r>
        <w:rPr>
          <w:rFonts w:hint="eastAsia" w:ascii="宋体" w:hAnsi="宋体" w:eastAsia="宋体" w:cs="宋体"/>
          <w:color w:val="auto"/>
          <w:spacing w:val="10"/>
          <w:sz w:val="24"/>
          <w:szCs w:val="24"/>
          <w:highlight w:val="none"/>
        </w:rPr>
        <w:t>附</w:t>
      </w:r>
      <w:r>
        <w:rPr>
          <w:rFonts w:hint="eastAsia" w:ascii="宋体" w:hAnsi="宋体" w:eastAsia="宋体" w:cs="宋体"/>
          <w:color w:val="auto"/>
          <w:spacing w:val="10"/>
          <w:sz w:val="24"/>
          <w:szCs w:val="24"/>
          <w:highlight w:val="none"/>
          <w:lang w:eastAsia="zh-CN"/>
        </w:rPr>
        <w:t>相关证明材料</w:t>
      </w:r>
    </w:p>
    <w:p w14:paraId="76066DCC">
      <w:pPr>
        <w:outlineLvl w:val="9"/>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br w:type="page"/>
      </w:r>
    </w:p>
    <w:p w14:paraId="2B4F8DAD">
      <w:pPr>
        <w:spacing w:before="48"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格式十</w:t>
      </w: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一</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w:t>
      </w:r>
    </w:p>
    <w:p w14:paraId="2AE7C679">
      <w:pPr>
        <w:spacing w:before="182" w:line="220" w:lineRule="auto"/>
        <w:ind w:left="3334"/>
        <w:outlineLvl w:val="0"/>
        <w:rPr>
          <w:rFonts w:hint="eastAsia" w:ascii="宋体" w:hAnsi="宋体" w:eastAsia="宋体" w:cs="宋体"/>
          <w:color w:val="auto"/>
          <w:sz w:val="24"/>
          <w:szCs w:val="24"/>
        </w:rPr>
      </w:pPr>
      <w:bookmarkStart w:id="83" w:name="_Toc11972"/>
      <w:bookmarkStart w:id="84" w:name="_Toc19855"/>
      <w:bookmarkStart w:id="85" w:name="_Toc27185"/>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资格条件承诺函</w:t>
      </w:r>
      <w:bookmarkEnd w:id="83"/>
      <w:bookmarkEnd w:id="84"/>
      <w:bookmarkEnd w:id="85"/>
    </w:p>
    <w:p w14:paraId="2E39229E">
      <w:pPr>
        <w:pStyle w:val="5"/>
        <w:spacing w:line="411" w:lineRule="auto"/>
        <w:outlineLvl w:val="9"/>
        <w:rPr>
          <w:rFonts w:hint="eastAsia" w:ascii="宋体" w:hAnsi="宋体" w:eastAsia="宋体" w:cs="宋体"/>
          <w:color w:val="auto"/>
        </w:rPr>
      </w:pPr>
    </w:p>
    <w:p w14:paraId="77D8A6AB">
      <w:pPr>
        <w:spacing w:before="78" w:line="219" w:lineRule="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致: </w:t>
      </w:r>
      <w:r>
        <w:rPr>
          <w:rFonts w:hint="eastAsia" w:ascii="宋体" w:hAnsi="宋体" w:eastAsia="宋体" w:cs="宋体"/>
          <w:color w:val="auto"/>
          <w:spacing w:val="-1"/>
          <w:sz w:val="24"/>
          <w:szCs w:val="24"/>
          <w:u w:val="single" w:color="auto"/>
        </w:rPr>
        <w:t>（采购人、采购代理机构</w:t>
      </w:r>
      <w:r>
        <w:rPr>
          <w:rFonts w:hint="eastAsia" w:ascii="宋体" w:hAnsi="宋体" w:eastAsia="宋体" w:cs="宋体"/>
          <w:color w:val="auto"/>
          <w:spacing w:val="16"/>
          <w:sz w:val="24"/>
          <w:szCs w:val="24"/>
          <w:u w:val="single" w:color="auto"/>
        </w:rPr>
        <w:t>）；</w:t>
      </w:r>
    </w:p>
    <w:p w14:paraId="2C02E0EE">
      <w:pPr>
        <w:spacing w:before="180" w:line="360" w:lineRule="auto"/>
        <w:jc w:val="right"/>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我单位（公司）参与</w:t>
      </w:r>
      <w:r>
        <w:rPr>
          <w:rFonts w:hint="eastAsia" w:ascii="宋体" w:hAnsi="宋体" w:eastAsia="宋体" w:cs="宋体"/>
          <w:color w:val="auto"/>
          <w:spacing w:val="1"/>
          <w:sz w:val="24"/>
          <w:szCs w:val="24"/>
          <w:u w:val="single" w:color="auto"/>
        </w:rPr>
        <w:t>（采购项目名称   项目编号）</w:t>
      </w:r>
      <w:r>
        <w:rPr>
          <w:rFonts w:hint="eastAsia" w:ascii="宋体" w:hAnsi="宋体" w:eastAsia="宋体" w:cs="宋体"/>
          <w:color w:val="auto"/>
          <w:spacing w:val="1"/>
          <w:sz w:val="24"/>
          <w:szCs w:val="24"/>
        </w:rPr>
        <w:t>采购项目的政府采购活动，现承</w:t>
      </w:r>
    </w:p>
    <w:p w14:paraId="228C42DB">
      <w:pPr>
        <w:spacing w:before="1" w:line="220" w:lineRule="auto"/>
        <w:outlineLvl w:val="9"/>
        <w:rPr>
          <w:rFonts w:hint="eastAsia" w:ascii="宋体" w:hAnsi="宋体" w:eastAsia="宋体" w:cs="宋体"/>
          <w:color w:val="auto"/>
          <w:sz w:val="24"/>
          <w:szCs w:val="24"/>
        </w:rPr>
      </w:pPr>
      <w:r>
        <w:rPr>
          <w:rFonts w:hint="eastAsia" w:ascii="宋体" w:hAnsi="宋体" w:eastAsia="宋体" w:cs="宋体"/>
          <w:color w:val="auto"/>
          <w:spacing w:val="8"/>
          <w:sz w:val="24"/>
          <w:szCs w:val="24"/>
        </w:rPr>
        <w:t>诺如下:</w:t>
      </w:r>
    </w:p>
    <w:p w14:paraId="5ADCB1AD">
      <w:pPr>
        <w:spacing w:before="180" w:line="466" w:lineRule="exact"/>
        <w:ind w:left="497"/>
        <w:outlineLvl w:val="9"/>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1.具有良好的商业信誉和健全的财务会计制度；</w:t>
      </w:r>
    </w:p>
    <w:p w14:paraId="51EC7EA6">
      <w:pPr>
        <w:spacing w:line="219" w:lineRule="auto"/>
        <w:ind w:left="482"/>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2.具有依法缴纳税收的良好记录；</w:t>
      </w:r>
    </w:p>
    <w:p w14:paraId="5F5BEA1E">
      <w:pPr>
        <w:spacing w:before="183" w:line="219" w:lineRule="auto"/>
        <w:ind w:left="484"/>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3.具有依法缴纳社会保障金的良好记录。</w:t>
      </w:r>
    </w:p>
    <w:p w14:paraId="6E8A449C">
      <w:pPr>
        <w:spacing w:before="181" w:line="359" w:lineRule="auto"/>
        <w:ind w:firstLine="481"/>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我方在采购项目评审（评标）环节结束后，随时接受采购人、采购代理机构的检查验证，配合提供相关证明材料，证明符合《中华人民共和国政府采购法》规定的供应商基本</w:t>
      </w:r>
      <w:r>
        <w:rPr>
          <w:rFonts w:hint="eastAsia" w:ascii="宋体" w:hAnsi="宋体" w:eastAsia="宋体" w:cs="宋体"/>
          <w:color w:val="auto"/>
          <w:spacing w:val="-4"/>
          <w:sz w:val="24"/>
          <w:szCs w:val="24"/>
        </w:rPr>
        <w:t>资格条件。</w:t>
      </w:r>
    </w:p>
    <w:p w14:paraId="1A289CB7">
      <w:pPr>
        <w:spacing w:before="182" w:line="465" w:lineRule="exact"/>
        <w:ind w:left="481"/>
        <w:outlineLvl w:val="9"/>
        <w:rPr>
          <w:rFonts w:hint="eastAsia" w:ascii="宋体" w:hAnsi="宋体" w:eastAsia="宋体" w:cs="宋体"/>
          <w:color w:val="auto"/>
          <w:spacing w:val="-1"/>
          <w:position w:val="17"/>
          <w:sz w:val="24"/>
          <w:szCs w:val="24"/>
        </w:rPr>
      </w:pPr>
      <w:r>
        <w:rPr>
          <w:rFonts w:hint="eastAsia" w:ascii="宋体" w:hAnsi="宋体" w:eastAsia="宋体" w:cs="宋体"/>
          <w:color w:val="auto"/>
          <w:position w:val="17"/>
          <w:sz w:val="24"/>
          <w:szCs w:val="24"/>
        </w:rPr>
        <w:t>我单位（公司）对上述承诺的真实性负责。如有</w:t>
      </w:r>
      <w:r>
        <w:rPr>
          <w:rFonts w:hint="eastAsia" w:ascii="宋体" w:hAnsi="宋体" w:eastAsia="宋体" w:cs="宋体"/>
          <w:color w:val="auto"/>
          <w:spacing w:val="-1"/>
          <w:position w:val="17"/>
          <w:sz w:val="24"/>
          <w:szCs w:val="24"/>
        </w:rPr>
        <w:t>虚假，将依法承担相应责任。</w:t>
      </w:r>
    </w:p>
    <w:p w14:paraId="1BCA54A4">
      <w:pPr>
        <w:spacing w:before="182" w:line="465" w:lineRule="exact"/>
        <w:ind w:left="481"/>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特此承诺。</w:t>
      </w:r>
    </w:p>
    <w:p w14:paraId="5A24BD37">
      <w:pPr>
        <w:pStyle w:val="5"/>
        <w:spacing w:line="283" w:lineRule="auto"/>
        <w:outlineLvl w:val="9"/>
        <w:rPr>
          <w:rFonts w:hint="eastAsia" w:ascii="宋体" w:hAnsi="宋体" w:eastAsia="宋体" w:cs="宋体"/>
          <w:color w:val="auto"/>
        </w:rPr>
      </w:pPr>
    </w:p>
    <w:p w14:paraId="2DDDCBB7">
      <w:pPr>
        <w:pStyle w:val="5"/>
        <w:spacing w:line="283" w:lineRule="auto"/>
        <w:outlineLvl w:val="9"/>
        <w:rPr>
          <w:rFonts w:hint="eastAsia" w:ascii="宋体" w:hAnsi="宋体" w:eastAsia="宋体" w:cs="宋体"/>
          <w:color w:val="auto"/>
        </w:rPr>
      </w:pPr>
    </w:p>
    <w:p w14:paraId="0EBDA6D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textAlignment w:val="baseline"/>
        <w:outlineLvl w:val="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投标人名称：</w:t>
      </w:r>
      <w:r>
        <w:rPr>
          <w:rFonts w:hint="eastAsia" w:ascii="宋体" w:hAnsi="宋体" w:eastAsia="宋体" w:cs="宋体"/>
          <w:color w:val="auto"/>
          <w:spacing w:val="-4"/>
          <w:sz w:val="24"/>
          <w:szCs w:val="24"/>
          <w:lang w:val="en-US" w:eastAsia="zh-CN"/>
        </w:rPr>
        <w:t xml:space="preserve">                       </w:t>
      </w:r>
      <w:r>
        <w:rPr>
          <w:rFonts w:hint="eastAsia" w:ascii="宋体" w:hAnsi="宋体" w:eastAsia="宋体" w:cs="宋体"/>
          <w:color w:val="auto"/>
          <w:spacing w:val="-4"/>
          <w:sz w:val="24"/>
          <w:szCs w:val="24"/>
        </w:rPr>
        <w:t>（盖章）</w:t>
      </w:r>
    </w:p>
    <w:p w14:paraId="222E570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4"/>
          <w:sz w:val="24"/>
          <w:szCs w:val="24"/>
        </w:rPr>
        <w:t>法定代表人（单位负责人）或委托代理人：          （签字并盖章）</w:t>
      </w:r>
    </w:p>
    <w:p w14:paraId="45338AF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textAlignment w:val="baseline"/>
        <w:outlineLvl w:val="9"/>
        <w:rPr>
          <w:rFonts w:hint="eastAsia" w:ascii="宋体" w:hAnsi="宋体" w:eastAsia="宋体" w:cs="宋体"/>
          <w:color w:val="auto"/>
          <w:spacing w:val="-17"/>
          <w:sz w:val="24"/>
          <w:szCs w:val="24"/>
        </w:rPr>
      </w:pPr>
      <w:r>
        <w:rPr>
          <w:rFonts w:hint="eastAsia" w:ascii="宋体" w:hAnsi="宋体" w:eastAsia="宋体" w:cs="宋体"/>
          <w:color w:val="auto"/>
          <w:spacing w:val="-17"/>
          <w:sz w:val="24"/>
          <w:szCs w:val="24"/>
        </w:rPr>
        <w:t>日期：</w:t>
      </w:r>
    </w:p>
    <w:p w14:paraId="2EBA69C0">
      <w:pPr>
        <w:keepNext w:val="0"/>
        <w:keepLines w:val="0"/>
        <w:pageBreakBefore w:val="0"/>
        <w:widowControl/>
        <w:kinsoku w:val="0"/>
        <w:wordWrap/>
        <w:overflowPunct/>
        <w:topLinePunct w:val="0"/>
        <w:autoSpaceDE w:val="0"/>
        <w:autoSpaceDN w:val="0"/>
        <w:bidi w:val="0"/>
        <w:adjustRightInd w:val="0"/>
        <w:snapToGrid w:val="0"/>
        <w:spacing w:after="0" w:afterLines="50"/>
        <w:jc w:val="center"/>
        <w:textAlignment w:val="baseline"/>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color w:val="auto"/>
          <w:spacing w:val="-17"/>
          <w:sz w:val="24"/>
          <w:szCs w:val="24"/>
        </w:rPr>
        <w:br w:type="page"/>
      </w: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承诺书</w:t>
      </w:r>
    </w:p>
    <w:p w14:paraId="6808DB4D">
      <w:pPr>
        <w:spacing w:before="181" w:line="359" w:lineRule="auto"/>
        <w:ind w:firstLine="481"/>
        <w:outlineLvl w:val="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eastAsia="zh-CN"/>
        </w:rPr>
        <w:t>我单位承诺未被</w:t>
      </w:r>
      <w:r>
        <w:rPr>
          <w:rFonts w:hint="eastAsia" w:ascii="宋体" w:hAnsi="宋体" w:eastAsia="宋体" w:cs="宋体"/>
          <w:color w:val="auto"/>
          <w:spacing w:val="-2"/>
          <w:sz w:val="24"/>
          <w:szCs w:val="24"/>
        </w:rPr>
        <w:t>列入政府取消投标资格记录期间的企业或个人投标。</w:t>
      </w:r>
      <w:r>
        <w:rPr>
          <w:rFonts w:hint="eastAsia" w:ascii="宋体" w:hAnsi="宋体" w:eastAsia="宋体" w:cs="宋体"/>
          <w:color w:val="auto"/>
          <w:spacing w:val="-2"/>
          <w:sz w:val="24"/>
          <w:szCs w:val="24"/>
          <w:lang w:eastAsia="zh-CN"/>
        </w:rPr>
        <w:t>不存在</w:t>
      </w:r>
      <w:r>
        <w:rPr>
          <w:rFonts w:hint="eastAsia" w:ascii="宋体" w:hAnsi="宋体" w:eastAsia="宋体" w:cs="宋体"/>
          <w:color w:val="auto"/>
          <w:spacing w:val="-2"/>
          <w:sz w:val="24"/>
          <w:szCs w:val="24"/>
        </w:rPr>
        <w:t>列入失信被执行人和重大税收违法失信主体的供应商，</w:t>
      </w:r>
      <w:r>
        <w:rPr>
          <w:rFonts w:hint="eastAsia" w:ascii="宋体" w:hAnsi="宋体" w:eastAsia="宋体" w:cs="宋体"/>
          <w:color w:val="auto"/>
          <w:spacing w:val="-2"/>
          <w:sz w:val="24"/>
          <w:szCs w:val="24"/>
          <w:lang w:eastAsia="zh-CN"/>
        </w:rPr>
        <w:t>不存在</w:t>
      </w:r>
      <w:r>
        <w:rPr>
          <w:rFonts w:hint="eastAsia" w:ascii="宋体" w:hAnsi="宋体" w:eastAsia="宋体" w:cs="宋体"/>
          <w:color w:val="auto"/>
          <w:spacing w:val="-2"/>
          <w:sz w:val="24"/>
          <w:szCs w:val="24"/>
        </w:rPr>
        <w:t>中国政府采购网（www.ccgp.gov.cn）政府采购严重违法失信行为记录名单中被财政部门禁止参加政府采购活动的供应商（在处罚决定规定的时间和地域范围内）（详见财库【2016】125号文）。</w:t>
      </w:r>
    </w:p>
    <w:p w14:paraId="53269EF0">
      <w:pPr>
        <w:spacing w:before="181" w:line="359" w:lineRule="auto"/>
        <w:ind w:firstLine="481"/>
        <w:outlineLvl w:val="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eastAsia="zh-CN"/>
        </w:rPr>
        <w:t>不存在</w:t>
      </w:r>
      <w:r>
        <w:rPr>
          <w:rFonts w:hint="eastAsia" w:ascii="宋体" w:hAnsi="宋体" w:eastAsia="宋体" w:cs="宋体"/>
          <w:color w:val="auto"/>
          <w:spacing w:val="-2"/>
          <w:sz w:val="24"/>
          <w:szCs w:val="24"/>
        </w:rPr>
        <w:t>与采购人存在利害关系可能影响采购公正性的法人、其它组织或者个人，不得参加投标；单位负责人为同一人或者存在直接控股、管理关系的不同供应商，不得参加同一合同项下的政府采购活动。否则相关投标无效。</w:t>
      </w:r>
    </w:p>
    <w:p w14:paraId="3C11BC11">
      <w:pPr>
        <w:spacing w:before="181" w:line="359" w:lineRule="auto"/>
        <w:ind w:firstLine="481"/>
        <w:outlineLvl w:val="9"/>
        <w:rPr>
          <w:rFonts w:hint="eastAsia" w:ascii="宋体" w:hAnsi="宋体" w:eastAsia="宋体" w:cs="宋体"/>
          <w:color w:val="auto"/>
          <w:spacing w:val="-2"/>
          <w:sz w:val="24"/>
          <w:szCs w:val="24"/>
          <w:lang w:eastAsia="zh-CN"/>
        </w:rPr>
      </w:pPr>
    </w:p>
    <w:p w14:paraId="76A5027F">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eastAsia" w:ascii="宋体" w:hAnsi="宋体" w:eastAsia="宋体" w:cs="宋体"/>
          <w:color w:val="auto"/>
          <w:spacing w:val="-17"/>
          <w:sz w:val="24"/>
          <w:szCs w:val="24"/>
          <w:lang w:eastAsia="zh-CN"/>
        </w:rPr>
      </w:pPr>
      <w:r>
        <w:rPr>
          <w:rFonts w:hint="eastAsia" w:ascii="宋体" w:hAnsi="宋体" w:eastAsia="宋体" w:cs="宋体"/>
          <w:color w:val="auto"/>
          <w:spacing w:val="-17"/>
          <w:sz w:val="24"/>
          <w:szCs w:val="24"/>
          <w:lang w:eastAsia="zh-CN"/>
        </w:rPr>
        <w:t>投标人名称</w:t>
      </w:r>
      <w:r>
        <w:rPr>
          <w:rFonts w:hint="eastAsia" w:ascii="宋体" w:hAnsi="宋体" w:eastAsia="宋体" w:cs="宋体"/>
          <w:color w:val="auto"/>
          <w:spacing w:val="-17"/>
          <w:sz w:val="24"/>
          <w:szCs w:val="24"/>
        </w:rPr>
        <w:t>：</w:t>
      </w:r>
      <w:r>
        <w:rPr>
          <w:rFonts w:hint="eastAsia" w:ascii="宋体" w:hAnsi="宋体" w:eastAsia="宋体" w:cs="宋体"/>
          <w:color w:val="auto"/>
          <w:spacing w:val="-17"/>
          <w:sz w:val="24"/>
          <w:szCs w:val="24"/>
          <w:lang w:val="en-US" w:eastAsia="zh-CN"/>
        </w:rPr>
        <w:t xml:space="preserve">               </w:t>
      </w:r>
      <w:r>
        <w:rPr>
          <w:rFonts w:hint="eastAsia" w:ascii="宋体" w:hAnsi="宋体" w:eastAsia="宋体" w:cs="宋体"/>
          <w:color w:val="auto"/>
          <w:spacing w:val="-17"/>
          <w:sz w:val="24"/>
          <w:szCs w:val="24"/>
          <w:lang w:eastAsia="zh-CN"/>
        </w:rPr>
        <w:t>（盖章）</w:t>
      </w:r>
    </w:p>
    <w:p w14:paraId="088EC924">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eastAsia" w:ascii="宋体" w:hAnsi="宋体" w:eastAsia="宋体" w:cs="宋体"/>
          <w:color w:val="auto"/>
          <w:spacing w:val="-17"/>
          <w:sz w:val="24"/>
          <w:szCs w:val="24"/>
        </w:rPr>
      </w:pPr>
      <w:r>
        <w:rPr>
          <w:rFonts w:hint="eastAsia" w:ascii="宋体" w:hAnsi="宋体" w:eastAsia="宋体" w:cs="宋体"/>
          <w:color w:val="auto"/>
          <w:spacing w:val="-17"/>
          <w:sz w:val="24"/>
          <w:szCs w:val="24"/>
        </w:rPr>
        <w:t>法定代表人（单位负责人）或委托代理人：          （签字并盖章）：</w:t>
      </w:r>
    </w:p>
    <w:p w14:paraId="59658F59">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eastAsia" w:ascii="宋体" w:hAnsi="宋体" w:eastAsia="宋体" w:cs="宋体"/>
          <w:color w:val="auto"/>
          <w:spacing w:val="-17"/>
          <w:sz w:val="24"/>
          <w:szCs w:val="24"/>
        </w:rPr>
      </w:pPr>
      <w:r>
        <w:rPr>
          <w:rFonts w:hint="eastAsia" w:ascii="宋体" w:hAnsi="宋体" w:eastAsia="宋体" w:cs="宋体"/>
          <w:color w:val="auto"/>
          <w:spacing w:val="-17"/>
          <w:sz w:val="24"/>
          <w:szCs w:val="24"/>
        </w:rPr>
        <w:t>日期：</w:t>
      </w:r>
    </w:p>
    <w:p w14:paraId="6F47EC7E">
      <w:pPr>
        <w:rPr>
          <w:rFonts w:hint="eastAsia" w:ascii="宋体" w:hAnsi="宋体" w:eastAsia="宋体" w:cs="宋体"/>
          <w:color w:val="auto"/>
          <w:spacing w:val="-17"/>
          <w:sz w:val="24"/>
          <w:szCs w:val="24"/>
        </w:rPr>
      </w:pPr>
    </w:p>
    <w:p w14:paraId="3BBA04BD">
      <w:pPr>
        <w:rPr>
          <w:rFonts w:hint="eastAsia" w:ascii="宋体" w:hAnsi="宋体" w:eastAsia="宋体" w:cs="宋体"/>
          <w:color w:val="auto"/>
          <w:spacing w:val="-17"/>
          <w:sz w:val="24"/>
          <w:szCs w:val="24"/>
        </w:rPr>
      </w:pPr>
    </w:p>
    <w:p w14:paraId="372FDFF4">
      <w:pPr>
        <w:rPr>
          <w:rFonts w:hint="eastAsia" w:ascii="宋体" w:hAnsi="宋体" w:eastAsia="宋体" w:cs="宋体"/>
          <w:color w:val="auto"/>
          <w:spacing w:val="-17"/>
          <w:sz w:val="24"/>
          <w:szCs w:val="24"/>
          <w:lang w:eastAsia="zh-CN"/>
        </w:rPr>
      </w:pPr>
      <w:r>
        <w:rPr>
          <w:rFonts w:hint="eastAsia" w:ascii="宋体" w:hAnsi="宋体" w:eastAsia="宋体" w:cs="宋体"/>
          <w:color w:val="auto"/>
          <w:spacing w:val="-17"/>
          <w:sz w:val="24"/>
          <w:szCs w:val="24"/>
          <w:lang w:eastAsia="zh-CN"/>
        </w:rPr>
        <w:t>后附截图：</w:t>
      </w:r>
    </w:p>
    <w:p w14:paraId="5FCF63F3">
      <w:pPr>
        <w:rPr>
          <w:rFonts w:hint="eastAsia" w:ascii="宋体" w:hAnsi="宋体" w:eastAsia="宋体" w:cs="宋体"/>
          <w:color w:val="auto"/>
          <w:spacing w:val="-17"/>
          <w:sz w:val="24"/>
          <w:szCs w:val="24"/>
          <w:lang w:eastAsia="zh-CN"/>
        </w:rPr>
      </w:pPr>
    </w:p>
    <w:p w14:paraId="45801C47">
      <w:pPr>
        <w:ind w:left="412" w:hanging="412" w:hangingChars="200"/>
        <w:rPr>
          <w:rFonts w:hint="eastAsia" w:ascii="宋体" w:hAnsi="宋体" w:eastAsia="宋体" w:cs="宋体"/>
          <w:color w:val="auto"/>
          <w:spacing w:val="-17"/>
          <w:sz w:val="24"/>
          <w:szCs w:val="24"/>
        </w:rPr>
      </w:pPr>
      <w:r>
        <w:rPr>
          <w:rFonts w:hint="eastAsia" w:ascii="宋体" w:hAnsi="宋体" w:eastAsia="宋体" w:cs="宋体"/>
          <w:color w:val="auto"/>
          <w:spacing w:val="-17"/>
          <w:sz w:val="24"/>
          <w:szCs w:val="24"/>
          <w:lang w:eastAsia="zh-CN"/>
        </w:rPr>
        <w:t>（</w:t>
      </w:r>
      <w:r>
        <w:rPr>
          <w:rFonts w:hint="eastAsia" w:ascii="宋体" w:hAnsi="宋体" w:eastAsia="宋体" w:cs="宋体"/>
          <w:color w:val="auto"/>
          <w:spacing w:val="-17"/>
          <w:sz w:val="24"/>
          <w:szCs w:val="24"/>
          <w:lang w:val="en-US" w:eastAsia="zh-CN"/>
        </w:rPr>
        <w:t>1</w:t>
      </w:r>
      <w:r>
        <w:rPr>
          <w:rFonts w:hint="eastAsia" w:ascii="宋体" w:hAnsi="宋体" w:eastAsia="宋体" w:cs="宋体"/>
          <w:color w:val="auto"/>
          <w:spacing w:val="-17"/>
          <w:sz w:val="24"/>
          <w:szCs w:val="24"/>
          <w:lang w:eastAsia="zh-CN"/>
        </w:rPr>
        <w:t>）</w:t>
      </w:r>
      <w:r>
        <w:rPr>
          <w:rFonts w:hint="eastAsia" w:ascii="宋体" w:hAnsi="宋体" w:eastAsia="宋体" w:cs="宋体"/>
          <w:color w:val="auto"/>
          <w:spacing w:val="-17"/>
          <w:sz w:val="24"/>
          <w:szCs w:val="24"/>
        </w:rPr>
        <w:t>失信被执行人</w:t>
      </w:r>
    </w:p>
    <w:p w14:paraId="21DAD3DD">
      <w:pPr>
        <w:ind w:left="412" w:hanging="412" w:hangingChars="200"/>
        <w:rPr>
          <w:rFonts w:hint="eastAsia" w:ascii="宋体" w:hAnsi="宋体" w:eastAsia="宋体" w:cs="宋体"/>
          <w:color w:val="auto"/>
          <w:spacing w:val="-17"/>
          <w:sz w:val="24"/>
          <w:szCs w:val="24"/>
        </w:rPr>
      </w:pPr>
    </w:p>
    <w:p w14:paraId="4E65AF52">
      <w:pPr>
        <w:ind w:left="412" w:hanging="412" w:hangingChars="200"/>
        <w:rPr>
          <w:rFonts w:hint="eastAsia" w:ascii="宋体" w:hAnsi="宋体" w:eastAsia="宋体" w:cs="宋体"/>
          <w:color w:val="auto"/>
          <w:spacing w:val="-17"/>
          <w:sz w:val="24"/>
          <w:szCs w:val="24"/>
          <w:lang w:eastAsia="zh-CN"/>
        </w:rPr>
      </w:pPr>
    </w:p>
    <w:p w14:paraId="239E3306">
      <w:pPr>
        <w:ind w:left="412" w:hanging="412" w:hangingChars="200"/>
        <w:rPr>
          <w:rFonts w:hint="eastAsia" w:ascii="宋体" w:hAnsi="宋体" w:eastAsia="宋体" w:cs="宋体"/>
          <w:color w:val="auto"/>
          <w:spacing w:val="-17"/>
          <w:sz w:val="24"/>
          <w:szCs w:val="24"/>
          <w:lang w:eastAsia="zh-CN"/>
        </w:rPr>
      </w:pPr>
    </w:p>
    <w:p w14:paraId="36D563E9">
      <w:pPr>
        <w:ind w:left="412" w:hanging="412" w:hangingChars="200"/>
        <w:rPr>
          <w:rFonts w:hint="eastAsia" w:ascii="宋体" w:hAnsi="宋体" w:eastAsia="宋体" w:cs="宋体"/>
          <w:color w:val="auto"/>
          <w:spacing w:val="-17"/>
          <w:sz w:val="24"/>
          <w:szCs w:val="24"/>
        </w:rPr>
      </w:pPr>
      <w:r>
        <w:rPr>
          <w:rFonts w:hint="eastAsia" w:ascii="宋体" w:hAnsi="宋体" w:eastAsia="宋体" w:cs="宋体"/>
          <w:color w:val="auto"/>
          <w:spacing w:val="-17"/>
          <w:sz w:val="24"/>
          <w:szCs w:val="24"/>
          <w:lang w:eastAsia="zh-CN"/>
        </w:rPr>
        <w:t>（</w:t>
      </w:r>
      <w:r>
        <w:rPr>
          <w:rFonts w:hint="eastAsia" w:ascii="宋体" w:hAnsi="宋体" w:eastAsia="宋体" w:cs="宋体"/>
          <w:color w:val="auto"/>
          <w:spacing w:val="-17"/>
          <w:sz w:val="24"/>
          <w:szCs w:val="24"/>
          <w:lang w:val="en-US" w:eastAsia="zh-CN"/>
        </w:rPr>
        <w:t>2</w:t>
      </w:r>
      <w:r>
        <w:rPr>
          <w:rFonts w:hint="eastAsia" w:ascii="宋体" w:hAnsi="宋体" w:eastAsia="宋体" w:cs="宋体"/>
          <w:color w:val="auto"/>
          <w:spacing w:val="-17"/>
          <w:sz w:val="24"/>
          <w:szCs w:val="24"/>
          <w:lang w:eastAsia="zh-CN"/>
        </w:rPr>
        <w:t>）</w:t>
      </w:r>
      <w:r>
        <w:rPr>
          <w:rFonts w:hint="eastAsia" w:ascii="宋体" w:hAnsi="宋体" w:eastAsia="宋体" w:cs="宋体"/>
          <w:color w:val="auto"/>
          <w:spacing w:val="-17"/>
          <w:sz w:val="24"/>
          <w:szCs w:val="24"/>
        </w:rPr>
        <w:t>重大税收违法失信主体</w:t>
      </w:r>
    </w:p>
    <w:p w14:paraId="7514B3A1">
      <w:pPr>
        <w:ind w:left="412" w:hanging="412" w:hangingChars="200"/>
        <w:rPr>
          <w:rFonts w:hint="eastAsia" w:ascii="宋体" w:hAnsi="宋体" w:eastAsia="宋体" w:cs="宋体"/>
          <w:color w:val="auto"/>
          <w:spacing w:val="-17"/>
          <w:sz w:val="24"/>
          <w:szCs w:val="24"/>
          <w:lang w:eastAsia="zh-CN"/>
        </w:rPr>
      </w:pPr>
    </w:p>
    <w:p w14:paraId="38B1D222">
      <w:pPr>
        <w:ind w:left="412" w:hanging="412" w:hangingChars="200"/>
        <w:rPr>
          <w:rFonts w:hint="eastAsia" w:ascii="宋体" w:hAnsi="宋体" w:eastAsia="宋体" w:cs="宋体"/>
          <w:color w:val="auto"/>
          <w:spacing w:val="-17"/>
          <w:sz w:val="24"/>
          <w:szCs w:val="24"/>
          <w:lang w:eastAsia="zh-CN"/>
        </w:rPr>
      </w:pPr>
    </w:p>
    <w:p w14:paraId="5EE5B399">
      <w:pPr>
        <w:ind w:left="412" w:hanging="412" w:hangingChars="200"/>
        <w:rPr>
          <w:rFonts w:hint="eastAsia" w:ascii="宋体" w:hAnsi="宋体" w:eastAsia="宋体" w:cs="宋体"/>
          <w:color w:val="auto"/>
          <w:spacing w:val="-17"/>
          <w:sz w:val="24"/>
          <w:szCs w:val="24"/>
          <w:lang w:eastAsia="zh-CN"/>
        </w:rPr>
      </w:pPr>
    </w:p>
    <w:p w14:paraId="4313D545">
      <w:pPr>
        <w:ind w:left="412" w:hanging="412" w:hangingChars="200"/>
        <w:rPr>
          <w:rFonts w:hint="eastAsia" w:ascii="宋体" w:hAnsi="宋体" w:eastAsia="宋体" w:cs="宋体"/>
          <w:color w:val="auto"/>
          <w:spacing w:val="-17"/>
          <w:sz w:val="24"/>
          <w:szCs w:val="24"/>
        </w:rPr>
      </w:pPr>
      <w:r>
        <w:rPr>
          <w:rFonts w:hint="eastAsia" w:ascii="宋体" w:hAnsi="宋体" w:eastAsia="宋体" w:cs="宋体"/>
          <w:color w:val="auto"/>
          <w:spacing w:val="-17"/>
          <w:sz w:val="24"/>
          <w:szCs w:val="24"/>
          <w:lang w:eastAsia="zh-CN"/>
        </w:rPr>
        <w:t>（</w:t>
      </w:r>
      <w:r>
        <w:rPr>
          <w:rFonts w:hint="eastAsia" w:ascii="宋体" w:hAnsi="宋体" w:eastAsia="宋体" w:cs="宋体"/>
          <w:color w:val="auto"/>
          <w:spacing w:val="-17"/>
          <w:sz w:val="24"/>
          <w:szCs w:val="24"/>
          <w:lang w:val="en-US" w:eastAsia="zh-CN"/>
        </w:rPr>
        <w:t>3</w:t>
      </w:r>
      <w:r>
        <w:rPr>
          <w:rFonts w:hint="eastAsia" w:ascii="宋体" w:hAnsi="宋体" w:eastAsia="宋体" w:cs="宋体"/>
          <w:color w:val="auto"/>
          <w:spacing w:val="-17"/>
          <w:sz w:val="24"/>
          <w:szCs w:val="24"/>
          <w:lang w:eastAsia="zh-CN"/>
        </w:rPr>
        <w:t>）</w:t>
      </w:r>
      <w:r>
        <w:rPr>
          <w:rFonts w:hint="eastAsia" w:ascii="宋体" w:hAnsi="宋体" w:eastAsia="宋体" w:cs="宋体"/>
          <w:color w:val="auto"/>
          <w:spacing w:val="-17"/>
          <w:sz w:val="24"/>
          <w:szCs w:val="24"/>
        </w:rPr>
        <w:t>中国政府采购网（www.ccgp.gov.cn）政府采购严重违法失信行为记录名单</w:t>
      </w:r>
    </w:p>
    <w:p w14:paraId="23BCE7CC">
      <w:pPr>
        <w:ind w:left="412" w:hanging="412" w:hangingChars="200"/>
        <w:rPr>
          <w:rFonts w:hint="eastAsia" w:ascii="宋体" w:hAnsi="宋体" w:eastAsia="宋体" w:cs="宋体"/>
          <w:color w:val="auto"/>
          <w:spacing w:val="-17"/>
          <w:sz w:val="24"/>
          <w:szCs w:val="24"/>
          <w:lang w:eastAsia="zh-CN"/>
        </w:rPr>
      </w:pPr>
    </w:p>
    <w:p w14:paraId="77D1AD8A">
      <w:pPr>
        <w:ind w:left="412" w:hanging="412" w:hangingChars="200"/>
        <w:rPr>
          <w:rFonts w:hint="eastAsia" w:ascii="宋体" w:hAnsi="宋体" w:eastAsia="宋体" w:cs="宋体"/>
          <w:color w:val="auto"/>
          <w:spacing w:val="-17"/>
          <w:sz w:val="24"/>
          <w:szCs w:val="24"/>
          <w:lang w:eastAsia="zh-CN"/>
        </w:rPr>
      </w:pPr>
    </w:p>
    <w:p w14:paraId="65A82FED">
      <w:pPr>
        <w:ind w:left="412" w:hanging="412" w:hangingChars="200"/>
        <w:rPr>
          <w:rFonts w:hint="eastAsia" w:ascii="宋体" w:hAnsi="宋体" w:eastAsia="宋体" w:cs="宋体"/>
          <w:color w:val="auto"/>
          <w:spacing w:val="-17"/>
          <w:sz w:val="24"/>
          <w:szCs w:val="24"/>
          <w:lang w:eastAsia="zh-CN"/>
        </w:rPr>
      </w:pPr>
    </w:p>
    <w:p w14:paraId="5F226C8B">
      <w:pPr>
        <w:ind w:left="412" w:hanging="412" w:hangingChars="200"/>
        <w:rPr>
          <w:rFonts w:hint="eastAsia" w:ascii="宋体" w:hAnsi="宋体" w:eastAsia="宋体" w:cs="宋体"/>
          <w:color w:val="auto"/>
          <w:spacing w:val="-17"/>
          <w:sz w:val="24"/>
          <w:szCs w:val="24"/>
        </w:rPr>
      </w:pPr>
      <w:r>
        <w:rPr>
          <w:rFonts w:hint="eastAsia" w:ascii="宋体" w:hAnsi="宋体" w:eastAsia="宋体" w:cs="宋体"/>
          <w:color w:val="auto"/>
          <w:spacing w:val="-17"/>
          <w:sz w:val="24"/>
          <w:szCs w:val="24"/>
          <w:lang w:eastAsia="zh-CN"/>
        </w:rPr>
        <w:t>（</w:t>
      </w:r>
      <w:r>
        <w:rPr>
          <w:rFonts w:hint="eastAsia" w:ascii="宋体" w:hAnsi="宋体" w:eastAsia="宋体" w:cs="宋体"/>
          <w:color w:val="auto"/>
          <w:spacing w:val="-17"/>
          <w:sz w:val="24"/>
          <w:szCs w:val="24"/>
          <w:lang w:val="en-US" w:eastAsia="zh-CN"/>
        </w:rPr>
        <w:t>4</w:t>
      </w:r>
      <w:r>
        <w:rPr>
          <w:rFonts w:hint="eastAsia" w:ascii="宋体" w:hAnsi="宋体" w:eastAsia="宋体" w:cs="宋体"/>
          <w:color w:val="auto"/>
          <w:spacing w:val="-17"/>
          <w:sz w:val="24"/>
          <w:szCs w:val="24"/>
          <w:lang w:eastAsia="zh-CN"/>
        </w:rPr>
        <w:t>）</w:t>
      </w:r>
      <w:r>
        <w:rPr>
          <w:rFonts w:hint="eastAsia" w:ascii="宋体" w:hAnsi="宋体" w:eastAsia="宋体" w:cs="宋体"/>
          <w:color w:val="auto"/>
          <w:spacing w:val="-17"/>
          <w:sz w:val="24"/>
          <w:szCs w:val="24"/>
          <w:lang w:val="en-US" w:eastAsia="zh-CN"/>
        </w:rPr>
        <w:t>其他</w:t>
      </w:r>
      <w:r>
        <w:rPr>
          <w:rFonts w:hint="eastAsia" w:ascii="宋体" w:hAnsi="宋体" w:eastAsia="宋体" w:cs="宋体"/>
          <w:color w:val="auto"/>
          <w:spacing w:val="-17"/>
          <w:sz w:val="24"/>
          <w:szCs w:val="24"/>
        </w:rPr>
        <w:br w:type="page"/>
      </w:r>
    </w:p>
    <w:p w14:paraId="1A8482FD">
      <w:pPr>
        <w:rPr>
          <w:rFonts w:hint="eastAsia" w:ascii="宋体" w:hAnsi="宋体" w:eastAsia="宋体" w:cs="宋体"/>
          <w:color w:val="auto"/>
          <w:spacing w:val="-17"/>
          <w:sz w:val="24"/>
          <w:szCs w:val="24"/>
        </w:rPr>
      </w:pPr>
    </w:p>
    <w:p w14:paraId="38B2D6C4">
      <w:pPr>
        <w:keepNext w:val="0"/>
        <w:keepLines w:val="0"/>
        <w:widowControl/>
        <w:suppressLineNumbers w:val="0"/>
        <w:jc w:val="left"/>
        <w:outlineLvl w:val="2"/>
        <w:rPr>
          <w:color w:val="auto"/>
          <w:highlight w:val="none"/>
        </w:rPr>
      </w:pPr>
      <w:r>
        <w:rPr>
          <w:rFonts w:hint="eastAsia" w:ascii="宋体" w:hAnsi="宋体" w:eastAsia="宋体" w:cs="宋体"/>
          <w:b/>
          <w:bCs/>
          <w:color w:val="auto"/>
          <w:spacing w:val="-2"/>
          <w:sz w:val="24"/>
          <w:szCs w:val="24"/>
          <w14:textOutline w14:w="4358" w14:cap="sq" w14:cmpd="sng">
            <w14:solidFill>
              <w14:srgbClr w14:val="000000"/>
            </w14:solidFill>
            <w14:prstDash w14:val="solid"/>
            <w14:bevel/>
          </w14:textOutline>
        </w:rPr>
        <w:t>格式</w:t>
      </w:r>
      <w:r>
        <w:rPr>
          <w:rFonts w:hint="eastAsia" w:ascii="宋体" w:hAnsi="宋体" w:eastAsia="宋体" w:cs="宋体"/>
          <w:b/>
          <w:bCs/>
          <w:color w:val="auto"/>
          <w:spacing w:val="-2"/>
          <w:sz w:val="24"/>
          <w:szCs w:val="24"/>
          <w:lang w:eastAsia="zh-CN"/>
          <w14:textOutline w14:w="4358" w14:cap="sq" w14:cmpd="sng">
            <w14:solidFill>
              <w14:srgbClr w14:val="000000"/>
            </w14:solidFill>
            <w14:prstDash w14:val="solid"/>
            <w14:bevel/>
          </w14:textOutline>
        </w:rPr>
        <w:t>十二：</w:t>
      </w:r>
      <w:r>
        <w:rPr>
          <w:rFonts w:hint="default" w:ascii="宋体" w:hAnsi="宋体" w:eastAsia="宋体" w:cs="宋体"/>
          <w:b/>
          <w:bCs/>
          <w:color w:val="auto"/>
          <w:spacing w:val="-2"/>
          <w:sz w:val="24"/>
          <w:szCs w:val="24"/>
          <w:lang w:val="en-US" w:eastAsia="zh-CN"/>
          <w14:textOutline w14:w="4358" w14:cap="sq" w14:cmpd="sng">
            <w14:solidFill>
              <w14:srgbClr w14:val="000000"/>
            </w14:solidFill>
            <w14:prstDash w14:val="solid"/>
            <w14:bevel/>
          </w14:textOutline>
        </w:rPr>
        <w:t>制造商（境内总代理商）授权书</w:t>
      </w:r>
    </w:p>
    <w:p w14:paraId="6634284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p>
    <w:p w14:paraId="73EBECA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对于接受进口产品投标的品目且</w:t>
      </w:r>
      <w:r>
        <w:rPr>
          <w:rFonts w:hint="eastAsia" w:ascii="宋体" w:hAnsi="宋体" w:cs="宋体"/>
          <w:b w:val="0"/>
          <w:bCs w:val="0"/>
          <w:color w:val="auto"/>
          <w:kern w:val="0"/>
          <w:sz w:val="21"/>
          <w:szCs w:val="21"/>
          <w:highlight w:val="none"/>
          <w:lang w:val="en-US" w:eastAsia="zh-CN" w:bidi="ar"/>
        </w:rPr>
        <w:t>投标人</w:t>
      </w:r>
      <w:r>
        <w:rPr>
          <w:rFonts w:hint="eastAsia" w:ascii="宋体" w:hAnsi="宋体" w:eastAsia="宋体" w:cs="宋体"/>
          <w:b w:val="0"/>
          <w:bCs w:val="0"/>
          <w:color w:val="auto"/>
          <w:kern w:val="0"/>
          <w:sz w:val="21"/>
          <w:szCs w:val="21"/>
          <w:highlight w:val="none"/>
          <w:lang w:val="en-US" w:eastAsia="zh-CN" w:bidi="ar"/>
        </w:rPr>
        <w:t>以进口产品参加投标时，如投标货物非</w:t>
      </w:r>
      <w:r>
        <w:rPr>
          <w:rFonts w:hint="eastAsia" w:ascii="宋体" w:hAnsi="宋体" w:cs="宋体"/>
          <w:b w:val="0"/>
          <w:bCs w:val="0"/>
          <w:color w:val="auto"/>
          <w:kern w:val="0"/>
          <w:sz w:val="21"/>
          <w:szCs w:val="21"/>
          <w:highlight w:val="none"/>
          <w:lang w:val="en-US" w:eastAsia="zh-CN" w:bidi="ar"/>
        </w:rPr>
        <w:t>投标人</w:t>
      </w:r>
      <w:r>
        <w:rPr>
          <w:rFonts w:hint="eastAsia" w:ascii="宋体" w:hAnsi="宋体" w:eastAsia="宋体" w:cs="宋体"/>
          <w:b w:val="0"/>
          <w:bCs w:val="0"/>
          <w:color w:val="auto"/>
          <w:kern w:val="0"/>
          <w:sz w:val="21"/>
          <w:szCs w:val="21"/>
          <w:highlight w:val="none"/>
          <w:lang w:val="en-US" w:eastAsia="zh-CN" w:bidi="ar"/>
        </w:rPr>
        <w:t>所有或制造，</w:t>
      </w:r>
      <w:r>
        <w:rPr>
          <w:rFonts w:hint="eastAsia" w:ascii="宋体" w:hAnsi="宋体" w:cs="宋体"/>
          <w:b w:val="0"/>
          <w:bCs w:val="0"/>
          <w:color w:val="auto"/>
          <w:kern w:val="0"/>
          <w:sz w:val="21"/>
          <w:szCs w:val="21"/>
          <w:highlight w:val="none"/>
          <w:lang w:val="en-US" w:eastAsia="zh-CN" w:bidi="ar"/>
        </w:rPr>
        <w:t>投标人</w:t>
      </w:r>
      <w:r>
        <w:rPr>
          <w:rFonts w:hint="eastAsia" w:ascii="宋体" w:hAnsi="宋体" w:eastAsia="宋体" w:cs="宋体"/>
          <w:b w:val="0"/>
          <w:bCs w:val="0"/>
          <w:color w:val="auto"/>
          <w:kern w:val="0"/>
          <w:sz w:val="21"/>
          <w:szCs w:val="21"/>
          <w:highlight w:val="none"/>
          <w:lang w:val="en-US" w:eastAsia="zh-CN" w:bidi="ar"/>
        </w:rPr>
        <w:t>投标时须提供制造商（或其境内总代理的）就本项目所提供的投标品牌产品授权书，授权书中须要注明项目名称、招标编号、货物名称、品牌及型号，授权书格式可参考招标文件所附制造商（或境内总代理商）授权书格式，也可</w:t>
      </w:r>
      <w:r>
        <w:rPr>
          <w:rFonts w:hint="eastAsia" w:ascii="宋体" w:hAnsi="宋体" w:cs="宋体"/>
          <w:b w:val="0"/>
          <w:bCs w:val="0"/>
          <w:color w:val="auto"/>
          <w:kern w:val="0"/>
          <w:sz w:val="21"/>
          <w:szCs w:val="21"/>
          <w:highlight w:val="none"/>
          <w:lang w:val="en-US" w:eastAsia="zh-CN" w:bidi="ar"/>
        </w:rPr>
        <w:t>投标人</w:t>
      </w:r>
      <w:r>
        <w:rPr>
          <w:rFonts w:hint="eastAsia" w:ascii="宋体" w:hAnsi="宋体" w:eastAsia="宋体" w:cs="宋体"/>
          <w:b w:val="0"/>
          <w:bCs w:val="0"/>
          <w:color w:val="auto"/>
          <w:kern w:val="0"/>
          <w:sz w:val="21"/>
          <w:szCs w:val="21"/>
          <w:highlight w:val="none"/>
          <w:lang w:val="en-US" w:eastAsia="zh-CN" w:bidi="ar"/>
        </w:rPr>
        <w:t>自行拟定。如是境内总代理提供的产品授权书，投标人还须提供制造商给予境内总代理的正式授权文件的复印件，以证明所供货物来源的可靠性。</w:t>
      </w:r>
    </w:p>
    <w:p w14:paraId="5E79DDF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rPr>
      </w:pPr>
    </w:p>
    <w:p w14:paraId="114A0A22">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制造商（境内总代理商）授权书（格式）</w:t>
      </w:r>
    </w:p>
    <w:p w14:paraId="1B854135">
      <w:pPr>
        <w:pStyle w:val="5"/>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致：(采购</w:t>
      </w:r>
      <w:r>
        <w:rPr>
          <w:rFonts w:hint="eastAsia" w:ascii="宋体" w:hAnsi="宋体" w:cs="宋体"/>
          <w:b/>
          <w:bCs/>
          <w:color w:val="auto"/>
          <w:sz w:val="21"/>
          <w:szCs w:val="21"/>
          <w:highlight w:val="none"/>
          <w:lang w:val="en-US" w:eastAsia="zh-CN"/>
        </w:rPr>
        <w:t>人名称</w:t>
      </w:r>
      <w:r>
        <w:rPr>
          <w:rFonts w:hint="eastAsia" w:ascii="宋体" w:hAnsi="宋体" w:eastAsia="宋体" w:cs="宋体"/>
          <w:b/>
          <w:bCs/>
          <w:color w:val="auto"/>
          <w:sz w:val="21"/>
          <w:szCs w:val="21"/>
          <w:highlight w:val="none"/>
        </w:rPr>
        <w:t xml:space="preserve">) </w:t>
      </w:r>
    </w:p>
    <w:p w14:paraId="4778875B">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我们</w:t>
      </w:r>
      <w:r>
        <w:rPr>
          <w:rFonts w:hint="eastAsia" w:ascii="宋体" w:hAnsi="宋体" w:eastAsia="宋体" w:cs="宋体"/>
          <w:color w:val="auto"/>
          <w:sz w:val="21"/>
          <w:szCs w:val="21"/>
          <w:highlight w:val="none"/>
          <w:u w:val="single"/>
        </w:rPr>
        <w:t>（制造商或境内总代理商名称)</w:t>
      </w:r>
      <w:r>
        <w:rPr>
          <w:rFonts w:hint="eastAsia" w:ascii="宋体" w:hAnsi="宋体" w:eastAsia="宋体" w:cs="宋体"/>
          <w:color w:val="auto"/>
          <w:sz w:val="21"/>
          <w:szCs w:val="21"/>
          <w:highlight w:val="none"/>
        </w:rPr>
        <w:t xml:space="preserve"> 是按</w:t>
      </w:r>
      <w:r>
        <w:rPr>
          <w:rFonts w:hint="eastAsia" w:ascii="宋体" w:hAnsi="宋体" w:eastAsia="宋体" w:cs="宋体"/>
          <w:color w:val="auto"/>
          <w:sz w:val="21"/>
          <w:szCs w:val="21"/>
          <w:highlight w:val="none"/>
          <w:u w:val="single"/>
        </w:rPr>
        <w:t xml:space="preserve">（国家名称) </w:t>
      </w:r>
      <w:r>
        <w:rPr>
          <w:rFonts w:hint="eastAsia" w:ascii="宋体" w:hAnsi="宋体" w:eastAsia="宋体" w:cs="宋体"/>
          <w:color w:val="auto"/>
          <w:sz w:val="21"/>
          <w:szCs w:val="21"/>
          <w:highlight w:val="none"/>
        </w:rPr>
        <w:t>法律成立的一家制造商</w:t>
      </w:r>
      <w:r>
        <w:rPr>
          <w:rFonts w:hint="eastAsia" w:ascii="宋体" w:hAnsi="宋体" w:eastAsia="宋体" w:cs="宋体"/>
          <w:color w:val="auto"/>
          <w:sz w:val="21"/>
          <w:szCs w:val="21"/>
          <w:highlight w:val="none"/>
          <w:u w:val="single"/>
        </w:rPr>
        <w:t>（的境内总代理</w:t>
      </w:r>
    </w:p>
    <w:p w14:paraId="6453D9F5">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商）</w:t>
      </w:r>
      <w:r>
        <w:rPr>
          <w:rFonts w:hint="eastAsia" w:ascii="宋体" w:hAnsi="宋体" w:eastAsia="宋体" w:cs="宋体"/>
          <w:color w:val="auto"/>
          <w:sz w:val="21"/>
          <w:szCs w:val="21"/>
          <w:highlight w:val="none"/>
        </w:rPr>
        <w:t>，主要营业地点设在</w:t>
      </w:r>
      <w:r>
        <w:rPr>
          <w:rFonts w:hint="eastAsia" w:ascii="宋体" w:hAnsi="宋体" w:eastAsia="宋体" w:cs="宋体"/>
          <w:color w:val="auto"/>
          <w:sz w:val="21"/>
          <w:szCs w:val="21"/>
          <w:highlight w:val="none"/>
          <w:u w:val="single"/>
        </w:rPr>
        <w:t>（制造商、境内总代理商地址)</w:t>
      </w:r>
      <w:r>
        <w:rPr>
          <w:rFonts w:hint="eastAsia" w:ascii="宋体" w:hAnsi="宋体" w:eastAsia="宋体" w:cs="宋体"/>
          <w:color w:val="auto"/>
          <w:sz w:val="21"/>
          <w:szCs w:val="21"/>
          <w:highlight w:val="none"/>
        </w:rPr>
        <w:t xml:space="preserve"> 。兹指派按</w:t>
      </w:r>
      <w:r>
        <w:rPr>
          <w:rFonts w:hint="eastAsia" w:ascii="宋体" w:hAnsi="宋体" w:eastAsia="宋体" w:cs="宋体"/>
          <w:color w:val="auto"/>
          <w:sz w:val="21"/>
          <w:szCs w:val="21"/>
          <w:highlight w:val="none"/>
          <w:u w:val="single"/>
        </w:rPr>
        <w:t>（国家名称)</w:t>
      </w:r>
      <w:r>
        <w:rPr>
          <w:rFonts w:hint="eastAsia" w:ascii="宋体" w:hAnsi="宋体" w:eastAsia="宋体" w:cs="宋体"/>
          <w:color w:val="auto"/>
          <w:sz w:val="21"/>
          <w:szCs w:val="21"/>
          <w:highlight w:val="none"/>
        </w:rPr>
        <w:t xml:space="preserve"> 的法律正式成立</w:t>
      </w:r>
    </w:p>
    <w:p w14:paraId="2AA0710D">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的，主要营业地点设在</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 xml:space="preserve">地址)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rPr>
        <w:t>作为我方真正的和合法的代理人进行下</w:t>
      </w:r>
    </w:p>
    <w:p w14:paraId="5772C7D2">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列有效的活动：</w:t>
      </w:r>
    </w:p>
    <w:p w14:paraId="4DB25472">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(1)代表我方在中华人民共和国办理贵方第</w:t>
      </w:r>
      <w:r>
        <w:rPr>
          <w:rFonts w:hint="eastAsia" w:ascii="宋体" w:hAnsi="宋体" w:eastAsia="宋体" w:cs="宋体"/>
          <w:color w:val="auto"/>
          <w:sz w:val="21"/>
          <w:szCs w:val="21"/>
          <w:highlight w:val="none"/>
          <w:u w:val="single"/>
        </w:rPr>
        <w:t xml:space="preserve"> （招标编号） </w:t>
      </w:r>
      <w:r>
        <w:rPr>
          <w:rFonts w:hint="eastAsia" w:ascii="宋体" w:hAnsi="宋体" w:eastAsia="宋体" w:cs="宋体"/>
          <w:color w:val="auto"/>
          <w:sz w:val="21"/>
          <w:szCs w:val="21"/>
          <w:highlight w:val="none"/>
        </w:rPr>
        <w:t>号投标邀请要求提供的由我方</w:t>
      </w:r>
      <w:r>
        <w:rPr>
          <w:rFonts w:hint="eastAsia" w:ascii="宋体" w:hAnsi="宋体" w:eastAsia="宋体" w:cs="宋体"/>
          <w:color w:val="auto"/>
          <w:sz w:val="21"/>
          <w:szCs w:val="21"/>
          <w:highlight w:val="none"/>
          <w:u w:val="single"/>
        </w:rPr>
        <w:t>（制</w:t>
      </w:r>
    </w:p>
    <w:p w14:paraId="500938E6">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造商）</w:t>
      </w:r>
      <w:r>
        <w:rPr>
          <w:rFonts w:hint="eastAsia" w:ascii="宋体" w:hAnsi="宋体" w:eastAsia="宋体" w:cs="宋体"/>
          <w:color w:val="auto"/>
          <w:sz w:val="21"/>
          <w:szCs w:val="21"/>
          <w:highlight w:val="none"/>
        </w:rPr>
        <w:t>制造的</w:t>
      </w:r>
      <w:r>
        <w:rPr>
          <w:rFonts w:hint="eastAsia" w:ascii="宋体" w:hAnsi="宋体" w:eastAsia="宋体" w:cs="宋体"/>
          <w:color w:val="auto"/>
          <w:sz w:val="21"/>
          <w:szCs w:val="21"/>
          <w:highlight w:val="none"/>
          <w:u w:val="single"/>
        </w:rPr>
        <w:t>包号（品目号）货物名称（型号）</w:t>
      </w:r>
      <w:r>
        <w:rPr>
          <w:rFonts w:hint="eastAsia" w:ascii="宋体" w:hAnsi="宋体" w:eastAsia="宋体" w:cs="宋体"/>
          <w:color w:val="auto"/>
          <w:sz w:val="21"/>
          <w:szCs w:val="21"/>
          <w:highlight w:val="none"/>
        </w:rPr>
        <w:t>的有关事宜，并对我方具有约束力。</w:t>
      </w:r>
    </w:p>
    <w:p w14:paraId="76C033DF">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(2)作为制造商</w:t>
      </w:r>
      <w:r>
        <w:rPr>
          <w:rFonts w:hint="eastAsia" w:ascii="宋体" w:hAnsi="宋体" w:eastAsia="宋体" w:cs="宋体"/>
          <w:color w:val="auto"/>
          <w:sz w:val="21"/>
          <w:szCs w:val="21"/>
          <w:highlight w:val="none"/>
          <w:u w:val="single"/>
        </w:rPr>
        <w:t>（的境内总代理商）</w:t>
      </w:r>
      <w:r>
        <w:rPr>
          <w:rFonts w:hint="eastAsia" w:ascii="宋体" w:hAnsi="宋体" w:eastAsia="宋体" w:cs="宋体"/>
          <w:color w:val="auto"/>
          <w:sz w:val="21"/>
          <w:szCs w:val="21"/>
          <w:highlight w:val="none"/>
        </w:rPr>
        <w:t>，我方保证以投标合作者来约束自己，并对该投标共同和分</w:t>
      </w:r>
    </w:p>
    <w:p w14:paraId="14D39280">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别承担招标文件中所规定的义务。</w:t>
      </w:r>
    </w:p>
    <w:p w14:paraId="49AFF130">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(3)我方兹授予</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rPr>
        <w:t>全权办理和履行上述我方为完成上述各点所必须的事宜，具有</w:t>
      </w:r>
    </w:p>
    <w:p w14:paraId="02BBC7E9">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替换或撤消的全权。兹确认</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 xml:space="preserve"> 或其正式授权代表依此合法地办理一切事宜。</w:t>
      </w:r>
    </w:p>
    <w:p w14:paraId="0F4387C8">
      <w:pPr>
        <w:pStyle w:val="5"/>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（4）作为境内总代理商，随此函，附上</w:t>
      </w:r>
      <w:r>
        <w:rPr>
          <w:rFonts w:hint="eastAsia" w:ascii="宋体" w:hAnsi="宋体" w:eastAsia="宋体" w:cs="宋体"/>
          <w:color w:val="auto"/>
          <w:sz w:val="21"/>
          <w:szCs w:val="21"/>
          <w:highlight w:val="none"/>
          <w:u w:val="single"/>
        </w:rPr>
        <w:t>（制造商名称）</w:t>
      </w:r>
      <w:r>
        <w:rPr>
          <w:rFonts w:hint="eastAsia" w:ascii="宋体" w:hAnsi="宋体" w:eastAsia="宋体" w:cs="宋体"/>
          <w:color w:val="auto"/>
          <w:sz w:val="21"/>
          <w:szCs w:val="21"/>
          <w:highlight w:val="none"/>
        </w:rPr>
        <w:t>给我方</w:t>
      </w:r>
      <w:r>
        <w:rPr>
          <w:rFonts w:hint="eastAsia" w:ascii="宋体" w:hAnsi="宋体" w:eastAsia="宋体" w:cs="宋体"/>
          <w:color w:val="auto"/>
          <w:sz w:val="21"/>
          <w:szCs w:val="21"/>
          <w:highlight w:val="none"/>
          <w:u w:val="single"/>
        </w:rPr>
        <w:t>（境内总代理）</w:t>
      </w:r>
      <w:r>
        <w:rPr>
          <w:rFonts w:hint="eastAsia" w:ascii="宋体" w:hAnsi="宋体" w:eastAsia="宋体" w:cs="宋体"/>
          <w:color w:val="auto"/>
          <w:sz w:val="21"/>
          <w:szCs w:val="21"/>
          <w:highlight w:val="none"/>
        </w:rPr>
        <w:t>的正式授权文</w:t>
      </w:r>
    </w:p>
    <w:p w14:paraId="0FC6D496">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件复印件，以证明我方提供货物来源的可靠性。</w:t>
      </w:r>
    </w:p>
    <w:p w14:paraId="570C4677">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我方于</w:t>
      </w:r>
      <w:r>
        <w:rPr>
          <w:rFonts w:hint="eastAsia" w:ascii="宋体" w:hAnsi="宋体" w:eastAsia="宋体" w:cs="宋体"/>
          <w:color w:val="auto"/>
          <w:sz w:val="21"/>
          <w:szCs w:val="21"/>
          <w:highlight w:val="none"/>
          <w:u w:val="single"/>
        </w:rPr>
        <w:t xml:space="preserve"> 年 月 日</w:t>
      </w:r>
      <w:r>
        <w:rPr>
          <w:rFonts w:hint="eastAsia" w:ascii="宋体" w:hAnsi="宋体" w:eastAsia="宋体" w:cs="宋体"/>
          <w:color w:val="auto"/>
          <w:sz w:val="21"/>
          <w:szCs w:val="21"/>
          <w:highlight w:val="none"/>
        </w:rPr>
        <w:t>签署本文件，</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年 月 日</w:t>
      </w:r>
      <w:r>
        <w:rPr>
          <w:rFonts w:hint="eastAsia" w:ascii="宋体" w:hAnsi="宋体" w:eastAsia="宋体" w:cs="宋体"/>
          <w:color w:val="auto"/>
          <w:sz w:val="21"/>
          <w:szCs w:val="21"/>
          <w:highlight w:val="none"/>
        </w:rPr>
        <w:t>接受</w:t>
      </w:r>
    </w:p>
    <w:p w14:paraId="1AC7D3E2">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此件，以此为证。</w:t>
      </w:r>
    </w:p>
    <w:p w14:paraId="708A13BD">
      <w:pPr>
        <w:pStyle w:val="5"/>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制造商（境内总代理商）名称： </w:t>
      </w:r>
    </w:p>
    <w:p w14:paraId="1B289153">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（单位公章）：</w:t>
      </w:r>
    </w:p>
    <w:p w14:paraId="656F2A1B">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签字人职务和部门：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签字人职务和部门： </w:t>
      </w:r>
    </w:p>
    <w:p w14:paraId="6987F0BC">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签字人签字：</w:t>
      </w:r>
    </w:p>
    <w:p w14:paraId="22A90759">
      <w:pPr>
        <w:rPr>
          <w:rFonts w:hint="eastAsia" w:ascii="宋体" w:hAnsi="宋体" w:eastAsia="宋体" w:cs="宋体"/>
          <w:b/>
          <w:bCs/>
          <w:color w:val="auto"/>
          <w:spacing w:val="-2"/>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b/>
          <w:bCs/>
          <w:color w:val="auto"/>
          <w:spacing w:val="-2"/>
          <w:sz w:val="24"/>
          <w:szCs w:val="24"/>
          <w:lang w:eastAsia="zh-CN"/>
          <w14:textOutline w14:w="4358" w14:cap="sq" w14:cmpd="sng">
            <w14:solidFill>
              <w14:srgbClr w14:val="000000"/>
            </w14:solidFill>
            <w14:prstDash w14:val="solid"/>
            <w14:bevel/>
          </w14:textOutline>
        </w:rPr>
        <w:br w:type="page"/>
      </w:r>
    </w:p>
    <w:p w14:paraId="56D81B21">
      <w:pPr>
        <w:spacing w:before="182" w:line="221" w:lineRule="auto"/>
        <w:outlineLvl w:val="9"/>
        <w:rPr>
          <w:rFonts w:hint="eastAsia" w:ascii="宋体" w:hAnsi="宋体" w:eastAsia="宋体" w:cs="宋体"/>
          <w:b/>
          <w:bCs/>
          <w:color w:val="auto"/>
          <w:spacing w:val="-2"/>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b/>
          <w:bCs/>
          <w:color w:val="auto"/>
          <w:spacing w:val="-2"/>
          <w:sz w:val="24"/>
          <w:szCs w:val="24"/>
          <w:lang w:eastAsia="zh-CN"/>
          <w14:textOutline w14:w="4358" w14:cap="sq" w14:cmpd="sng">
            <w14:solidFill>
              <w14:srgbClr w14:val="000000"/>
            </w14:solidFill>
            <w14:prstDash w14:val="solid"/>
            <w14:bevel/>
          </w14:textOutline>
        </w:rPr>
        <w:t>格式</w:t>
      </w:r>
      <w:r>
        <w:rPr>
          <w:rFonts w:hint="eastAsia" w:ascii="宋体" w:hAnsi="宋体" w:eastAsia="宋体" w:cs="宋体"/>
          <w:b/>
          <w:bCs/>
          <w:color w:val="auto"/>
          <w:spacing w:val="-2"/>
          <w:sz w:val="24"/>
          <w:szCs w:val="24"/>
          <w14:textOutline w14:w="4358" w14:cap="sq" w14:cmpd="sng">
            <w14:solidFill>
              <w14:srgbClr w14:val="000000"/>
            </w14:solidFill>
            <w14:prstDash w14:val="solid"/>
            <w14:bevel/>
          </w14:textOutline>
        </w:rPr>
        <w:t>十</w:t>
      </w:r>
      <w:r>
        <w:rPr>
          <w:rFonts w:hint="eastAsia" w:ascii="宋体" w:hAnsi="宋体" w:eastAsia="宋体" w:cs="宋体"/>
          <w:b/>
          <w:bCs/>
          <w:color w:val="auto"/>
          <w:spacing w:val="-2"/>
          <w:sz w:val="24"/>
          <w:szCs w:val="24"/>
          <w:lang w:eastAsia="zh-CN"/>
          <w14:textOutline w14:w="4358" w14:cap="sq" w14:cmpd="sng">
            <w14:solidFill>
              <w14:srgbClr w14:val="000000"/>
            </w14:solidFill>
            <w14:prstDash w14:val="solid"/>
            <w14:bevel/>
          </w14:textOutline>
        </w:rPr>
        <w:t>三：招标文件要求提供或供应商认为需要提供的其它材料</w:t>
      </w:r>
    </w:p>
    <w:p w14:paraId="13E8399B">
      <w:pPr>
        <w:rPr>
          <w:rFonts w:hint="eastAsia" w:ascii="宋体" w:hAnsi="宋体" w:eastAsia="宋体" w:cs="宋体"/>
          <w:b/>
          <w:bCs/>
          <w:color w:val="auto"/>
          <w:spacing w:val="-2"/>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b/>
          <w:bCs/>
          <w:color w:val="auto"/>
          <w:spacing w:val="-2"/>
          <w:sz w:val="24"/>
          <w:szCs w:val="24"/>
          <w:lang w:eastAsia="zh-CN"/>
          <w14:textOutline w14:w="4358" w14:cap="sq" w14:cmpd="sng">
            <w14:solidFill>
              <w14:srgbClr w14:val="000000"/>
            </w14:solidFill>
            <w14:prstDash w14:val="solid"/>
            <w14:bevel/>
          </w14:textOutline>
        </w:rPr>
        <w:br w:type="page"/>
      </w:r>
    </w:p>
    <w:p w14:paraId="7F5E8987">
      <w:pPr>
        <w:spacing w:before="182" w:line="221" w:lineRule="auto"/>
        <w:outlineLvl w:val="9"/>
        <w:rPr>
          <w:rFonts w:hint="eastAsia" w:ascii="宋体" w:hAnsi="宋体" w:eastAsia="宋体" w:cs="宋体"/>
          <w:b/>
          <w:bCs/>
          <w:color w:val="auto"/>
          <w:spacing w:val="-2"/>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b/>
          <w:bCs/>
          <w:color w:val="auto"/>
          <w:spacing w:val="-2"/>
          <w:sz w:val="24"/>
          <w:szCs w:val="24"/>
          <w:lang w:val="en-US" w:eastAsia="zh-CN"/>
          <w14:textOutline w14:w="4358" w14:cap="sq" w14:cmpd="sng">
            <w14:solidFill>
              <w14:srgbClr w14:val="000000"/>
            </w14:solidFill>
            <w14:prstDash w14:val="solid"/>
            <w14:bevel/>
          </w14:textOutline>
        </w:rPr>
        <w:t>附件：承诺书</w:t>
      </w:r>
    </w:p>
    <w:p w14:paraId="163428CE">
      <w:pPr>
        <w:spacing w:before="182" w:line="221" w:lineRule="auto"/>
        <w:outlineLvl w:val="9"/>
        <w:rPr>
          <w:rFonts w:hint="eastAsia" w:ascii="宋体" w:hAnsi="宋体" w:eastAsia="宋体" w:cs="宋体"/>
          <w:b/>
          <w:bCs/>
          <w:color w:val="auto"/>
          <w:spacing w:val="-2"/>
          <w:sz w:val="24"/>
          <w:szCs w:val="24"/>
          <w:lang w:val="en-US" w:eastAsia="zh-CN"/>
          <w14:textOutline w14:w="4358" w14:cap="sq" w14:cmpd="sng">
            <w14:solidFill>
              <w14:srgbClr w14:val="000000"/>
            </w14:solidFill>
            <w14:prstDash w14:val="solid"/>
            <w14:bevel/>
          </w14:textOutline>
        </w:rPr>
      </w:pPr>
    </w:p>
    <w:p w14:paraId="0D5753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承诺函1</w:t>
      </w:r>
    </w:p>
    <w:p w14:paraId="7B1F05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5160916C">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保证所递交的投标文件（包括所有资格证明文件、技术文件、商务文件）所提供的信息、资料、数据、声明均是真实、准确、完整和合法的，不存在任何虚假、隐瞒或误导性陈述。我方对因提供不真实资料或虚假承诺所引起的一切后果承担全部法律责任。</w:t>
      </w:r>
    </w:p>
    <w:p w14:paraId="789C03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0DCE65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03C085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供应商（盖公章）：</w:t>
      </w:r>
    </w:p>
    <w:p w14:paraId="77A294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法定代表人或被授权人（签字并盖章）：</w:t>
      </w:r>
    </w:p>
    <w:p w14:paraId="183A83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336632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370512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75D67D8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25D5F1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承诺函2</w:t>
      </w:r>
    </w:p>
    <w:p w14:paraId="3B9540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0A4E75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保证投标所有参数即为验收参数，如验收中有任何一项参数与投标参数（包括星号参数，三角号参数，一般性参数）不一致，即判定中标无效，保证金没收，所投产品及投标公司列入黑名单，上报不良事件系统，赔偿医院因为虚假投标造成的经济损失中标价的30%，并承担相应的法律责任。</w:t>
      </w:r>
    </w:p>
    <w:p w14:paraId="37DD12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24FF05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供应商（盖公章）：</w:t>
      </w:r>
    </w:p>
    <w:p w14:paraId="300614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法定代表人或被授权人（签字并盖章）：</w:t>
      </w:r>
    </w:p>
    <w:p w14:paraId="63B94C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06CFF9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0C7621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72C65BB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6F24B0C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承诺函3</w:t>
      </w:r>
      <w:r>
        <w:rPr>
          <w:rFonts w:hint="eastAsia" w:asciiTheme="minorEastAsia" w:hAnsiTheme="minorEastAsia" w:eastAsiaTheme="minorEastAsia" w:cstheme="minorEastAsia"/>
          <w:b/>
          <w:bCs/>
          <w:sz w:val="24"/>
          <w:szCs w:val="24"/>
        </w:rPr>
        <w:t xml:space="preserve"> </w:t>
      </w:r>
    </w:p>
    <w:p w14:paraId="043191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1.报价合理性承诺  </w:t>
      </w:r>
    </w:p>
    <w:p w14:paraId="699C579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我方投标报价（总价/分项报价）均严格按照市场行情及企业成本核算，不低于实际生产成本，不存在恶意低价竞争或低于成本价投标的行为。  </w:t>
      </w:r>
    </w:p>
    <w:p w14:paraId="222489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成本构成真实性承诺</w:t>
      </w:r>
    </w:p>
    <w:p w14:paraId="75EDC4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我方承诺投标报价已涵盖设备材料费、人工费、运输费、税费、管理费及合理利润等全部成本，并保证相关数据真实、可追溯。  </w:t>
      </w:r>
    </w:p>
    <w:p w14:paraId="48D4CA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 履约能力承诺 </w:t>
      </w:r>
    </w:p>
    <w:p w14:paraId="1A11CC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如中标，我方将严格按照投标报价及合同约定履行义务，确保设备质量、供货周期及售后服务，不以任何理由要求追加合同价款或降低质量标准。  </w:t>
      </w:r>
    </w:p>
    <w:p w14:paraId="765DDD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 接受核查承诺 </w:t>
      </w:r>
    </w:p>
    <w:p w14:paraId="464D0F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如招标人或监管部门对投标报价的合理性提出质疑，我方愿意配合提供成本核算依据（如原材料采购凭证、生产成本明细等）以供审查。  </w:t>
      </w:r>
    </w:p>
    <w:p w14:paraId="4F0D66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 违约责任  </w:t>
      </w:r>
    </w:p>
    <w:p w14:paraId="41FC29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若发现我方存在低于成本价投标或虚假报价行为，自愿承担以下责任：  </w:t>
      </w:r>
    </w:p>
    <w:p w14:paraId="21ACD0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投标保证金被没收；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取消中标资格；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列入不良记录名单或限制参与采购活动；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赔偿招标人因此造成的损失。  </w:t>
      </w:r>
    </w:p>
    <w:p w14:paraId="0405A5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055E67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供应商（盖公章）：</w:t>
      </w:r>
    </w:p>
    <w:p w14:paraId="0E2E968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法定代表人或被授权人（签字并盖章）：</w:t>
      </w:r>
    </w:p>
    <w:p w14:paraId="0F99B5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7DD4A61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58AF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b w:val="0"/>
          <w:bCs w:val="0"/>
          <w:sz w:val="45"/>
          <w:szCs w:val="45"/>
        </w:rPr>
      </w:pPr>
      <w:r>
        <w:rPr>
          <w:b w:val="0"/>
          <w:bCs w:val="0"/>
          <w:sz w:val="45"/>
          <w:szCs w:val="45"/>
        </w:rPr>
        <w:t>关于推动解决政府采购异常低价问题的通知</w:t>
      </w:r>
    </w:p>
    <w:p w14:paraId="1033EE3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财库〔2026〕2号</w:t>
      </w:r>
    </w:p>
    <w:p w14:paraId="2909C2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各中央预算单位，各省、自治区、直辖市、计划单列市财政厅（局），新疆生产建设兵团财政局： </w:t>
      </w:r>
    </w:p>
    <w:p w14:paraId="0AEE62C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为整治政府采购领域“内卷式”竞争，形成优质优价、良性竞争的市场秩序，现就推动解决政府采购异常低价问题有关事项通知如下： </w:t>
      </w:r>
    </w:p>
    <w:p w14:paraId="24A0C8C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一、加强政府采购需求管理 </w:t>
      </w:r>
    </w:p>
    <w:p w14:paraId="7DB37C0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 </w:t>
      </w:r>
    </w:p>
    <w:p w14:paraId="14034C1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 </w:t>
      </w:r>
    </w:p>
    <w:p w14:paraId="6793413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 </w:t>
      </w:r>
    </w:p>
    <w:p w14:paraId="64D2B47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二、强化政府采购异常低价审查 </w:t>
      </w:r>
    </w:p>
    <w:p w14:paraId="64FCFF6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（一）采购人应当在采购文件中明确，政府采购评审中出现下列情形之一的，评审委员会应当启动异常低价投标（响应）审查程序： </w:t>
      </w:r>
    </w:p>
    <w:p w14:paraId="6281A34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1.投标（响应）报价低于全部通过符合性审查供应商投标（响应）报价平均值50%的，即投标（响应）报价&lt;全部通过符合性审查供应商投标（响应）报价平均值×50%； </w:t>
      </w:r>
    </w:p>
    <w:p w14:paraId="353C15E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2.投标（响应）报价低于通过符合性审查的次低报价供应商投标（响应）报价50%的，即投标（响应）报价&lt;通过符合性审查的次低报价供应商投标（响应）报价×50%； </w:t>
      </w:r>
    </w:p>
    <w:p w14:paraId="541D032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3.投标（响应）报价低于采购项目最高限价45%的，即投标（响应）报价&lt;采购项目最高限价×45%； </w:t>
      </w:r>
    </w:p>
    <w:p w14:paraId="3A0345E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4.评审委员会基于专业判断，认为供应商报价过低，有可能影响产品质量或者不能诚信履约的其他情形。 </w:t>
      </w:r>
    </w:p>
    <w:p w14:paraId="51E50B7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采购人可以结合具体项目实际情况，提高上述第1项至第3项中启动异常低价投标（响应）审查的数值标准，但是最高不得超过65%。 </w:t>
      </w:r>
    </w:p>
    <w:p w14:paraId="6018D11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相关法律法规对供应商报价有规定的，从其规定。 </w:t>
      </w:r>
    </w:p>
    <w:p w14:paraId="26FE2F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240897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6841AE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63B951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异常低价投标（响应）审查的启动原因、审查意见和审查结果应当在评审报告中记录，并随供应商提供的相关书面说明及证明材料，以及评审委员会有关互联网浏览、查询历史一并归档。 </w:t>
      </w:r>
    </w:p>
    <w:p w14:paraId="6BA7344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3D74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三、加强政府采购履约验收管理 </w:t>
      </w:r>
    </w:p>
    <w:p w14:paraId="16FD79C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 </w:t>
      </w:r>
    </w:p>
    <w:p w14:paraId="5E55908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 </w:t>
      </w:r>
    </w:p>
    <w:p w14:paraId="2A9986C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sz w:val="24"/>
          <w:szCs w:val="24"/>
        </w:rPr>
      </w:pPr>
      <w:r>
        <w:rPr>
          <w:rFonts w:hint="eastAsia" w:ascii="宋体" w:hAnsi="宋体" w:eastAsia="宋体" w:cs="宋体"/>
          <w:sz w:val="24"/>
          <w:szCs w:val="24"/>
        </w:rPr>
        <w:t>　　本通知自2026年2月1日起施行。 </w:t>
      </w:r>
    </w:p>
    <w:p w14:paraId="02C197A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right"/>
        <w:rPr>
          <w:rFonts w:hint="eastAsia" w:ascii="宋体" w:hAnsi="宋体" w:eastAsia="宋体" w:cs="宋体"/>
          <w:sz w:val="24"/>
          <w:szCs w:val="24"/>
        </w:rPr>
      </w:pPr>
      <w:r>
        <w:rPr>
          <w:rFonts w:hint="eastAsia" w:ascii="宋体" w:hAnsi="宋体" w:eastAsia="宋体" w:cs="宋体"/>
          <w:sz w:val="24"/>
          <w:szCs w:val="24"/>
        </w:rPr>
        <w:t>财政部</w:t>
      </w:r>
    </w:p>
    <w:p w14:paraId="3C982AB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right"/>
      </w:pPr>
      <w:r>
        <w:rPr>
          <w:rFonts w:hint="eastAsia" w:ascii="宋体" w:hAnsi="宋体" w:eastAsia="宋体" w:cs="宋体"/>
          <w:sz w:val="24"/>
          <w:szCs w:val="24"/>
        </w:rPr>
        <w:t>2026年1月14日</w:t>
      </w:r>
    </w:p>
    <w:p w14:paraId="008E4284">
      <w:pPr>
        <w:rPr>
          <w:rFonts w:hint="eastAsia" w:ascii="宋体" w:hAnsi="宋体" w:eastAsia="宋体" w:cs="宋体"/>
          <w:b/>
          <w:bCs/>
          <w:color w:val="auto"/>
          <w:spacing w:val="-2"/>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b/>
          <w:bCs/>
          <w:color w:val="auto"/>
          <w:spacing w:val="-2"/>
          <w:sz w:val="24"/>
          <w:szCs w:val="24"/>
          <w:lang w:val="en-US" w:eastAsia="zh-CN"/>
          <w14:textOutline w14:w="4358" w14:cap="sq" w14:cmpd="sng">
            <w14:solidFill>
              <w14:srgbClr w14:val="000000"/>
            </w14:solidFill>
            <w14:prstDash w14:val="solid"/>
            <w14:bevel/>
          </w14:textOutline>
        </w:rPr>
        <w:t>注：本项目启动异常低价投标（响应）审查的数值标准为60%。</w:t>
      </w:r>
      <w:r>
        <w:rPr>
          <w:rFonts w:hint="eastAsia" w:ascii="宋体" w:hAnsi="宋体" w:eastAsia="宋体" w:cs="宋体"/>
          <w:b/>
          <w:bCs/>
          <w:color w:val="auto"/>
          <w:spacing w:val="-2"/>
          <w:sz w:val="24"/>
          <w:szCs w:val="24"/>
          <w:lang w:eastAsia="zh-CN"/>
          <w14:textOutline w14:w="4358" w14:cap="sq" w14:cmpd="sng">
            <w14:solidFill>
              <w14:srgbClr w14:val="000000"/>
            </w14:solidFill>
            <w14:prstDash w14:val="solid"/>
            <w14:bevel/>
          </w14:textOutline>
        </w:rPr>
        <w:br w:type="page"/>
      </w:r>
    </w:p>
    <w:p w14:paraId="26CD403F">
      <w:pPr>
        <w:spacing w:before="182" w:line="221" w:lineRule="auto"/>
        <w:jc w:val="center"/>
        <w:outlineLvl w:val="9"/>
        <w:rPr>
          <w:rFonts w:hint="eastAsia" w:ascii="宋体" w:hAnsi="宋体" w:eastAsia="宋体" w:cs="宋体"/>
          <w:b/>
          <w:bCs/>
          <w:color w:val="auto"/>
          <w:spacing w:val="-2"/>
          <w:sz w:val="32"/>
          <w:szCs w:val="32"/>
          <w:lang w:eastAsia="zh-CN"/>
          <w14:textOutline w14:w="4358" w14:cap="sq" w14:cmpd="sng">
            <w14:solidFill>
              <w14:srgbClr w14:val="000000"/>
            </w14:solidFill>
            <w14:prstDash w14:val="solid"/>
            <w14:bevel/>
          </w14:textOutline>
        </w:rPr>
      </w:pPr>
      <w:r>
        <w:rPr>
          <w:rFonts w:hint="eastAsia" w:ascii="宋体" w:hAnsi="宋体" w:eastAsia="宋体" w:cs="宋体"/>
          <w:b/>
          <w:bCs/>
          <w:color w:val="auto"/>
          <w:spacing w:val="-2"/>
          <w:sz w:val="32"/>
          <w:szCs w:val="32"/>
          <w:lang w:eastAsia="zh-CN"/>
          <w14:textOutline w14:w="4358" w14:cap="sq" w14:cmpd="sng">
            <w14:solidFill>
              <w14:srgbClr w14:val="000000"/>
            </w14:solidFill>
            <w14:prstDash w14:val="solid"/>
            <w14:bevel/>
          </w14:textOutline>
        </w:rPr>
        <w:t>暗标部分</w:t>
      </w:r>
    </w:p>
    <w:p w14:paraId="01ED8E96">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p>
    <w:p w14:paraId="017987D0">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技术标文件（暗标）未按以下“盲评”要求制作的，为无效投标，除下述要求外，不得因暗标格式问题认定为无效投标：</w:t>
      </w:r>
    </w:p>
    <w:p w14:paraId="6031AFD4">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1.版面要求：A4纸张大小；</w:t>
      </w:r>
    </w:p>
    <w:p w14:paraId="39038419">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2.颜色要求：所有文字、图表均为黑色；</w:t>
      </w:r>
    </w:p>
    <w:p w14:paraId="4E8F330A">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3.字体要求：标题及正文部分所用文字均采用“宋体”四号“常规”字；图、表内的字体及字号不作要求；全部使用中文标点符号；所有字体均不得出现加粗、加色、倾斜、下划线等标记；</w:t>
      </w:r>
    </w:p>
    <w:p w14:paraId="45D7BF8A">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05B45B10">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5.其它：除满足上述各项要求外，构成投标文件的“技术暗标”的正文中均不得出现供应商的名称和其它可识别供应商身份的字符、徽标、人员名称以及其他可能被辨别出供应商身份的任何标记。</w:t>
      </w:r>
    </w:p>
    <w:p w14:paraId="3021850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heme="minorEastAsia" w:hAnsiTheme="minorEastAsia" w:eastAsiaTheme="minorEastAsia" w:cstheme="minorEastAsia"/>
          <w:sz w:val="24"/>
          <w:szCs w:val="24"/>
          <w:lang w:val="en-US" w:eastAsia="zh-CN"/>
        </w:rPr>
      </w:pPr>
    </w:p>
    <w:sectPr>
      <w:footerReference r:id="rId5" w:type="default"/>
      <w:pgSz w:w="11906" w:h="16839"/>
      <w:pgMar w:top="1440" w:right="1253" w:bottom="1440" w:left="1253" w:header="227" w:footer="90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C3B5">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D493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D493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7CD86"/>
    <w:multiLevelType w:val="singleLevel"/>
    <w:tmpl w:val="A7B7CD86"/>
    <w:lvl w:ilvl="0" w:tentative="0">
      <w:start w:val="17"/>
      <w:numFmt w:val="chineseCounting"/>
      <w:suff w:val="nothing"/>
      <w:lvlText w:val="%1、"/>
      <w:lvlJc w:val="left"/>
      <w:rPr>
        <w:rFonts w:hint="eastAsia"/>
      </w:rPr>
    </w:lvl>
  </w:abstractNum>
  <w:abstractNum w:abstractNumId="1">
    <w:nsid w:val="F05D4DB6"/>
    <w:multiLevelType w:val="singleLevel"/>
    <w:tmpl w:val="F05D4DB6"/>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NiZTc2ZGI4ODRjMTRjMzAzYzljNTM1ZjY3YTRmZmIifQ=="/>
  </w:docVars>
  <w:rsids>
    <w:rsidRoot w:val="00000000"/>
    <w:rsid w:val="0023368B"/>
    <w:rsid w:val="004672B9"/>
    <w:rsid w:val="00496DA9"/>
    <w:rsid w:val="00563274"/>
    <w:rsid w:val="006A1D80"/>
    <w:rsid w:val="007F0A1D"/>
    <w:rsid w:val="00991ADF"/>
    <w:rsid w:val="00D24F7B"/>
    <w:rsid w:val="00D72607"/>
    <w:rsid w:val="0103164E"/>
    <w:rsid w:val="01205D5C"/>
    <w:rsid w:val="013730A5"/>
    <w:rsid w:val="015B7B3A"/>
    <w:rsid w:val="0177566F"/>
    <w:rsid w:val="019D092B"/>
    <w:rsid w:val="01AF7DBD"/>
    <w:rsid w:val="01BF5575"/>
    <w:rsid w:val="01C0753F"/>
    <w:rsid w:val="01C404B1"/>
    <w:rsid w:val="01DD59FB"/>
    <w:rsid w:val="01F87C91"/>
    <w:rsid w:val="021D04ED"/>
    <w:rsid w:val="021F6013"/>
    <w:rsid w:val="026B3007"/>
    <w:rsid w:val="027029E7"/>
    <w:rsid w:val="028620BA"/>
    <w:rsid w:val="02873BBA"/>
    <w:rsid w:val="028C44B2"/>
    <w:rsid w:val="02BE582C"/>
    <w:rsid w:val="02DF57A3"/>
    <w:rsid w:val="02EA4479"/>
    <w:rsid w:val="03004097"/>
    <w:rsid w:val="03103BAE"/>
    <w:rsid w:val="03195159"/>
    <w:rsid w:val="03576C95"/>
    <w:rsid w:val="035B12CD"/>
    <w:rsid w:val="037C563F"/>
    <w:rsid w:val="038C76D9"/>
    <w:rsid w:val="0397679F"/>
    <w:rsid w:val="03B409DD"/>
    <w:rsid w:val="03E219EE"/>
    <w:rsid w:val="03E31959"/>
    <w:rsid w:val="03FB660C"/>
    <w:rsid w:val="041D47D5"/>
    <w:rsid w:val="04267B2D"/>
    <w:rsid w:val="042F6C22"/>
    <w:rsid w:val="04367644"/>
    <w:rsid w:val="043833BC"/>
    <w:rsid w:val="044B7594"/>
    <w:rsid w:val="045F4DED"/>
    <w:rsid w:val="047B7ABA"/>
    <w:rsid w:val="04A506F4"/>
    <w:rsid w:val="04AC0D20"/>
    <w:rsid w:val="04AD3DAA"/>
    <w:rsid w:val="04DE2623"/>
    <w:rsid w:val="04DF5F2E"/>
    <w:rsid w:val="04E92909"/>
    <w:rsid w:val="04F50FAA"/>
    <w:rsid w:val="05004B25"/>
    <w:rsid w:val="0532605E"/>
    <w:rsid w:val="053733E3"/>
    <w:rsid w:val="054D415F"/>
    <w:rsid w:val="05651CE3"/>
    <w:rsid w:val="0573173F"/>
    <w:rsid w:val="058E7052"/>
    <w:rsid w:val="05B318E9"/>
    <w:rsid w:val="05D14557"/>
    <w:rsid w:val="05DC443C"/>
    <w:rsid w:val="05EB5B14"/>
    <w:rsid w:val="060C4B01"/>
    <w:rsid w:val="061E65E2"/>
    <w:rsid w:val="06212B1B"/>
    <w:rsid w:val="0627193B"/>
    <w:rsid w:val="06293091"/>
    <w:rsid w:val="066A1827"/>
    <w:rsid w:val="067A1543"/>
    <w:rsid w:val="067A5F0E"/>
    <w:rsid w:val="06813F88"/>
    <w:rsid w:val="06A91F53"/>
    <w:rsid w:val="06BB2083"/>
    <w:rsid w:val="06CE625A"/>
    <w:rsid w:val="06D53145"/>
    <w:rsid w:val="06E96BF0"/>
    <w:rsid w:val="070752C8"/>
    <w:rsid w:val="070C1155"/>
    <w:rsid w:val="07283BBC"/>
    <w:rsid w:val="073C31C4"/>
    <w:rsid w:val="073C7F89"/>
    <w:rsid w:val="07504EC1"/>
    <w:rsid w:val="076C6777"/>
    <w:rsid w:val="077C7ECE"/>
    <w:rsid w:val="07A11279"/>
    <w:rsid w:val="07AE48F9"/>
    <w:rsid w:val="07BA233A"/>
    <w:rsid w:val="07C444C9"/>
    <w:rsid w:val="07DA4269"/>
    <w:rsid w:val="08052F9B"/>
    <w:rsid w:val="08060567"/>
    <w:rsid w:val="080762A1"/>
    <w:rsid w:val="081E0B1B"/>
    <w:rsid w:val="0828258E"/>
    <w:rsid w:val="082D6FB0"/>
    <w:rsid w:val="088A4403"/>
    <w:rsid w:val="08983D41"/>
    <w:rsid w:val="08B5322E"/>
    <w:rsid w:val="08C6173B"/>
    <w:rsid w:val="08D804E2"/>
    <w:rsid w:val="08E65E91"/>
    <w:rsid w:val="08EE00FB"/>
    <w:rsid w:val="09004368"/>
    <w:rsid w:val="090441B5"/>
    <w:rsid w:val="09246605"/>
    <w:rsid w:val="09306D58"/>
    <w:rsid w:val="094620D8"/>
    <w:rsid w:val="096609CC"/>
    <w:rsid w:val="0992356F"/>
    <w:rsid w:val="09945539"/>
    <w:rsid w:val="09975029"/>
    <w:rsid w:val="09B07E99"/>
    <w:rsid w:val="09CA2D09"/>
    <w:rsid w:val="09DB4F16"/>
    <w:rsid w:val="09F8748A"/>
    <w:rsid w:val="09FE6E56"/>
    <w:rsid w:val="0A4214C3"/>
    <w:rsid w:val="0A570314"/>
    <w:rsid w:val="0A621193"/>
    <w:rsid w:val="0A91541D"/>
    <w:rsid w:val="0AA7129C"/>
    <w:rsid w:val="0AB47515"/>
    <w:rsid w:val="0AB6245A"/>
    <w:rsid w:val="0AC260D6"/>
    <w:rsid w:val="0ACE4378"/>
    <w:rsid w:val="0AEF054D"/>
    <w:rsid w:val="0B1A7CC0"/>
    <w:rsid w:val="0B285819"/>
    <w:rsid w:val="0B3B4055"/>
    <w:rsid w:val="0B654EB1"/>
    <w:rsid w:val="0B655D05"/>
    <w:rsid w:val="0B6A1031"/>
    <w:rsid w:val="0BB023D2"/>
    <w:rsid w:val="0BF7590B"/>
    <w:rsid w:val="0C4B7AE2"/>
    <w:rsid w:val="0C564D28"/>
    <w:rsid w:val="0C686809"/>
    <w:rsid w:val="0C8E2713"/>
    <w:rsid w:val="0C9E2909"/>
    <w:rsid w:val="0CB67574"/>
    <w:rsid w:val="0CC872A8"/>
    <w:rsid w:val="0CEC568C"/>
    <w:rsid w:val="0D2D6C22"/>
    <w:rsid w:val="0D350DE1"/>
    <w:rsid w:val="0D366907"/>
    <w:rsid w:val="0D38442D"/>
    <w:rsid w:val="0D444B80"/>
    <w:rsid w:val="0D6945E7"/>
    <w:rsid w:val="0D921D8F"/>
    <w:rsid w:val="0D9D2160"/>
    <w:rsid w:val="0DAF6BAF"/>
    <w:rsid w:val="0DB549ED"/>
    <w:rsid w:val="0DC24706"/>
    <w:rsid w:val="0DCB5678"/>
    <w:rsid w:val="0DF26CD2"/>
    <w:rsid w:val="0DF465A6"/>
    <w:rsid w:val="0DF77E44"/>
    <w:rsid w:val="0DFA2938"/>
    <w:rsid w:val="0E27335E"/>
    <w:rsid w:val="0E315BFC"/>
    <w:rsid w:val="0E3C7F4D"/>
    <w:rsid w:val="0E6C1257"/>
    <w:rsid w:val="0E8F4521"/>
    <w:rsid w:val="0E9B2EC6"/>
    <w:rsid w:val="0EA16002"/>
    <w:rsid w:val="0EA45387"/>
    <w:rsid w:val="0EE04D7C"/>
    <w:rsid w:val="0EEF27B2"/>
    <w:rsid w:val="0EFA6181"/>
    <w:rsid w:val="0F071628"/>
    <w:rsid w:val="0F16254C"/>
    <w:rsid w:val="0F267565"/>
    <w:rsid w:val="0F407486"/>
    <w:rsid w:val="0F4948EC"/>
    <w:rsid w:val="0F661726"/>
    <w:rsid w:val="0F713C26"/>
    <w:rsid w:val="0FA05580"/>
    <w:rsid w:val="0FAB0EE6"/>
    <w:rsid w:val="0FBE7DA0"/>
    <w:rsid w:val="0FC05FDF"/>
    <w:rsid w:val="0FD77F2D"/>
    <w:rsid w:val="0FF90A42"/>
    <w:rsid w:val="101271B8"/>
    <w:rsid w:val="102D5D9F"/>
    <w:rsid w:val="10354C54"/>
    <w:rsid w:val="1053599C"/>
    <w:rsid w:val="105E1836"/>
    <w:rsid w:val="106A0DA2"/>
    <w:rsid w:val="106B4B1A"/>
    <w:rsid w:val="10863702"/>
    <w:rsid w:val="109B4C39"/>
    <w:rsid w:val="109E4EEF"/>
    <w:rsid w:val="10B2719D"/>
    <w:rsid w:val="10B4201D"/>
    <w:rsid w:val="10E072B6"/>
    <w:rsid w:val="10F92232"/>
    <w:rsid w:val="10FE773C"/>
    <w:rsid w:val="112C24FB"/>
    <w:rsid w:val="112C74C4"/>
    <w:rsid w:val="113B4BC4"/>
    <w:rsid w:val="116A6A33"/>
    <w:rsid w:val="117D4B05"/>
    <w:rsid w:val="11825E91"/>
    <w:rsid w:val="11965BC6"/>
    <w:rsid w:val="11AC0F46"/>
    <w:rsid w:val="11E931F7"/>
    <w:rsid w:val="120B3EBE"/>
    <w:rsid w:val="12107727"/>
    <w:rsid w:val="12235234"/>
    <w:rsid w:val="1237659B"/>
    <w:rsid w:val="12485112"/>
    <w:rsid w:val="124B075F"/>
    <w:rsid w:val="126026EB"/>
    <w:rsid w:val="12866648"/>
    <w:rsid w:val="1288550F"/>
    <w:rsid w:val="128F7200"/>
    <w:rsid w:val="12AA36D7"/>
    <w:rsid w:val="12CD1ABC"/>
    <w:rsid w:val="12F928B1"/>
    <w:rsid w:val="13124658"/>
    <w:rsid w:val="13206EE8"/>
    <w:rsid w:val="1323348A"/>
    <w:rsid w:val="132D60B6"/>
    <w:rsid w:val="133F712D"/>
    <w:rsid w:val="13427DB4"/>
    <w:rsid w:val="13566C69"/>
    <w:rsid w:val="1361772B"/>
    <w:rsid w:val="13893C35"/>
    <w:rsid w:val="13B50FA2"/>
    <w:rsid w:val="13C0517C"/>
    <w:rsid w:val="13D848ED"/>
    <w:rsid w:val="13FF5CA5"/>
    <w:rsid w:val="145E32EE"/>
    <w:rsid w:val="146A2CD4"/>
    <w:rsid w:val="146D70B2"/>
    <w:rsid w:val="14773EFA"/>
    <w:rsid w:val="148562AE"/>
    <w:rsid w:val="14AA20B4"/>
    <w:rsid w:val="14AF2A28"/>
    <w:rsid w:val="14B940A6"/>
    <w:rsid w:val="14EC032E"/>
    <w:rsid w:val="14ED0B7F"/>
    <w:rsid w:val="14F86AE3"/>
    <w:rsid w:val="14F87705"/>
    <w:rsid w:val="15093120"/>
    <w:rsid w:val="151E215B"/>
    <w:rsid w:val="15383038"/>
    <w:rsid w:val="154712A7"/>
    <w:rsid w:val="15595889"/>
    <w:rsid w:val="155B7A5E"/>
    <w:rsid w:val="155E138C"/>
    <w:rsid w:val="156965FF"/>
    <w:rsid w:val="157E709D"/>
    <w:rsid w:val="158F12AA"/>
    <w:rsid w:val="159863B1"/>
    <w:rsid w:val="159F14ED"/>
    <w:rsid w:val="15A20FDE"/>
    <w:rsid w:val="15BD5E17"/>
    <w:rsid w:val="15D370D2"/>
    <w:rsid w:val="16053650"/>
    <w:rsid w:val="1642631D"/>
    <w:rsid w:val="16832BBD"/>
    <w:rsid w:val="16842491"/>
    <w:rsid w:val="16A56DF3"/>
    <w:rsid w:val="16A807D9"/>
    <w:rsid w:val="16AE139D"/>
    <w:rsid w:val="16C60CFC"/>
    <w:rsid w:val="16C64858"/>
    <w:rsid w:val="16E178E4"/>
    <w:rsid w:val="16FA66B9"/>
    <w:rsid w:val="17242CEB"/>
    <w:rsid w:val="17423EB4"/>
    <w:rsid w:val="174F484D"/>
    <w:rsid w:val="1752623F"/>
    <w:rsid w:val="176440B4"/>
    <w:rsid w:val="178A3AD7"/>
    <w:rsid w:val="17967BF3"/>
    <w:rsid w:val="17A032FB"/>
    <w:rsid w:val="17AF79E2"/>
    <w:rsid w:val="17D2722C"/>
    <w:rsid w:val="17D46DFC"/>
    <w:rsid w:val="17DD62FD"/>
    <w:rsid w:val="18062C47"/>
    <w:rsid w:val="180E64B6"/>
    <w:rsid w:val="182932F0"/>
    <w:rsid w:val="184E71FB"/>
    <w:rsid w:val="187569EE"/>
    <w:rsid w:val="187C12F9"/>
    <w:rsid w:val="188D3F99"/>
    <w:rsid w:val="189015C1"/>
    <w:rsid w:val="1890511D"/>
    <w:rsid w:val="18B87B08"/>
    <w:rsid w:val="18BA63DF"/>
    <w:rsid w:val="18D47700"/>
    <w:rsid w:val="18DF42F7"/>
    <w:rsid w:val="18E54327"/>
    <w:rsid w:val="190134B3"/>
    <w:rsid w:val="190660FA"/>
    <w:rsid w:val="19301889"/>
    <w:rsid w:val="19406B43"/>
    <w:rsid w:val="19467ED2"/>
    <w:rsid w:val="196565AA"/>
    <w:rsid w:val="19771D42"/>
    <w:rsid w:val="197829AB"/>
    <w:rsid w:val="19866520"/>
    <w:rsid w:val="19AF3CC9"/>
    <w:rsid w:val="19C1642A"/>
    <w:rsid w:val="19C228B9"/>
    <w:rsid w:val="19C71013"/>
    <w:rsid w:val="19C82314"/>
    <w:rsid w:val="19E73D09"/>
    <w:rsid w:val="19EA6C51"/>
    <w:rsid w:val="19F06D81"/>
    <w:rsid w:val="1A0050F9"/>
    <w:rsid w:val="1A07140F"/>
    <w:rsid w:val="1A1E5813"/>
    <w:rsid w:val="1A3B37AF"/>
    <w:rsid w:val="1A5D1977"/>
    <w:rsid w:val="1A662DED"/>
    <w:rsid w:val="1A700CC5"/>
    <w:rsid w:val="1A9A68F5"/>
    <w:rsid w:val="1AB86BAD"/>
    <w:rsid w:val="1AE01E2B"/>
    <w:rsid w:val="1AE6371B"/>
    <w:rsid w:val="1B0D0CA7"/>
    <w:rsid w:val="1B1F09DB"/>
    <w:rsid w:val="1B26620D"/>
    <w:rsid w:val="1B2A75B7"/>
    <w:rsid w:val="1B5B2A1B"/>
    <w:rsid w:val="1B5C4729"/>
    <w:rsid w:val="1B8076CB"/>
    <w:rsid w:val="1BCF2401"/>
    <w:rsid w:val="1BE0460E"/>
    <w:rsid w:val="1BEE7EDE"/>
    <w:rsid w:val="1C00080C"/>
    <w:rsid w:val="1C0D11A1"/>
    <w:rsid w:val="1C1918CE"/>
    <w:rsid w:val="1C2838BF"/>
    <w:rsid w:val="1C2A4944"/>
    <w:rsid w:val="1C2E1D26"/>
    <w:rsid w:val="1C2E35CB"/>
    <w:rsid w:val="1C463DA5"/>
    <w:rsid w:val="1C4A5F2B"/>
    <w:rsid w:val="1C512E16"/>
    <w:rsid w:val="1C534D67"/>
    <w:rsid w:val="1C74338D"/>
    <w:rsid w:val="1C99656B"/>
    <w:rsid w:val="1C9A095A"/>
    <w:rsid w:val="1C9F0025"/>
    <w:rsid w:val="1CA53F74"/>
    <w:rsid w:val="1CAD6710"/>
    <w:rsid w:val="1CBA5EFE"/>
    <w:rsid w:val="1CC15839"/>
    <w:rsid w:val="1CC37C93"/>
    <w:rsid w:val="1CDF48C5"/>
    <w:rsid w:val="1CEB5018"/>
    <w:rsid w:val="1CEE6A7A"/>
    <w:rsid w:val="1CF00880"/>
    <w:rsid w:val="1D025CA0"/>
    <w:rsid w:val="1D26096A"/>
    <w:rsid w:val="1D3A1AFC"/>
    <w:rsid w:val="1D526E45"/>
    <w:rsid w:val="1D6D41EF"/>
    <w:rsid w:val="1D7019C1"/>
    <w:rsid w:val="1D7A639C"/>
    <w:rsid w:val="1D824F39"/>
    <w:rsid w:val="1D882C0E"/>
    <w:rsid w:val="1DBE7A88"/>
    <w:rsid w:val="1DCD2970"/>
    <w:rsid w:val="1DE62D5A"/>
    <w:rsid w:val="1DF60118"/>
    <w:rsid w:val="1E263544"/>
    <w:rsid w:val="1E2A65F0"/>
    <w:rsid w:val="1E3824DF"/>
    <w:rsid w:val="1E522E75"/>
    <w:rsid w:val="1E675982"/>
    <w:rsid w:val="1E761256"/>
    <w:rsid w:val="1E782E0B"/>
    <w:rsid w:val="1E827A99"/>
    <w:rsid w:val="1E84031A"/>
    <w:rsid w:val="1EA25BAA"/>
    <w:rsid w:val="1ED65854"/>
    <w:rsid w:val="1EDD307E"/>
    <w:rsid w:val="1F52137F"/>
    <w:rsid w:val="1F642E60"/>
    <w:rsid w:val="1F686DF4"/>
    <w:rsid w:val="1F747CA6"/>
    <w:rsid w:val="1F86727A"/>
    <w:rsid w:val="1F882F99"/>
    <w:rsid w:val="1F8B27BE"/>
    <w:rsid w:val="1F8E612F"/>
    <w:rsid w:val="1F923E71"/>
    <w:rsid w:val="1F9957E4"/>
    <w:rsid w:val="1F9E45C4"/>
    <w:rsid w:val="1FC0007F"/>
    <w:rsid w:val="1FCA53B9"/>
    <w:rsid w:val="1FE3647B"/>
    <w:rsid w:val="1FE66B94"/>
    <w:rsid w:val="1FF16DE9"/>
    <w:rsid w:val="1FF4576D"/>
    <w:rsid w:val="2039253E"/>
    <w:rsid w:val="204C4020"/>
    <w:rsid w:val="20607ACB"/>
    <w:rsid w:val="208714FC"/>
    <w:rsid w:val="20A976C4"/>
    <w:rsid w:val="20BD4A8B"/>
    <w:rsid w:val="20C0120F"/>
    <w:rsid w:val="20C2773C"/>
    <w:rsid w:val="20E06E5E"/>
    <w:rsid w:val="20F3093F"/>
    <w:rsid w:val="21211C11"/>
    <w:rsid w:val="212E1BFF"/>
    <w:rsid w:val="21583C6E"/>
    <w:rsid w:val="215F5FD5"/>
    <w:rsid w:val="216435EB"/>
    <w:rsid w:val="216655B5"/>
    <w:rsid w:val="216B6BBC"/>
    <w:rsid w:val="21B31E7D"/>
    <w:rsid w:val="21B7196D"/>
    <w:rsid w:val="21BE0F4D"/>
    <w:rsid w:val="21E8421C"/>
    <w:rsid w:val="22016145"/>
    <w:rsid w:val="221A4255"/>
    <w:rsid w:val="22502157"/>
    <w:rsid w:val="22573150"/>
    <w:rsid w:val="22682C67"/>
    <w:rsid w:val="226B2757"/>
    <w:rsid w:val="22715FC0"/>
    <w:rsid w:val="22A250A5"/>
    <w:rsid w:val="22E91FFA"/>
    <w:rsid w:val="22F83FEB"/>
    <w:rsid w:val="23143CC1"/>
    <w:rsid w:val="231A0405"/>
    <w:rsid w:val="231A09C1"/>
    <w:rsid w:val="233D0598"/>
    <w:rsid w:val="234916B7"/>
    <w:rsid w:val="234C4337"/>
    <w:rsid w:val="23570013"/>
    <w:rsid w:val="23C17404"/>
    <w:rsid w:val="23CA4839"/>
    <w:rsid w:val="23DA75D7"/>
    <w:rsid w:val="23E0270B"/>
    <w:rsid w:val="23E07FDE"/>
    <w:rsid w:val="23E67AE2"/>
    <w:rsid w:val="23ED482A"/>
    <w:rsid w:val="23EF6DDD"/>
    <w:rsid w:val="23FA1FE5"/>
    <w:rsid w:val="24107A5A"/>
    <w:rsid w:val="24194B61"/>
    <w:rsid w:val="242524B1"/>
    <w:rsid w:val="243472A5"/>
    <w:rsid w:val="24635DDC"/>
    <w:rsid w:val="2464432F"/>
    <w:rsid w:val="24704055"/>
    <w:rsid w:val="24804DBA"/>
    <w:rsid w:val="24AD2696"/>
    <w:rsid w:val="24D35DF1"/>
    <w:rsid w:val="24EB7C26"/>
    <w:rsid w:val="24ED38F7"/>
    <w:rsid w:val="24F353B2"/>
    <w:rsid w:val="250424A4"/>
    <w:rsid w:val="250639AE"/>
    <w:rsid w:val="251519E5"/>
    <w:rsid w:val="25184E18"/>
    <w:rsid w:val="2524184E"/>
    <w:rsid w:val="252E5396"/>
    <w:rsid w:val="254554E2"/>
    <w:rsid w:val="25506360"/>
    <w:rsid w:val="255C0AB5"/>
    <w:rsid w:val="25661C03"/>
    <w:rsid w:val="256F255E"/>
    <w:rsid w:val="2572277A"/>
    <w:rsid w:val="25755DC7"/>
    <w:rsid w:val="25916979"/>
    <w:rsid w:val="25965338"/>
    <w:rsid w:val="25A71CF8"/>
    <w:rsid w:val="25A93A08"/>
    <w:rsid w:val="25C94338"/>
    <w:rsid w:val="25D845A8"/>
    <w:rsid w:val="25F2111F"/>
    <w:rsid w:val="25FE400E"/>
    <w:rsid w:val="26067DCF"/>
    <w:rsid w:val="261F21D6"/>
    <w:rsid w:val="26452B65"/>
    <w:rsid w:val="265C59C2"/>
    <w:rsid w:val="266A16A4"/>
    <w:rsid w:val="267B78E3"/>
    <w:rsid w:val="26866038"/>
    <w:rsid w:val="26A655C9"/>
    <w:rsid w:val="26AF2BC2"/>
    <w:rsid w:val="26B26BA7"/>
    <w:rsid w:val="26D60AE7"/>
    <w:rsid w:val="26D62895"/>
    <w:rsid w:val="26E9773E"/>
    <w:rsid w:val="26EF1BA9"/>
    <w:rsid w:val="27037402"/>
    <w:rsid w:val="272C0707"/>
    <w:rsid w:val="275A1718"/>
    <w:rsid w:val="275D6B12"/>
    <w:rsid w:val="2762237B"/>
    <w:rsid w:val="2768476B"/>
    <w:rsid w:val="276F2332"/>
    <w:rsid w:val="27704BC2"/>
    <w:rsid w:val="27781B9E"/>
    <w:rsid w:val="277B168E"/>
    <w:rsid w:val="278C389C"/>
    <w:rsid w:val="27B23302"/>
    <w:rsid w:val="27CC5901"/>
    <w:rsid w:val="27E879B4"/>
    <w:rsid w:val="27F154AD"/>
    <w:rsid w:val="27F751B9"/>
    <w:rsid w:val="27FE387E"/>
    <w:rsid w:val="27FF406E"/>
    <w:rsid w:val="280478D6"/>
    <w:rsid w:val="28137B19"/>
    <w:rsid w:val="2814606A"/>
    <w:rsid w:val="2815563F"/>
    <w:rsid w:val="281D040D"/>
    <w:rsid w:val="28441260"/>
    <w:rsid w:val="285A74F6"/>
    <w:rsid w:val="28BC1F5F"/>
    <w:rsid w:val="28D15A0A"/>
    <w:rsid w:val="28DC7F0B"/>
    <w:rsid w:val="29253660"/>
    <w:rsid w:val="29345F99"/>
    <w:rsid w:val="29693E94"/>
    <w:rsid w:val="297840D8"/>
    <w:rsid w:val="29844D81"/>
    <w:rsid w:val="299D769A"/>
    <w:rsid w:val="29B042F2"/>
    <w:rsid w:val="29EA6657"/>
    <w:rsid w:val="29F80D74"/>
    <w:rsid w:val="2A0616E3"/>
    <w:rsid w:val="2A104310"/>
    <w:rsid w:val="2A1C0F07"/>
    <w:rsid w:val="2A23570F"/>
    <w:rsid w:val="2A297A9A"/>
    <w:rsid w:val="2A3738D4"/>
    <w:rsid w:val="2A3E70CF"/>
    <w:rsid w:val="2A41392A"/>
    <w:rsid w:val="2A650ECF"/>
    <w:rsid w:val="2A8C518D"/>
    <w:rsid w:val="2A9547AF"/>
    <w:rsid w:val="2AA45348"/>
    <w:rsid w:val="2AAA6513"/>
    <w:rsid w:val="2AAC062C"/>
    <w:rsid w:val="2AB253C7"/>
    <w:rsid w:val="2AB27175"/>
    <w:rsid w:val="2AB832E8"/>
    <w:rsid w:val="2AB96756"/>
    <w:rsid w:val="2AC31382"/>
    <w:rsid w:val="2AC55FB0"/>
    <w:rsid w:val="2ACA4636"/>
    <w:rsid w:val="2AD25A69"/>
    <w:rsid w:val="2AF22A8A"/>
    <w:rsid w:val="2AF648D6"/>
    <w:rsid w:val="2AF92FF6"/>
    <w:rsid w:val="2BAF1907"/>
    <w:rsid w:val="2BAF72AB"/>
    <w:rsid w:val="2BBF7A93"/>
    <w:rsid w:val="2BC01D66"/>
    <w:rsid w:val="2BEC66B7"/>
    <w:rsid w:val="2C043A01"/>
    <w:rsid w:val="2C280AEC"/>
    <w:rsid w:val="2C412EA7"/>
    <w:rsid w:val="2C536736"/>
    <w:rsid w:val="2C697D08"/>
    <w:rsid w:val="2C7D27E7"/>
    <w:rsid w:val="2C7F3EE9"/>
    <w:rsid w:val="2C844B41"/>
    <w:rsid w:val="2C98633C"/>
    <w:rsid w:val="2CA4338D"/>
    <w:rsid w:val="2CCB09C2"/>
    <w:rsid w:val="2CCE400E"/>
    <w:rsid w:val="2CD47877"/>
    <w:rsid w:val="2CDB3FD1"/>
    <w:rsid w:val="2CF477E4"/>
    <w:rsid w:val="2D0D4B37"/>
    <w:rsid w:val="2D1515DA"/>
    <w:rsid w:val="2D257E8D"/>
    <w:rsid w:val="2D261EE1"/>
    <w:rsid w:val="2D26209C"/>
    <w:rsid w:val="2D362FFF"/>
    <w:rsid w:val="2D493B59"/>
    <w:rsid w:val="2D4B56B9"/>
    <w:rsid w:val="2D4B63E2"/>
    <w:rsid w:val="2D590C84"/>
    <w:rsid w:val="2D594220"/>
    <w:rsid w:val="2D687FBF"/>
    <w:rsid w:val="2D766B80"/>
    <w:rsid w:val="2D934CE0"/>
    <w:rsid w:val="2DB4075A"/>
    <w:rsid w:val="2DB41456"/>
    <w:rsid w:val="2DD6761F"/>
    <w:rsid w:val="2DE95327"/>
    <w:rsid w:val="2DF83A39"/>
    <w:rsid w:val="2E185FB5"/>
    <w:rsid w:val="2E666BF4"/>
    <w:rsid w:val="2E731B80"/>
    <w:rsid w:val="2E903C71"/>
    <w:rsid w:val="2EB21E3A"/>
    <w:rsid w:val="2EB76944"/>
    <w:rsid w:val="2ED56201"/>
    <w:rsid w:val="2EF22236"/>
    <w:rsid w:val="2F063F34"/>
    <w:rsid w:val="2F1C72B3"/>
    <w:rsid w:val="2F1E127D"/>
    <w:rsid w:val="2F283EAA"/>
    <w:rsid w:val="2FFD0E93"/>
    <w:rsid w:val="30156353"/>
    <w:rsid w:val="30590093"/>
    <w:rsid w:val="305B205D"/>
    <w:rsid w:val="306B4E7D"/>
    <w:rsid w:val="3082583C"/>
    <w:rsid w:val="30AE4883"/>
    <w:rsid w:val="30E112EF"/>
    <w:rsid w:val="310817CD"/>
    <w:rsid w:val="31132938"/>
    <w:rsid w:val="31141CD2"/>
    <w:rsid w:val="31175F84"/>
    <w:rsid w:val="311C7A3E"/>
    <w:rsid w:val="312F7772"/>
    <w:rsid w:val="31336B36"/>
    <w:rsid w:val="313A63D7"/>
    <w:rsid w:val="313A7EC4"/>
    <w:rsid w:val="31501BFE"/>
    <w:rsid w:val="316B62D0"/>
    <w:rsid w:val="317F1B79"/>
    <w:rsid w:val="318006F6"/>
    <w:rsid w:val="31815AF3"/>
    <w:rsid w:val="31A17C21"/>
    <w:rsid w:val="31A43590"/>
    <w:rsid w:val="31B30944"/>
    <w:rsid w:val="31B9528D"/>
    <w:rsid w:val="31CE507B"/>
    <w:rsid w:val="31D0599A"/>
    <w:rsid w:val="31D82201"/>
    <w:rsid w:val="31E702F1"/>
    <w:rsid w:val="31F47267"/>
    <w:rsid w:val="31F91A85"/>
    <w:rsid w:val="31F91B2E"/>
    <w:rsid w:val="323D7C6C"/>
    <w:rsid w:val="324043DE"/>
    <w:rsid w:val="325B4596"/>
    <w:rsid w:val="3273368E"/>
    <w:rsid w:val="32737B32"/>
    <w:rsid w:val="32761D17"/>
    <w:rsid w:val="32892EB1"/>
    <w:rsid w:val="329F4483"/>
    <w:rsid w:val="32A41A99"/>
    <w:rsid w:val="32D6284F"/>
    <w:rsid w:val="32DD4FAB"/>
    <w:rsid w:val="32F973C0"/>
    <w:rsid w:val="33016EEC"/>
    <w:rsid w:val="33154F2C"/>
    <w:rsid w:val="332C66F3"/>
    <w:rsid w:val="3344649B"/>
    <w:rsid w:val="335C4122"/>
    <w:rsid w:val="33873125"/>
    <w:rsid w:val="33B273BE"/>
    <w:rsid w:val="33DF6B01"/>
    <w:rsid w:val="33F829BD"/>
    <w:rsid w:val="34052A0C"/>
    <w:rsid w:val="341E587B"/>
    <w:rsid w:val="342F3231"/>
    <w:rsid w:val="344252A6"/>
    <w:rsid w:val="34533777"/>
    <w:rsid w:val="34565015"/>
    <w:rsid w:val="345D45F6"/>
    <w:rsid w:val="34632FD8"/>
    <w:rsid w:val="34752158"/>
    <w:rsid w:val="34B25826"/>
    <w:rsid w:val="34BE3DF6"/>
    <w:rsid w:val="34DC16F4"/>
    <w:rsid w:val="34E338FA"/>
    <w:rsid w:val="34F71AF5"/>
    <w:rsid w:val="350902DA"/>
    <w:rsid w:val="352A07A7"/>
    <w:rsid w:val="35386E11"/>
    <w:rsid w:val="35475FE7"/>
    <w:rsid w:val="354B6B44"/>
    <w:rsid w:val="355A28E3"/>
    <w:rsid w:val="35635C3C"/>
    <w:rsid w:val="35727C2D"/>
    <w:rsid w:val="35814314"/>
    <w:rsid w:val="35D52E6A"/>
    <w:rsid w:val="35D94150"/>
    <w:rsid w:val="36160F00"/>
    <w:rsid w:val="36166205"/>
    <w:rsid w:val="362E7F7A"/>
    <w:rsid w:val="36326BCC"/>
    <w:rsid w:val="363A3E94"/>
    <w:rsid w:val="364C66D0"/>
    <w:rsid w:val="36504750"/>
    <w:rsid w:val="365E4655"/>
    <w:rsid w:val="367B6FB5"/>
    <w:rsid w:val="36813D31"/>
    <w:rsid w:val="36853990"/>
    <w:rsid w:val="36963DEF"/>
    <w:rsid w:val="36A06A1C"/>
    <w:rsid w:val="36C97D20"/>
    <w:rsid w:val="36D13079"/>
    <w:rsid w:val="36DD557A"/>
    <w:rsid w:val="36E83F1F"/>
    <w:rsid w:val="36EE59D9"/>
    <w:rsid w:val="36FE494E"/>
    <w:rsid w:val="370068A1"/>
    <w:rsid w:val="3715740A"/>
    <w:rsid w:val="37216138"/>
    <w:rsid w:val="37270EEB"/>
    <w:rsid w:val="3747333B"/>
    <w:rsid w:val="374E6478"/>
    <w:rsid w:val="375021F0"/>
    <w:rsid w:val="377C2FE5"/>
    <w:rsid w:val="378E2D18"/>
    <w:rsid w:val="379A16BD"/>
    <w:rsid w:val="37A02563"/>
    <w:rsid w:val="37A75B88"/>
    <w:rsid w:val="37C417AA"/>
    <w:rsid w:val="37CE75B8"/>
    <w:rsid w:val="37DA5F5D"/>
    <w:rsid w:val="38042FDA"/>
    <w:rsid w:val="380A7DA3"/>
    <w:rsid w:val="380F20AB"/>
    <w:rsid w:val="38194CD8"/>
    <w:rsid w:val="384D4981"/>
    <w:rsid w:val="384E39DC"/>
    <w:rsid w:val="38561A88"/>
    <w:rsid w:val="385B3AEC"/>
    <w:rsid w:val="38654816"/>
    <w:rsid w:val="38795776"/>
    <w:rsid w:val="38A50319"/>
    <w:rsid w:val="38B16CBE"/>
    <w:rsid w:val="38C8225A"/>
    <w:rsid w:val="38D33919"/>
    <w:rsid w:val="38D91C00"/>
    <w:rsid w:val="38DB3D3B"/>
    <w:rsid w:val="38E057F5"/>
    <w:rsid w:val="38EE3FD0"/>
    <w:rsid w:val="390B164A"/>
    <w:rsid w:val="391A6BCE"/>
    <w:rsid w:val="391E2E32"/>
    <w:rsid w:val="391E32EE"/>
    <w:rsid w:val="3930052B"/>
    <w:rsid w:val="395104A1"/>
    <w:rsid w:val="39570DCA"/>
    <w:rsid w:val="395A1104"/>
    <w:rsid w:val="39671A73"/>
    <w:rsid w:val="39814527"/>
    <w:rsid w:val="39867EC7"/>
    <w:rsid w:val="39882115"/>
    <w:rsid w:val="39D8471E"/>
    <w:rsid w:val="39EC3D26"/>
    <w:rsid w:val="39ED01CA"/>
    <w:rsid w:val="39F96B6F"/>
    <w:rsid w:val="39FD5F33"/>
    <w:rsid w:val="3A145757"/>
    <w:rsid w:val="3A231646"/>
    <w:rsid w:val="3A301DB0"/>
    <w:rsid w:val="3A323E2F"/>
    <w:rsid w:val="3A43603C"/>
    <w:rsid w:val="3A8B1822"/>
    <w:rsid w:val="3A8F1049"/>
    <w:rsid w:val="3A922B1F"/>
    <w:rsid w:val="3AB42A96"/>
    <w:rsid w:val="3AD9074E"/>
    <w:rsid w:val="3ADA6DA0"/>
    <w:rsid w:val="3B0532F1"/>
    <w:rsid w:val="3B2C6AD0"/>
    <w:rsid w:val="3B3008DD"/>
    <w:rsid w:val="3B395D3D"/>
    <w:rsid w:val="3B3D7269"/>
    <w:rsid w:val="3B5D39DD"/>
    <w:rsid w:val="3B6B584A"/>
    <w:rsid w:val="3B7A783B"/>
    <w:rsid w:val="3B7F12F6"/>
    <w:rsid w:val="3BA40D5C"/>
    <w:rsid w:val="3BB80364"/>
    <w:rsid w:val="3BC30E06"/>
    <w:rsid w:val="3BD638AC"/>
    <w:rsid w:val="3BDC04F6"/>
    <w:rsid w:val="3BDD7DCA"/>
    <w:rsid w:val="3BE4693D"/>
    <w:rsid w:val="3BEB0941"/>
    <w:rsid w:val="3BF13876"/>
    <w:rsid w:val="3BFD449E"/>
    <w:rsid w:val="3C7F541F"/>
    <w:rsid w:val="3C88580C"/>
    <w:rsid w:val="3CAC6DC6"/>
    <w:rsid w:val="3CAE0AD9"/>
    <w:rsid w:val="3CDD4CA7"/>
    <w:rsid w:val="3CEA4D9C"/>
    <w:rsid w:val="3CEE2AEC"/>
    <w:rsid w:val="3CFB6AD2"/>
    <w:rsid w:val="3D0C0967"/>
    <w:rsid w:val="3D0C4E0B"/>
    <w:rsid w:val="3D193084"/>
    <w:rsid w:val="3D250C0C"/>
    <w:rsid w:val="3D430101"/>
    <w:rsid w:val="3D65451B"/>
    <w:rsid w:val="3D934BE4"/>
    <w:rsid w:val="3D98229D"/>
    <w:rsid w:val="3DA202D5"/>
    <w:rsid w:val="3DD1570D"/>
    <w:rsid w:val="3DFC4E7F"/>
    <w:rsid w:val="3E077380"/>
    <w:rsid w:val="3E09759C"/>
    <w:rsid w:val="3E0D5290"/>
    <w:rsid w:val="3E184036"/>
    <w:rsid w:val="3E1D6BA4"/>
    <w:rsid w:val="3E38578C"/>
    <w:rsid w:val="3E394AAA"/>
    <w:rsid w:val="3E401741"/>
    <w:rsid w:val="3E630A5B"/>
    <w:rsid w:val="3E704F26"/>
    <w:rsid w:val="3E7853A0"/>
    <w:rsid w:val="3E802756"/>
    <w:rsid w:val="3EA3300B"/>
    <w:rsid w:val="3EE85404"/>
    <w:rsid w:val="3EF94F1B"/>
    <w:rsid w:val="3F0409FD"/>
    <w:rsid w:val="3F19380F"/>
    <w:rsid w:val="3F376F2D"/>
    <w:rsid w:val="3F7D044E"/>
    <w:rsid w:val="3FB2368A"/>
    <w:rsid w:val="3FD341E0"/>
    <w:rsid w:val="3FE43E1D"/>
    <w:rsid w:val="3FE94F8F"/>
    <w:rsid w:val="3FEC0F24"/>
    <w:rsid w:val="3FEE33F1"/>
    <w:rsid w:val="3FEF6007"/>
    <w:rsid w:val="3FFB1B7C"/>
    <w:rsid w:val="400A225F"/>
    <w:rsid w:val="40105938"/>
    <w:rsid w:val="40442B0E"/>
    <w:rsid w:val="40504C94"/>
    <w:rsid w:val="40774C91"/>
    <w:rsid w:val="407F2580"/>
    <w:rsid w:val="408077B7"/>
    <w:rsid w:val="40A13ABC"/>
    <w:rsid w:val="40D744E6"/>
    <w:rsid w:val="40EA7211"/>
    <w:rsid w:val="41197AF6"/>
    <w:rsid w:val="417E3DFD"/>
    <w:rsid w:val="4184563D"/>
    <w:rsid w:val="41874618"/>
    <w:rsid w:val="418D1221"/>
    <w:rsid w:val="418D1865"/>
    <w:rsid w:val="418D4436"/>
    <w:rsid w:val="41C90C29"/>
    <w:rsid w:val="41DF489C"/>
    <w:rsid w:val="42075BA1"/>
    <w:rsid w:val="420E33D3"/>
    <w:rsid w:val="422A6283"/>
    <w:rsid w:val="42310E70"/>
    <w:rsid w:val="423A41C8"/>
    <w:rsid w:val="42426100"/>
    <w:rsid w:val="424E2AAD"/>
    <w:rsid w:val="4255690C"/>
    <w:rsid w:val="42725710"/>
    <w:rsid w:val="42786A9F"/>
    <w:rsid w:val="428B0983"/>
    <w:rsid w:val="42E3660E"/>
    <w:rsid w:val="42F206F4"/>
    <w:rsid w:val="430573AB"/>
    <w:rsid w:val="430C00D7"/>
    <w:rsid w:val="431740F0"/>
    <w:rsid w:val="43853221"/>
    <w:rsid w:val="43993170"/>
    <w:rsid w:val="43A044FF"/>
    <w:rsid w:val="43AA712C"/>
    <w:rsid w:val="43BD12DC"/>
    <w:rsid w:val="43CF0940"/>
    <w:rsid w:val="43E20674"/>
    <w:rsid w:val="43F32881"/>
    <w:rsid w:val="43FD54AD"/>
    <w:rsid w:val="43FF1225"/>
    <w:rsid w:val="441F2BD9"/>
    <w:rsid w:val="444667B2"/>
    <w:rsid w:val="445826E4"/>
    <w:rsid w:val="44650D6D"/>
    <w:rsid w:val="446612A5"/>
    <w:rsid w:val="44722751"/>
    <w:rsid w:val="447B63D2"/>
    <w:rsid w:val="4482318C"/>
    <w:rsid w:val="448E4357"/>
    <w:rsid w:val="448E7C71"/>
    <w:rsid w:val="44915BF6"/>
    <w:rsid w:val="4493014A"/>
    <w:rsid w:val="44944532"/>
    <w:rsid w:val="44AA33B7"/>
    <w:rsid w:val="44B32010"/>
    <w:rsid w:val="44B55D88"/>
    <w:rsid w:val="44B77305"/>
    <w:rsid w:val="44C818B0"/>
    <w:rsid w:val="44CD1324"/>
    <w:rsid w:val="44DC50C3"/>
    <w:rsid w:val="4539487A"/>
    <w:rsid w:val="454C4A87"/>
    <w:rsid w:val="45796DB6"/>
    <w:rsid w:val="458F65D9"/>
    <w:rsid w:val="45976713"/>
    <w:rsid w:val="45EA1A61"/>
    <w:rsid w:val="45F4468E"/>
    <w:rsid w:val="464B1B2F"/>
    <w:rsid w:val="466730B2"/>
    <w:rsid w:val="46715CDF"/>
    <w:rsid w:val="46805F22"/>
    <w:rsid w:val="468C4CE0"/>
    <w:rsid w:val="46B7651C"/>
    <w:rsid w:val="46BA1434"/>
    <w:rsid w:val="46BB1594"/>
    <w:rsid w:val="46BF2EEE"/>
    <w:rsid w:val="46C6602A"/>
    <w:rsid w:val="46D94096"/>
    <w:rsid w:val="46E97F6B"/>
    <w:rsid w:val="46EB783F"/>
    <w:rsid w:val="46ED7A5B"/>
    <w:rsid w:val="46F420A2"/>
    <w:rsid w:val="471A6376"/>
    <w:rsid w:val="472F1E22"/>
    <w:rsid w:val="47325E96"/>
    <w:rsid w:val="473311E6"/>
    <w:rsid w:val="47392CA0"/>
    <w:rsid w:val="473D6DED"/>
    <w:rsid w:val="475961D3"/>
    <w:rsid w:val="477B46DA"/>
    <w:rsid w:val="47875211"/>
    <w:rsid w:val="478E4908"/>
    <w:rsid w:val="47A83982"/>
    <w:rsid w:val="47CB141F"/>
    <w:rsid w:val="47D26C51"/>
    <w:rsid w:val="47F866B8"/>
    <w:rsid w:val="480706A9"/>
    <w:rsid w:val="48085D43"/>
    <w:rsid w:val="480F3A01"/>
    <w:rsid w:val="48142AB6"/>
    <w:rsid w:val="48166DD0"/>
    <w:rsid w:val="48251A4B"/>
    <w:rsid w:val="482C45B3"/>
    <w:rsid w:val="482E1898"/>
    <w:rsid w:val="48391BF8"/>
    <w:rsid w:val="483A1816"/>
    <w:rsid w:val="48741AB6"/>
    <w:rsid w:val="487B2E45"/>
    <w:rsid w:val="4882187E"/>
    <w:rsid w:val="48AC74A2"/>
    <w:rsid w:val="48C209F6"/>
    <w:rsid w:val="48C52312"/>
    <w:rsid w:val="48C540C0"/>
    <w:rsid w:val="48D5496B"/>
    <w:rsid w:val="48E50A71"/>
    <w:rsid w:val="49042E3A"/>
    <w:rsid w:val="49113B8E"/>
    <w:rsid w:val="4933371F"/>
    <w:rsid w:val="496F169D"/>
    <w:rsid w:val="49A75C13"/>
    <w:rsid w:val="49C01457"/>
    <w:rsid w:val="49ED38CE"/>
    <w:rsid w:val="4A01737A"/>
    <w:rsid w:val="4A064990"/>
    <w:rsid w:val="4A163063"/>
    <w:rsid w:val="4A291449"/>
    <w:rsid w:val="4A2F2139"/>
    <w:rsid w:val="4A404346"/>
    <w:rsid w:val="4A6209BE"/>
    <w:rsid w:val="4A702F0E"/>
    <w:rsid w:val="4AD30D16"/>
    <w:rsid w:val="4AEA6060"/>
    <w:rsid w:val="4AF313B8"/>
    <w:rsid w:val="4B133808"/>
    <w:rsid w:val="4B5331A3"/>
    <w:rsid w:val="4B6127C6"/>
    <w:rsid w:val="4B63240D"/>
    <w:rsid w:val="4B7C61E8"/>
    <w:rsid w:val="4B92472D"/>
    <w:rsid w:val="4BC575D2"/>
    <w:rsid w:val="4BCA036B"/>
    <w:rsid w:val="4BCA58A8"/>
    <w:rsid w:val="4BCD1C09"/>
    <w:rsid w:val="4BE17747"/>
    <w:rsid w:val="4C1C493F"/>
    <w:rsid w:val="4C325F10"/>
    <w:rsid w:val="4C416153"/>
    <w:rsid w:val="4C433C79"/>
    <w:rsid w:val="4C5515D3"/>
    <w:rsid w:val="4C7C6027"/>
    <w:rsid w:val="4C83051A"/>
    <w:rsid w:val="4C9170DB"/>
    <w:rsid w:val="4C994B5B"/>
    <w:rsid w:val="4CC414CF"/>
    <w:rsid w:val="4CD945DE"/>
    <w:rsid w:val="4D0E0101"/>
    <w:rsid w:val="4D135D42"/>
    <w:rsid w:val="4D185106"/>
    <w:rsid w:val="4D1B69A4"/>
    <w:rsid w:val="4D381304"/>
    <w:rsid w:val="4D7762D0"/>
    <w:rsid w:val="4D820466"/>
    <w:rsid w:val="4D8602C2"/>
    <w:rsid w:val="4D956757"/>
    <w:rsid w:val="4D965582"/>
    <w:rsid w:val="4D9C7AE5"/>
    <w:rsid w:val="4DB0533F"/>
    <w:rsid w:val="4DB474E5"/>
    <w:rsid w:val="4DB841F3"/>
    <w:rsid w:val="4DE964F6"/>
    <w:rsid w:val="4E085512"/>
    <w:rsid w:val="4E1F24C4"/>
    <w:rsid w:val="4E616639"/>
    <w:rsid w:val="4E6C1DDD"/>
    <w:rsid w:val="4E8841B2"/>
    <w:rsid w:val="4E8A7B66"/>
    <w:rsid w:val="4E992277"/>
    <w:rsid w:val="4ED4505D"/>
    <w:rsid w:val="4ED65279"/>
    <w:rsid w:val="4EEF5311"/>
    <w:rsid w:val="4EFE20DA"/>
    <w:rsid w:val="4F18120D"/>
    <w:rsid w:val="4F22401A"/>
    <w:rsid w:val="4F396CDF"/>
    <w:rsid w:val="4F5C20BE"/>
    <w:rsid w:val="4FA93BA7"/>
    <w:rsid w:val="4FA964E9"/>
    <w:rsid w:val="4FC926E8"/>
    <w:rsid w:val="4FD47751"/>
    <w:rsid w:val="4FF621C9"/>
    <w:rsid w:val="4FF97471"/>
    <w:rsid w:val="501E6ED7"/>
    <w:rsid w:val="502E62AD"/>
    <w:rsid w:val="503A35E5"/>
    <w:rsid w:val="50472057"/>
    <w:rsid w:val="50502E09"/>
    <w:rsid w:val="506B7C43"/>
    <w:rsid w:val="50796B18"/>
    <w:rsid w:val="507F724A"/>
    <w:rsid w:val="50B96C00"/>
    <w:rsid w:val="50CC6933"/>
    <w:rsid w:val="50DB5F91"/>
    <w:rsid w:val="50E701E5"/>
    <w:rsid w:val="50E83041"/>
    <w:rsid w:val="50FE2865"/>
    <w:rsid w:val="512C5624"/>
    <w:rsid w:val="519531C9"/>
    <w:rsid w:val="51C222B6"/>
    <w:rsid w:val="51D75590"/>
    <w:rsid w:val="521C0191"/>
    <w:rsid w:val="5246463F"/>
    <w:rsid w:val="525E7A5F"/>
    <w:rsid w:val="52642B9B"/>
    <w:rsid w:val="529671F9"/>
    <w:rsid w:val="52A03BD4"/>
    <w:rsid w:val="52B23907"/>
    <w:rsid w:val="52B72CCB"/>
    <w:rsid w:val="52E2243E"/>
    <w:rsid w:val="531225F7"/>
    <w:rsid w:val="53195734"/>
    <w:rsid w:val="53226CDE"/>
    <w:rsid w:val="53236914"/>
    <w:rsid w:val="533267F6"/>
    <w:rsid w:val="537E1A3B"/>
    <w:rsid w:val="5382152B"/>
    <w:rsid w:val="538A03E0"/>
    <w:rsid w:val="53905437"/>
    <w:rsid w:val="53A574BD"/>
    <w:rsid w:val="53BA0CC5"/>
    <w:rsid w:val="541008E5"/>
    <w:rsid w:val="5415414D"/>
    <w:rsid w:val="54232D0E"/>
    <w:rsid w:val="54260108"/>
    <w:rsid w:val="54411979"/>
    <w:rsid w:val="544B4013"/>
    <w:rsid w:val="545F1302"/>
    <w:rsid w:val="549332C4"/>
    <w:rsid w:val="549D4B07"/>
    <w:rsid w:val="54C3004D"/>
    <w:rsid w:val="54D062C6"/>
    <w:rsid w:val="54E40928"/>
    <w:rsid w:val="55304730"/>
    <w:rsid w:val="55410F72"/>
    <w:rsid w:val="554C3B9F"/>
    <w:rsid w:val="5586381E"/>
    <w:rsid w:val="55916875"/>
    <w:rsid w:val="55926EB7"/>
    <w:rsid w:val="559339C7"/>
    <w:rsid w:val="55AF05D2"/>
    <w:rsid w:val="55B81195"/>
    <w:rsid w:val="55B81615"/>
    <w:rsid w:val="55E53FF3"/>
    <w:rsid w:val="55F12998"/>
    <w:rsid w:val="55F668FC"/>
    <w:rsid w:val="55FE21F1"/>
    <w:rsid w:val="561B17C3"/>
    <w:rsid w:val="561F3061"/>
    <w:rsid w:val="56224F72"/>
    <w:rsid w:val="56270168"/>
    <w:rsid w:val="56300645"/>
    <w:rsid w:val="56385A22"/>
    <w:rsid w:val="563F612D"/>
    <w:rsid w:val="56660C90"/>
    <w:rsid w:val="567A60C1"/>
    <w:rsid w:val="567C6182"/>
    <w:rsid w:val="56913258"/>
    <w:rsid w:val="569C6DA8"/>
    <w:rsid w:val="56C5742C"/>
    <w:rsid w:val="56DF63E7"/>
    <w:rsid w:val="56FE536D"/>
    <w:rsid w:val="5708799A"/>
    <w:rsid w:val="57174680"/>
    <w:rsid w:val="571D1301"/>
    <w:rsid w:val="5721781E"/>
    <w:rsid w:val="572A6725"/>
    <w:rsid w:val="572D7A00"/>
    <w:rsid w:val="572E2943"/>
    <w:rsid w:val="573568B4"/>
    <w:rsid w:val="57527466"/>
    <w:rsid w:val="57756282"/>
    <w:rsid w:val="577B69BD"/>
    <w:rsid w:val="57A103CF"/>
    <w:rsid w:val="57AE6D93"/>
    <w:rsid w:val="57B7551B"/>
    <w:rsid w:val="57CA16F3"/>
    <w:rsid w:val="57D367F9"/>
    <w:rsid w:val="582C7CB7"/>
    <w:rsid w:val="583059FA"/>
    <w:rsid w:val="586E7784"/>
    <w:rsid w:val="587F24DD"/>
    <w:rsid w:val="58A36161"/>
    <w:rsid w:val="58B56D36"/>
    <w:rsid w:val="58B8511B"/>
    <w:rsid w:val="58C95DE5"/>
    <w:rsid w:val="58ED7447"/>
    <w:rsid w:val="58F307D5"/>
    <w:rsid w:val="58F333FF"/>
    <w:rsid w:val="590F4734"/>
    <w:rsid w:val="591233E3"/>
    <w:rsid w:val="59387281"/>
    <w:rsid w:val="593B28A8"/>
    <w:rsid w:val="59653481"/>
    <w:rsid w:val="59A246D5"/>
    <w:rsid w:val="59D32AE1"/>
    <w:rsid w:val="59D863A9"/>
    <w:rsid w:val="59EE3A76"/>
    <w:rsid w:val="5A201A9E"/>
    <w:rsid w:val="5A2B391B"/>
    <w:rsid w:val="5A2E22FE"/>
    <w:rsid w:val="5A6B26EF"/>
    <w:rsid w:val="5A8D7133"/>
    <w:rsid w:val="5A9164F8"/>
    <w:rsid w:val="5AA7634B"/>
    <w:rsid w:val="5AA91A93"/>
    <w:rsid w:val="5AB1171C"/>
    <w:rsid w:val="5ADF6A4F"/>
    <w:rsid w:val="5B130FC6"/>
    <w:rsid w:val="5B1E5FDD"/>
    <w:rsid w:val="5B2027D8"/>
    <w:rsid w:val="5B242EC8"/>
    <w:rsid w:val="5B2555BE"/>
    <w:rsid w:val="5B2F02BD"/>
    <w:rsid w:val="5B412CC6"/>
    <w:rsid w:val="5B721E85"/>
    <w:rsid w:val="5B7C2D04"/>
    <w:rsid w:val="5B7F07AB"/>
    <w:rsid w:val="5B847B94"/>
    <w:rsid w:val="5B94004E"/>
    <w:rsid w:val="5BA21723"/>
    <w:rsid w:val="5BB93F58"/>
    <w:rsid w:val="5BC528FD"/>
    <w:rsid w:val="5BEA5EBF"/>
    <w:rsid w:val="5C0A6562"/>
    <w:rsid w:val="5C0F3D52"/>
    <w:rsid w:val="5C1048DC"/>
    <w:rsid w:val="5C4C6173"/>
    <w:rsid w:val="5C70214B"/>
    <w:rsid w:val="5C7659A5"/>
    <w:rsid w:val="5C844566"/>
    <w:rsid w:val="5C875E04"/>
    <w:rsid w:val="5C930305"/>
    <w:rsid w:val="5CB62246"/>
    <w:rsid w:val="5CC613FD"/>
    <w:rsid w:val="5CD00CBD"/>
    <w:rsid w:val="5CF0029A"/>
    <w:rsid w:val="5D081F0B"/>
    <w:rsid w:val="5D301FF8"/>
    <w:rsid w:val="5D5645E2"/>
    <w:rsid w:val="5D5850AB"/>
    <w:rsid w:val="5D663C6C"/>
    <w:rsid w:val="5D6677C8"/>
    <w:rsid w:val="5D7F6ADB"/>
    <w:rsid w:val="5D902A97"/>
    <w:rsid w:val="5DAE61D8"/>
    <w:rsid w:val="5DDA1FA8"/>
    <w:rsid w:val="5DE7793E"/>
    <w:rsid w:val="5DF623CB"/>
    <w:rsid w:val="5DFB0858"/>
    <w:rsid w:val="5E0A01F0"/>
    <w:rsid w:val="5E39691C"/>
    <w:rsid w:val="5E47584B"/>
    <w:rsid w:val="5E653F23"/>
    <w:rsid w:val="5E683F56"/>
    <w:rsid w:val="5E7A598C"/>
    <w:rsid w:val="5E7D2237"/>
    <w:rsid w:val="5E7F4FE5"/>
    <w:rsid w:val="5EA71675"/>
    <w:rsid w:val="5EAB7FF3"/>
    <w:rsid w:val="5EAF2F42"/>
    <w:rsid w:val="5EB90C6A"/>
    <w:rsid w:val="5EEC1F4F"/>
    <w:rsid w:val="5F2E6A0B"/>
    <w:rsid w:val="5F30008D"/>
    <w:rsid w:val="5F4E6098"/>
    <w:rsid w:val="5F5024DD"/>
    <w:rsid w:val="5F5C0E82"/>
    <w:rsid w:val="5F6B5569"/>
    <w:rsid w:val="5F6E604F"/>
    <w:rsid w:val="5F6F4F9F"/>
    <w:rsid w:val="5F8403D9"/>
    <w:rsid w:val="5F922AF6"/>
    <w:rsid w:val="5FC4513D"/>
    <w:rsid w:val="5FD10757"/>
    <w:rsid w:val="5FF13CC0"/>
    <w:rsid w:val="601243E7"/>
    <w:rsid w:val="60172FFB"/>
    <w:rsid w:val="601E438A"/>
    <w:rsid w:val="60266462"/>
    <w:rsid w:val="603B318E"/>
    <w:rsid w:val="60661887"/>
    <w:rsid w:val="60672F97"/>
    <w:rsid w:val="606F2E37"/>
    <w:rsid w:val="60A46F85"/>
    <w:rsid w:val="60AD7223"/>
    <w:rsid w:val="60B036F6"/>
    <w:rsid w:val="60B41BD6"/>
    <w:rsid w:val="60ED55AF"/>
    <w:rsid w:val="60F872D1"/>
    <w:rsid w:val="60FF41BB"/>
    <w:rsid w:val="61447E20"/>
    <w:rsid w:val="61477910"/>
    <w:rsid w:val="6150135C"/>
    <w:rsid w:val="61516038"/>
    <w:rsid w:val="61620FE5"/>
    <w:rsid w:val="617050B9"/>
    <w:rsid w:val="6175447D"/>
    <w:rsid w:val="61776339"/>
    <w:rsid w:val="61826B9A"/>
    <w:rsid w:val="61C40F61"/>
    <w:rsid w:val="61E41603"/>
    <w:rsid w:val="61EC078B"/>
    <w:rsid w:val="61EE278A"/>
    <w:rsid w:val="62092E18"/>
    <w:rsid w:val="62110741"/>
    <w:rsid w:val="62195750"/>
    <w:rsid w:val="622D4D58"/>
    <w:rsid w:val="623256AA"/>
    <w:rsid w:val="62410803"/>
    <w:rsid w:val="6267026A"/>
    <w:rsid w:val="628037ED"/>
    <w:rsid w:val="62976675"/>
    <w:rsid w:val="6299419B"/>
    <w:rsid w:val="62C85007"/>
    <w:rsid w:val="62CA07F9"/>
    <w:rsid w:val="62CC09DC"/>
    <w:rsid w:val="62D20036"/>
    <w:rsid w:val="62F15D85"/>
    <w:rsid w:val="631B2E02"/>
    <w:rsid w:val="633013C5"/>
    <w:rsid w:val="63387E58"/>
    <w:rsid w:val="63422A85"/>
    <w:rsid w:val="635F7193"/>
    <w:rsid w:val="63770981"/>
    <w:rsid w:val="638E1826"/>
    <w:rsid w:val="638E7A78"/>
    <w:rsid w:val="63964B41"/>
    <w:rsid w:val="63A84CB0"/>
    <w:rsid w:val="63B23767"/>
    <w:rsid w:val="63B70804"/>
    <w:rsid w:val="63B9315F"/>
    <w:rsid w:val="63CE5BCA"/>
    <w:rsid w:val="63EE0517"/>
    <w:rsid w:val="63EF260C"/>
    <w:rsid w:val="63FF1893"/>
    <w:rsid w:val="64030466"/>
    <w:rsid w:val="640356C3"/>
    <w:rsid w:val="640C3E97"/>
    <w:rsid w:val="6416019A"/>
    <w:rsid w:val="641E0DFC"/>
    <w:rsid w:val="64340620"/>
    <w:rsid w:val="64665D9A"/>
    <w:rsid w:val="6472739A"/>
    <w:rsid w:val="64803865"/>
    <w:rsid w:val="64E078AA"/>
    <w:rsid w:val="65055B18"/>
    <w:rsid w:val="651A0D6E"/>
    <w:rsid w:val="652341F0"/>
    <w:rsid w:val="65384361"/>
    <w:rsid w:val="653E2988"/>
    <w:rsid w:val="6589499B"/>
    <w:rsid w:val="65BF44CD"/>
    <w:rsid w:val="65DC4ACB"/>
    <w:rsid w:val="65EE47FE"/>
    <w:rsid w:val="65FD3A5C"/>
    <w:rsid w:val="660E35CA"/>
    <w:rsid w:val="661441FB"/>
    <w:rsid w:val="661C580F"/>
    <w:rsid w:val="662446C4"/>
    <w:rsid w:val="66417024"/>
    <w:rsid w:val="6651700F"/>
    <w:rsid w:val="66532583"/>
    <w:rsid w:val="66613222"/>
    <w:rsid w:val="666920D7"/>
    <w:rsid w:val="666A06AA"/>
    <w:rsid w:val="666D7E19"/>
    <w:rsid w:val="669C425A"/>
    <w:rsid w:val="66A23F66"/>
    <w:rsid w:val="66E63727"/>
    <w:rsid w:val="670D457F"/>
    <w:rsid w:val="67106F11"/>
    <w:rsid w:val="67204E8B"/>
    <w:rsid w:val="672145A9"/>
    <w:rsid w:val="67226E55"/>
    <w:rsid w:val="672F3320"/>
    <w:rsid w:val="67446DCC"/>
    <w:rsid w:val="67584625"/>
    <w:rsid w:val="676E209B"/>
    <w:rsid w:val="677879E5"/>
    <w:rsid w:val="67896ED4"/>
    <w:rsid w:val="678D61E4"/>
    <w:rsid w:val="67D6379C"/>
    <w:rsid w:val="67E20393"/>
    <w:rsid w:val="67E5320F"/>
    <w:rsid w:val="67F02AB0"/>
    <w:rsid w:val="682664D1"/>
    <w:rsid w:val="6832131A"/>
    <w:rsid w:val="683C2BB2"/>
    <w:rsid w:val="683C5CF5"/>
    <w:rsid w:val="68511763"/>
    <w:rsid w:val="685E5C6B"/>
    <w:rsid w:val="68777C95"/>
    <w:rsid w:val="687B6973"/>
    <w:rsid w:val="687C5E53"/>
    <w:rsid w:val="687F5BE1"/>
    <w:rsid w:val="68850E7E"/>
    <w:rsid w:val="689C2C37"/>
    <w:rsid w:val="68AB6EB0"/>
    <w:rsid w:val="68BA5BE4"/>
    <w:rsid w:val="69020CEC"/>
    <w:rsid w:val="6910009B"/>
    <w:rsid w:val="6922313D"/>
    <w:rsid w:val="69414646"/>
    <w:rsid w:val="694A61EF"/>
    <w:rsid w:val="69601EB7"/>
    <w:rsid w:val="69661446"/>
    <w:rsid w:val="69707D5F"/>
    <w:rsid w:val="699022E4"/>
    <w:rsid w:val="69C266CE"/>
    <w:rsid w:val="69C72B58"/>
    <w:rsid w:val="69CC12FA"/>
    <w:rsid w:val="69D00DEB"/>
    <w:rsid w:val="69E93C5A"/>
    <w:rsid w:val="69EE301F"/>
    <w:rsid w:val="6A1A02B8"/>
    <w:rsid w:val="6A1F58CE"/>
    <w:rsid w:val="6A2A031E"/>
    <w:rsid w:val="6A3C022E"/>
    <w:rsid w:val="6A4964A7"/>
    <w:rsid w:val="6A6D7740"/>
    <w:rsid w:val="6A707ED8"/>
    <w:rsid w:val="6A717B7E"/>
    <w:rsid w:val="6A8D6CDC"/>
    <w:rsid w:val="6AA47D3F"/>
    <w:rsid w:val="6AAF6C52"/>
    <w:rsid w:val="6ABF604C"/>
    <w:rsid w:val="6AC67AF8"/>
    <w:rsid w:val="6ACA3A8C"/>
    <w:rsid w:val="6AD37813"/>
    <w:rsid w:val="6AD93CCF"/>
    <w:rsid w:val="6AF57FAC"/>
    <w:rsid w:val="6B1C14A4"/>
    <w:rsid w:val="6B22722B"/>
    <w:rsid w:val="6B4355EC"/>
    <w:rsid w:val="6B451364"/>
    <w:rsid w:val="6B466EA6"/>
    <w:rsid w:val="6B572E46"/>
    <w:rsid w:val="6B6F6C1F"/>
    <w:rsid w:val="6BA134BB"/>
    <w:rsid w:val="6BB42046"/>
    <w:rsid w:val="6BBB3BE6"/>
    <w:rsid w:val="6BC95638"/>
    <w:rsid w:val="6BCF0C2E"/>
    <w:rsid w:val="6BEB640D"/>
    <w:rsid w:val="6BF30DC0"/>
    <w:rsid w:val="6C0100B7"/>
    <w:rsid w:val="6C066D46"/>
    <w:rsid w:val="6C3C2767"/>
    <w:rsid w:val="6C4658E0"/>
    <w:rsid w:val="6C502023"/>
    <w:rsid w:val="6C586E75"/>
    <w:rsid w:val="6C5C0714"/>
    <w:rsid w:val="6C7041BF"/>
    <w:rsid w:val="6C8D2F22"/>
    <w:rsid w:val="6C951E77"/>
    <w:rsid w:val="6CBA465E"/>
    <w:rsid w:val="6CBA7B30"/>
    <w:rsid w:val="6CCD33BF"/>
    <w:rsid w:val="6CD01D77"/>
    <w:rsid w:val="6CDE381E"/>
    <w:rsid w:val="6CF070AE"/>
    <w:rsid w:val="6CF43042"/>
    <w:rsid w:val="6CF7668E"/>
    <w:rsid w:val="6D1D0CEC"/>
    <w:rsid w:val="6D265FA8"/>
    <w:rsid w:val="6D4F4126"/>
    <w:rsid w:val="6D513FF0"/>
    <w:rsid w:val="6D5E04BB"/>
    <w:rsid w:val="6D667370"/>
    <w:rsid w:val="6D67771A"/>
    <w:rsid w:val="6D7362AD"/>
    <w:rsid w:val="6D7C6B93"/>
    <w:rsid w:val="6D9E6217"/>
    <w:rsid w:val="6DFD746F"/>
    <w:rsid w:val="6E105C5A"/>
    <w:rsid w:val="6E35746E"/>
    <w:rsid w:val="6E3914DB"/>
    <w:rsid w:val="6E487045"/>
    <w:rsid w:val="6E4C47B8"/>
    <w:rsid w:val="6E57325F"/>
    <w:rsid w:val="6E6935BC"/>
    <w:rsid w:val="6E7D2BC3"/>
    <w:rsid w:val="6E9A3775"/>
    <w:rsid w:val="6EA165BF"/>
    <w:rsid w:val="6EAE0FCF"/>
    <w:rsid w:val="6EC6741F"/>
    <w:rsid w:val="6EC72090"/>
    <w:rsid w:val="6ECC47A6"/>
    <w:rsid w:val="6EE35100"/>
    <w:rsid w:val="6F0772A4"/>
    <w:rsid w:val="6F280D81"/>
    <w:rsid w:val="6F3670AA"/>
    <w:rsid w:val="6F443D25"/>
    <w:rsid w:val="6F5A2F04"/>
    <w:rsid w:val="6F67671B"/>
    <w:rsid w:val="6F737718"/>
    <w:rsid w:val="6F773AB6"/>
    <w:rsid w:val="6F91409C"/>
    <w:rsid w:val="6F9C6DDF"/>
    <w:rsid w:val="6FA26D85"/>
    <w:rsid w:val="6FA65ECF"/>
    <w:rsid w:val="6FA7614A"/>
    <w:rsid w:val="6FA83AAB"/>
    <w:rsid w:val="6FBA17E0"/>
    <w:rsid w:val="6FCF744E"/>
    <w:rsid w:val="6FD838D9"/>
    <w:rsid w:val="700E61C9"/>
    <w:rsid w:val="700F5B69"/>
    <w:rsid w:val="701C35B4"/>
    <w:rsid w:val="70310109"/>
    <w:rsid w:val="703D0359"/>
    <w:rsid w:val="705A140E"/>
    <w:rsid w:val="705C4D2F"/>
    <w:rsid w:val="70667D4A"/>
    <w:rsid w:val="70767C84"/>
    <w:rsid w:val="707C599A"/>
    <w:rsid w:val="707D50FC"/>
    <w:rsid w:val="707F733E"/>
    <w:rsid w:val="70EB0C6D"/>
    <w:rsid w:val="71094BE2"/>
    <w:rsid w:val="711041C2"/>
    <w:rsid w:val="71155335"/>
    <w:rsid w:val="711C2B67"/>
    <w:rsid w:val="713632AC"/>
    <w:rsid w:val="713A2EE6"/>
    <w:rsid w:val="713E7CD2"/>
    <w:rsid w:val="717A163C"/>
    <w:rsid w:val="717A57AC"/>
    <w:rsid w:val="718C0F4C"/>
    <w:rsid w:val="71A76679"/>
    <w:rsid w:val="71BB412E"/>
    <w:rsid w:val="71CA25C3"/>
    <w:rsid w:val="71F45C1D"/>
    <w:rsid w:val="72077373"/>
    <w:rsid w:val="720B74BE"/>
    <w:rsid w:val="72122AF8"/>
    <w:rsid w:val="72277415"/>
    <w:rsid w:val="724265FE"/>
    <w:rsid w:val="728E539F"/>
    <w:rsid w:val="72A76461"/>
    <w:rsid w:val="72AA3461"/>
    <w:rsid w:val="72B24F8E"/>
    <w:rsid w:val="72B34E05"/>
    <w:rsid w:val="72B666A4"/>
    <w:rsid w:val="72DB610A"/>
    <w:rsid w:val="72E74AAF"/>
    <w:rsid w:val="72E94CCB"/>
    <w:rsid w:val="72F571CC"/>
    <w:rsid w:val="72F93721"/>
    <w:rsid w:val="730D6C0C"/>
    <w:rsid w:val="733817AF"/>
    <w:rsid w:val="734605C8"/>
    <w:rsid w:val="7346211D"/>
    <w:rsid w:val="73504D4A"/>
    <w:rsid w:val="73586CCA"/>
    <w:rsid w:val="73676D32"/>
    <w:rsid w:val="7375655F"/>
    <w:rsid w:val="738F7621"/>
    <w:rsid w:val="739B7374"/>
    <w:rsid w:val="73BE5AE3"/>
    <w:rsid w:val="73EE1EB8"/>
    <w:rsid w:val="742D562D"/>
    <w:rsid w:val="74512B28"/>
    <w:rsid w:val="74534AF2"/>
    <w:rsid w:val="745D14CD"/>
    <w:rsid w:val="747B1953"/>
    <w:rsid w:val="748443A7"/>
    <w:rsid w:val="74B310ED"/>
    <w:rsid w:val="74D774D1"/>
    <w:rsid w:val="74D84FF7"/>
    <w:rsid w:val="74EE65C9"/>
    <w:rsid w:val="74F3598D"/>
    <w:rsid w:val="750D2EF3"/>
    <w:rsid w:val="75114065"/>
    <w:rsid w:val="751F3575"/>
    <w:rsid w:val="7521074C"/>
    <w:rsid w:val="7522622B"/>
    <w:rsid w:val="75357D54"/>
    <w:rsid w:val="754706E5"/>
    <w:rsid w:val="75504B8E"/>
    <w:rsid w:val="75530B22"/>
    <w:rsid w:val="75581306"/>
    <w:rsid w:val="756B03B2"/>
    <w:rsid w:val="756D0FDC"/>
    <w:rsid w:val="75736ACE"/>
    <w:rsid w:val="75840CDB"/>
    <w:rsid w:val="758E56B6"/>
    <w:rsid w:val="75A31161"/>
    <w:rsid w:val="75C80BC8"/>
    <w:rsid w:val="75DA132A"/>
    <w:rsid w:val="75E34C23"/>
    <w:rsid w:val="760D0CD1"/>
    <w:rsid w:val="76263B40"/>
    <w:rsid w:val="76277FE4"/>
    <w:rsid w:val="763074F0"/>
    <w:rsid w:val="765960DA"/>
    <w:rsid w:val="765D3A06"/>
    <w:rsid w:val="767174B1"/>
    <w:rsid w:val="7686417E"/>
    <w:rsid w:val="76F85E16"/>
    <w:rsid w:val="77037C1B"/>
    <w:rsid w:val="77087D25"/>
    <w:rsid w:val="771D4F43"/>
    <w:rsid w:val="773F310C"/>
    <w:rsid w:val="7746169E"/>
    <w:rsid w:val="77732DB5"/>
    <w:rsid w:val="777F175A"/>
    <w:rsid w:val="778A1F2E"/>
    <w:rsid w:val="77A47413"/>
    <w:rsid w:val="77CE623E"/>
    <w:rsid w:val="77DE2925"/>
    <w:rsid w:val="77F51A1C"/>
    <w:rsid w:val="78250553"/>
    <w:rsid w:val="7838193E"/>
    <w:rsid w:val="78434E7D"/>
    <w:rsid w:val="78454752"/>
    <w:rsid w:val="784B788E"/>
    <w:rsid w:val="784D1858"/>
    <w:rsid w:val="78521B33"/>
    <w:rsid w:val="78681B25"/>
    <w:rsid w:val="7880578A"/>
    <w:rsid w:val="78845E5A"/>
    <w:rsid w:val="78A51694"/>
    <w:rsid w:val="78A771BA"/>
    <w:rsid w:val="78AF2360"/>
    <w:rsid w:val="78D705A5"/>
    <w:rsid w:val="78DF6A5D"/>
    <w:rsid w:val="78FD327E"/>
    <w:rsid w:val="79181E66"/>
    <w:rsid w:val="792C76C0"/>
    <w:rsid w:val="793A6280"/>
    <w:rsid w:val="79440EAD"/>
    <w:rsid w:val="79921C19"/>
    <w:rsid w:val="7998397B"/>
    <w:rsid w:val="799D236B"/>
    <w:rsid w:val="79A272C8"/>
    <w:rsid w:val="79AD6A52"/>
    <w:rsid w:val="79C142AC"/>
    <w:rsid w:val="79EB68F1"/>
    <w:rsid w:val="7A2A00A3"/>
    <w:rsid w:val="7A460C55"/>
    <w:rsid w:val="7A723236"/>
    <w:rsid w:val="7A893B99"/>
    <w:rsid w:val="7AA634A2"/>
    <w:rsid w:val="7AAC5531"/>
    <w:rsid w:val="7AB83901"/>
    <w:rsid w:val="7AC676A0"/>
    <w:rsid w:val="7AD437B8"/>
    <w:rsid w:val="7AEC35AA"/>
    <w:rsid w:val="7B007431"/>
    <w:rsid w:val="7B0C77A9"/>
    <w:rsid w:val="7B1F5CAB"/>
    <w:rsid w:val="7B2833D7"/>
    <w:rsid w:val="7B2965AD"/>
    <w:rsid w:val="7B4927AB"/>
    <w:rsid w:val="7B4C14BA"/>
    <w:rsid w:val="7B780263"/>
    <w:rsid w:val="7B821819"/>
    <w:rsid w:val="7B8A691F"/>
    <w:rsid w:val="7B9D6653"/>
    <w:rsid w:val="7BA53141"/>
    <w:rsid w:val="7BA63CB2"/>
    <w:rsid w:val="7BB045D8"/>
    <w:rsid w:val="7BB06759"/>
    <w:rsid w:val="7BB51BEE"/>
    <w:rsid w:val="7BD76009"/>
    <w:rsid w:val="7BFA6ADE"/>
    <w:rsid w:val="7C1839E1"/>
    <w:rsid w:val="7C2154D6"/>
    <w:rsid w:val="7C240B22"/>
    <w:rsid w:val="7C3522B8"/>
    <w:rsid w:val="7C54669C"/>
    <w:rsid w:val="7C6929D9"/>
    <w:rsid w:val="7C7A4BE6"/>
    <w:rsid w:val="7C7A7ECB"/>
    <w:rsid w:val="7C8D66C7"/>
    <w:rsid w:val="7CBE2D25"/>
    <w:rsid w:val="7CC66242"/>
    <w:rsid w:val="7CDB5685"/>
    <w:rsid w:val="7CDC31AB"/>
    <w:rsid w:val="7CE85FF3"/>
    <w:rsid w:val="7CFD109F"/>
    <w:rsid w:val="7D192F3F"/>
    <w:rsid w:val="7D3354C1"/>
    <w:rsid w:val="7D3514FD"/>
    <w:rsid w:val="7D6A6A08"/>
    <w:rsid w:val="7DC35DEC"/>
    <w:rsid w:val="7DE1316F"/>
    <w:rsid w:val="7E0B5B3E"/>
    <w:rsid w:val="7E0B7E1E"/>
    <w:rsid w:val="7E265025"/>
    <w:rsid w:val="7E3D3024"/>
    <w:rsid w:val="7E3E5F28"/>
    <w:rsid w:val="7E563D3E"/>
    <w:rsid w:val="7E5E2B88"/>
    <w:rsid w:val="7E6A73EB"/>
    <w:rsid w:val="7E7318ED"/>
    <w:rsid w:val="7E9F26E2"/>
    <w:rsid w:val="7EBB39C0"/>
    <w:rsid w:val="7EBC3294"/>
    <w:rsid w:val="7EC55DD4"/>
    <w:rsid w:val="7ED4682F"/>
    <w:rsid w:val="7EF0118F"/>
    <w:rsid w:val="7F0A70E2"/>
    <w:rsid w:val="7F345520"/>
    <w:rsid w:val="7F833DB1"/>
    <w:rsid w:val="7FA93818"/>
    <w:rsid w:val="7FAC43B7"/>
    <w:rsid w:val="7FAF1655"/>
    <w:rsid w:val="7FB623D9"/>
    <w:rsid w:val="7FC468A4"/>
    <w:rsid w:val="7FCE7ECF"/>
    <w:rsid w:val="7FD12D6F"/>
    <w:rsid w:val="7FD36AE7"/>
    <w:rsid w:val="7FE334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2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autoRedefine/>
    <w:semiHidden/>
    <w:qFormat/>
    <w:uiPriority w:val="0"/>
    <w:rPr>
      <w:rFonts w:ascii="Arial" w:hAnsi="Arial" w:eastAsia="Arial" w:cs="Arial"/>
      <w:sz w:val="21"/>
      <w:szCs w:val="21"/>
      <w:lang w:val="en-US" w:eastAsia="en-US" w:bidi="ar-SA"/>
    </w:rPr>
  </w:style>
  <w:style w:type="paragraph" w:styleId="6">
    <w:name w:val="Body Text 2"/>
    <w:basedOn w:val="1"/>
    <w:next w:val="5"/>
    <w:qFormat/>
    <w:uiPriority w:val="0"/>
    <w:pPr>
      <w:jc w:val="center"/>
    </w:pPr>
    <w:rPr>
      <w:lang w:val="zh-CN"/>
    </w:rPr>
  </w:style>
  <w:style w:type="paragraph" w:styleId="7">
    <w:name w:val="Body Text Indent"/>
    <w:basedOn w:val="1"/>
    <w:next w:val="1"/>
    <w:autoRedefine/>
    <w:qFormat/>
    <w:uiPriority w:val="0"/>
    <w:pPr>
      <w:spacing w:after="120"/>
      <w:ind w:left="420" w:leftChars="200"/>
    </w:pPr>
    <w:rPr>
      <w:szCs w:val="24"/>
    </w:rPr>
  </w:style>
  <w:style w:type="paragraph" w:styleId="8">
    <w:name w:val="List 2"/>
    <w:basedOn w:val="1"/>
    <w:next w:val="9"/>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9">
    <w:name w:val="Plain Text"/>
    <w:basedOn w:val="1"/>
    <w:qFormat/>
    <w:uiPriority w:val="0"/>
    <w:rPr>
      <w:rFonts w:ascii="宋体" w:hAnsi="Calibri" w:eastAsia="宋体" w:cs="Times New Roman"/>
      <w:szCs w:val="20"/>
    </w:rPr>
  </w:style>
  <w:style w:type="paragraph" w:styleId="10">
    <w:name w:val="Date"/>
    <w:basedOn w:val="1"/>
    <w:next w:val="1"/>
    <w:autoRedefine/>
    <w:qFormat/>
    <w:uiPriority w:val="0"/>
    <w:pPr>
      <w:ind w:left="100" w:leftChars="25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宋体" w:hAnsi="宋体" w:eastAsia="宋体" w:cs="宋体"/>
      <w:sz w:val="24"/>
      <w:szCs w:val="24"/>
      <w:lang w:val="en-US" w:eastAsia="en-US" w:bidi="ar-SA"/>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WPSOffice手动目录 1"/>
    <w:autoRedefine/>
    <w:qFormat/>
    <w:uiPriority w:val="0"/>
    <w:pPr>
      <w:ind w:leftChars="0"/>
    </w:pPr>
    <w:rPr>
      <w:rFonts w:ascii="Times New Roman" w:hAnsi="Times New Roman" w:eastAsia="宋体" w:cs="Times New Roman"/>
      <w:sz w:val="20"/>
      <w:szCs w:val="20"/>
    </w:rPr>
  </w:style>
  <w:style w:type="paragraph" w:customStyle="1" w:styleId="24">
    <w:name w:val="Table Paragraph"/>
    <w:basedOn w:val="1"/>
    <w:autoRedefine/>
    <w:qFormat/>
    <w:uiPriority w:val="1"/>
    <w:rPr>
      <w:rFonts w:ascii="宋体" w:hAnsi="宋体" w:eastAsia="宋体" w:cs="宋体"/>
      <w:lang w:val="zh-CN" w:eastAsia="zh-CN" w:bidi="zh-CN"/>
    </w:rPr>
  </w:style>
  <w:style w:type="character" w:customStyle="1" w:styleId="25">
    <w:name w:val="font21"/>
    <w:basedOn w:val="18"/>
    <w:qFormat/>
    <w:uiPriority w:val="0"/>
    <w:rPr>
      <w:rFonts w:hint="eastAsia" w:ascii="微软雅黑" w:hAnsi="微软雅黑" w:eastAsia="微软雅黑" w:cs="微软雅黑"/>
      <w:color w:val="000000"/>
      <w:sz w:val="20"/>
      <w:szCs w:val="20"/>
      <w:u w:val="none"/>
    </w:rPr>
  </w:style>
  <w:style w:type="character" w:customStyle="1" w:styleId="26">
    <w:name w:val="font51"/>
    <w:basedOn w:val="18"/>
    <w:qFormat/>
    <w:uiPriority w:val="0"/>
    <w:rPr>
      <w:rFonts w:ascii="Calibri" w:hAnsi="Calibri" w:cs="Calibri"/>
      <w:color w:val="000000"/>
      <w:sz w:val="20"/>
      <w:szCs w:val="20"/>
      <w:u w:val="none"/>
    </w:rPr>
  </w:style>
  <w:style w:type="character" w:customStyle="1" w:styleId="27">
    <w:name w:val="font61"/>
    <w:basedOn w:val="18"/>
    <w:qFormat/>
    <w:uiPriority w:val="0"/>
    <w:rPr>
      <w:rFonts w:hint="default" w:ascii="Calibri" w:hAnsi="Calibri" w:cs="Calibri"/>
      <w:color w:val="000000"/>
      <w:sz w:val="26"/>
      <w:szCs w:val="26"/>
      <w:u w:val="none"/>
    </w:rPr>
  </w:style>
  <w:style w:type="paragraph" w:customStyle="1" w:styleId="28">
    <w:name w:val="列表段落1"/>
    <w:basedOn w:val="1"/>
    <w:qFormat/>
    <w:uiPriority w:val="34"/>
    <w:pPr>
      <w:ind w:firstLine="420" w:firstLineChars="200"/>
    </w:pPr>
  </w:style>
  <w:style w:type="paragraph" w:styleId="29">
    <w:name w:val="List Paragraph"/>
    <w:basedOn w:val="1"/>
    <w:qFormat/>
    <w:uiPriority w:val="34"/>
    <w:pPr>
      <w:ind w:firstLine="420" w:firstLineChars="200"/>
    </w:pPr>
    <w:rPr>
      <w:szCs w:val="24"/>
    </w:rPr>
  </w:style>
  <w:style w:type="paragraph" w:customStyle="1" w:styleId="30">
    <w:name w:val="表格文字"/>
    <w:basedOn w:val="1"/>
    <w:qFormat/>
    <w:uiPriority w:val="0"/>
    <w:pPr>
      <w:snapToGrid w:val="0"/>
      <w:spacing w:before="25" w:after="25"/>
    </w:pPr>
    <w:rPr>
      <w:rFonts w:ascii="Calibri" w:hAnsi="Calibri" w:cs="Times New Roman"/>
      <w:spacing w:val="1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22538</Words>
  <Characters>24185</Characters>
  <TotalTime>17</TotalTime>
  <ScaleCrop>false</ScaleCrop>
  <LinksUpToDate>false</LinksUpToDate>
  <CharactersWithSpaces>25349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2024-04-10T14:15:00Z</dcterms:created>
  <dc:creator>lenovo</dc:creator>
  <cp:lastModifiedBy>Administrator</cp:lastModifiedBy>
  <cp:lastPrinted>2025-10-31T05:27:00Z</cp:lastPrinted>
  <dcterms:modified xsi:type="dcterms:W3CDTF">2026-04-16T02:18:49Z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2024-04-22T10:11:23Z</vt:filetime>
  </property>
  <property fmtid="{D5CDD505-2E9C-101B-9397-08002B2CF9AE}" pid="4" name="KSOProductBuildVer">
    <vt:lpwstr>2052-12.1.0.25225</vt:lpwstr>
  </property>
  <property fmtid="{D5CDD505-2E9C-101B-9397-08002B2CF9AE}" pid="5" name="ICV">
    <vt:lpwstr>186751C2A3E54CC28114333847D7549A_13</vt:lpwstr>
  </property>
  <property fmtid="{D5CDD505-2E9C-101B-9397-08002B2CF9AE}" pid="6" name="KSOTemplateDocerSaveRecord">
    <vt:lpwstr>eyJoZGlkIjoiZTI5ZDJkMmM4MjA4YTM0MzBmOWQ0MzJmOTA5MjYyZWYiLCJ1c2VySWQiOiI0MzMyMjczOTgifQ==</vt:lpwstr>
  </property>
</Properties>
</file>